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sz w:val="20"/>
        </w:rPr>
        <w:t>PRIVILEGED AND CONFIDENTIAL — ATTORNEY WORK PRODUCT — ATTORNEY-CLIENT COMMUNICATION</w:t>
      </w:r>
    </w:p>
    <w:p>
      <w:pPr>
        <w:spacing w:after="40"/>
        <w:jc w:val="center"/>
      </w:pPr>
      <w:r>
        <w:rPr>
          <w:sz w:val="20"/>
        </w:rPr>
        <w:t>Prepared in anticipation of litigation at the direction of counsel. Do not forward outside the Halpern defense team.</w:t>
      </w:r>
    </w:p>
    <w:p>
      <w:pPr>
        <w:spacing w:after="40"/>
        <w:jc w:val="center"/>
      </w:pPr>
      <w:r>
        <w:rPr>
          <w:b/>
          <w:sz w:val="28"/>
        </w:rPr>
        <w:t>GREENFIELD &amp; ASSOCIATES LLP</w:t>
      </w:r>
    </w:p>
    <w:p>
      <w:pPr>
        <w:spacing w:after="40"/>
        <w:jc w:val="center"/>
      </w:pPr>
      <w:r>
        <w:rPr>
          <w:b/>
          <w:sz w:val="28"/>
        </w:rPr>
        <w:t>MEMORANDUM</w:t>
      </w:r>
    </w:p>
    <w:tbl>
      <w:tblPr>
        <w:tblStyle w:val="TableGrid"/>
        <w:tblW w:type="auto" w:w="0"/>
        <w:tblLook w:firstColumn="1" w:firstRow="1" w:lastColumn="0" w:lastRow="0" w:noHBand="0" w:noVBand="1" w:val="04A0"/>
      </w:tblPr>
      <w:tblGrid>
        <w:gridCol w:w="4680"/>
        <w:gridCol w:w="4680"/>
      </w:tblGrid>
      <w:tr>
        <w:tc>
          <w:tcPr>
            <w:tcW w:type="dxa" w:w="1440"/>
            <w:shd w:val="clear" w:color="auto" w:fill="FFFFFF"/>
          </w:tcPr>
          <w:p>
            <w:r/>
            <w:r>
              <w:rPr>
                <w:b/>
                <w:sz w:val="19"/>
              </w:rPr>
              <w:t>TO:</w:t>
            </w:r>
          </w:p>
        </w:tc>
        <w:tc>
          <w:tcPr>
            <w:tcW w:type="dxa" w:w="7920"/>
          </w:tcPr>
          <w:p>
            <w:pPr>
              <w:spacing w:after="40"/>
            </w:pPr>
            <w:r/>
            <w:r>
              <w:rPr>
                <w:sz w:val="19"/>
              </w:rPr>
              <w:t>Sarah Greenfield, Partner</w:t>
            </w:r>
          </w:p>
        </w:tc>
      </w:tr>
      <w:tr>
        <w:tc>
          <w:tcPr>
            <w:tcW w:type="dxa" w:w="1440"/>
            <w:shd w:val="clear" w:color="auto" w:fill="FFFFFF"/>
          </w:tcPr>
          <w:p>
            <w:r/>
            <w:r>
              <w:rPr>
                <w:b/>
                <w:sz w:val="19"/>
              </w:rPr>
              <w:t>FROM:</w:t>
            </w:r>
          </w:p>
        </w:tc>
        <w:tc>
          <w:tcPr>
            <w:tcW w:type="dxa" w:w="7920"/>
          </w:tcPr>
          <w:p>
            <w:pPr>
              <w:spacing w:after="40"/>
            </w:pPr>
            <w:r/>
            <w:r>
              <w:rPr>
                <w:sz w:val="19"/>
              </w:rPr>
              <w:t>Halpern Defense Team (white-collar associate working group)</w:t>
            </w:r>
          </w:p>
        </w:tc>
      </w:tr>
      <w:tr>
        <w:tc>
          <w:tcPr>
            <w:tcW w:type="dxa" w:w="1440"/>
            <w:shd w:val="clear" w:color="auto" w:fill="FFFFFF"/>
          </w:tcPr>
          <w:p>
            <w:r/>
            <w:r>
              <w:rPr>
                <w:b/>
                <w:sz w:val="19"/>
              </w:rPr>
              <w:t>CC:</w:t>
            </w:r>
          </w:p>
        </w:tc>
        <w:tc>
          <w:tcPr>
            <w:tcW w:type="dxa" w:w="7920"/>
          </w:tcPr>
          <w:p>
            <w:pPr>
              <w:spacing w:after="40"/>
            </w:pPr>
            <w:r/>
            <w:r>
              <w:rPr>
                <w:sz w:val="19"/>
              </w:rPr>
              <w:t>Daniel Kovacs, Senior Associate</w:t>
            </w:r>
          </w:p>
        </w:tc>
      </w:tr>
      <w:tr>
        <w:tc>
          <w:tcPr>
            <w:tcW w:type="dxa" w:w="1440"/>
            <w:shd w:val="clear" w:color="auto" w:fill="FFFFFF"/>
          </w:tcPr>
          <w:p>
            <w:r/>
            <w:r>
              <w:rPr>
                <w:b/>
                <w:sz w:val="19"/>
              </w:rPr>
              <w:t>DATE:</w:t>
            </w:r>
          </w:p>
        </w:tc>
        <w:tc>
          <w:tcPr>
            <w:tcW w:type="dxa" w:w="7920"/>
          </w:tcPr>
          <w:p>
            <w:pPr>
              <w:spacing w:after="40"/>
            </w:pPr>
            <w:r/>
            <w:r>
              <w:rPr>
                <w:sz w:val="19"/>
              </w:rPr>
              <w:t>September 2024 (draft prepared on the record as compiled in the September 2024 Key Document Compilation)</w:t>
            </w:r>
          </w:p>
        </w:tc>
      </w:tr>
      <w:tr>
        <w:tc>
          <w:tcPr>
            <w:tcW w:type="dxa" w:w="1440"/>
            <w:shd w:val="clear" w:color="auto" w:fill="FFFFFF"/>
          </w:tcPr>
          <w:p>
            <w:r/>
            <w:r>
              <w:rPr>
                <w:b/>
                <w:sz w:val="19"/>
              </w:rPr>
              <w:t>RE:</w:t>
            </w:r>
          </w:p>
        </w:tc>
        <w:tc>
          <w:tcPr>
            <w:tcW w:type="dxa" w:w="7920"/>
          </w:tcPr>
          <w:p>
            <w:pPr>
              <w:spacing w:after="40"/>
            </w:pPr>
            <w:r/>
            <w:r>
              <w:rPr>
                <w:sz w:val="19"/>
              </w:rPr>
              <w:t>Dr. Marcus Halpern — Impeachment and Testimony Vulnerability Analysis: Audit Committee Interview (Nov. 2, 2023), SEC Deposition (Apr. 16, 2024), DOJ Proffer (Aug. 7, 2024), Key Documents, and Proffer Agreement — In re DOJ Investigation; SEC v. Crestline Therapeutics, Inc. et al., No. 1:24-cv-02187 (N.D. Ill.)</w:t>
            </w:r>
          </w:p>
        </w:tc>
      </w:tr>
    </w:tbl>
    <w:p>
      <w:pPr>
        <w:spacing w:after="40"/>
      </w:pPr>
    </w:p>
    <w:p>
      <w:pPr>
        <w:pStyle w:val="Heading1"/>
      </w:pPr>
      <w:r>
        <w:t>I. EXECUTIVE SUMMARY AND BOTTOM LINE</w:t>
      </w:r>
    </w:p>
    <w:p>
      <w:pPr>
        <w:spacing w:after="120"/>
        <w:jc w:val="both"/>
      </w:pPr>
      <w:r>
        <w:t>This memorandum is the impeachment and testimony vulnerability analysis called for in Section XI.D(1) of the August 9, 2024 proffer memorandum. We compared, topic by topic, everything Dr. Halpern has said in the three sessions on record (the stenographically reported Audit Committee interview, the sworn SEC deposition, and the unrecorded DOJ proffer as reflected in our own notes) against each other and against the contemporaneous documents (KDC-001 through KDC-006), the SEC Complaint, and the Proffer Agreement. We read each source in full.</w:t>
      </w:r>
    </w:p>
    <w:p>
      <w:pPr>
        <w:spacing w:after="120"/>
        <w:jc w:val="both"/>
      </w:pPr>
      <w:r>
        <w:rPr>
          <w:b/>
        </w:rPr>
        <w:t>Bottom line.</w:t>
      </w:r>
      <w:r>
        <w:t xml:space="preserve"> The record now contains at least fifteen material inconsistencies, several of which cannot be reconciled on any innocent theory. The most dangerous are not simply three-way shifts between testimony sessions; they are points where a sworn deposition answer is contradicted by a document that was already in the government’s hands when the answer was given. In particular: (1) the SEC Complaint, filed March 8, 2024, already alleged on information and belief that General Counsel Falcone had voiced reservations and recommended outside counsel (Compl. ¶¶ 53, 70, 81(e)), yet five weeks later Dr. Halpern testified under oath that he did not recall any reservation or any outside-counsel recommendation (SEC Dep. §§ 4.3, 8.3), and then disclosed the text message at the proffer as a newly refreshed recollection; (2) the Q4 2021 Meridian memorandum Dr. Halpern signed (KDC-001 § II) expressly relies on a “preliminary enrollment report,” which contradicts his Audit Committee statements and his sworn deposition answer that the memo did not characterize the data as preliminary; (3) his Audit Committee statement that he first learned of the incomplete Aethon delivery in October 2023 is irreconcilable with his own sworn account of personally telling the engagement partner in late September 2022 that only three of five batches had shipped; and (4) his sworn statement that Aethon “ultimately did exercise” the options in Q2 2023 is contradicted by the Complaint’s allegation that no written exercise notice had ever been delivered as of November 17, 2023 (Compl. ¶¶ 54, 58).</w:t>
      </w:r>
    </w:p>
    <w:p>
      <w:pPr>
        <w:spacing w:after="120"/>
        <w:jc w:val="both"/>
      </w:pPr>
      <w:r>
        <w:rPr>
          <w:b/>
        </w:rPr>
        <w:t>Structural point that the August 9 memo understates.</w:t>
      </w:r>
      <w:r>
        <w:t xml:space="preserve"> The “testimony trap” is worse than a symmetrical double bind. The Audit Committee transcript (if waived and produced by the Audit Committee, which the Upjohn warning expressly reserved) and the SEC deposition are statements of a party-opponent admissible as substantive evidence in the government’s case-in-chief (Fed. R. Evid. 801(d)(2)(A)); they are not limited to impeachment. The proffer statements, by contrast, are barred from the case-in-chief only so long as the Proffer Agreement survives, and the agreement allows the government, in its sole discretion (subject only to judicial review on our motion), to void that protection if it concludes any proffer statement was false or materially incomplete (PA § 7). Several proffer statements (that Ms. Liang agreed with recognition; that Mr. Falcone “came around”; that nothing was withheld from the auditors) are exactly the kind of statements that the government may later contend were false. In addition, the rebuttal clause is triggered not only by Dr. Halpern’s own testimony but by defense witnesses and “arguments of counsel” (PA §§ 4(b)-(c)), so the proffer constrains our defense theory even if Dr. Halpern never takes the stand. And nothing in the agreement restricts the SEC, a non-party to which DOJ may share the proffer information, in the pending civil action in which Dr. Halpern is a named defendant (PA § 9).</w:t>
      </w:r>
    </w:p>
    <w:p>
      <w:pPr>
        <w:spacing w:after="120"/>
        <w:jc w:val="both"/>
      </w:pPr>
      <w:r>
        <w:rPr>
          <w:b/>
        </w:rPr>
        <w:t>Recommendations in brief.</w:t>
      </w:r>
      <w:r>
        <w:t xml:space="preserve"> (a) No further proffer, interview, or testimony by Dr. Halpern in any forum until the record discrepancies in Part V are run to ground; (b) in the SEC action, evaluate assertion of the Fifth Amendment going forward and a motion for a stay pending the criminal matter, recognizing the adverse-inference cost; (c) treat Dr. Halpern testifying at any criminal trial as presumptively inadvisable on the present record; (d) build the defense theory only from positions that are consistent with the proffer and the documents (Part VII); (e) immediately reconcile our own two internal accounts of what Dr. Halpern said at the proffer about the Falcone text (Proffer Mem. § V.C vs. KDC-005), because the FBI agents’ report will be the government’s version; and (f) open a separate privileged workstream on obstruction exposure under 18 U.S.C. § 1519 (personal phone replacement, document retention, and the “my files” statement), which is a listed subject of the investigation (PA § 1; Proffer Mem. § I).</w:t>
      </w:r>
    </w:p>
    <w:p>
      <w:pPr>
        <w:pStyle w:val="Heading2"/>
      </w:pPr>
      <w:r>
        <w:t>Summary Vulnerability Matrix (ranked)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val="clear" w:color="auto" w:fill="1F2A44"/>
          </w:tcPr>
          <w:p>
            <w:r/>
            <w:r>
              <w:rPr>
                <w:b/>
                <w:color w:val="FFFFFF"/>
                <w:sz w:val="19"/>
              </w:rPr>
              <w:t>#</w:t>
            </w:r>
          </w:p>
        </w:tc>
        <w:tc>
          <w:tcPr>
            <w:tcW w:type="dxa" w:w="2304"/>
            <w:shd w:val="clear" w:color="auto" w:fill="1F2A44"/>
          </w:tcPr>
          <w:p>
            <w:r/>
            <w:r>
              <w:rPr>
                <w:b/>
                <w:color w:val="FFFFFF"/>
                <w:sz w:val="19"/>
              </w:rPr>
              <w:t>Issue</w:t>
            </w:r>
          </w:p>
        </w:tc>
        <w:tc>
          <w:tcPr>
            <w:tcW w:type="dxa" w:w="1296"/>
            <w:shd w:val="clear" w:color="auto" w:fill="1F2A44"/>
          </w:tcPr>
          <w:p>
            <w:r/>
            <w:r>
              <w:rPr>
                <w:b/>
                <w:color w:val="FFFFFF"/>
                <w:sz w:val="19"/>
              </w:rPr>
              <w:t>Rating</w:t>
            </w:r>
          </w:p>
        </w:tc>
        <w:tc>
          <w:tcPr>
            <w:tcW w:type="dxa" w:w="5328"/>
            <w:shd w:val="clear" w:color="auto" w:fill="1F2A44"/>
          </w:tcPr>
          <w:p>
            <w:r/>
            <w:r>
              <w:rPr>
                <w:b/>
                <w:color w:val="FFFFFF"/>
                <w:sz w:val="19"/>
              </w:rPr>
              <w:t>Core problem (short form)</w:t>
            </w:r>
          </w:p>
        </w:tc>
      </w:tr>
      <w:tr>
        <w:tc>
          <w:tcPr>
            <w:tcW w:type="dxa" w:w="432"/>
          </w:tcPr>
          <w:p>
            <w:pPr>
              <w:spacing w:after="40"/>
            </w:pPr>
            <w:r/>
            <w:r>
              <w:rPr>
                <w:sz w:val="19"/>
              </w:rPr>
              <w:t>1</w:t>
            </w:r>
          </w:p>
        </w:tc>
        <w:tc>
          <w:tcPr>
            <w:tcW w:type="dxa" w:w="2304"/>
          </w:tcPr>
          <w:p>
            <w:pPr>
              <w:spacing w:after="40"/>
            </w:pPr>
            <w:r/>
            <w:r>
              <w:rPr>
                <w:sz w:val="19"/>
              </w:rPr>
              <w:t>Falcone’s position; the November 2022 text message</w:t>
            </w:r>
          </w:p>
        </w:tc>
        <w:tc>
          <w:tcPr>
            <w:tcW w:type="dxa" w:w="1296"/>
          </w:tcPr>
          <w:p>
            <w:pPr>
              <w:spacing w:after="40"/>
            </w:pPr>
            <w:r/>
            <w:r>
              <w:rPr>
                <w:sz w:val="19"/>
              </w:rPr>
              <w:t>CRITICAL</w:t>
            </w:r>
          </w:p>
        </w:tc>
        <w:tc>
          <w:tcPr>
            <w:tcW w:type="dxa" w:w="5328"/>
          </w:tcPr>
          <w:p>
            <w:pPr>
              <w:spacing w:after="40"/>
            </w:pPr>
            <w:r/>
            <w:r>
              <w:rPr>
                <w:sz w:val="19"/>
              </w:rPr>
              <w:t>AC: Falcone “fully supportive,” gave written analysis. SEC (sworn): no reservations, no outside-counsel recommendation recalled. Proffer: text said “not comfortable … get outside counsel.” Complaint pled the text five weeks before the deposition. Two inconsistent internal accounts of what he said next.</w:t>
            </w:r>
          </w:p>
        </w:tc>
      </w:tr>
      <w:tr>
        <w:tc>
          <w:tcPr>
            <w:tcW w:type="dxa" w:w="432"/>
          </w:tcPr>
          <w:p>
            <w:pPr>
              <w:spacing w:after="40"/>
            </w:pPr>
            <w:r/>
            <w:r>
              <w:rPr>
                <w:sz w:val="19"/>
              </w:rPr>
              <w:t>2</w:t>
            </w:r>
          </w:p>
        </w:tc>
        <w:tc>
          <w:tcPr>
            <w:tcW w:type="dxa" w:w="2304"/>
          </w:tcPr>
          <w:p>
            <w:pPr>
              <w:spacing w:after="40"/>
            </w:pPr>
            <w:r/>
            <w:r>
              <w:rPr>
                <w:sz w:val="19"/>
              </w:rPr>
              <w:t>Knowledge of incomplete Aethon delivery (3 of 5 batches)</w:t>
            </w:r>
          </w:p>
        </w:tc>
        <w:tc>
          <w:tcPr>
            <w:tcW w:type="dxa" w:w="1296"/>
          </w:tcPr>
          <w:p>
            <w:pPr>
              <w:spacing w:after="40"/>
            </w:pPr>
            <w:r/>
            <w:r>
              <w:rPr>
                <w:sz w:val="19"/>
              </w:rPr>
              <w:t>CRITICAL</w:t>
            </w:r>
          </w:p>
        </w:tc>
        <w:tc>
          <w:tcPr>
            <w:tcW w:type="dxa" w:w="5328"/>
          </w:tcPr>
          <w:p>
            <w:pPr>
              <w:spacing w:after="40"/>
            </w:pPr>
            <w:r/>
            <w:r>
              <w:rPr>
                <w:sz w:val="19"/>
              </w:rPr>
              <w:t>AC: first learned Oct. 2023; told by team all five delivered; no emails. SEC: received Liang email but did not focus; yet personally told Muñoz “3 of 5” in Sept. 2022. Proffer: aware of Liang email when signing SOX certifications.</w:t>
            </w:r>
          </w:p>
        </w:tc>
      </w:tr>
      <w:tr>
        <w:tc>
          <w:tcPr>
            <w:tcW w:type="dxa" w:w="432"/>
          </w:tcPr>
          <w:p>
            <w:pPr>
              <w:spacing w:after="40"/>
            </w:pPr>
            <w:r/>
            <w:r>
              <w:rPr>
                <w:sz w:val="19"/>
              </w:rPr>
              <w:t>3</w:t>
            </w:r>
          </w:p>
        </w:tc>
        <w:tc>
          <w:tcPr>
            <w:tcW w:type="dxa" w:w="2304"/>
          </w:tcPr>
          <w:p>
            <w:pPr>
              <w:spacing w:after="40"/>
            </w:pPr>
            <w:r/>
            <w:r>
              <w:rPr>
                <w:sz w:val="19"/>
              </w:rPr>
              <w:t>The “discuss offline” conversation with Liang</w:t>
            </w:r>
          </w:p>
        </w:tc>
        <w:tc>
          <w:tcPr>
            <w:tcW w:type="dxa" w:w="1296"/>
          </w:tcPr>
          <w:p>
            <w:pPr>
              <w:spacing w:after="40"/>
            </w:pPr>
            <w:r/>
            <w:r>
              <w:rPr>
                <w:sz w:val="19"/>
              </w:rPr>
              <w:t>CRITICAL</w:t>
            </w:r>
          </w:p>
        </w:tc>
        <w:tc>
          <w:tcPr>
            <w:tcW w:type="dxa" w:w="5328"/>
          </w:tcPr>
          <w:p>
            <w:pPr>
              <w:spacing w:after="40"/>
            </w:pPr>
            <w:r/>
            <w:r>
              <w:rPr>
                <w:sz w:val="19"/>
              </w:rPr>
              <w:t>SEC (sworn): conversation did not happen, “fell through the cracks.” Proffer: it happened and Liang agreed. KDC-003 shows a planned in-person meeting. Liang is the arbiter.</w:t>
            </w:r>
          </w:p>
        </w:tc>
      </w:tr>
      <w:tr>
        <w:tc>
          <w:tcPr>
            <w:tcW w:type="dxa" w:w="432"/>
          </w:tcPr>
          <w:p>
            <w:pPr>
              <w:spacing w:after="40"/>
            </w:pPr>
            <w:r/>
            <w:r>
              <w:rPr>
                <w:sz w:val="19"/>
              </w:rPr>
              <w:t>4</w:t>
            </w:r>
          </w:p>
        </w:tc>
        <w:tc>
          <w:tcPr>
            <w:tcW w:type="dxa" w:w="2304"/>
          </w:tcPr>
          <w:p>
            <w:pPr>
              <w:spacing w:after="40"/>
            </w:pPr>
            <w:r/>
            <w:r>
              <w:rPr>
                <w:sz w:val="19"/>
              </w:rPr>
              <w:t>SOX certifications (FY2021 and FY2022) and knowledge at signing</w:t>
            </w:r>
          </w:p>
        </w:tc>
        <w:tc>
          <w:tcPr>
            <w:tcW w:type="dxa" w:w="1296"/>
          </w:tcPr>
          <w:p>
            <w:pPr>
              <w:spacing w:after="40"/>
            </w:pPr>
            <w:r/>
            <w:r>
              <w:rPr>
                <w:sz w:val="19"/>
              </w:rPr>
              <w:t>CRITICAL (cumulative)</w:t>
            </w:r>
          </w:p>
        </w:tc>
        <w:tc>
          <w:tcPr>
            <w:tcW w:type="dxa" w:w="5328"/>
          </w:tcPr>
          <w:p>
            <w:pPr>
              <w:spacing w:after="40"/>
            </w:pPr>
            <w:r/>
            <w:r>
              <w:rPr>
                <w:sz w:val="19"/>
              </w:rPr>
              <w:t>Proffer admits awareness of the Liang email at signing; KDC-001 shows he signed a memo relying on a “preliminary” report; DMC confirmation (Feb. 7, 2022) preceded the FY2021 10-K (Mar. 16, 2022). Supports 18 U.S.C. § 1350 and Rule 13a-14 theories.</w:t>
            </w:r>
          </w:p>
        </w:tc>
      </w:tr>
      <w:tr>
        <w:tc>
          <w:tcPr>
            <w:tcW w:type="dxa" w:w="432"/>
          </w:tcPr>
          <w:p>
            <w:pPr>
              <w:spacing w:after="40"/>
            </w:pPr>
            <w:r/>
            <w:r>
              <w:rPr>
                <w:sz w:val="19"/>
              </w:rPr>
              <w:t>5</w:t>
            </w:r>
          </w:p>
        </w:tc>
        <w:tc>
          <w:tcPr>
            <w:tcW w:type="dxa" w:w="2304"/>
          </w:tcPr>
          <w:p>
            <w:pPr>
              <w:spacing w:after="40"/>
            </w:pPr>
            <w:r/>
            <w:r>
              <w:rPr>
                <w:sz w:val="19"/>
              </w:rPr>
              <w:t>Personal consultation with auditor Muñoz</w:t>
            </w:r>
          </w:p>
        </w:tc>
        <w:tc>
          <w:tcPr>
            <w:tcW w:type="dxa" w:w="1296"/>
          </w:tcPr>
          <w:p>
            <w:pPr>
              <w:spacing w:after="40"/>
            </w:pPr>
            <w:r/>
            <w:r>
              <w:rPr>
                <w:sz w:val="19"/>
              </w:rPr>
              <w:t>HIGH</w:t>
            </w:r>
          </w:p>
        </w:tc>
        <w:tc>
          <w:tcPr>
            <w:tcW w:type="dxa" w:w="5328"/>
          </w:tcPr>
          <w:p>
            <w:pPr>
              <w:spacing w:after="40"/>
            </w:pPr>
            <w:r/>
            <w:r>
              <w:rPr>
                <w:sz w:val="19"/>
              </w:rPr>
              <w:t>AC: “consulted extensively,” auditors “signed off on all treatments.” SEC: confident he personally told Muñoz. Proffer: not certain he personally raised it. No documentation anywhere. Reliance-on-auditor defense impaired.</w:t>
            </w:r>
          </w:p>
        </w:tc>
      </w:tr>
      <w:tr>
        <w:tc>
          <w:tcPr>
            <w:tcW w:type="dxa" w:w="432"/>
          </w:tcPr>
          <w:p>
            <w:pPr>
              <w:spacing w:after="40"/>
            </w:pPr>
            <w:r/>
            <w:r>
              <w:rPr>
                <w:sz w:val="19"/>
              </w:rPr>
              <w:t>6</w:t>
            </w:r>
          </w:p>
        </w:tc>
        <w:tc>
          <w:tcPr>
            <w:tcW w:type="dxa" w:w="2304"/>
          </w:tcPr>
          <w:p>
            <w:pPr>
              <w:spacing w:after="40"/>
            </w:pPr>
            <w:r/>
            <w:r>
              <w:rPr>
                <w:sz w:val="19"/>
              </w:rPr>
              <w:t>“Guidance number” motive email</w:t>
            </w:r>
          </w:p>
        </w:tc>
        <w:tc>
          <w:tcPr>
            <w:tcW w:type="dxa" w:w="1296"/>
          </w:tcPr>
          <w:p>
            <w:pPr>
              <w:spacing w:after="40"/>
            </w:pPr>
            <w:r/>
            <w:r>
              <w:rPr>
                <w:sz w:val="19"/>
              </w:rPr>
              <w:t>HIGH</w:t>
            </w:r>
          </w:p>
        </w:tc>
        <w:tc>
          <w:tcPr>
            <w:tcW w:type="dxa" w:w="5328"/>
          </w:tcPr>
          <w:p>
            <w:pPr>
              <w:spacing w:after="40"/>
            </w:pPr>
            <w:r/>
            <w:r>
              <w:rPr>
                <w:sz w:val="19"/>
              </w:rPr>
              <w:t>SEC: “casual observation,” could not recall numbers, “guidance is a range.” Proffer: unprompted denial of any connection. KDC-004 Email 1: Dr. Halpern himself computed the exact $8M gap that morning.</w:t>
            </w:r>
          </w:p>
        </w:tc>
      </w:tr>
      <w:tr>
        <w:tc>
          <w:tcPr>
            <w:tcW w:type="dxa" w:w="432"/>
          </w:tcPr>
          <w:p>
            <w:pPr>
              <w:spacing w:after="40"/>
            </w:pPr>
            <w:r/>
            <w:r>
              <w:rPr>
                <w:sz w:val="19"/>
              </w:rPr>
              <w:t>7</w:t>
            </w:r>
          </w:p>
        </w:tc>
        <w:tc>
          <w:tcPr>
            <w:tcW w:type="dxa" w:w="2304"/>
          </w:tcPr>
          <w:p>
            <w:pPr>
              <w:spacing w:after="40"/>
            </w:pPr>
            <w:r/>
            <w:r>
              <w:rPr>
                <w:sz w:val="19"/>
              </w:rPr>
              <w:t>Contract notice requirement; nature of Aethon’s October emails; alleged Q2 2023 exercise</w:t>
            </w:r>
          </w:p>
        </w:tc>
        <w:tc>
          <w:tcPr>
            <w:tcW w:type="dxa" w:w="1296"/>
          </w:tcPr>
          <w:p>
            <w:pPr>
              <w:spacing w:after="40"/>
            </w:pPr>
            <w:r/>
            <w:r>
              <w:rPr>
                <w:sz w:val="19"/>
              </w:rPr>
              <w:t>HIGH</w:t>
            </w:r>
          </w:p>
        </w:tc>
        <w:tc>
          <w:tcPr>
            <w:tcW w:type="dxa" w:w="5328"/>
          </w:tcPr>
          <w:p>
            <w:pPr>
              <w:spacing w:after="40"/>
            </w:pPr>
            <w:r/>
            <w:r>
              <w:rPr>
                <w:sz w:val="19"/>
              </w:rPr>
              <w:t>AC: contract “didn’t require a specific form of notice.” His own Nov. 14 email quotes a “written notice” requirement; Complaint quotes § 8.3 (“only by written notice”). SEC: Aethon formally exercised in Q2 2023; Complaint: never exercised. Four different descriptions of the October emails.</w:t>
            </w:r>
          </w:p>
        </w:tc>
      </w:tr>
      <w:tr>
        <w:tc>
          <w:tcPr>
            <w:tcW w:type="dxa" w:w="432"/>
          </w:tcPr>
          <w:p>
            <w:pPr>
              <w:spacing w:after="40"/>
            </w:pPr>
            <w:r/>
            <w:r>
              <w:rPr>
                <w:sz w:val="19"/>
              </w:rPr>
              <w:t>8</w:t>
            </w:r>
          </w:p>
        </w:tc>
        <w:tc>
          <w:tcPr>
            <w:tcW w:type="dxa" w:w="2304"/>
          </w:tcPr>
          <w:p>
            <w:pPr>
              <w:spacing w:after="40"/>
            </w:pPr>
            <w:r/>
            <w:r>
              <w:rPr>
                <w:sz w:val="19"/>
              </w:rPr>
              <w:t>Meridian milestone: date, source, and “preliminary” report</w:t>
            </w:r>
          </w:p>
        </w:tc>
        <w:tc>
          <w:tcPr>
            <w:tcW w:type="dxa" w:w="1296"/>
          </w:tcPr>
          <w:p>
            <w:pPr>
              <w:spacing w:after="40"/>
            </w:pPr>
            <w:r/>
            <w:r>
              <w:rPr>
                <w:sz w:val="19"/>
              </w:rPr>
              <w:t>HIGH</w:t>
            </w:r>
          </w:p>
        </w:tc>
        <w:tc>
          <w:tcPr>
            <w:tcW w:type="dxa" w:w="5328"/>
          </w:tcPr>
          <w:p>
            <w:pPr>
              <w:spacing w:after="40"/>
            </w:pPr>
            <w:r/>
            <w:r>
              <w:rPr>
                <w:sz w:val="19"/>
              </w:rPr>
              <w:t>Date moved: late Nov. (AC) → Dec. 14-15 (SEC) → ~Dec. 20 (Proffer). Source moved: Simmons → Liang/Yoon → Meridian clinical team. Signed memo says “preliminary.”</w:t>
            </w:r>
          </w:p>
        </w:tc>
      </w:tr>
      <w:tr>
        <w:tc>
          <w:tcPr>
            <w:tcW w:type="dxa" w:w="432"/>
          </w:tcPr>
          <w:p>
            <w:pPr>
              <w:spacing w:after="40"/>
            </w:pPr>
            <w:r/>
            <w:r>
              <w:rPr>
                <w:sz w:val="19"/>
              </w:rPr>
              <w:t>9</w:t>
            </w:r>
          </w:p>
        </w:tc>
        <w:tc>
          <w:tcPr>
            <w:tcW w:type="dxa" w:w="2304"/>
          </w:tcPr>
          <w:p>
            <w:pPr>
              <w:spacing w:after="40"/>
            </w:pPr>
            <w:r/>
            <w:r>
              <w:rPr>
                <w:sz w:val="19"/>
              </w:rPr>
              <w:t>Management style; depth of memo review</w:t>
            </w:r>
          </w:p>
        </w:tc>
        <w:tc>
          <w:tcPr>
            <w:tcW w:type="dxa" w:w="1296"/>
          </w:tcPr>
          <w:p>
            <w:pPr>
              <w:spacing w:after="40"/>
            </w:pPr>
            <w:r/>
            <w:r>
              <w:rPr>
                <w:sz w:val="19"/>
              </w:rPr>
              <w:t>HIGH</w:t>
            </w:r>
          </w:p>
        </w:tc>
        <w:tc>
          <w:tcPr>
            <w:tcW w:type="dxa" w:w="5328"/>
          </w:tcPr>
          <w:p>
            <w:pPr>
              <w:spacing w:after="40"/>
            </w:pPr>
            <w:r/>
            <w:r>
              <w:rPr>
                <w:sz w:val="19"/>
              </w:rPr>
              <w:t>AC: hands-on, read every memo carefully, “buck stopped with me.” SEC: “big picture CFO,” signature reflected reliance. Proffer: middle position. KDC-003/004 show him directing the analysis.</w:t>
            </w:r>
          </w:p>
        </w:tc>
      </w:tr>
      <w:tr>
        <w:tc>
          <w:tcPr>
            <w:tcW w:type="dxa" w:w="432"/>
          </w:tcPr>
          <w:p>
            <w:pPr>
              <w:spacing w:after="40"/>
            </w:pPr>
            <w:r/>
            <w:r>
              <w:rPr>
                <w:sz w:val="19"/>
              </w:rPr>
              <w:t>10</w:t>
            </w:r>
          </w:p>
        </w:tc>
        <w:tc>
          <w:tcPr>
            <w:tcW w:type="dxa" w:w="2304"/>
          </w:tcPr>
          <w:p>
            <w:pPr>
              <w:spacing w:after="40"/>
            </w:pPr>
            <w:r/>
            <w:r>
              <w:rPr>
                <w:sz w:val="19"/>
              </w:rPr>
              <w:t>Resignation reasons; knowledge of SEC complaint</w:t>
            </w:r>
          </w:p>
        </w:tc>
        <w:tc>
          <w:tcPr>
            <w:tcW w:type="dxa" w:w="1296"/>
          </w:tcPr>
          <w:p>
            <w:pPr>
              <w:spacing w:after="40"/>
            </w:pPr>
            <w:r/>
            <w:r>
              <w:rPr>
                <w:sz w:val="19"/>
              </w:rPr>
              <w:t>HIGH</w:t>
            </w:r>
          </w:p>
        </w:tc>
        <w:tc>
          <w:tcPr>
            <w:tcW w:type="dxa" w:w="5328"/>
          </w:tcPr>
          <w:p>
            <w:pPr>
              <w:spacing w:after="40"/>
            </w:pPr>
            <w:r/>
            <w:r>
              <w:rPr>
                <w:sz w:val="19"/>
              </w:rPr>
              <w:t>Letter/AC/SEC: personal and family reasons. Proffer: strategic disputes with Petrova. AC: vague about who told him of an inquiry; SEC/Proffer: Falcone, early August 2023. Complaint ¶ 71: complaint concerned revenue recognition.</w:t>
            </w:r>
          </w:p>
        </w:tc>
      </w:tr>
      <w:tr>
        <w:tc>
          <w:tcPr>
            <w:tcW w:type="dxa" w:w="432"/>
          </w:tcPr>
          <w:p>
            <w:pPr>
              <w:spacing w:after="40"/>
            </w:pPr>
            <w:r/>
            <w:r>
              <w:rPr>
                <w:sz w:val="19"/>
              </w:rPr>
              <w:t>11</w:t>
            </w:r>
          </w:p>
        </w:tc>
        <w:tc>
          <w:tcPr>
            <w:tcW w:type="dxa" w:w="2304"/>
          </w:tcPr>
          <w:p>
            <w:pPr>
              <w:spacing w:after="40"/>
            </w:pPr>
            <w:r/>
            <w:r>
              <w:rPr>
                <w:sz w:val="19"/>
              </w:rPr>
              <w:t>Disclosure to Audit Committee</w:t>
            </w:r>
          </w:p>
        </w:tc>
        <w:tc>
          <w:tcPr>
            <w:tcW w:type="dxa" w:w="1296"/>
          </w:tcPr>
          <w:p>
            <w:pPr>
              <w:spacing w:after="40"/>
            </w:pPr>
            <w:r/>
            <w:r>
              <w:rPr>
                <w:sz w:val="19"/>
              </w:rPr>
              <w:t>MEDIUM-HIGH</w:t>
            </w:r>
          </w:p>
        </w:tc>
        <w:tc>
          <w:tcPr>
            <w:tcW w:type="dxa" w:w="5328"/>
          </w:tcPr>
          <w:p>
            <w:pPr>
              <w:spacing w:after="40"/>
            </w:pPr>
            <w:r/>
            <w:r>
              <w:rPr>
                <w:sz w:val="19"/>
              </w:rPr>
              <w:t>AC: kept Committee “fully informed of all significant accounting judgments.” SEC/Proffer: may not have highlighted delivery status or absence of exercise notice. KDC-005: did not tell Committee or auditors of Falcone’s concern.</w:t>
            </w:r>
          </w:p>
        </w:tc>
      </w:tr>
      <w:tr>
        <w:tc>
          <w:tcPr>
            <w:tcW w:type="dxa" w:w="432"/>
          </w:tcPr>
          <w:p>
            <w:pPr>
              <w:spacing w:after="40"/>
            </w:pPr>
            <w:r/>
            <w:r>
              <w:rPr>
                <w:sz w:val="19"/>
              </w:rPr>
              <w:t>12</w:t>
            </w:r>
          </w:p>
        </w:tc>
        <w:tc>
          <w:tcPr>
            <w:tcW w:type="dxa" w:w="2304"/>
          </w:tcPr>
          <w:p>
            <w:pPr>
              <w:spacing w:after="40"/>
            </w:pPr>
            <w:r/>
            <w:r>
              <w:rPr>
                <w:sz w:val="19"/>
              </w:rPr>
              <w:t>Document retention, “my files,” phone replacement, text recovery</w:t>
            </w:r>
          </w:p>
        </w:tc>
        <w:tc>
          <w:tcPr>
            <w:tcW w:type="dxa" w:w="1296"/>
          </w:tcPr>
          <w:p>
            <w:pPr>
              <w:spacing w:after="40"/>
            </w:pPr>
            <w:r/>
            <w:r>
              <w:rPr>
                <w:sz w:val="19"/>
              </w:rPr>
              <w:t>HIGH (obstruction risk)</w:t>
            </w:r>
          </w:p>
        </w:tc>
        <w:tc>
          <w:tcPr>
            <w:tcW w:type="dxa" w:w="5328"/>
          </w:tcPr>
          <w:p>
            <w:pPr>
              <w:spacing w:after="40"/>
            </w:pPr>
            <w:r/>
            <w:r>
              <w:rPr>
                <w:sz w:val="19"/>
              </w:rPr>
              <w:t>AC: “I reviewed my files.” SEC: retained no documents. KDC-005: personal phone replaced early 2023, no backup, yet he recalled the text by reviewing “old phone records” (KDC-005) or “my text messages” (Proffer Mem.).</w:t>
            </w:r>
          </w:p>
        </w:tc>
      </w:tr>
      <w:tr>
        <w:tc>
          <w:tcPr>
            <w:tcW w:type="dxa" w:w="432"/>
          </w:tcPr>
          <w:p>
            <w:pPr>
              <w:spacing w:after="40"/>
            </w:pPr>
            <w:r/>
            <w:r>
              <w:rPr>
                <w:sz w:val="19"/>
              </w:rPr>
              <w:t>13</w:t>
            </w:r>
          </w:p>
        </w:tc>
        <w:tc>
          <w:tcPr>
            <w:tcW w:type="dxa" w:w="2304"/>
          </w:tcPr>
          <w:p>
            <w:pPr>
              <w:spacing w:after="40"/>
            </w:pPr>
            <w:r/>
            <w:r>
              <w:rPr>
                <w:sz w:val="19"/>
              </w:rPr>
              <w:t>Whether Yoon or Liang raised concerns</w:t>
            </w:r>
          </w:p>
        </w:tc>
        <w:tc>
          <w:tcPr>
            <w:tcW w:type="dxa" w:w="1296"/>
          </w:tcPr>
          <w:p>
            <w:pPr>
              <w:spacing w:after="40"/>
            </w:pPr>
            <w:r/>
            <w:r>
              <w:rPr>
                <w:sz w:val="19"/>
              </w:rPr>
              <w:t>MEDIUM</w:t>
            </w:r>
          </w:p>
        </w:tc>
        <w:tc>
          <w:tcPr>
            <w:tcW w:type="dxa" w:w="5328"/>
          </w:tcPr>
          <w:p>
            <w:pPr>
              <w:spacing w:after="40"/>
            </w:pPr>
            <w:r/>
            <w:r>
              <w:rPr>
                <w:sz w:val="19"/>
              </w:rPr>
              <w:t>All sessions: “not that I recall” for Yoon; Liang email itself raises concern. Yoon reportedly the whistleblower (unconfirmed).</w:t>
            </w:r>
          </w:p>
        </w:tc>
      </w:tr>
      <w:tr>
        <w:tc>
          <w:tcPr>
            <w:tcW w:type="dxa" w:w="432"/>
          </w:tcPr>
          <w:p>
            <w:pPr>
              <w:spacing w:after="40"/>
            </w:pPr>
            <w:r/>
            <w:r>
              <w:rPr>
                <w:sz w:val="19"/>
              </w:rPr>
              <w:t>14</w:t>
            </w:r>
          </w:p>
        </w:tc>
        <w:tc>
          <w:tcPr>
            <w:tcW w:type="dxa" w:w="2304"/>
          </w:tcPr>
          <w:p>
            <w:pPr>
              <w:spacing w:after="40"/>
            </w:pPr>
            <w:r/>
            <w:r>
              <w:rPr>
                <w:sz w:val="19"/>
              </w:rPr>
              <w:t>Technical ASC 606 assertions</w:t>
            </w:r>
          </w:p>
        </w:tc>
        <w:tc>
          <w:tcPr>
            <w:tcW w:type="dxa" w:w="1296"/>
          </w:tcPr>
          <w:p>
            <w:pPr>
              <w:spacing w:after="40"/>
            </w:pPr>
            <w:r/>
            <w:r>
              <w:rPr>
                <w:sz w:val="19"/>
              </w:rPr>
              <w:t>MEDIUM</w:t>
            </w:r>
          </w:p>
        </w:tc>
        <w:tc>
          <w:tcPr>
            <w:tcW w:type="dxa" w:w="5328"/>
          </w:tcPr>
          <w:p>
            <w:pPr>
              <w:spacing w:after="40"/>
            </w:pPr>
            <w:r/>
            <w:r>
              <w:rPr>
                <w:sz w:val="19"/>
              </w:rPr>
              <w:t>“Substantially satisfied” standard; “ministerial” batches; “contract modification” vs. “distinct performance obligation.” Expert impeachment plus CPA-expertise scienter argument.</w:t>
            </w:r>
          </w:p>
        </w:tc>
      </w:tr>
      <w:tr>
        <w:tc>
          <w:tcPr>
            <w:tcW w:type="dxa" w:w="432"/>
          </w:tcPr>
          <w:p>
            <w:pPr>
              <w:spacing w:after="40"/>
            </w:pPr>
            <w:r/>
            <w:r>
              <w:rPr>
                <w:sz w:val="19"/>
              </w:rPr>
              <w:t>15</w:t>
            </w:r>
          </w:p>
        </w:tc>
        <w:tc>
          <w:tcPr>
            <w:tcW w:type="dxa" w:w="2304"/>
          </w:tcPr>
          <w:p>
            <w:pPr>
              <w:spacing w:after="40"/>
            </w:pPr>
            <w:r/>
            <w:r>
              <w:rPr>
                <w:sz w:val="19"/>
              </w:rPr>
              <w:t>Biographical and peripheral facts</w:t>
            </w:r>
          </w:p>
        </w:tc>
        <w:tc>
          <w:tcPr>
            <w:tcW w:type="dxa" w:w="1296"/>
          </w:tcPr>
          <w:p>
            <w:pPr>
              <w:spacing w:after="40"/>
            </w:pPr>
            <w:r/>
            <w:r>
              <w:rPr>
                <w:sz w:val="19"/>
              </w:rPr>
              <w:t>LOW (cumulative)</w:t>
            </w:r>
          </w:p>
        </w:tc>
        <w:tc>
          <w:tcPr>
            <w:tcW w:type="dxa" w:w="5328"/>
          </w:tcPr>
          <w:p>
            <w:pPr>
              <w:spacing w:after="40"/>
            </w:pPr>
            <w:r/>
            <w:r>
              <w:rPr>
                <w:sz w:val="19"/>
              </w:rPr>
              <w:t>Middle name (Alan vs. Jonathan); Praxon scope ($200M business unit vs. $600M company); reporting lines; “Dr.” honorific; bonus metrics; who participated in constructive-exercise decision.</w:t>
            </w:r>
          </w:p>
        </w:tc>
      </w:tr>
    </w:tbl>
    <w:p>
      <w:pPr>
        <w:spacing w:after="40"/>
      </w:pPr>
    </w:p>
    <w:p>
      <w:pPr>
        <w:pStyle w:val="Heading1"/>
      </w:pPr>
      <w:r>
        <w:t>II. SOURCES, CITATION CONVENTIONS, AND RELIABILITY OF THE RECORD</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F2A44"/>
          </w:tcPr>
          <w:p>
            <w:r/>
            <w:r>
              <w:rPr>
                <w:b/>
                <w:color w:val="FFFFFF"/>
                <w:sz w:val="19"/>
              </w:rPr>
              <w:t>Source (cite form)</w:t>
            </w:r>
          </w:p>
        </w:tc>
        <w:tc>
          <w:tcPr>
            <w:tcW w:type="dxa" w:w="3744"/>
            <w:shd w:val="clear" w:color="auto" w:fill="1F2A44"/>
          </w:tcPr>
          <w:p>
            <w:r/>
            <w:r>
              <w:rPr>
                <w:b/>
                <w:color w:val="FFFFFF"/>
                <w:sz w:val="19"/>
              </w:rPr>
              <w:t>Nature and evidentiary weight</w:t>
            </w:r>
          </w:p>
        </w:tc>
        <w:tc>
          <w:tcPr>
            <w:tcW w:type="dxa" w:w="3456"/>
            <w:shd w:val="clear" w:color="auto" w:fill="1F2A44"/>
          </w:tcPr>
          <w:p>
            <w:r/>
            <w:r>
              <w:rPr>
                <w:b/>
                <w:color w:val="FFFFFF"/>
                <w:sz w:val="19"/>
              </w:rPr>
              <w:t>Reliability caveats</w:t>
            </w:r>
          </w:p>
        </w:tc>
      </w:tr>
      <w:tr>
        <w:tc>
          <w:tcPr>
            <w:tcW w:type="dxa" w:w="2160"/>
          </w:tcPr>
          <w:p>
            <w:pPr>
              <w:spacing w:after="40"/>
            </w:pPr>
            <w:r/>
            <w:r>
              <w:rPr>
                <w:sz w:val="19"/>
              </w:rPr>
              <w:t>Audit Committee interview, Nov. 2, 2023 (“AC Tr. § __”)</w:t>
            </w:r>
          </w:p>
        </w:tc>
        <w:tc>
          <w:tcPr>
            <w:tcW w:type="dxa" w:w="3744"/>
          </w:tcPr>
          <w:p>
            <w:pPr>
              <w:spacing w:after="40"/>
            </w:pPr>
            <w:r/>
            <w:r>
              <w:rPr>
                <w:sz w:val="19"/>
              </w:rPr>
              <w:t>Voluntary interview by Harwick Alderman LLP (T. Harwick); counsel L. Pendleton present; reported stenographically by a CSR; Upjohn warning given; privilege belongs to the Audit Committee, which may waive and share with regulators without notice (AC Tr. § 1.2). Not under oath.</w:t>
            </w:r>
          </w:p>
        </w:tc>
        <w:tc>
          <w:tcPr>
            <w:tcW w:type="dxa" w:w="3456"/>
          </w:tcPr>
          <w:p>
            <w:pPr>
              <w:spacing w:after="40"/>
            </w:pPr>
            <w:r/>
            <w:r>
              <w:rPr>
                <w:sz w:val="19"/>
              </w:rPr>
              <w:t>Verbatim transcript, not notes; the August 9 memo’s reference to “interview notes” understates its weight. Dr. Halpern was not shown KDC-002, -003, or -004 (KDC Index). Ms. Pendleton reserved the right to supplement (AC Tr. §§ 3.4, 9.2); no supplement was ever made.</w:t>
            </w:r>
          </w:p>
        </w:tc>
      </w:tr>
      <w:tr>
        <w:tc>
          <w:tcPr>
            <w:tcW w:type="dxa" w:w="2160"/>
          </w:tcPr>
          <w:p>
            <w:pPr>
              <w:spacing w:after="40"/>
            </w:pPr>
            <w:r/>
            <w:r>
              <w:rPr>
                <w:sz w:val="19"/>
              </w:rPr>
              <w:t>SEC deposition, Apr. 16, 2024 (“SEC Dep. § __”)</w:t>
            </w:r>
          </w:p>
        </w:tc>
        <w:tc>
          <w:tcPr>
            <w:tcW w:type="dxa" w:w="3744"/>
          </w:tcPr>
          <w:p>
            <w:pPr>
              <w:spacing w:after="40"/>
            </w:pPr>
            <w:r/>
            <w:r>
              <w:rPr>
                <w:sz w:val="19"/>
              </w:rPr>
              <w:t>Sworn testimony in a pending federal civil action in which Dr. Halpern is a named defendant (Compl. caption). Admissible against him as a party admission and, being under oath in a proceeding, satisfies Fed. R. Evid. 801(d)(1)(A) as well. Falsity exposure under 18 U.S.C. §§ 1621 and 1623.</w:t>
            </w:r>
          </w:p>
        </w:tc>
        <w:tc>
          <w:tcPr>
            <w:tcW w:type="dxa" w:w="3456"/>
          </w:tcPr>
          <w:p>
            <w:pPr>
              <w:spacing w:after="40"/>
            </w:pPr>
            <w:r/>
            <w:r>
              <w:rPr>
                <w:sz w:val="19"/>
              </w:rPr>
              <w:t>Our copy lacks page/line numbering; cites are to section headings. Witness certificate and errata are unsigned; “no corrections have been submitted.” The Rule 30(e) window has almost certainly closed. Deposition exhibit numbers (Exs. 1-11) do not match the KDC Index (Exs. 7, 12, 15; pp. 147-234) — see Part V.</w:t>
            </w:r>
          </w:p>
        </w:tc>
      </w:tr>
      <w:tr>
        <w:tc>
          <w:tcPr>
            <w:tcW w:type="dxa" w:w="2160"/>
          </w:tcPr>
          <w:p>
            <w:pPr>
              <w:spacing w:after="40"/>
            </w:pPr>
            <w:r/>
            <w:r>
              <w:rPr>
                <w:sz w:val="19"/>
              </w:rPr>
              <w:t>DOJ proffer, Aug. 7, 2024 (“Proffer Mem. § __”; “KDC-005”)</w:t>
            </w:r>
          </w:p>
        </w:tc>
        <w:tc>
          <w:tcPr>
            <w:tcW w:type="dxa" w:w="3744"/>
          </w:tcPr>
          <w:p>
            <w:pPr>
              <w:spacing w:after="40"/>
            </w:pPr>
            <w:r/>
            <w:r>
              <w:rPr>
                <w:sz w:val="19"/>
              </w:rPr>
              <w:t>Unsworn statements under a Mezzanatto-waiver proffer agreement; § 1001 admonition given (Proffer Mem. § II.D). Two FBI agents present, who will have prepared FD-302s.</w:t>
            </w:r>
          </w:p>
        </w:tc>
        <w:tc>
          <w:tcPr>
            <w:tcW w:type="dxa" w:w="3456"/>
          </w:tcPr>
          <w:p>
            <w:pPr>
              <w:spacing w:after="40"/>
            </w:pPr>
            <w:r/>
            <w:r>
              <w:rPr>
                <w:sz w:val="19"/>
              </w:rPr>
              <w:t>Not recorded; our only record is D. Kovacs’s handwritten notes as summarized in two documents that differ on material points (KDC-005 vs. Proffer Mem. § V.C) and on the location of the session. The Proffer Memo also misquotes portions of the prior record (Part V).</w:t>
            </w:r>
          </w:p>
        </w:tc>
      </w:tr>
      <w:tr>
        <w:tc>
          <w:tcPr>
            <w:tcW w:type="dxa" w:w="2160"/>
          </w:tcPr>
          <w:p>
            <w:pPr>
              <w:spacing w:after="40"/>
            </w:pPr>
            <w:r/>
            <w:r>
              <w:rPr>
                <w:sz w:val="19"/>
              </w:rPr>
              <w:t>Key Document Compilation (“KDC-001” to “KDC-006”)</w:t>
            </w:r>
          </w:p>
        </w:tc>
        <w:tc>
          <w:tcPr>
            <w:tcW w:type="dxa" w:w="3744"/>
          </w:tcPr>
          <w:p>
            <w:pPr>
              <w:spacing w:after="40"/>
            </w:pPr>
            <w:r/>
            <w:r>
              <w:rPr>
                <w:sz w:val="19"/>
              </w:rPr>
              <w:t>Contemporaneous business records: Meridian memo (Dec. 28, 2021); Liang and Halpern emails (Sept. 19 and 22, 2022); Nov. 14, 2022 chain; resignation letter (Sept. 14, 2023). KDC-005 is our work product.</w:t>
            </w:r>
          </w:p>
        </w:tc>
        <w:tc>
          <w:tcPr>
            <w:tcW w:type="dxa" w:w="3456"/>
          </w:tcPr>
          <w:p>
            <w:pPr>
              <w:spacing w:after="40"/>
            </w:pPr>
            <w:r/>
            <w:r>
              <w:rPr>
                <w:sz w:val="19"/>
              </w:rPr>
              <w:t>Several KDC texts differ from the versions of the same emails read into the SEC record and quoted in the Complaint (Part V). Native files with metadata must be obtained before any of these versions is relied on.</w:t>
            </w:r>
          </w:p>
        </w:tc>
      </w:tr>
      <w:tr>
        <w:tc>
          <w:tcPr>
            <w:tcW w:type="dxa" w:w="2160"/>
          </w:tcPr>
          <w:p>
            <w:pPr>
              <w:spacing w:after="40"/>
            </w:pPr>
            <w:r/>
            <w:r>
              <w:rPr>
                <w:sz w:val="19"/>
              </w:rPr>
              <w:t>SEC Complaint, filed Mar. 8, 2024 (“Compl. ¶ __”)</w:t>
            </w:r>
          </w:p>
        </w:tc>
        <w:tc>
          <w:tcPr>
            <w:tcW w:type="dxa" w:w="3744"/>
          </w:tcPr>
          <w:p>
            <w:pPr>
              <w:spacing w:after="40"/>
            </w:pPr>
            <w:r/>
            <w:r>
              <w:rPr>
                <w:sz w:val="19"/>
              </w:rPr>
              <w:t>Pleading; allegations, not evidence, but reveals what the SEC (and through referral, DOJ) knew before the deposition and proffer.</w:t>
            </w:r>
          </w:p>
        </w:tc>
        <w:tc>
          <w:tcPr>
            <w:tcW w:type="dxa" w:w="3456"/>
          </w:tcPr>
          <w:p>
            <w:pPr>
              <w:spacing w:after="40"/>
            </w:pPr>
            <w:r/>
            <w:r>
              <w:rPr>
                <w:sz w:val="19"/>
              </w:rPr>
              <w:t>Excerpt only; prefatory note says 87 paragraphs but excerpt runs to ¶ 92 with renumbered counts — obtain the as-filed complaint.</w:t>
            </w:r>
          </w:p>
        </w:tc>
      </w:tr>
      <w:tr>
        <w:tc>
          <w:tcPr>
            <w:tcW w:type="dxa" w:w="2160"/>
          </w:tcPr>
          <w:p>
            <w:pPr>
              <w:spacing w:after="40"/>
            </w:pPr>
            <w:r/>
            <w:r>
              <w:rPr>
                <w:sz w:val="19"/>
              </w:rPr>
              <w:t>Proffer Agreement, Aug. 7, 2024 (“PA § __”)</w:t>
            </w:r>
          </w:p>
        </w:tc>
        <w:tc>
          <w:tcPr>
            <w:tcW w:type="dxa" w:w="3744"/>
          </w:tcPr>
          <w:p>
            <w:pPr>
              <w:spacing w:after="40"/>
            </w:pPr>
            <w:r/>
            <w:r>
              <w:rPr>
                <w:sz w:val="19"/>
              </w:rPr>
              <w:t>Governs use of proffer statements.</w:t>
            </w:r>
          </w:p>
        </w:tc>
        <w:tc>
          <w:tcPr>
            <w:tcW w:type="dxa" w:w="3456"/>
          </w:tcPr>
          <w:p>
            <w:pPr>
              <w:spacing w:after="40"/>
            </w:pPr>
            <w:r/>
            <w:r>
              <w:rPr>
                <w:sz w:val="19"/>
              </w:rPr>
              <w:t>File copy has blank signature lines; obtain the executed version.</w:t>
            </w:r>
          </w:p>
        </w:tc>
      </w:tr>
    </w:tbl>
    <w:p>
      <w:pPr>
        <w:spacing w:after="40"/>
      </w:pPr>
    </w:p>
    <w:p>
      <w:pPr>
        <w:spacing w:after="120"/>
        <w:jc w:val="both"/>
      </w:pPr>
      <w:r>
        <w:rPr>
          <w:b/>
        </w:rPr>
        <w:t>Rating scale.</w:t>
      </w:r>
      <w:r>
        <w:t xml:space="preserve"> CRITICAL: an irreconcilable contradiction on an element (knowledge, intent, good faith, reliance) that is corroborated or refuted by a document or third-party witness, or that creates independent false-statement exposure. HIGH: a material shift on a contested issue that the government can exploit through documents or witnesses. MEDIUM: a shift in emphasis or detail that supports a broader “tailoring” narrative. LOW: peripheral discrepancies that matter mainly cumulatively or for record integrity.</w:t>
      </w:r>
    </w:p>
    <w:p>
      <w:pPr>
        <w:pStyle w:val="Heading1"/>
      </w:pPr>
      <w:r>
        <w:t>III. HOW EACH PRIOR STATEMENT CAN BE USED AGAINST DR. HALPERN</w:t>
      </w:r>
    </w:p>
    <w:p>
      <w:pPr>
        <w:spacing w:after="120"/>
        <w:jc w:val="both"/>
      </w:pPr>
      <w:r>
        <w:t>Before turning to the individual inconsistencies, it is important to be precise about the different legal regimes that govern each source, because the August 9 memo frames the problem mainly as impeachment. The exposure is broader.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val="clear" w:color="auto" w:fill="1F2A44"/>
          </w:tcPr>
          <w:p>
            <w:r/>
            <w:r>
              <w:rPr>
                <w:b/>
                <w:color w:val="FFFFFF"/>
                <w:sz w:val="19"/>
              </w:rPr>
              <w:t>Source</w:t>
            </w:r>
          </w:p>
        </w:tc>
        <w:tc>
          <w:tcPr>
            <w:tcW w:type="dxa" w:w="2736"/>
            <w:shd w:val="clear" w:color="auto" w:fill="1F2A44"/>
          </w:tcPr>
          <w:p>
            <w:r/>
            <w:r>
              <w:rPr>
                <w:b/>
                <w:color w:val="FFFFFF"/>
                <w:sz w:val="19"/>
              </w:rPr>
              <w:t>Government’s case-in-chief</w:t>
            </w:r>
          </w:p>
        </w:tc>
        <w:tc>
          <w:tcPr>
            <w:tcW w:type="dxa" w:w="2304"/>
            <w:shd w:val="clear" w:color="auto" w:fill="1F2A44"/>
          </w:tcPr>
          <w:p>
            <w:r/>
            <w:r>
              <w:rPr>
                <w:b/>
                <w:color w:val="FFFFFF"/>
                <w:sz w:val="19"/>
              </w:rPr>
              <w:t>Impeachment / rebuttal</w:t>
            </w:r>
          </w:p>
        </w:tc>
        <w:tc>
          <w:tcPr>
            <w:tcW w:type="dxa" w:w="2736"/>
            <w:shd w:val="clear" w:color="auto" w:fill="1F2A44"/>
          </w:tcPr>
          <w:p>
            <w:r/>
            <w:r>
              <w:rPr>
                <w:b/>
                <w:color w:val="FFFFFF"/>
                <w:sz w:val="19"/>
              </w:rPr>
              <w:t>Independent charge exposure</w:t>
            </w:r>
          </w:p>
        </w:tc>
      </w:tr>
      <w:tr>
        <w:tc>
          <w:tcPr>
            <w:tcW w:type="dxa" w:w="1584"/>
          </w:tcPr>
          <w:p>
            <w:pPr>
              <w:spacing w:after="40"/>
            </w:pPr>
            <w:r/>
            <w:r>
              <w:rPr>
                <w:sz w:val="19"/>
              </w:rPr>
              <w:t>AC interview</w:t>
            </w:r>
          </w:p>
        </w:tc>
        <w:tc>
          <w:tcPr>
            <w:tcW w:type="dxa" w:w="2736"/>
          </w:tcPr>
          <w:p>
            <w:pPr>
              <w:spacing w:after="40"/>
            </w:pPr>
            <w:r/>
            <w:r>
              <w:rPr>
                <w:sz w:val="19"/>
              </w:rPr>
              <w:t>Yes, if obtained (Audit Committee may waive and produce). Party admission, Fed. R. Evid. 801(d)(2)(A). Exculpatory statements later shown false are routinely offered as evidence of consciousness of guilt.</w:t>
            </w:r>
          </w:p>
        </w:tc>
        <w:tc>
          <w:tcPr>
            <w:tcW w:type="dxa" w:w="2304"/>
          </w:tcPr>
          <w:p>
            <w:pPr>
              <w:spacing w:after="40"/>
            </w:pPr>
            <w:r/>
            <w:r>
              <w:rPr>
                <w:sz w:val="19"/>
              </w:rPr>
              <w:t>Yes (Fed. R. Evid. 613).</w:t>
            </w:r>
          </w:p>
        </w:tc>
        <w:tc>
          <w:tcPr>
            <w:tcW w:type="dxa" w:w="2736"/>
          </w:tcPr>
          <w:p>
            <w:pPr>
              <w:spacing w:after="40"/>
            </w:pPr>
            <w:r/>
            <w:r>
              <w:rPr>
                <w:sz w:val="19"/>
              </w:rPr>
              <w:t>Not under oath and not made to a federal agency. A § 1001 or obstruction theory (e.g., § 1512(c), § 1505) premised on statements to internal investigators known to be destined for regulators is aggressive but has been pursued in other matters. Assess separately; do not dismiss.</w:t>
            </w:r>
          </w:p>
        </w:tc>
      </w:tr>
      <w:tr>
        <w:tc>
          <w:tcPr>
            <w:tcW w:type="dxa" w:w="1584"/>
          </w:tcPr>
          <w:p>
            <w:pPr>
              <w:spacing w:after="40"/>
            </w:pPr>
            <w:r/>
            <w:r>
              <w:rPr>
                <w:sz w:val="19"/>
              </w:rPr>
              <w:t>SEC deposition</w:t>
            </w:r>
          </w:p>
        </w:tc>
        <w:tc>
          <w:tcPr>
            <w:tcW w:type="dxa" w:w="2736"/>
          </w:tcPr>
          <w:p>
            <w:pPr>
              <w:spacing w:after="40"/>
            </w:pPr>
            <w:r/>
            <w:r>
              <w:rPr>
                <w:sz w:val="19"/>
              </w:rPr>
              <w:t>Yes. Party admission; also 801(d)(1)(A) if he testifies inconsistently.</w:t>
            </w:r>
          </w:p>
        </w:tc>
        <w:tc>
          <w:tcPr>
            <w:tcW w:type="dxa" w:w="2304"/>
          </w:tcPr>
          <w:p>
            <w:pPr>
              <w:spacing w:after="40"/>
            </w:pPr>
            <w:r/>
            <w:r>
              <w:rPr>
                <w:sz w:val="19"/>
              </w:rPr>
              <w:t>Yes.</w:t>
            </w:r>
          </w:p>
        </w:tc>
        <w:tc>
          <w:tcPr>
            <w:tcW w:type="dxa" w:w="2736"/>
          </w:tcPr>
          <w:p>
            <w:pPr>
              <w:spacing w:after="40"/>
            </w:pPr>
            <w:r/>
            <w:r>
              <w:rPr>
                <w:sz w:val="19"/>
              </w:rPr>
              <w:t>Perjury, 18 U.S.C. § 1621; false declarations ancillary to a court proceeding, § 1623 (a deposition in a pending federal civil case qualifies). Recantation safe harbor (§ 1623(d)) is likely unavailable once falsity has been or will be exposed. Possible obstruction of the SEC proceeding.</w:t>
            </w:r>
          </w:p>
        </w:tc>
      </w:tr>
      <w:tr>
        <w:tc>
          <w:tcPr>
            <w:tcW w:type="dxa" w:w="1584"/>
          </w:tcPr>
          <w:p>
            <w:pPr>
              <w:spacing w:after="40"/>
            </w:pPr>
            <w:r/>
            <w:r>
              <w:rPr>
                <w:sz w:val="19"/>
              </w:rPr>
              <w:t>DOJ proffer</w:t>
            </w:r>
          </w:p>
        </w:tc>
        <w:tc>
          <w:tcPr>
            <w:tcW w:type="dxa" w:w="2736"/>
          </w:tcPr>
          <w:p>
            <w:pPr>
              <w:spacing w:after="40"/>
            </w:pPr>
            <w:r/>
            <w:r>
              <w:rPr>
                <w:sz w:val="19"/>
              </w:rPr>
              <w:t>No, unless the agreement is voided under PA § 7 (government’s sole discretion, subject to judicial review on our motion). Derivative evidence fully usable (PA § 5).</w:t>
            </w:r>
          </w:p>
        </w:tc>
        <w:tc>
          <w:tcPr>
            <w:tcW w:type="dxa" w:w="2304"/>
          </w:tcPr>
          <w:p>
            <w:pPr>
              <w:spacing w:after="40"/>
            </w:pPr>
            <w:r/>
            <w:r>
              <w:rPr>
                <w:sz w:val="19"/>
              </w:rPr>
              <w:t>Yes: impeachment if he testifies inconsistently (PA § 4(a)); rebuttal if any defense evidence, witness, or argument of counsel is inconsistent (PA §§ 4(b)-(c)). FRE 410 / Rule 11(f) waived.</w:t>
            </w:r>
          </w:p>
        </w:tc>
        <w:tc>
          <w:tcPr>
            <w:tcW w:type="dxa" w:w="2736"/>
          </w:tcPr>
          <w:p>
            <w:pPr>
              <w:spacing w:after="40"/>
            </w:pPr>
            <w:r/>
            <w:r>
              <w:rPr>
                <w:sz w:val="19"/>
              </w:rPr>
              <w:t>18 U.S.C. § 1001 (expressly reserved, PA § 7). Use at sentencing for relevant conduct, acceptance of responsibility, and potentially an obstruction adjustment (PA § 6; U.S.S.G. §§ 1B1.3, 3E1.1, 3C1.1).</w:t>
            </w:r>
          </w:p>
        </w:tc>
      </w:tr>
    </w:tbl>
    <w:p>
      <w:pPr>
        <w:spacing w:after="40"/>
      </w:pPr>
    </w:p>
    <w:p>
      <w:pPr>
        <w:pStyle w:val="Heading3"/>
      </w:pPr>
      <w:r>
        <w:t>A. Proffer Agreement terms that drive the exposure</w:t>
      </w:r>
    </w:p>
    <w:p>
      <w:pPr>
        <w:pStyle w:val="ListBullet"/>
        <w:spacing w:after="60"/>
      </w:pPr>
      <w:r>
        <w:rPr>
          <w:b/>
        </w:rPr>
        <w:t>Case-in-chief protection is narrow.</w:t>
      </w:r>
      <w:r>
        <w:t xml:space="preserve"> PA § 3 protects only “the direct use of the Witness’s own oral or written statements … as substantive evidence in the Government’s case-in-chief,” and carves out independently obtained, derivative, and inevitably discovered evidence. Note an internal tension: § 3 refers to information “directly derived” from the statements, while § 4 permits impeachment use of information “directly or indirectly derived.”</w:t>
      </w:r>
    </w:p>
    <w:p>
      <w:pPr>
        <w:pStyle w:val="ListBullet"/>
        <w:spacing w:after="60"/>
      </w:pPr>
      <w:r>
        <w:rPr>
          <w:b/>
        </w:rPr>
        <w:t>Rebuttal trigger reaches counsel’s arguments and defense witnesses.</w:t>
      </w:r>
      <w:r>
        <w:t xml:space="preserve"> PA § 4(b) permits rebuttal use against “any claim, contention, or defense raised by or on behalf of the Witness that is contrary to information provided,” and § 4(c) applies the clause to “arguments of counsel.” The Seventh Circuit (which governs any N.D. Ill. prosecution) has enforced Mezzanatto-type rebuttal waivers of this kind, e.g., United States v. Krilich, 159 F.3d 1020 (7th Cir. 1998); see also United States v. Barrow, 400 F.3d 109 (2d Cir. 2005) (factual assertions in opening and cross can trigger). [Cite-check before external use.] Practical consequence: we cannot argue to a jury that Dr. Halpern did not know of the incomplete delivery, that he relied on Falcone, or that the Liang conversation never happened, without opening the door to the proffer.</w:t>
      </w:r>
    </w:p>
    <w:p>
      <w:pPr>
        <w:pStyle w:val="ListBullet"/>
        <w:spacing w:after="60"/>
      </w:pPr>
      <w:r>
        <w:rPr>
          <w:b/>
        </w:rPr>
        <w:t>Voiding provision.</w:t>
      </w:r>
      <w:r>
        <w:t xml:space="preserve"> If the government concludes any proffer statement was “false, misleading, or materially incomplete,” the agreement is void, the government may use all statements for any purpose, and the waivers survive (PA § 7(a)-(c)). Proffer statements most at risk of being labeled false: (i) Liang “agreed the delivery was substantially complete”; (ii) Falcone “came around” after further discussion; (iii) “We never held anything back” from the auditors; (iv) the territorial recognition had “no connection to financial targets”; (v) the claim that the text “only came back” when reviewing texts in preparation, given the Complaint’s earlier allegation.</w:t>
      </w:r>
    </w:p>
    <w:p>
      <w:pPr>
        <w:pStyle w:val="ListBullet"/>
        <w:spacing w:after="60"/>
      </w:pPr>
      <w:r>
        <w:rPr>
          <w:b/>
        </w:rPr>
        <w:t>SEC is not bound.</w:t>
      </w:r>
      <w:r>
        <w:t xml:space="preserve"> PA § 9 permits DOJ to share proffer information with the SEC, which is not a party. The proffer admissions (awareness of the Liang email at certification; existence of the Falcone text; the offline conversation having occurred) may surface in the civil action, where Dr. Halpern is a defendant and where no Mezzanatto-style limits apply.</w:t>
      </w:r>
    </w:p>
    <w:p>
      <w:pPr>
        <w:pStyle w:val="ListBullet"/>
        <w:spacing w:after="60"/>
      </w:pPr>
      <w:r>
        <w:rPr>
          <w:b/>
        </w:rPr>
        <w:t>Execution circumstances.</w:t>
      </w:r>
      <w:r>
        <w:t xml:space="preserve"> Our memo records that the agreement was presented and reviewed for about fifteen minutes immediately before the session (Proffer Mem. § II.A), while PA § 10(c) recites sufficient time to consult. A knowing-and-voluntary challenge is weak on these facts (experienced counsel present, CPA client), and should not be relied on, but the circumstances should be documented now while memories are fresh.</w:t>
      </w:r>
    </w:p>
    <w:p>
      <w:pPr>
        <w:pStyle w:val="ListBullet"/>
        <w:spacing w:after="60"/>
      </w:pPr>
      <w:r>
        <w:rPr>
          <w:b/>
        </w:rPr>
        <w:t>Identity of the prosecuting office.</w:t>
      </w:r>
      <w:r>
        <w:t xml:space="preserve"> The agreement is in the name of the Criminal Division, Fraud Section, yet identifies Ms. Colwell as an “Assistant United States Attorney” within the Fraud Section; KDC-005 places the session at the U.S. Attorney’s Office (N.D. Ill.), while the Proffer Memo places it at 1400 New York Avenue NW, Washington, D.C. We need to confirm which office(s) the agreement binds and where the session occurred (the location also bears on the accuracy of our notes).</w:t>
      </w:r>
    </w:p>
    <w:p>
      <w:pPr>
        <w:pStyle w:val="Heading3"/>
      </w:pPr>
      <w:r>
        <w:t>B. The refined “testimony trap”</w:t>
      </w:r>
    </w:p>
    <w:p>
      <w:pPr>
        <w:spacing w:after="120"/>
        <w:jc w:val="both"/>
      </w:pPr>
      <w:r>
        <w:t>The August 9 memo correctly observes that Dr. Halpern faces impeachment whichever version he gives at trial. Three refinements matter for strategy. First, the trap is asymmetric: the AC and SEC versions come in substantively regardless of whether he testifies, whereas the proffer version is (for now) limited to impeachment and rebuttal. Second, because the rebuttal clause is triggered by defense arguments, the proffer narrows the available defense theories even if Dr. Halpern stays off the stand. Third, on several topics the proffer version is the one corroborated by documents (e.g., awareness of the Liang email; the planned offline meeting in KDC-003; Falcone’s reservations as pled in the Complaint). On those topics, the earlier sworn version is the greater danger, because it now looks like a false exculpatory statement under oath.</w:t>
      </w:r>
    </w:p>
    <w:p>
      <w:pPr>
        <w:pStyle w:val="Heading1"/>
      </w:pPr>
      <w:r>
        <w:t>IV. ISSUE-BY-ISSUE VULNERABILITY ANALYSIS</w:t>
      </w:r>
    </w:p>
    <w:p>
      <w:pPr>
        <w:spacing w:after="120"/>
        <w:jc w:val="both"/>
      </w:pPr>
      <w:r>
        <w:t>Each issue below sets out what Dr. Halpern said in each session, what the documents and other record show, the nature of the inconsistency, how we expect the government to use it, and the best available response. Quotations are from the transcripts, the documents, or (for the proffer) counsel’s notes as summarized in the Proffer Memo and KDC-005.</w:t>
      </w:r>
    </w:p>
    <w:p>
      <w:pPr>
        <w:pStyle w:val="Heading2"/>
      </w:pPr>
      <w:r>
        <w:t>Issue 1 — Falcone’s Position on Constructive Exercise and the November 2022 Text Message [CRITICAL]</w:t>
      </w:r>
    </w:p>
    <w:tbl>
      <w:tblPr>
        <w:tblStyle w:val="TableGrid"/>
        <w:tblW w:type="auto" w:w="0"/>
        <w:tblLook w:firstColumn="1" w:firstRow="1" w:lastColumn="0" w:lastRow="0" w:noHBand="0" w:noVBand="1" w:val="04A0"/>
      </w:tblPr>
      <w:tblGrid>
        <w:gridCol w:w="4680"/>
        <w:gridCol w:w="4680"/>
      </w:tblGrid>
      <w:tr>
        <w:tc>
          <w:tcPr>
            <w:tcW w:type="dxa" w:w="2088"/>
            <w:shd w:val="clear" w:color="auto" w:fill="E8ECF3"/>
          </w:tcPr>
          <w:p>
            <w:r/>
            <w:r>
              <w:rPr>
                <w:b/>
                <w:sz w:val="19"/>
              </w:rPr>
              <w:t>AC interview</w:t>
            </w:r>
          </w:p>
        </w:tc>
        <w:tc>
          <w:tcPr>
            <w:tcW w:type="dxa" w:w="7272"/>
          </w:tcPr>
          <w:p>
            <w:pPr>
              <w:spacing w:after="40"/>
            </w:pPr>
            <w:r/>
            <w:r>
              <w:rPr>
                <w:sz w:val="19"/>
              </w:rPr>
              <w:t>Falcone was “fully supportive of all the revenue recognition positions we took … There was never any disagreement between Rob and me.” On Aethon, Falcone “analyzed the contract language … and he agreed”; “He provided a written analysis that was incorporated into the revenue recognition memo” and “Rob Falcone’s legal analysis was attached to the memo as an exhibit”; Stanton Barrow reviewed “Rob’s legal memorandum.” Whether options were exercised “was really Rob’s call.” No one expressed concerns; “There was no dissent.” (AC Tr. §§ 2.3, 4.5, 4.6)</w:t>
            </w:r>
          </w:p>
        </w:tc>
      </w:tr>
      <w:tr>
        <w:tc>
          <w:tcPr>
            <w:tcW w:type="dxa" w:w="2088"/>
            <w:shd w:val="clear" w:color="auto" w:fill="E8ECF3"/>
          </w:tcPr>
          <w:p>
            <w:r/>
            <w:r>
              <w:rPr>
                <w:b/>
                <w:sz w:val="19"/>
              </w:rPr>
              <w:t>SEC deposition (sworn)</w:t>
            </w:r>
          </w:p>
        </w:tc>
        <w:tc>
          <w:tcPr>
            <w:tcW w:type="dxa" w:w="7272"/>
          </w:tcPr>
          <w:p>
            <w:pPr>
              <w:spacing w:after="40"/>
            </w:pPr>
            <w:r/>
            <w:r>
              <w:rPr>
                <w:sz w:val="19"/>
              </w:rPr>
              <w:t>“Rob reviewed and approved the territorial option recognition.” Asked how he knew: “He’s on the email chain … and he didn’t raise any objections.” Did not recall Falcone’s response. Reservations: “Not that I recall … If he had raised a significant concern, I believe I would remember it.” Recommended outside counsel: “Not that I recall” (asked twice). “Are you certain?” — “That’s my recollection, yes.” (SEC Dep. §§ 4.3, 8.3)</w:t>
            </w:r>
          </w:p>
        </w:tc>
      </w:tr>
      <w:tr>
        <w:tc>
          <w:tcPr>
            <w:tcW w:type="dxa" w:w="2088"/>
            <w:shd w:val="clear" w:color="auto" w:fill="E8ECF3"/>
          </w:tcPr>
          <w:p>
            <w:r/>
            <w:r>
              <w:rPr>
                <w:b/>
                <w:sz w:val="19"/>
              </w:rPr>
              <w:t>DOJ proffer</w:t>
            </w:r>
          </w:p>
        </w:tc>
        <w:tc>
          <w:tcPr>
            <w:tcW w:type="dxa" w:w="7272"/>
          </w:tcPr>
          <w:p>
            <w:pPr>
              <w:spacing w:after="40"/>
            </w:pPr>
            <w:r/>
            <w:r>
              <w:rPr>
                <w:sz w:val="19"/>
              </w:rPr>
              <w:t>Falcone “generally involved”; then: “I now recall that Rob sent me a text message … in November 2022, saying something to the effect of ‘I’m not comfortable with the constructive exercise theory — we should get outside counsel involved.’” Did not recall it earlier; “It only came back to me recently when I was reviewing my text messages.” No outside counsel; “I discussed it further with Rob and believed we had resolved his concerns”; Falcone “came around” over “the next few days” (no details or documents). (Proffer Mem. § V.C)</w:t>
            </w:r>
          </w:p>
          <w:p>
            <w:pPr>
              <w:spacing w:after="40"/>
            </w:pPr>
            <w:r>
              <w:rPr>
                <w:sz w:val="19"/>
              </w:rPr>
              <w:t>KDC-005 (our Aug. 9 summary of the same session): recalled when “reviewing old phone records”; Falcone “did not elaborate further in the text or send any follow-up written communication”; Halpern proceeded “despite Falcone’s text message” because he “did not consider Falcone’s discomfort to be a legal conclusion requiring a change in course”; did not inform the Audit Committee or Stanton Barrow.</w:t>
            </w:r>
          </w:p>
        </w:tc>
      </w:tr>
      <w:tr>
        <w:tc>
          <w:tcPr>
            <w:tcW w:type="dxa" w:w="2088"/>
            <w:shd w:val="clear" w:color="auto" w:fill="E8ECF3"/>
          </w:tcPr>
          <w:p>
            <w:r/>
            <w:r>
              <w:rPr>
                <w:b/>
                <w:sz w:val="19"/>
              </w:rPr>
              <w:t>Documents / other record</w:t>
            </w:r>
          </w:p>
        </w:tc>
        <w:tc>
          <w:tcPr>
            <w:tcW w:type="dxa" w:w="7272"/>
          </w:tcPr>
          <w:p>
            <w:pPr>
              <w:spacing w:after="40"/>
            </w:pPr>
            <w:r/>
            <w:r>
              <w:rPr>
                <w:sz w:val="19"/>
              </w:rPr>
              <w:t>KDC-004 Email 3 (Nov. 14, 2022, 4:23 PM): Halpern asks Falcone to “confirm you’re comfortable from a legal perspective” and says “I want to make sure we have legal sign-off before we finalize the workpapers” — i.e., as of the afternoon of November 14 there was no legal sign-off. No Falcone legal memorandum appears in the compilation or in the description of Dep. Ex. 6.</w:t>
            </w:r>
          </w:p>
          <w:p>
            <w:pPr>
              <w:spacing w:after="40"/>
            </w:pPr>
            <w:r>
              <w:rPr>
                <w:sz w:val="19"/>
              </w:rPr>
              <w:t>Compl. ¶¶ 53, 70, 81(e) (filed Mar. 8, 2024): on information and belief, Falcone “expressed reservations … and suggested that outside counsel be consulted,” including by “a text message … in approximately November 2022.”</w:t>
            </w:r>
          </w:p>
        </w:tc>
      </w:tr>
      <w:tr>
        <w:tc>
          <w:tcPr>
            <w:tcW w:type="dxa" w:w="2088"/>
            <w:shd w:val="clear" w:color="auto" w:fill="E8ECF3"/>
          </w:tcPr>
          <w:p>
            <w:r/>
            <w:r>
              <w:rPr>
                <w:b/>
                <w:sz w:val="19"/>
              </w:rPr>
              <w:t>Nature of inconsistency</w:t>
            </w:r>
          </w:p>
        </w:tc>
        <w:tc>
          <w:tcPr>
            <w:tcW w:type="dxa" w:w="7272"/>
          </w:tcPr>
          <w:p>
            <w:pPr>
              <w:spacing w:after="40"/>
            </w:pPr>
            <w:r/>
            <w:r>
              <w:rPr>
                <w:sz w:val="19"/>
              </w:rPr>
              <w:t>Four-way: (a) AC affirmative claim of full support plus a written Falcone analysis; (b) sworn SEC claim of approval-by-silence and no recollection of reservations or an outside-counsel suggestion; (c) proffer disclosure of an express objection; (d) two internally inconsistent defense-team accounts of what he said happened after the text (“resolved/came around” vs. proceeded despite it, no follow-up). The AC “written analysis” claim is not repeated anywhere else and appears unsupported.</w:t>
            </w:r>
          </w:p>
        </w:tc>
      </w:tr>
      <w:tr>
        <w:tc>
          <w:tcPr>
            <w:tcW w:type="dxa" w:w="2088"/>
            <w:shd w:val="clear" w:color="auto" w:fill="E8ECF3"/>
          </w:tcPr>
          <w:p>
            <w:r/>
            <w:r>
              <w:rPr>
                <w:b/>
                <w:sz w:val="19"/>
              </w:rPr>
              <w:t>Government use</w:t>
            </w:r>
          </w:p>
        </w:tc>
        <w:tc>
          <w:tcPr>
            <w:tcW w:type="dxa" w:w="7272"/>
          </w:tcPr>
          <w:p>
            <w:pPr>
              <w:spacing w:after="40"/>
            </w:pPr>
            <w:r/>
            <w:r>
              <w:rPr>
                <w:sz w:val="19"/>
              </w:rPr>
              <w:t>False exculpatory statements in AC and SEC as consciousness of guilt; § 1623 exposure for the SEC answers (the SEC had already pled the text, so its questions appear to have been a test); destruction of advice-of-counsel defense and conversion into a warning ignored; willful-blindness instruction; challenge to proffer truthfulness (“came around”) as a basis to void the agreement. Falcone (resigned October 2023) is a likely government witness.</w:t>
            </w:r>
          </w:p>
        </w:tc>
      </w:tr>
      <w:tr>
        <w:tc>
          <w:tcPr>
            <w:tcW w:type="dxa" w:w="2088"/>
            <w:shd w:val="clear" w:color="auto" w:fill="E8ECF3"/>
          </w:tcPr>
          <w:p>
            <w:r/>
            <w:r>
              <w:rPr>
                <w:b/>
                <w:sz w:val="19"/>
              </w:rPr>
              <w:t>Defense response</w:t>
            </w:r>
          </w:p>
        </w:tc>
        <w:tc>
          <w:tcPr>
            <w:tcW w:type="dxa" w:w="7272"/>
          </w:tcPr>
          <w:p>
            <w:pPr>
              <w:spacing w:after="40"/>
            </w:pPr>
            <w:r/>
            <w:r>
              <w:rPr>
                <w:sz w:val="19"/>
              </w:rPr>
              <w:t>Limited. The best available framing is honest failure of recollection of a single informal text during sessions in which he was not shown it, followed by voluntary disclosure once refreshed — a disclosure that is itself evidence of candor. That framing is undercut by the Complaint (notice before the deposition) and by the KDC-004 request for sign-off. The AC “written analysis” statement should be investigated before it is conceded: if any Falcone email or memo exists (e.g., attached to Dep. Ex. 6), it partially rehabilitates.</w:t>
            </w:r>
          </w:p>
        </w:tc>
      </w:tr>
      <w:tr>
        <w:tc>
          <w:tcPr>
            <w:tcW w:type="dxa" w:w="2088"/>
            <w:shd w:val="clear" w:color="auto" w:fill="E8ECF3"/>
          </w:tcPr>
          <w:p>
            <w:r/>
            <w:r>
              <w:rPr>
                <w:b/>
                <w:sz w:val="19"/>
              </w:rPr>
              <w:t>Action items</w:t>
            </w:r>
          </w:p>
        </w:tc>
        <w:tc>
          <w:tcPr>
            <w:tcW w:type="dxa" w:w="7272"/>
          </w:tcPr>
          <w:p>
            <w:pPr>
              <w:spacing w:after="40"/>
            </w:pPr>
            <w:r/>
            <w:r>
              <w:rPr>
                <w:sz w:val="19"/>
              </w:rPr>
              <w:t>(1) Reconcile KDC-005 and Proffer Mem. § V.C against the Kovacs handwritten notes; prepare a single corrected internal record. (2) Determine whether Dep. Ex. 6 attached any Falcone analysis. (3) Identify Falcone’s counsel; assess whether he is cooperating; request any 302s at the appropriate time (Fed. R. Crim. P. 16(a)(1)(A)-(B) for Dr. Halpern’s own statements). (4) Do not assert advice of counsel as to Falcone in any forum.</w:t>
            </w:r>
          </w:p>
        </w:tc>
      </w:tr>
    </w:tbl>
    <w:p>
      <w:pPr>
        <w:spacing w:after="40"/>
      </w:pPr>
    </w:p>
    <w:p>
      <w:pPr>
        <w:pStyle w:val="Heading2"/>
      </w:pPr>
      <w:r>
        <w:t>Issue 2 — Knowledge That Aethon Compound Delivery Was Incomplete [CRITICAL]</w:t>
      </w:r>
    </w:p>
    <w:tbl>
      <w:tblPr>
        <w:tblStyle w:val="TableGrid"/>
        <w:tblW w:type="auto" w:w="0"/>
        <w:tblLook w:firstColumn="1" w:firstRow="1" w:lastColumn="0" w:lastRow="0" w:noHBand="0" w:noVBand="1" w:val="04A0"/>
      </w:tblPr>
      <w:tblGrid>
        <w:gridCol w:w="4680"/>
        <w:gridCol w:w="4680"/>
      </w:tblGrid>
      <w:tr>
        <w:tc>
          <w:tcPr>
            <w:tcW w:type="dxa" w:w="2088"/>
            <w:shd w:val="clear" w:color="auto" w:fill="E8ECF3"/>
          </w:tcPr>
          <w:p>
            <w:r/>
            <w:r>
              <w:rPr>
                <w:b/>
                <w:sz w:val="19"/>
              </w:rPr>
              <w:t>AC interview</w:t>
            </w:r>
          </w:p>
        </w:tc>
        <w:tc>
          <w:tcPr>
            <w:tcW w:type="dxa" w:w="7272"/>
          </w:tcPr>
          <w:p>
            <w:pPr>
              <w:spacing w:after="40"/>
            </w:pPr>
            <w:r/>
            <w:r>
              <w:rPr>
                <w:sz w:val="19"/>
              </w:rPr>
              <w:t>“I first learned that compound delivery to Aethon was incomplete when the Audit Committee investigation began in October 2023.” Five batches were to be delivered “and I was told they had been” by “Janet Liang’s group.” No conversation raising the issue: “If someone had raised that to me, I would remember it.” Emails: “Not that I recall. I reviewed my files before this interview, and I didn’t find anything like that.” The Q3 memo “concluded delivery was complete.” No one suggested waiting. (AC Tr. §§ 4.3, 4.4)</w:t>
            </w:r>
          </w:p>
        </w:tc>
      </w:tr>
      <w:tr>
        <w:tc>
          <w:tcPr>
            <w:tcW w:type="dxa" w:w="2088"/>
            <w:shd w:val="clear" w:color="auto" w:fill="E8ECF3"/>
          </w:tcPr>
          <w:p>
            <w:r/>
            <w:r>
              <w:rPr>
                <w:b/>
                <w:sz w:val="19"/>
              </w:rPr>
              <w:t>SEC deposition (sworn)</w:t>
            </w:r>
          </w:p>
        </w:tc>
        <w:tc>
          <w:tcPr>
            <w:tcW w:type="dxa" w:w="7272"/>
          </w:tcPr>
          <w:p>
            <w:pPr>
              <w:spacing w:after="40"/>
            </w:pPr>
            <w:r/>
            <w:r>
              <w:rPr>
                <w:sz w:val="19"/>
              </w:rPr>
              <w:t>Received the Liang email but it was “routine operational correspondence that I did not particularly focus on”; “The subject line didn’t flag it as urgent.” Yet: “I personally discussed the Aethon compound delivery issue with Richard Muñoz before the Q3 2022 close,” telling him “three of five compound batches had been delivered.” At certification: “I was aware that delivery was ongoing.” Ex. 5 says delivery “substantially complete,” bears his initials. (SEC Dep. §§ 2, 4.2, 5, 9)</w:t>
            </w:r>
          </w:p>
        </w:tc>
      </w:tr>
      <w:tr>
        <w:tc>
          <w:tcPr>
            <w:tcW w:type="dxa" w:w="2088"/>
            <w:shd w:val="clear" w:color="auto" w:fill="E8ECF3"/>
          </w:tcPr>
          <w:p>
            <w:r/>
            <w:r>
              <w:rPr>
                <w:b/>
                <w:sz w:val="19"/>
              </w:rPr>
              <w:t>DOJ proffer</w:t>
            </w:r>
          </w:p>
        </w:tc>
        <w:tc>
          <w:tcPr>
            <w:tcW w:type="dxa" w:w="7272"/>
          </w:tcPr>
          <w:p>
            <w:pPr>
              <w:spacing w:after="40"/>
            </w:pPr>
            <w:r/>
            <w:r>
              <w:rPr>
                <w:sz w:val="19"/>
              </w:rPr>
              <w:t>“I may have been generally aware that delivery was ongoing, but my understanding was that delivery was substantially complete and that substantial completion was sufficient.” Recalled the Liang email “in general terms.” At SOX signing: “I was aware of Janet’s email from September 2022, yes.” (Proffer Mem. §§ V.B, IX.B)</w:t>
            </w:r>
          </w:p>
        </w:tc>
      </w:tr>
      <w:tr>
        <w:tc>
          <w:tcPr>
            <w:tcW w:type="dxa" w:w="2088"/>
            <w:shd w:val="clear" w:color="auto" w:fill="E8ECF3"/>
          </w:tcPr>
          <w:p>
            <w:r/>
            <w:r>
              <w:rPr>
                <w:b/>
                <w:sz w:val="19"/>
              </w:rPr>
              <w:t>Documents / other record</w:t>
            </w:r>
          </w:p>
        </w:tc>
        <w:tc>
          <w:tcPr>
            <w:tcW w:type="dxa" w:w="7272"/>
          </w:tcPr>
          <w:p>
            <w:pPr>
              <w:spacing w:after="40"/>
            </w:pPr>
            <w:r/>
            <w:r>
              <w:rPr>
                <w:sz w:val="19"/>
              </w:rPr>
              <w:t>KDC-002 (Sept. 19, 2022, 3:47 PM): subject “Aethon Compound Delivery Status — Q3 Recognition Question”; lists each batch (A-C accepted; D-E in QC, not before mid-October); states her reading that all five must be delivered; acknowledges “pressure to keep the Q3 numbers on track”; invokes ASC 606; attaches Schedule 3.2(a) and the delivery log. KDC-003 (Sept. 22): “I think we can make the case that delivery is substantially complete given that 3 of 5 batches are delivered.” Compl. ¶¶ 43-49: remaining batches delivered Oct. 14 and Oct. 22, 2022.</w:t>
            </w:r>
          </w:p>
        </w:tc>
      </w:tr>
      <w:tr>
        <w:tc>
          <w:tcPr>
            <w:tcW w:type="dxa" w:w="2088"/>
            <w:shd w:val="clear" w:color="auto" w:fill="E8ECF3"/>
          </w:tcPr>
          <w:p>
            <w:r/>
            <w:r>
              <w:rPr>
                <w:b/>
                <w:sz w:val="19"/>
              </w:rPr>
              <w:t>Nature of inconsistency</w:t>
            </w:r>
          </w:p>
        </w:tc>
        <w:tc>
          <w:tcPr>
            <w:tcW w:type="dxa" w:w="7272"/>
          </w:tcPr>
          <w:p>
            <w:pPr>
              <w:spacing w:after="40"/>
            </w:pPr>
            <w:r/>
            <w:r>
              <w:rPr>
                <w:sz w:val="19"/>
              </w:rPr>
              <w:t>Irreconcilable between AC and SEC: he cannot both have first learned of incompleteness in October 2023 and have personally briefed the engagement partner on “3 of 5” in September 2022. The AC denial is also contradicted by his own written reply (KDC-003). Within the SEC deposition, “did not focus on” the email is inconsistent with personally escalating its exact content to Muñoz. The AC claim that Liang’s group told him all five were delivered attributes to Liang the opposite of what she wrote.</w:t>
            </w:r>
          </w:p>
        </w:tc>
      </w:tr>
      <w:tr>
        <w:tc>
          <w:tcPr>
            <w:tcW w:type="dxa" w:w="2088"/>
            <w:shd w:val="clear" w:color="auto" w:fill="E8ECF3"/>
          </w:tcPr>
          <w:p>
            <w:r/>
            <w:r>
              <w:rPr>
                <w:b/>
                <w:sz w:val="19"/>
              </w:rPr>
              <w:t>Government use</w:t>
            </w:r>
          </w:p>
        </w:tc>
        <w:tc>
          <w:tcPr>
            <w:tcW w:type="dxa" w:w="7272"/>
          </w:tcPr>
          <w:p>
            <w:pPr>
              <w:spacing w:after="40"/>
            </w:pPr>
            <w:r/>
            <w:r>
              <w:rPr>
                <w:sz w:val="19"/>
              </w:rPr>
              <w:t>Liang email plus KDC-003 establishes actual knowledge; the AC denial becomes a false exculpatory statement; the “routine” characterization is refuted by the subject line and content of KDC-002 and will be used to show minimization under oath. Liang will testify that she flagged it in writing.</w:t>
            </w:r>
          </w:p>
        </w:tc>
      </w:tr>
      <w:tr>
        <w:tc>
          <w:tcPr>
            <w:tcW w:type="dxa" w:w="2088"/>
            <w:shd w:val="clear" w:color="auto" w:fill="E8ECF3"/>
          </w:tcPr>
          <w:p>
            <w:r/>
            <w:r>
              <w:rPr>
                <w:b/>
                <w:sz w:val="19"/>
              </w:rPr>
              <w:t>Defense response</w:t>
            </w:r>
          </w:p>
        </w:tc>
        <w:tc>
          <w:tcPr>
            <w:tcW w:type="dxa" w:w="7272"/>
          </w:tcPr>
          <w:p>
            <w:pPr>
              <w:spacing w:after="40"/>
            </w:pPr>
            <w:r/>
            <w:r>
              <w:rPr>
                <w:sz w:val="19"/>
              </w:rPr>
              <w:t>Only the proffer position (aware; good-faith belief that substantial completion sufficed) is consistent with the documents, and it is the position the rebuttal clause will in any event lock us into. Rehabilitative facts: Liang signed Ex. 5 as reviewer of a memo stating “substantially complete” (SEC Dep. § 4.2); the batches were the same formulation and were delivered within weeks; the AC interview occurred without documents. The AC denial itself must be explained as an unrefreshed memory, which is difficult given his statement that he had reviewed his files.</w:t>
            </w:r>
          </w:p>
        </w:tc>
      </w:tr>
      <w:tr>
        <w:tc>
          <w:tcPr>
            <w:tcW w:type="dxa" w:w="2088"/>
            <w:shd w:val="clear" w:color="auto" w:fill="E8ECF3"/>
          </w:tcPr>
          <w:p>
            <w:r/>
            <w:r>
              <w:rPr>
                <w:b/>
                <w:sz w:val="19"/>
              </w:rPr>
              <w:t>Action items</w:t>
            </w:r>
          </w:p>
        </w:tc>
        <w:tc>
          <w:tcPr>
            <w:tcW w:type="dxa" w:w="7272"/>
          </w:tcPr>
          <w:p>
            <w:pPr>
              <w:spacing w:after="40"/>
            </w:pPr>
            <w:r/>
            <w:r>
              <w:rPr>
                <w:sz w:val="19"/>
              </w:rPr>
              <w:t>Obtain native KDC-002/003 and the Schedule 3.2(a)/delivery-log attachments; Ex. 5 in full (who drafted “substantially complete” language and when); Liang’s counsel and status; whether the Liang email was in Stanton Barrow’s workpapers.</w:t>
            </w:r>
          </w:p>
        </w:tc>
      </w:tr>
    </w:tbl>
    <w:p>
      <w:pPr>
        <w:spacing w:after="40"/>
      </w:pPr>
    </w:p>
    <w:p>
      <w:pPr>
        <w:pStyle w:val="Heading2"/>
      </w:pPr>
      <w:r>
        <w:t>Issue 3 — The “Discuss Offline” Conversation With Janet Liang [CRITICAL]</w:t>
      </w:r>
    </w:p>
    <w:tbl>
      <w:tblPr>
        <w:tblStyle w:val="TableGrid"/>
        <w:tblW w:type="auto" w:w="0"/>
        <w:tblLook w:firstColumn="1" w:firstRow="1" w:lastColumn="0" w:lastRow="0" w:noHBand="0" w:noVBand="1" w:val="04A0"/>
      </w:tblPr>
      <w:tblGrid>
        <w:gridCol w:w="4680"/>
        <w:gridCol w:w="4680"/>
      </w:tblGrid>
      <w:tr>
        <w:tc>
          <w:tcPr>
            <w:tcW w:type="dxa" w:w="2088"/>
            <w:shd w:val="clear" w:color="auto" w:fill="E8ECF3"/>
          </w:tcPr>
          <w:p>
            <w:r/>
            <w:r>
              <w:rPr>
                <w:b/>
                <w:sz w:val="19"/>
              </w:rPr>
              <w:t>AC interview</w:t>
            </w:r>
          </w:p>
        </w:tc>
        <w:tc>
          <w:tcPr>
            <w:tcW w:type="dxa" w:w="7272"/>
          </w:tcPr>
          <w:p>
            <w:pPr>
              <w:spacing w:after="40"/>
            </w:pPr>
            <w:r/>
            <w:r>
              <w:rPr>
                <w:sz w:val="19"/>
              </w:rPr>
              <w:t>No internal discussions about delivery status; no one suggested deferring (AC Tr. § 4.4) — implicitly, no such conversation.</w:t>
            </w:r>
          </w:p>
        </w:tc>
      </w:tr>
      <w:tr>
        <w:tc>
          <w:tcPr>
            <w:tcW w:type="dxa" w:w="2088"/>
            <w:shd w:val="clear" w:color="auto" w:fill="E8ECF3"/>
          </w:tcPr>
          <w:p>
            <w:r/>
            <w:r>
              <w:rPr>
                <w:b/>
                <w:sz w:val="19"/>
              </w:rPr>
              <w:t>SEC deposition (sworn)</w:t>
            </w:r>
          </w:p>
        </w:tc>
        <w:tc>
          <w:tcPr>
            <w:tcW w:type="dxa" w:w="7272"/>
          </w:tcPr>
          <w:p>
            <w:pPr>
              <w:spacing w:after="40"/>
            </w:pPr>
            <w:r/>
            <w:r>
              <w:rPr>
                <w:sz w:val="19"/>
              </w:rPr>
              <w:t>“Did you in fact have that offline discussion?” — “I don’t believe so. Things got busy toward quarter-end and it fell through the cracks.” “So you … never actually discussed it?” — “That’s my recollection, yes.” Later: “Anything is possible. But sitting here today, I don’t recall having that conversation.” Decision was a “team decision”; “I left it to the team.” Separately, Liang “may have been involved” in the Muñoz conversation. (SEC Dep. §§ 4.2, 8.2, 9)</w:t>
            </w:r>
          </w:p>
        </w:tc>
      </w:tr>
      <w:tr>
        <w:tc>
          <w:tcPr>
            <w:tcW w:type="dxa" w:w="2088"/>
            <w:shd w:val="clear" w:color="auto" w:fill="E8ECF3"/>
          </w:tcPr>
          <w:p>
            <w:r/>
            <w:r>
              <w:rPr>
                <w:b/>
                <w:sz w:val="19"/>
              </w:rPr>
              <w:t>DOJ proffer</w:t>
            </w:r>
          </w:p>
        </w:tc>
        <w:tc>
          <w:tcPr>
            <w:tcW w:type="dxa" w:w="7272"/>
          </w:tcPr>
          <w:p>
            <w:pPr>
              <w:spacing w:after="40"/>
            </w:pPr>
            <w:r/>
            <w:r>
              <w:rPr>
                <w:sz w:val="19"/>
              </w:rPr>
              <w:t>“Yes, I believe we did speak about it briefly. Janet and I discussed the delivery status, and she agreed the delivery was substantially complete and recognition was appropriate.” (Proffer Mem. § V.B)</w:t>
            </w:r>
          </w:p>
        </w:tc>
      </w:tr>
      <w:tr>
        <w:tc>
          <w:tcPr>
            <w:tcW w:type="dxa" w:w="2088"/>
            <w:shd w:val="clear" w:color="auto" w:fill="E8ECF3"/>
          </w:tcPr>
          <w:p>
            <w:r/>
            <w:r>
              <w:rPr>
                <w:b/>
                <w:sz w:val="19"/>
              </w:rPr>
              <w:t>Documents / other record</w:t>
            </w:r>
          </w:p>
        </w:tc>
        <w:tc>
          <w:tcPr>
            <w:tcW w:type="dxa" w:w="7272"/>
          </w:tcPr>
          <w:p>
            <w:pPr>
              <w:spacing w:after="40"/>
            </w:pPr>
            <w:r/>
            <w:r>
              <w:rPr>
                <w:sz w:val="19"/>
              </w:rPr>
              <w:t>KDC-003 (full text): “I’d like to think through the best way to frame the analysis before we commit to anything in the workpapers. Let’s talk through it before making a final call. I’ll be in the office Thursday.” The version read into the SEC record (and quoted in Compl. ¶ 45) omits these sentences.</w:t>
            </w:r>
          </w:p>
        </w:tc>
      </w:tr>
      <w:tr>
        <w:tc>
          <w:tcPr>
            <w:tcW w:type="dxa" w:w="2088"/>
            <w:shd w:val="clear" w:color="auto" w:fill="E8ECF3"/>
          </w:tcPr>
          <w:p>
            <w:r/>
            <w:r>
              <w:rPr>
                <w:b/>
                <w:sz w:val="19"/>
              </w:rPr>
              <w:t>Nature of inconsistency</w:t>
            </w:r>
          </w:p>
        </w:tc>
        <w:tc>
          <w:tcPr>
            <w:tcW w:type="dxa" w:w="7272"/>
          </w:tcPr>
          <w:p>
            <w:pPr>
              <w:spacing w:after="40"/>
            </w:pPr>
            <w:r/>
            <w:r>
              <w:rPr>
                <w:sz w:val="19"/>
              </w:rPr>
              <w:t>Direct contradiction on a discrete historical fact. Note a correction to the August 9 memo: Dr. Halpern did not testify that the conversation “never happened” in those words; his sworn answers were hedged (“I don’t believe so,” “my recollection,” “anything is possible”). The hedge is our principal mitigation. A further internal SEC inconsistency: if Liang joined the Muñoz conversation on “substantially complete,” she and Dr. Halpern did discuss it.</w:t>
            </w:r>
          </w:p>
        </w:tc>
      </w:tr>
      <w:tr>
        <w:tc>
          <w:tcPr>
            <w:tcW w:type="dxa" w:w="2088"/>
            <w:shd w:val="clear" w:color="auto" w:fill="E8ECF3"/>
          </w:tcPr>
          <w:p>
            <w:r/>
            <w:r>
              <w:rPr>
                <w:b/>
                <w:sz w:val="19"/>
              </w:rPr>
              <w:t>Government use</w:t>
            </w:r>
          </w:p>
        </w:tc>
        <w:tc>
          <w:tcPr>
            <w:tcW w:type="dxa" w:w="7272"/>
          </w:tcPr>
          <w:p>
            <w:pPr>
              <w:spacing w:after="40"/>
            </w:pPr>
            <w:r/>
            <w:r>
              <w:rPr>
                <w:sz w:val="19"/>
              </w:rPr>
              <w:t>Liang decides which version is false. If she says the meeting occurred and she objected, both the “team decision” narrative and the proffer’s “she agreed” are false, and the latter can be used to void the agreement. If she says no meeting occurred, the proffer statement is false. KDC-003’s “frame the analysis before we commit to anything in the workpapers” will be argued as moving the discussion off-email deliberately (Compl. ¶ 45).</w:t>
            </w:r>
          </w:p>
        </w:tc>
      </w:tr>
      <w:tr>
        <w:tc>
          <w:tcPr>
            <w:tcW w:type="dxa" w:w="2088"/>
            <w:shd w:val="clear" w:color="auto" w:fill="E8ECF3"/>
          </w:tcPr>
          <w:p>
            <w:r/>
            <w:r>
              <w:rPr>
                <w:b/>
                <w:sz w:val="19"/>
              </w:rPr>
              <w:t>Defense response</w:t>
            </w:r>
          </w:p>
        </w:tc>
        <w:tc>
          <w:tcPr>
            <w:tcW w:type="dxa" w:w="7272"/>
          </w:tcPr>
          <w:p>
            <w:pPr>
              <w:spacing w:after="40"/>
            </w:pPr>
            <w:r/>
            <w:r>
              <w:rPr>
                <w:sz w:val="19"/>
              </w:rPr>
              <w:t>Do not take any trial position on whether the meeting occurred until Liang’s account is known. The hedged SEC answers allow a refreshed-recollection explanation; KDC-003 (planned Thursday meeting) supports that a conversation likely occurred. Liang’s reviewer signature on Ex. 5 is circumstantial support for the proffer’s “she agreed,” but her email shows she disagreed at least initially, so we should avoid any argument that she endorsed recognition unless she confirms it.</w:t>
            </w:r>
          </w:p>
        </w:tc>
      </w:tr>
      <w:tr>
        <w:tc>
          <w:tcPr>
            <w:tcW w:type="dxa" w:w="2088"/>
            <w:shd w:val="clear" w:color="auto" w:fill="E8ECF3"/>
          </w:tcPr>
          <w:p>
            <w:r/>
            <w:r>
              <w:rPr>
                <w:b/>
                <w:sz w:val="19"/>
              </w:rPr>
              <w:t>Action items</w:t>
            </w:r>
          </w:p>
        </w:tc>
        <w:tc>
          <w:tcPr>
            <w:tcW w:type="dxa" w:w="7272"/>
          </w:tcPr>
          <w:p>
            <w:pPr>
              <w:spacing w:after="40"/>
            </w:pPr>
            <w:r/>
            <w:r>
              <w:rPr>
                <w:sz w:val="19"/>
              </w:rPr>
              <w:t>Calendar entries for the week of Sept. 22-29, 2022; badge/door data for “Thursday”; Teams/phone logs; Liang’s notes; Ex. 5 drafting history; approach Liang’s counsel.</w:t>
            </w:r>
          </w:p>
        </w:tc>
      </w:tr>
    </w:tbl>
    <w:p>
      <w:pPr>
        <w:spacing w:after="40"/>
      </w:pPr>
    </w:p>
    <w:p>
      <w:pPr>
        <w:pStyle w:val="Heading2"/>
      </w:pPr>
      <w:r>
        <w:t>Issue 4 — SOX Certifications and Knowledge at Signing [CRITICAL (cumulative)]</w:t>
      </w:r>
    </w:p>
    <w:tbl>
      <w:tblPr>
        <w:tblStyle w:val="TableGrid"/>
        <w:tblW w:type="auto" w:w="0"/>
        <w:tblLook w:firstColumn="1" w:firstRow="1" w:lastColumn="0" w:lastRow="0" w:noHBand="0" w:noVBand="1" w:val="04A0"/>
      </w:tblPr>
      <w:tblGrid>
        <w:gridCol w:w="4680"/>
        <w:gridCol w:w="4680"/>
      </w:tblGrid>
      <w:tr>
        <w:tc>
          <w:tcPr>
            <w:tcW w:type="dxa" w:w="2088"/>
            <w:shd w:val="clear" w:color="auto" w:fill="E8ECF3"/>
          </w:tcPr>
          <w:p>
            <w:r/>
            <w:r>
              <w:rPr>
                <w:b/>
                <w:sz w:val="19"/>
              </w:rPr>
              <w:t>AC interview</w:t>
            </w:r>
          </w:p>
        </w:tc>
        <w:tc>
          <w:tcPr>
            <w:tcW w:type="dxa" w:w="7272"/>
          </w:tcPr>
          <w:p>
            <w:pPr>
              <w:spacing w:after="40"/>
            </w:pPr>
            <w:r/>
            <w:r>
              <w:rPr>
                <w:sz w:val="19"/>
              </w:rPr>
              <w:t>Signed FY2021 and FY2022 302/906 certifications; “I would not have signed … if I had any reason to believe otherwise”; process included conferring with Liang and Yoon on open items and confirming controls were effective; “None” — no reason to believe any errors. (AC Tr. § 7.1)</w:t>
            </w:r>
          </w:p>
        </w:tc>
      </w:tr>
      <w:tr>
        <w:tc>
          <w:tcPr>
            <w:tcW w:type="dxa" w:w="2088"/>
            <w:shd w:val="clear" w:color="auto" w:fill="E8ECF3"/>
          </w:tcPr>
          <w:p>
            <w:r/>
            <w:r>
              <w:rPr>
                <w:b/>
                <w:sz w:val="19"/>
              </w:rPr>
              <w:t>SEC deposition (sworn)</w:t>
            </w:r>
          </w:p>
        </w:tc>
        <w:tc>
          <w:tcPr>
            <w:tcW w:type="dxa" w:w="7272"/>
          </w:tcPr>
          <w:p>
            <w:pPr>
              <w:spacing w:after="40"/>
            </w:pPr>
            <w:r/>
            <w:r>
              <w:rPr>
                <w:sz w:val="19"/>
              </w:rPr>
              <w:t>Believed in good faith; aware at signing that “delivery was ongoing”; relied on audit completion; not aware of significant deficiencies; conceded follow-up on Liang email “could have been handled better.” Also signed management representation letters to Stanton Barrow with Dr. Petrova. (SEC Dep. §§ 2, 5)</w:t>
            </w:r>
          </w:p>
        </w:tc>
      </w:tr>
      <w:tr>
        <w:tc>
          <w:tcPr>
            <w:tcW w:type="dxa" w:w="2088"/>
            <w:shd w:val="clear" w:color="auto" w:fill="E8ECF3"/>
          </w:tcPr>
          <w:p>
            <w:r/>
            <w:r>
              <w:rPr>
                <w:b/>
                <w:sz w:val="19"/>
              </w:rPr>
              <w:t>DOJ proffer</w:t>
            </w:r>
          </w:p>
        </w:tc>
        <w:tc>
          <w:tcPr>
            <w:tcW w:type="dxa" w:w="7272"/>
          </w:tcPr>
          <w:p>
            <w:pPr>
              <w:spacing w:after="40"/>
            </w:pPr>
            <w:r/>
            <w:r>
              <w:rPr>
                <w:sz w:val="19"/>
              </w:rPr>
              <w:t>Aware of the Liang email at signing; did not recall the Falcone text at signing; “At the time of signing, I was comfortable with the accounting.” (Proffer Mem. § IX.B)</w:t>
            </w:r>
          </w:p>
        </w:tc>
      </w:tr>
      <w:tr>
        <w:tc>
          <w:tcPr>
            <w:tcW w:type="dxa" w:w="2088"/>
            <w:shd w:val="clear" w:color="auto" w:fill="E8ECF3"/>
          </w:tcPr>
          <w:p>
            <w:r/>
            <w:r>
              <w:rPr>
                <w:b/>
                <w:sz w:val="19"/>
              </w:rPr>
              <w:t>Documents / other record</w:t>
            </w:r>
          </w:p>
        </w:tc>
        <w:tc>
          <w:tcPr>
            <w:tcW w:type="dxa" w:w="7272"/>
          </w:tcPr>
          <w:p>
            <w:pPr>
              <w:spacing w:after="40"/>
            </w:pPr>
            <w:r/>
            <w:r>
              <w:rPr>
                <w:sz w:val="19"/>
              </w:rPr>
              <w:t>FY2021 10-K filed Mar. 16, 2022 (Compl. ¶¶ 10, 80) — after the Feb. 7, 2022 DMC confirmation of first-patient enrollment (Compl. ¶¶ 39, 42). FY2022 10-K filed Mar. 15, 2023, after the Liang email, the Nov. 14 guidance email, and the Falcone text (Compl. ¶ 81). Management representation letters (not in file) typically represent that all relevant information was made available to the auditors.</w:t>
            </w:r>
          </w:p>
        </w:tc>
      </w:tr>
      <w:tr>
        <w:tc>
          <w:tcPr>
            <w:tcW w:type="dxa" w:w="2088"/>
            <w:shd w:val="clear" w:color="auto" w:fill="E8ECF3"/>
          </w:tcPr>
          <w:p>
            <w:r/>
            <w:r>
              <w:rPr>
                <w:b/>
                <w:sz w:val="19"/>
              </w:rPr>
              <w:t>Nature of inconsistency</w:t>
            </w:r>
          </w:p>
        </w:tc>
        <w:tc>
          <w:tcPr>
            <w:tcW w:type="dxa" w:w="7272"/>
          </w:tcPr>
          <w:p>
            <w:pPr>
              <w:spacing w:after="40"/>
            </w:pPr>
            <w:r/>
            <w:r>
              <w:rPr>
                <w:sz w:val="19"/>
              </w:rPr>
              <w:t>Progressive admission of knowledge at the moment of certification: none (AC) → delivery “ongoing” (SEC) → aware of the Liang email (proffer). The proffer admission, combined with the Falcone text and KDC-004, supplies the “knowing” element of 18 U.S.C. § 1350(c) and Rule 13a-14.</w:t>
            </w:r>
          </w:p>
        </w:tc>
      </w:tr>
      <w:tr>
        <w:tc>
          <w:tcPr>
            <w:tcW w:type="dxa" w:w="2088"/>
            <w:shd w:val="clear" w:color="auto" w:fill="E8ECF3"/>
          </w:tcPr>
          <w:p>
            <w:r/>
            <w:r>
              <w:rPr>
                <w:b/>
                <w:sz w:val="19"/>
              </w:rPr>
              <w:t>Government use</w:t>
            </w:r>
          </w:p>
        </w:tc>
        <w:tc>
          <w:tcPr>
            <w:tcW w:type="dxa" w:w="7272"/>
          </w:tcPr>
          <w:p>
            <w:pPr>
              <w:spacing w:after="40"/>
            </w:pPr>
            <w:r/>
            <w:r>
              <w:rPr>
                <w:sz w:val="19"/>
              </w:rPr>
              <w:t>Certification counts and scienter; the FY2021 certification adds a new angle we have not addressed: if the finance team learned of the February 7, 2022 confirmation before March 16, 2022, Dr. Halpern certified FY2021 knowing (or recklessly disregarding) that the Q4 2021 milestone had not been confirmed at year-end. The management representation letters may become a separate false-statement theory if the Liang email and Falcone text were not disclosed (KDC-005 says Falcone’s concern was not disclosed to Stanton Barrow).</w:t>
            </w:r>
          </w:p>
        </w:tc>
      </w:tr>
      <w:tr>
        <w:tc>
          <w:tcPr>
            <w:tcW w:type="dxa" w:w="2088"/>
            <w:shd w:val="clear" w:color="auto" w:fill="E8ECF3"/>
          </w:tcPr>
          <w:p>
            <w:r/>
            <w:r>
              <w:rPr>
                <w:b/>
                <w:sz w:val="19"/>
              </w:rPr>
              <w:t>Defense response</w:t>
            </w:r>
          </w:p>
        </w:tc>
        <w:tc>
          <w:tcPr>
            <w:tcW w:type="dxa" w:w="7272"/>
          </w:tcPr>
          <w:p>
            <w:pPr>
              <w:spacing w:after="40"/>
            </w:pPr>
            <w:r/>
            <w:r>
              <w:rPr>
                <w:sz w:val="19"/>
              </w:rPr>
              <w:t>Good-faith judgment on contested accounting at the time of signing, supported by an unqualified audit opinion. That defense depends on full disclosure to the auditors, which is in doubt (Issue 5).</w:t>
            </w:r>
          </w:p>
        </w:tc>
      </w:tr>
      <w:tr>
        <w:tc>
          <w:tcPr>
            <w:tcW w:type="dxa" w:w="2088"/>
            <w:shd w:val="clear" w:color="auto" w:fill="E8ECF3"/>
          </w:tcPr>
          <w:p>
            <w:r/>
            <w:r>
              <w:rPr>
                <w:b/>
                <w:sz w:val="19"/>
              </w:rPr>
              <w:t>Action items</w:t>
            </w:r>
          </w:p>
        </w:tc>
        <w:tc>
          <w:tcPr>
            <w:tcW w:type="dxa" w:w="7272"/>
          </w:tcPr>
          <w:p>
            <w:pPr>
              <w:spacing w:after="40"/>
            </w:pPr>
            <w:r/>
            <w:r>
              <w:rPr>
                <w:sz w:val="19"/>
              </w:rPr>
              <w:t>Obtain the FY2021 and FY2022 management representation letters, the sub-certification packages from Liang and Yoon, the Disclosure Committee minutes, and evidence of when Crestline learned of the February 7, 2022 DMC confirmation.</w:t>
            </w:r>
          </w:p>
        </w:tc>
      </w:tr>
    </w:tbl>
    <w:p>
      <w:pPr>
        <w:spacing w:after="40"/>
      </w:pPr>
    </w:p>
    <w:p>
      <w:pPr>
        <w:pStyle w:val="Heading2"/>
      </w:pPr>
      <w:r>
        <w:t>Issue 5 — Consultation With and Disclosure to Stanton Barrow (Muñoz) [HIGH]</w:t>
      </w:r>
    </w:p>
    <w:tbl>
      <w:tblPr>
        <w:tblStyle w:val="TableGrid"/>
        <w:tblW w:type="auto" w:w="0"/>
        <w:tblLook w:firstColumn="1" w:firstRow="1" w:lastColumn="0" w:lastRow="0" w:noHBand="0" w:noVBand="1" w:val="04A0"/>
      </w:tblPr>
      <w:tblGrid>
        <w:gridCol w:w="4680"/>
        <w:gridCol w:w="4680"/>
      </w:tblGrid>
      <w:tr>
        <w:tc>
          <w:tcPr>
            <w:tcW w:type="dxa" w:w="2088"/>
            <w:shd w:val="clear" w:color="auto" w:fill="E8ECF3"/>
          </w:tcPr>
          <w:p>
            <w:r/>
            <w:r>
              <w:rPr>
                <w:b/>
                <w:sz w:val="19"/>
              </w:rPr>
              <w:t>AC interview</w:t>
            </w:r>
          </w:p>
        </w:tc>
        <w:tc>
          <w:tcPr>
            <w:tcW w:type="dxa" w:w="7272"/>
          </w:tcPr>
          <w:p>
            <w:pPr>
              <w:spacing w:after="40"/>
            </w:pPr>
            <w:r/>
            <w:r>
              <w:rPr>
                <w:sz w:val="19"/>
              </w:rPr>
              <w:t>“I consulted extensively with Stanton Barrow on every significant revenue recognition judgment … they signed off on all treatments.” “I personally presented the key revenue recognition positions to Richard Muñoz … This was not something I delegated.” Constructive exercise discussed; auditors reviewed “the legal memo.” “We did everything by the book.” (AC Tr. §§ 2.1, 2.2, 4.5, 4.6)</w:t>
            </w:r>
          </w:p>
        </w:tc>
      </w:tr>
      <w:tr>
        <w:tc>
          <w:tcPr>
            <w:tcW w:type="dxa" w:w="2088"/>
            <w:shd w:val="clear" w:color="auto" w:fill="E8ECF3"/>
          </w:tcPr>
          <w:p>
            <w:r/>
            <w:r>
              <w:rPr>
                <w:b/>
                <w:sz w:val="19"/>
              </w:rPr>
              <w:t>SEC deposition (sworn)</w:t>
            </w:r>
          </w:p>
        </w:tc>
        <w:tc>
          <w:tcPr>
            <w:tcW w:type="dxa" w:w="7272"/>
          </w:tcPr>
          <w:p>
            <w:pPr>
              <w:spacing w:after="40"/>
            </w:pPr>
            <w:r/>
            <w:r>
              <w:rPr>
                <w:sz w:val="19"/>
              </w:rPr>
              <w:t>Personally discussed “3 of 5” with Muñoz in late September 2022; Muñoz said it was “a reasonable position”; no email, memo, or calendar entry; possibly Liang present. On constructive exercise: “I may not have been the one to raise it.” No written Stanton Barrow guidance on either item. (SEC Dep. §§ 2, 4.2, 9)</w:t>
            </w:r>
          </w:p>
        </w:tc>
      </w:tr>
      <w:tr>
        <w:tc>
          <w:tcPr>
            <w:tcW w:type="dxa" w:w="2088"/>
            <w:shd w:val="clear" w:color="auto" w:fill="E8ECF3"/>
          </w:tcPr>
          <w:p>
            <w:r/>
            <w:r>
              <w:rPr>
                <w:b/>
                <w:sz w:val="19"/>
              </w:rPr>
              <w:t>DOJ proffer</w:t>
            </w:r>
          </w:p>
        </w:tc>
        <w:tc>
          <w:tcPr>
            <w:tcW w:type="dxa" w:w="7272"/>
          </w:tcPr>
          <w:p>
            <w:pPr>
              <w:spacing w:after="40"/>
            </w:pPr>
            <w:r/>
            <w:r>
              <w:rPr>
                <w:sz w:val="19"/>
              </w:rPr>
              <w:t>“I’m not certain whether I personally raised the specific delivery timeline issue with Richard Muñoz or whether that was handled at the staff level.” Meridian: “team shared enrollment data.” “Absolutely not … We never held anything back.” (Proffer Mem. § VI)</w:t>
            </w:r>
          </w:p>
        </w:tc>
      </w:tr>
      <w:tr>
        <w:tc>
          <w:tcPr>
            <w:tcW w:type="dxa" w:w="2088"/>
            <w:shd w:val="clear" w:color="auto" w:fill="E8ECF3"/>
          </w:tcPr>
          <w:p>
            <w:r/>
            <w:r>
              <w:rPr>
                <w:b/>
                <w:sz w:val="19"/>
              </w:rPr>
              <w:t>Documents / other record</w:t>
            </w:r>
          </w:p>
        </w:tc>
        <w:tc>
          <w:tcPr>
            <w:tcW w:type="dxa" w:w="7272"/>
          </w:tcPr>
          <w:p>
            <w:pPr>
              <w:spacing w:after="40"/>
            </w:pPr>
            <w:r/>
            <w:r>
              <w:rPr>
                <w:sz w:val="19"/>
              </w:rPr>
              <w:t>KDC-001 § IV: treatment “discussed with” Stanton Barrow; documentation to be provided later — no concurrence recorded. KDC-005: Falcone’s concern not disclosed to Stanton Barrow. Compl. ¶¶ 48, 83: on information and belief, no full disclosure of delivery status or Liang email.</w:t>
            </w:r>
          </w:p>
        </w:tc>
      </w:tr>
      <w:tr>
        <w:tc>
          <w:tcPr>
            <w:tcW w:type="dxa" w:w="2088"/>
            <w:shd w:val="clear" w:color="auto" w:fill="E8ECF3"/>
          </w:tcPr>
          <w:p>
            <w:r/>
            <w:r>
              <w:rPr>
                <w:b/>
                <w:sz w:val="19"/>
              </w:rPr>
              <w:t>Nature of inconsistency</w:t>
            </w:r>
          </w:p>
        </w:tc>
        <w:tc>
          <w:tcPr>
            <w:tcW w:type="dxa" w:w="7272"/>
          </w:tcPr>
          <w:p>
            <w:pPr>
              <w:spacing w:after="40"/>
            </w:pPr>
            <w:r/>
            <w:r>
              <w:rPr>
                <w:sz w:val="19"/>
              </w:rPr>
              <w:t>Retreat from a specific sworn factual assertion (personal conversation with a named partner) to uncertainty, after an AC account claiming comprehensive personal engagement. The proffer’s “never held anything back” is contradicted by his own KDC-005 admission that he did not tell the auditors about Falcone’s concern.</w:t>
            </w:r>
          </w:p>
        </w:tc>
      </w:tr>
      <w:tr>
        <w:tc>
          <w:tcPr>
            <w:tcW w:type="dxa" w:w="2088"/>
            <w:shd w:val="clear" w:color="auto" w:fill="E8ECF3"/>
          </w:tcPr>
          <w:p>
            <w:r/>
            <w:r>
              <w:rPr>
                <w:b/>
                <w:sz w:val="19"/>
              </w:rPr>
              <w:t>Government use</w:t>
            </w:r>
          </w:p>
        </w:tc>
        <w:tc>
          <w:tcPr>
            <w:tcW w:type="dxa" w:w="7272"/>
          </w:tcPr>
          <w:p>
            <w:pPr>
              <w:spacing w:after="40"/>
            </w:pPr>
            <w:r/>
            <w:r>
              <w:rPr>
                <w:sz w:val="19"/>
              </w:rPr>
              <w:t>Muñoz (and Stanton Barrow workpapers) will either deny the conversation — making the sworn account look invented to build a reliance defense — or confirm a conversation with incomplete facts. Either way, the reliance-on-auditor defense requires full disclosure (Compl. ¶ 83), which the Falcone non-disclosure defeats as to the territorial option.</w:t>
            </w:r>
          </w:p>
        </w:tc>
      </w:tr>
      <w:tr>
        <w:tc>
          <w:tcPr>
            <w:tcW w:type="dxa" w:w="2088"/>
            <w:shd w:val="clear" w:color="auto" w:fill="E8ECF3"/>
          </w:tcPr>
          <w:p>
            <w:r/>
            <w:r>
              <w:rPr>
                <w:b/>
                <w:sz w:val="19"/>
              </w:rPr>
              <w:t>Defense response</w:t>
            </w:r>
          </w:p>
        </w:tc>
        <w:tc>
          <w:tcPr>
            <w:tcW w:type="dxa" w:w="7272"/>
          </w:tcPr>
          <w:p>
            <w:pPr>
              <w:spacing w:after="40"/>
            </w:pPr>
            <w:r/>
            <w:r>
              <w:rPr>
                <w:sz w:val="19"/>
              </w:rPr>
              <w:t>Preserve a reliance argument only for the $7.1M item, and only if Muñoz or the workpapers corroborate that the auditors knew of the three-of-five status before sign-off. Abandon it for the $8M item.</w:t>
            </w:r>
          </w:p>
        </w:tc>
      </w:tr>
      <w:tr>
        <w:tc>
          <w:tcPr>
            <w:tcW w:type="dxa" w:w="2088"/>
            <w:shd w:val="clear" w:color="auto" w:fill="E8ECF3"/>
          </w:tcPr>
          <w:p>
            <w:r/>
            <w:r>
              <w:rPr>
                <w:b/>
                <w:sz w:val="19"/>
              </w:rPr>
              <w:t>Action items</w:t>
            </w:r>
          </w:p>
        </w:tc>
        <w:tc>
          <w:tcPr>
            <w:tcW w:type="dxa" w:w="7272"/>
          </w:tcPr>
          <w:p>
            <w:pPr>
              <w:spacing w:after="40"/>
            </w:pPr>
            <w:r/>
            <w:r>
              <w:rPr>
                <w:sz w:val="19"/>
              </w:rPr>
              <w:t>Subpoena or request Stanton Barrow Q3/Q4 2022 workpapers, summary of unadjusted differences, AR confirmations to Aethon and Meridian, Audit Committee communications (AS 1301), and Muñoz’s calendar for late September 2022.</w:t>
            </w:r>
          </w:p>
        </w:tc>
      </w:tr>
    </w:tbl>
    <w:p>
      <w:pPr>
        <w:spacing w:after="40"/>
      </w:pPr>
    </w:p>
    <w:p>
      <w:pPr>
        <w:pStyle w:val="Heading2"/>
      </w:pPr>
      <w:r>
        <w:t>Issue 6 — The “Guidance Number” Email and Motive [HIGH]</w:t>
      </w:r>
    </w:p>
    <w:tbl>
      <w:tblPr>
        <w:tblStyle w:val="TableGrid"/>
        <w:tblW w:type="auto" w:w="0"/>
        <w:tblLook w:firstColumn="1" w:firstRow="1" w:lastColumn="0" w:lastRow="0" w:noHBand="0" w:noVBand="1" w:val="04A0"/>
      </w:tblPr>
      <w:tblGrid>
        <w:gridCol w:w="4680"/>
        <w:gridCol w:w="4680"/>
      </w:tblGrid>
      <w:tr>
        <w:tc>
          <w:tcPr>
            <w:tcW w:type="dxa" w:w="2088"/>
            <w:shd w:val="clear" w:color="auto" w:fill="E8ECF3"/>
          </w:tcPr>
          <w:p>
            <w:r/>
            <w:r>
              <w:rPr>
                <w:b/>
                <w:sz w:val="19"/>
              </w:rPr>
              <w:t>AC interview</w:t>
            </w:r>
          </w:p>
        </w:tc>
        <w:tc>
          <w:tcPr>
            <w:tcW w:type="dxa" w:w="7272"/>
          </w:tcPr>
          <w:p>
            <w:pPr>
              <w:spacing w:after="40"/>
            </w:pPr>
            <w:r/>
            <w:r>
              <w:rPr>
                <w:sz w:val="19"/>
              </w:rPr>
              <w:t>Not confronted. Described the constructive-exercise decision as “a collaborative judgment” with Falcone and Petrova; “We all agreed it was the right call.” (AC Tr. § 4.5)</w:t>
            </w:r>
          </w:p>
        </w:tc>
      </w:tr>
      <w:tr>
        <w:tc>
          <w:tcPr>
            <w:tcW w:type="dxa" w:w="2088"/>
            <w:shd w:val="clear" w:color="auto" w:fill="E8ECF3"/>
          </w:tcPr>
          <w:p>
            <w:r/>
            <w:r>
              <w:rPr>
                <w:b/>
                <w:sz w:val="19"/>
              </w:rPr>
              <w:t>SEC deposition (sworn)</w:t>
            </w:r>
          </w:p>
        </w:tc>
        <w:tc>
          <w:tcPr>
            <w:tcW w:type="dxa" w:w="7272"/>
          </w:tcPr>
          <w:p>
            <w:pPr>
              <w:spacing w:after="40"/>
            </w:pPr>
            <w:r/>
            <w:r>
              <w:rPr>
                <w:sz w:val="19"/>
              </w:rPr>
              <w:t>“That was a casual observation … it didn’t drive the accounting judgment.” Guidance “approximately $318 million”; whether Crestline would have met it without the $8M: “I’d have to look at the specific numbers. I don’t recall”; “guidance is a range.” (SEC Dep. § 4.3)</w:t>
            </w:r>
          </w:p>
        </w:tc>
      </w:tr>
      <w:tr>
        <w:tc>
          <w:tcPr>
            <w:tcW w:type="dxa" w:w="2088"/>
            <w:shd w:val="clear" w:color="auto" w:fill="E8ECF3"/>
          </w:tcPr>
          <w:p>
            <w:r/>
            <w:r>
              <w:rPr>
                <w:b/>
                <w:sz w:val="19"/>
              </w:rPr>
              <w:t>DOJ proffer</w:t>
            </w:r>
          </w:p>
        </w:tc>
        <w:tc>
          <w:tcPr>
            <w:tcW w:type="dxa" w:w="7272"/>
          </w:tcPr>
          <w:p>
            <w:pPr>
              <w:spacing w:after="40"/>
            </w:pPr>
            <w:r/>
            <w:r>
              <w:rPr>
                <w:sz w:val="19"/>
              </w:rPr>
              <w:t>Unprompted: “The territorial option recognition was purely an accounting judgment with no connection to financial targets.” (Proffer Mem. § V.C)</w:t>
            </w:r>
          </w:p>
        </w:tc>
      </w:tr>
      <w:tr>
        <w:tc>
          <w:tcPr>
            <w:tcW w:type="dxa" w:w="2088"/>
            <w:shd w:val="clear" w:color="auto" w:fill="E8ECF3"/>
          </w:tcPr>
          <w:p>
            <w:r/>
            <w:r>
              <w:rPr>
                <w:b/>
                <w:sz w:val="19"/>
              </w:rPr>
              <w:t>Documents / other record</w:t>
            </w:r>
          </w:p>
        </w:tc>
        <w:tc>
          <w:tcPr>
            <w:tcW w:type="dxa" w:w="7272"/>
          </w:tcPr>
          <w:p>
            <w:pPr>
              <w:spacing w:after="40"/>
            </w:pPr>
            <w:r/>
            <w:r>
              <w:rPr>
                <w:sz w:val="19"/>
              </w:rPr>
              <w:t>KDC-004 Email 1 (10:08 AM): Halpern himself reports “approximately $310 million” tracked against “public guidance [of] $318 million, which leaves an $8 million gap,” and identifies the ~$8M European/Asian option fees, “assuming Aethon’s expressions of interest are sufficiently definitive.” Email 2 (Petrova, 2:15 PM): “a miss on guidance this late in the year would not be well received.” Email 3 (4:23 PM): “If we can book this in Q4, it gets us to the annual guidance number.” Compl. ¶¶ 52, 56, 67, 88. Proffer Mem. § III.D: FY2022 reported revenue ~$320M.</w:t>
            </w:r>
          </w:p>
        </w:tc>
      </w:tr>
      <w:tr>
        <w:tc>
          <w:tcPr>
            <w:tcW w:type="dxa" w:w="2088"/>
            <w:shd w:val="clear" w:color="auto" w:fill="E8ECF3"/>
          </w:tcPr>
          <w:p>
            <w:r/>
            <w:r>
              <w:rPr>
                <w:b/>
                <w:sz w:val="19"/>
              </w:rPr>
              <w:t>Nature of inconsistency</w:t>
            </w:r>
          </w:p>
        </w:tc>
        <w:tc>
          <w:tcPr>
            <w:tcW w:type="dxa" w:w="7272"/>
          </w:tcPr>
          <w:p>
            <w:pPr>
              <w:spacing w:after="40"/>
            </w:pPr>
            <w:r/>
            <w:r>
              <w:rPr>
                <w:sz w:val="19"/>
              </w:rPr>
              <w:t>His sworn inability to recall the numbers and the “range” explanation are contradicted by his own email computing the precise gap and describing guidance as a single “$318 million” number. The sequence (gap identified first, then search for a basis) undercuts “collaborative judgment” and “no connection to financial targets.”</w:t>
            </w:r>
          </w:p>
        </w:tc>
      </w:tr>
      <w:tr>
        <w:tc>
          <w:tcPr>
            <w:tcW w:type="dxa" w:w="2088"/>
            <w:shd w:val="clear" w:color="auto" w:fill="E8ECF3"/>
          </w:tcPr>
          <w:p>
            <w:r/>
            <w:r>
              <w:rPr>
                <w:b/>
                <w:sz w:val="19"/>
              </w:rPr>
              <w:t>Government use</w:t>
            </w:r>
          </w:p>
        </w:tc>
        <w:tc>
          <w:tcPr>
            <w:tcW w:type="dxa" w:w="7272"/>
          </w:tcPr>
          <w:p>
            <w:pPr>
              <w:spacing w:after="40"/>
            </w:pPr>
            <w:r/>
            <w:r>
              <w:rPr>
                <w:sz w:val="19"/>
              </w:rPr>
              <w:t>Motive and scienter centerpiece; the volunteered proffer denial will be portrayed as consciousness of guilt and, because it is contradicted by KDC-004 Email 1, as a candidate for a PA § 7 falsity finding.</w:t>
            </w:r>
          </w:p>
        </w:tc>
      </w:tr>
      <w:tr>
        <w:tc>
          <w:tcPr>
            <w:tcW w:type="dxa" w:w="2088"/>
            <w:shd w:val="clear" w:color="auto" w:fill="E8ECF3"/>
          </w:tcPr>
          <w:p>
            <w:r/>
            <w:r>
              <w:rPr>
                <w:b/>
                <w:sz w:val="19"/>
              </w:rPr>
              <w:t>Defense response</w:t>
            </w:r>
          </w:p>
        </w:tc>
        <w:tc>
          <w:tcPr>
            <w:tcW w:type="dxa" w:w="7272"/>
          </w:tcPr>
          <w:p>
            <w:pPr>
              <w:spacing w:after="40"/>
            </w:pPr>
            <w:r/>
            <w:r>
              <w:rPr>
                <w:sz w:val="19"/>
              </w:rPr>
              <w:t>Avoid any argument that the recognition was unconnected to guidance. The more defensible framing: the guidance gap was the reason the issue was examined, not the reason for the conclusion; Petrova (CEO, co-defendant) initiated the pressure (Email 2); Halpern conditioned recognition on legal sign-off and on the analysis holding up (Email 3: “if the analysis holds up”). Note, however, that any argument that the “targets played no role” is consistent with the proffer and therefore does not trigger rebuttal, but it is contradicted by documents.</w:t>
            </w:r>
          </w:p>
        </w:tc>
      </w:tr>
      <w:tr>
        <w:tc>
          <w:tcPr>
            <w:tcW w:type="dxa" w:w="2088"/>
            <w:shd w:val="clear" w:color="auto" w:fill="E8ECF3"/>
          </w:tcPr>
          <w:p>
            <w:r/>
            <w:r>
              <w:rPr>
                <w:b/>
                <w:sz w:val="19"/>
              </w:rPr>
              <w:t>Action items</w:t>
            </w:r>
          </w:p>
        </w:tc>
        <w:tc>
          <w:tcPr>
            <w:tcW w:type="dxa" w:w="7272"/>
          </w:tcPr>
          <w:p>
            <w:pPr>
              <w:spacing w:after="40"/>
            </w:pPr>
            <w:r/>
            <w:r>
              <w:rPr>
                <w:sz w:val="19"/>
              </w:rPr>
              <w:t>Native chain with metadata (three different versions exist — Part V); earnings-call guidance statements; Q4 2022 pipeline items referenced in Email 1.</w:t>
            </w:r>
          </w:p>
        </w:tc>
      </w:tr>
    </w:tbl>
    <w:p>
      <w:pPr>
        <w:spacing w:after="40"/>
      </w:pPr>
    </w:p>
    <w:p>
      <w:pPr>
        <w:pStyle w:val="Heading2"/>
      </w:pPr>
      <w:r>
        <w:t>Issue 7 — Contract Notice Requirement, Aethon’s October Emails, and the Claimed Q2 2023 Exercise [HIGH]</w:t>
      </w:r>
    </w:p>
    <w:tbl>
      <w:tblPr>
        <w:tblStyle w:val="TableGrid"/>
        <w:tblW w:type="auto" w:w="0"/>
        <w:tblLook w:firstColumn="1" w:firstRow="1" w:lastColumn="0" w:lastRow="0" w:noHBand="0" w:noVBand="1" w:val="04A0"/>
      </w:tblPr>
      <w:tblGrid>
        <w:gridCol w:w="4680"/>
        <w:gridCol w:w="4680"/>
      </w:tblGrid>
      <w:tr>
        <w:tc>
          <w:tcPr>
            <w:tcW w:type="dxa" w:w="2088"/>
            <w:shd w:val="clear" w:color="auto" w:fill="E8ECF3"/>
          </w:tcPr>
          <w:p>
            <w:r/>
            <w:r>
              <w:rPr>
                <w:b/>
                <w:sz w:val="19"/>
              </w:rPr>
              <w:t>AC interview</w:t>
            </w:r>
          </w:p>
        </w:tc>
        <w:tc>
          <w:tcPr>
            <w:tcW w:type="dxa" w:w="7272"/>
          </w:tcPr>
          <w:p>
            <w:pPr>
              <w:spacing w:after="40"/>
            </w:pPr>
            <w:r/>
            <w:r>
              <w:rPr>
                <w:sz w:val="19"/>
              </w:rPr>
              <w:t>Aethon’s “senior leadership” discussed “specific timelines”; “They were not hedging”; Aethon had engaged regulatory consultants and was hiring local personnel and setting up distribution. “The contract didn’t require a specific form of notice”; the language “was not narrowly prescriptive.” Accounting: exercise “constituted a contract modification.” (AC Tr. §§ 4.5, 4.6)</w:t>
            </w:r>
          </w:p>
        </w:tc>
      </w:tr>
      <w:tr>
        <w:tc>
          <w:tcPr>
            <w:tcW w:type="dxa" w:w="2088"/>
            <w:shd w:val="clear" w:color="auto" w:fill="E8ECF3"/>
          </w:tcPr>
          <w:p>
            <w:r/>
            <w:r>
              <w:rPr>
                <w:b/>
                <w:sz w:val="19"/>
              </w:rPr>
              <w:t>SEC deposition (sworn)</w:t>
            </w:r>
          </w:p>
        </w:tc>
        <w:tc>
          <w:tcPr>
            <w:tcW w:type="dxa" w:w="7272"/>
          </w:tcPr>
          <w:p>
            <w:pPr>
              <w:spacing w:after="40"/>
            </w:pPr>
            <w:r/>
            <w:r>
              <w:rPr>
                <w:sz w:val="19"/>
              </w:rPr>
              <w:t>October exchange with Crestline BD in which Aethon “expressed interest” in “European markets” and “asked about pricing, terms, and the process for exercising their territorial options.” The agreement “contemplated a written notice.” “They ultimately did exercise them formally in Q2 2023.” (SEC Dep. §§ 4.3, 6)</w:t>
            </w:r>
          </w:p>
        </w:tc>
      </w:tr>
      <w:tr>
        <w:tc>
          <w:tcPr>
            <w:tcW w:type="dxa" w:w="2088"/>
            <w:shd w:val="clear" w:color="auto" w:fill="E8ECF3"/>
          </w:tcPr>
          <w:p>
            <w:r/>
            <w:r>
              <w:rPr>
                <w:b/>
                <w:sz w:val="19"/>
              </w:rPr>
              <w:t>DOJ proffer</w:t>
            </w:r>
          </w:p>
        </w:tc>
        <w:tc>
          <w:tcPr>
            <w:tcW w:type="dxa" w:w="7272"/>
          </w:tcPr>
          <w:p>
            <w:pPr>
              <w:spacing w:after="40"/>
            </w:pPr>
            <w:r/>
            <w:r>
              <w:rPr>
                <w:sz w:val="19"/>
              </w:rPr>
              <w:t>Aethon expressed “strong interest” and began discussing commercial plans; reviewed by Halpern, Falcone, and Simmons; the contract did not require formal written notice “as the exclusive method of exercise.” (Proffer Mem. § V.C)</w:t>
            </w:r>
          </w:p>
        </w:tc>
      </w:tr>
      <w:tr>
        <w:tc>
          <w:tcPr>
            <w:tcW w:type="dxa" w:w="2088"/>
            <w:shd w:val="clear" w:color="auto" w:fill="E8ECF3"/>
          </w:tcPr>
          <w:p>
            <w:r/>
            <w:r>
              <w:rPr>
                <w:b/>
                <w:sz w:val="19"/>
              </w:rPr>
              <w:t>Documents / other record</w:t>
            </w:r>
          </w:p>
        </w:tc>
        <w:tc>
          <w:tcPr>
            <w:tcW w:type="dxa" w:w="7272"/>
          </w:tcPr>
          <w:p>
            <w:pPr>
              <w:spacing w:after="40"/>
            </w:pPr>
            <w:r/>
            <w:r>
              <w:rPr>
                <w:sz w:val="19"/>
              </w:rPr>
              <w:t>KDC-004 Email 3: Halpern quotes Aethon’s Oct. 3 email — “intend to move forward with the European and Asian territories pending final board approval” — and states that “the option exercise requires ‘written notice of intent to exercise’” under § 6.1(c). Email 2: Aethon’s formal approvals “may not be complete until early next year.” Compl. ¶¶ 50-51, 54, 58: § 8.3 — “exercise shall be effected only by written notice”; emails said “we are evaluating” and “likely to move forward” and concerned EU/UK; no notice delivered at any time, and none as of Nov. 17, 2023.</w:t>
            </w:r>
          </w:p>
        </w:tc>
      </w:tr>
      <w:tr>
        <w:tc>
          <w:tcPr>
            <w:tcW w:type="dxa" w:w="2088"/>
            <w:shd w:val="clear" w:color="auto" w:fill="E8ECF3"/>
          </w:tcPr>
          <w:p>
            <w:r/>
            <w:r>
              <w:rPr>
                <w:b/>
                <w:sz w:val="19"/>
              </w:rPr>
              <w:t>Nature of inconsistency</w:t>
            </w:r>
          </w:p>
        </w:tc>
        <w:tc>
          <w:tcPr>
            <w:tcW w:type="dxa" w:w="7272"/>
          </w:tcPr>
          <w:p>
            <w:pPr>
              <w:spacing w:after="40"/>
            </w:pPr>
            <w:r/>
            <w:r>
              <w:rPr>
                <w:sz w:val="19"/>
              </w:rPr>
              <w:t>(a) His AC statement that no particular form of notice was required is contradicted by his own contemporaneous email and by the quoted contract text; (b) the description of the October emails has changed four ways (committed and not hedging; inquiry about how to exercise; strong interest; “pending final board approval”); an inquiry about “the process for exercising” is itself an admission that exercise had not occurred; (c) the sworn Q2 2023 formal-exercise claim conflicts with the Complaint; (d) the AC description of Aethon’s on-the-ground conduct appears nowhere in the documents; (e) his accounting characterization shifted (contract modification vs. distinct performance obligation, KDC-004).</w:t>
            </w:r>
          </w:p>
        </w:tc>
      </w:tr>
      <w:tr>
        <w:tc>
          <w:tcPr>
            <w:tcW w:type="dxa" w:w="2088"/>
            <w:shd w:val="clear" w:color="auto" w:fill="E8ECF3"/>
          </w:tcPr>
          <w:p>
            <w:r/>
            <w:r>
              <w:rPr>
                <w:b/>
                <w:sz w:val="19"/>
              </w:rPr>
              <w:t>Government use</w:t>
            </w:r>
          </w:p>
        </w:tc>
        <w:tc>
          <w:tcPr>
            <w:tcW w:type="dxa" w:w="7272"/>
          </w:tcPr>
          <w:p>
            <w:pPr>
              <w:spacing w:after="40"/>
            </w:pPr>
            <w:r/>
            <w:r>
              <w:rPr>
                <w:sz w:val="19"/>
              </w:rPr>
              <w:t>Expert and documentary impeachment of a CPA who described the contract inaccurately to the Audit Committee; a sworn misstatement of a verifiable fact (Q2 2023 exercise) is a clean § 1623 candidate if false.</w:t>
            </w:r>
          </w:p>
        </w:tc>
      </w:tr>
      <w:tr>
        <w:tc>
          <w:tcPr>
            <w:tcW w:type="dxa" w:w="2088"/>
            <w:shd w:val="clear" w:color="auto" w:fill="E8ECF3"/>
          </w:tcPr>
          <w:p>
            <w:r/>
            <w:r>
              <w:rPr>
                <w:b/>
                <w:sz w:val="19"/>
              </w:rPr>
              <w:t>Defense response</w:t>
            </w:r>
          </w:p>
        </w:tc>
        <w:tc>
          <w:tcPr>
            <w:tcW w:type="dxa" w:w="7272"/>
          </w:tcPr>
          <w:p>
            <w:pPr>
              <w:spacing w:after="40"/>
            </w:pPr>
            <w:r/>
            <w:r>
              <w:rPr>
                <w:sz w:val="19"/>
              </w:rPr>
              <w:t>If Aethon did exercise in 2023, that fact is our best “economic substance” evidence and squarely rebuts Compl. ¶ 58 — it must be verified immediately. If not, Dr. Halpern must not repeat it. Confirm which section (§ 6.1(c) or § 8.3) actually governs and its exact words.</w:t>
            </w:r>
          </w:p>
        </w:tc>
      </w:tr>
      <w:tr>
        <w:tc>
          <w:tcPr>
            <w:tcW w:type="dxa" w:w="2088"/>
            <w:shd w:val="clear" w:color="auto" w:fill="E8ECF3"/>
          </w:tcPr>
          <w:p>
            <w:r/>
            <w:r>
              <w:rPr>
                <w:b/>
                <w:sz w:val="19"/>
              </w:rPr>
              <w:t>Action items</w:t>
            </w:r>
          </w:p>
        </w:tc>
        <w:tc>
          <w:tcPr>
            <w:tcW w:type="dxa" w:w="7272"/>
          </w:tcPr>
          <w:p>
            <w:pPr>
              <w:spacing w:after="40"/>
            </w:pPr>
            <w:r/>
            <w:r>
              <w:rPr>
                <w:sz w:val="19"/>
              </w:rPr>
              <w:t>Aethon Agreement (full), the Oct. 3, 2022 email chain (native), any 2023 exercise notice or payment, Aethon AR confirmation responses, evidence of Aethon regulatory/commercial activity in the territories.</w:t>
            </w:r>
          </w:p>
        </w:tc>
      </w:tr>
    </w:tbl>
    <w:p>
      <w:pPr>
        <w:spacing w:after="40"/>
      </w:pPr>
    </w:p>
    <w:p>
      <w:pPr>
        <w:pStyle w:val="Heading2"/>
      </w:pPr>
      <w:r>
        <w:t>Issue 8 — Meridian Milestone: Date, Source, and the “Preliminary” Report [HIGH]</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40"/>
            <w:shd w:val="clear" w:color="auto" w:fill="1F2A44"/>
          </w:tcPr>
          <w:p>
            <w:r/>
            <w:r>
              <w:rPr>
                <w:b/>
                <w:color w:val="FFFFFF"/>
                <w:sz w:val="19"/>
              </w:rPr>
              <w:t>Element</w:t>
            </w:r>
          </w:p>
        </w:tc>
        <w:tc>
          <w:tcPr>
            <w:tcW w:type="dxa" w:w="1872"/>
            <w:shd w:val="clear" w:color="auto" w:fill="1F2A44"/>
          </w:tcPr>
          <w:p>
            <w:r/>
            <w:r>
              <w:rPr>
                <w:b/>
                <w:color w:val="FFFFFF"/>
                <w:sz w:val="19"/>
              </w:rPr>
              <w:t>AC interview (Nov. 2023)</w:t>
            </w:r>
          </w:p>
        </w:tc>
        <w:tc>
          <w:tcPr>
            <w:tcW w:type="dxa" w:w="2016"/>
            <w:shd w:val="clear" w:color="auto" w:fill="1F2A44"/>
          </w:tcPr>
          <w:p>
            <w:r/>
            <w:r>
              <w:rPr>
                <w:b/>
                <w:color w:val="FFFFFF"/>
                <w:sz w:val="19"/>
              </w:rPr>
              <w:t>SEC deposition (Apr. 2024)</w:t>
            </w:r>
          </w:p>
        </w:tc>
        <w:tc>
          <w:tcPr>
            <w:tcW w:type="dxa" w:w="1872"/>
            <w:shd w:val="clear" w:color="auto" w:fill="1F2A44"/>
          </w:tcPr>
          <w:p>
            <w:r/>
            <w:r>
              <w:rPr>
                <w:b/>
                <w:color w:val="FFFFFF"/>
                <w:sz w:val="19"/>
              </w:rPr>
              <w:t>DOJ proffer (Aug. 2024)</w:t>
            </w:r>
          </w:p>
        </w:tc>
        <w:tc>
          <w:tcPr>
            <w:tcW w:type="dxa" w:w="2160"/>
            <w:shd w:val="clear" w:color="auto" w:fill="1F2A44"/>
          </w:tcPr>
          <w:p>
            <w:r/>
            <w:r>
              <w:rPr>
                <w:b/>
                <w:color w:val="FFFFFF"/>
                <w:sz w:val="19"/>
              </w:rPr>
              <w:t>Documents</w:t>
            </w:r>
          </w:p>
        </w:tc>
      </w:tr>
      <w:tr>
        <w:tc>
          <w:tcPr>
            <w:tcW w:type="dxa" w:w="1440"/>
          </w:tcPr>
          <w:p>
            <w:pPr>
              <w:spacing w:after="40"/>
            </w:pPr>
            <w:r/>
            <w:r>
              <w:rPr>
                <w:sz w:val="19"/>
              </w:rPr>
              <w:t>Date confirmation received</w:t>
            </w:r>
          </w:p>
        </w:tc>
        <w:tc>
          <w:tcPr>
            <w:tcW w:type="dxa" w:w="1872"/>
          </w:tcPr>
          <w:p>
            <w:pPr>
              <w:spacing w:after="40"/>
            </w:pPr>
            <w:r/>
            <w:r>
              <w:rPr>
                <w:sz w:val="19"/>
              </w:rPr>
              <w:t>“late November 2021”</w:t>
            </w:r>
          </w:p>
        </w:tc>
        <w:tc>
          <w:tcPr>
            <w:tcW w:type="dxa" w:w="2016"/>
          </w:tcPr>
          <w:p>
            <w:pPr>
              <w:spacing w:after="40"/>
            </w:pPr>
            <w:r/>
            <w:r>
              <w:rPr>
                <w:sz w:val="19"/>
              </w:rPr>
              <w:t>“mid-December 2021, approximately December 14 or 15”</w:t>
            </w:r>
          </w:p>
        </w:tc>
        <w:tc>
          <w:tcPr>
            <w:tcW w:type="dxa" w:w="1872"/>
          </w:tcPr>
          <w:p>
            <w:pPr>
              <w:spacing w:after="40"/>
            </w:pPr>
            <w:r/>
            <w:r>
              <w:rPr>
                <w:sz w:val="19"/>
              </w:rPr>
              <w:t>“before Christmas 2021 … the December 20th timeframe”</w:t>
            </w:r>
          </w:p>
        </w:tc>
        <w:tc>
          <w:tcPr>
            <w:tcW w:type="dxa" w:w="2160"/>
          </w:tcPr>
          <w:p>
            <w:pPr>
              <w:spacing w:after="40"/>
            </w:pPr>
            <w:r/>
            <w:r>
              <w:rPr>
                <w:sz w:val="19"/>
              </w:rPr>
              <w:t>Memo dated Dec. 28, 2021 (KDC-001); DMC confirmation Feb. 7, 2022 (Compl. ¶¶ 39, 42)</w:t>
            </w:r>
          </w:p>
        </w:tc>
      </w:tr>
      <w:tr>
        <w:tc>
          <w:tcPr>
            <w:tcW w:type="dxa" w:w="1440"/>
          </w:tcPr>
          <w:p>
            <w:pPr>
              <w:spacing w:after="40"/>
            </w:pPr>
            <w:r/>
            <w:r>
              <w:rPr>
                <w:sz w:val="19"/>
              </w:rPr>
              <w:t>Source</w:t>
            </w:r>
          </w:p>
        </w:tc>
        <w:tc>
          <w:tcPr>
            <w:tcW w:type="dxa" w:w="1872"/>
          </w:tcPr>
          <w:p>
            <w:pPr>
              <w:spacing w:after="40"/>
            </w:pPr>
            <w:r/>
            <w:r>
              <w:rPr>
                <w:sz w:val="19"/>
              </w:rPr>
              <w:t>Meridian project manager via Patricia Simmons’s BD team</w:t>
            </w:r>
          </w:p>
        </w:tc>
        <w:tc>
          <w:tcPr>
            <w:tcW w:type="dxa" w:w="2016"/>
          </w:tcPr>
          <w:p>
            <w:pPr>
              <w:spacing w:after="40"/>
            </w:pPr>
            <w:r/>
            <w:r>
              <w:rPr>
                <w:sz w:val="19"/>
              </w:rPr>
              <w:t>Meridian PM; relayed by Liang or Yoon from clinical ops or Meridian</w:t>
            </w:r>
          </w:p>
        </w:tc>
        <w:tc>
          <w:tcPr>
            <w:tcW w:type="dxa" w:w="1872"/>
          </w:tcPr>
          <w:p>
            <w:pPr>
              <w:spacing w:after="40"/>
            </w:pPr>
            <w:r/>
            <w:r>
              <w:rPr>
                <w:sz w:val="19"/>
              </w:rPr>
              <w:t>“Meridian project team”; “an email or a progress report from the Meridian clinical team”</w:t>
            </w:r>
          </w:p>
        </w:tc>
        <w:tc>
          <w:tcPr>
            <w:tcW w:type="dxa" w:w="2160"/>
          </w:tcPr>
          <w:p>
            <w:pPr>
              <w:spacing w:after="40"/>
            </w:pPr>
            <w:r/>
            <w:r>
              <w:rPr>
                <w:sz w:val="19"/>
              </w:rPr>
              <w:t>“preliminary enrollment report received from the Meridian clinical operations team” and data from “Meridian’s project management team” (KDC-001 § II)</w:t>
            </w:r>
          </w:p>
        </w:tc>
      </w:tr>
      <w:tr>
        <w:tc>
          <w:tcPr>
            <w:tcW w:type="dxa" w:w="1440"/>
          </w:tcPr>
          <w:p>
            <w:pPr>
              <w:spacing w:after="40"/>
            </w:pPr>
            <w:r/>
            <w:r>
              <w:rPr>
                <w:sz w:val="19"/>
              </w:rPr>
              <w:t>Preliminary?</w:t>
            </w:r>
          </w:p>
        </w:tc>
        <w:tc>
          <w:tcPr>
            <w:tcW w:type="dxa" w:w="1872"/>
          </w:tcPr>
          <w:p>
            <w:pPr>
              <w:spacing w:after="40"/>
            </w:pPr>
            <w:r/>
            <w:r>
              <w:rPr>
                <w:sz w:val="19"/>
              </w:rPr>
              <w:t>Not aware of any suggestion it was preliminary; memo did not reference uncertainty; “If there had been any uncertainty flagged in the memo, I would have noticed it”</w:t>
            </w:r>
          </w:p>
        </w:tc>
        <w:tc>
          <w:tcPr>
            <w:tcW w:type="dxa" w:w="2016"/>
          </w:tcPr>
          <w:p>
            <w:pPr>
              <w:spacing w:after="40"/>
            </w:pPr>
            <w:r/>
            <w:r>
              <w:rPr>
                <w:sz w:val="19"/>
              </w:rPr>
              <w:t>Volunteered “we relied on a preliminary enrollment report”; then did not recall the characterization; after reviewing Ex. 4: memo “does not appear to characterize the data as preliminary”</w:t>
            </w:r>
          </w:p>
        </w:tc>
        <w:tc>
          <w:tcPr>
            <w:tcW w:type="dxa" w:w="1872"/>
          </w:tcPr>
          <w:p>
            <w:pPr>
              <w:spacing w:after="40"/>
            </w:pPr>
            <w:r/>
            <w:r>
              <w:rPr>
                <w:sz w:val="19"/>
              </w:rPr>
              <w:t>“I understood at the time that the milestone had been met”; accepts AC findings</w:t>
            </w:r>
          </w:p>
        </w:tc>
        <w:tc>
          <w:tcPr>
            <w:tcW w:type="dxa" w:w="2160"/>
          </w:tcPr>
          <w:p>
            <w:pPr>
              <w:spacing w:after="40"/>
            </w:pPr>
            <w:r/>
            <w:r>
              <w:rPr>
                <w:sz w:val="19"/>
              </w:rPr>
              <w:t>KDC-001 § II uses “preliminary”; Compl. ¶ 41 says memo p. 2 also said “subject to verification by the data monitoring committee”</w:t>
            </w:r>
          </w:p>
        </w:tc>
      </w:tr>
      <w:tr>
        <w:tc>
          <w:tcPr>
            <w:tcW w:type="dxa" w:w="1440"/>
          </w:tcPr>
          <w:p>
            <w:pPr>
              <w:spacing w:after="40"/>
            </w:pPr>
            <w:r/>
            <w:r>
              <w:rPr>
                <w:sz w:val="19"/>
              </w:rPr>
              <w:t>When he learned of a problem</w:t>
            </w:r>
          </w:p>
        </w:tc>
        <w:tc>
          <w:tcPr>
            <w:tcW w:type="dxa" w:w="1872"/>
          </w:tcPr>
          <w:p>
            <w:pPr>
              <w:spacing w:after="40"/>
            </w:pPr>
            <w:r/>
            <w:r>
              <w:rPr>
                <w:sz w:val="19"/>
              </w:rPr>
              <w:t>“much later — I believe during this investigation”</w:t>
            </w:r>
          </w:p>
        </w:tc>
        <w:tc>
          <w:tcPr>
            <w:tcW w:type="dxa" w:w="2016"/>
          </w:tcPr>
          <w:p>
            <w:pPr>
              <w:spacing w:after="40"/>
            </w:pPr>
            <w:r/>
            <w:r>
              <w:rPr>
                <w:sz w:val="19"/>
              </w:rPr>
              <w:t>Understands AC conclusion</w:t>
            </w:r>
          </w:p>
        </w:tc>
        <w:tc>
          <w:tcPr>
            <w:tcW w:type="dxa" w:w="1872"/>
          </w:tcPr>
          <w:p>
            <w:pPr>
              <w:spacing w:after="40"/>
            </w:pPr>
            <w:r/>
            <w:r>
              <w:rPr>
                <w:sz w:val="19"/>
              </w:rPr>
              <w:t>Restatement “concluded otherwise”</w:t>
            </w:r>
          </w:p>
        </w:tc>
        <w:tc>
          <w:tcPr>
            <w:tcW w:type="dxa" w:w="2160"/>
          </w:tcPr>
          <w:p>
            <w:pPr>
              <w:spacing w:after="40"/>
            </w:pPr>
            <w:r/>
            <w:r>
              <w:rPr>
                <w:sz w:val="19"/>
              </w:rPr>
              <w:t>February 2022 confirmation preceded the FY2021 10-K (Mar. 16, 2022)</w:t>
            </w:r>
          </w:p>
        </w:tc>
      </w:tr>
    </w:tbl>
    <w:p>
      <w:pPr>
        <w:spacing w:after="40"/>
      </w:pPr>
    </w:p>
    <w:p>
      <w:pPr>
        <w:spacing w:after="120"/>
        <w:jc w:val="both"/>
      </w:pPr>
      <w:r>
        <w:rPr>
          <w:b/>
        </w:rPr>
        <w:t>Assessment.</w:t>
      </w:r>
      <w:r>
        <w:t xml:space="preserve"> The shifting date, which the August 9 memo identified, is the less serious problem; dates three years old are naturally imprecise. The serious problem is that the memo he signed contains the word “preliminary.” His AC statement that he read memos carefully and would have noticed any flagged uncertainty therefore traps him: either he did not read the memo he signed, or he read it and knew the report was preliminary. His sworn answer after reviewing Ex. 4 is contradicted by the text of KDC-001 (assuming KDC-001 and Ex. 4 are the same document — the Complaint’s quotation suggests Ex. 4 may contain additional DMC language, which would make the answer worse). The KDC-001 trigger description (payment due within 30 days after “first dosing of the first patient,” § 4.3(b)) also differs from the Complaint’s “confirmed first-patient enrollment” (§ 4.2(b)) — a contract question we should resolve because it may help (if dosing, not DMC confirmation, was the trigger) or hurt.</w:t>
      </w:r>
    </w:p>
    <w:p>
      <w:pPr>
        <w:spacing w:after="120"/>
        <w:jc w:val="both"/>
      </w:pPr>
      <w:r>
        <w:rPr>
          <w:b/>
        </w:rPr>
        <w:t>Action items.</w:t>
      </w:r>
      <w:r>
        <w:t xml:space="preserve"> Meridian Agreement (full); the “preliminary enrollment report” itself; Meridian invoice date and cash receipt (a payment received within 30 days of a December trigger would corroborate good faith; a payment in March 2022 would corroborate the February trigger); the version of the memo marked as Ex. 4.</w:t>
      </w:r>
    </w:p>
    <w:p>
      <w:pPr>
        <w:pStyle w:val="Heading2"/>
      </w:pPr>
      <w:r>
        <w:t>Issue 9 — Management Style and Depth of Review [HIGH]</w:t>
      </w:r>
    </w:p>
    <w:tbl>
      <w:tblPr>
        <w:tblStyle w:val="TableGrid"/>
        <w:tblW w:type="auto" w:w="0"/>
        <w:tblLook w:firstColumn="1" w:firstRow="1" w:lastColumn="0" w:lastRow="0" w:noHBand="0" w:noVBand="1" w:val="04A0"/>
      </w:tblPr>
      <w:tblGrid>
        <w:gridCol w:w="4680"/>
        <w:gridCol w:w="4680"/>
      </w:tblGrid>
      <w:tr>
        <w:tc>
          <w:tcPr>
            <w:tcW w:type="dxa" w:w="2088"/>
            <w:shd w:val="clear" w:color="auto" w:fill="E8ECF3"/>
          </w:tcPr>
          <w:p>
            <w:r/>
            <w:r>
              <w:rPr>
                <w:b/>
                <w:sz w:val="19"/>
              </w:rPr>
              <w:t>AC interview</w:t>
            </w:r>
          </w:p>
        </w:tc>
        <w:tc>
          <w:tcPr>
            <w:tcW w:type="dxa" w:w="7272"/>
          </w:tcPr>
          <w:p>
            <w:pPr>
              <w:spacing w:after="40"/>
            </w:pPr>
            <w:r/>
            <w:r>
              <w:rPr>
                <w:sz w:val="19"/>
              </w:rPr>
              <w:t>“I had a very hands-on management style … I personally reviewed every revenue recognition memo”; “I didn’t sign off on anything without reading it carefully”; “I didn’t delegate the important judgments”; “the buck stopped with me”; “Every significant revenue recognition judgment went through me.” (AC Tr. §§ 2.1, 8.1)</w:t>
            </w:r>
          </w:p>
        </w:tc>
      </w:tr>
      <w:tr>
        <w:tc>
          <w:tcPr>
            <w:tcW w:type="dxa" w:w="2088"/>
            <w:shd w:val="clear" w:color="auto" w:fill="E8ECF3"/>
          </w:tcPr>
          <w:p>
            <w:r/>
            <w:r>
              <w:rPr>
                <w:b/>
                <w:sz w:val="19"/>
              </w:rPr>
              <w:t>SEC deposition (sworn)</w:t>
            </w:r>
          </w:p>
        </w:tc>
        <w:tc>
          <w:tcPr>
            <w:tcW w:type="dxa" w:w="7272"/>
          </w:tcPr>
          <w:p>
            <w:pPr>
              <w:spacing w:after="40"/>
            </w:pPr>
            <w:r/>
            <w:r>
              <w:rPr>
                <w:sz w:val="19"/>
              </w:rPr>
              <w:t>“I would describe myself as a big picture CFO”; reviewed “at a high level”; “my signature reflected my reliance on the team’s analysis rather than an independent line-by-line review”; recognition of $7.1M “would have been a team decision.” (SEC Dep. §§ 1, 2, 4.2)</w:t>
            </w:r>
          </w:p>
        </w:tc>
      </w:tr>
      <w:tr>
        <w:tc>
          <w:tcPr>
            <w:tcW w:type="dxa" w:w="2088"/>
            <w:shd w:val="clear" w:color="auto" w:fill="E8ECF3"/>
          </w:tcPr>
          <w:p>
            <w:r/>
            <w:r>
              <w:rPr>
                <w:b/>
                <w:sz w:val="19"/>
              </w:rPr>
              <w:t>DOJ proffer</w:t>
            </w:r>
          </w:p>
        </w:tc>
        <w:tc>
          <w:tcPr>
            <w:tcW w:type="dxa" w:w="7272"/>
          </w:tcPr>
          <w:p>
            <w:pPr>
              <w:spacing w:after="40"/>
            </w:pPr>
            <w:r/>
            <w:r>
              <w:rPr>
                <w:sz w:val="19"/>
              </w:rPr>
              <w:t>“involved in all significant judgments but relied on staff for factual inputs”; “I reviewed and approved those memos and made the final call on significant items.” (Proffer Mem. § III.E)</w:t>
            </w:r>
          </w:p>
        </w:tc>
      </w:tr>
      <w:tr>
        <w:tc>
          <w:tcPr>
            <w:tcW w:type="dxa" w:w="2088"/>
            <w:shd w:val="clear" w:color="auto" w:fill="E8ECF3"/>
          </w:tcPr>
          <w:p>
            <w:r/>
            <w:r>
              <w:rPr>
                <w:b/>
                <w:sz w:val="19"/>
              </w:rPr>
              <w:t>Documents / other record</w:t>
            </w:r>
          </w:p>
        </w:tc>
        <w:tc>
          <w:tcPr>
            <w:tcW w:type="dxa" w:w="7272"/>
          </w:tcPr>
          <w:p>
            <w:pPr>
              <w:spacing w:after="40"/>
            </w:pPr>
            <w:r/>
            <w:r>
              <w:rPr>
                <w:sz w:val="19"/>
              </w:rPr>
              <w:t>KDC-003 (“frame the analysis before we commit to anything in the workpapers”); KDC-004 Email 3 (“I’ve asked him [Yoon] to model this as a distinct performance obligation”); Compl. ¶ 68 (led ASC 606 adoption).</w:t>
            </w:r>
          </w:p>
        </w:tc>
      </w:tr>
      <w:tr>
        <w:tc>
          <w:tcPr>
            <w:tcW w:type="dxa" w:w="2088"/>
            <w:shd w:val="clear" w:color="auto" w:fill="E8ECF3"/>
          </w:tcPr>
          <w:p>
            <w:r/>
            <w:r>
              <w:rPr>
                <w:b/>
                <w:sz w:val="19"/>
              </w:rPr>
              <w:t>Nature of inconsistency</w:t>
            </w:r>
          </w:p>
        </w:tc>
        <w:tc>
          <w:tcPr>
            <w:tcW w:type="dxa" w:w="7272"/>
          </w:tcPr>
          <w:p>
            <w:pPr>
              <w:spacing w:after="40"/>
            </w:pPr>
            <w:r/>
            <w:r>
              <w:rPr>
                <w:sz w:val="19"/>
              </w:rPr>
              <w:t>Classic tailoring: maximal involvement when the audience was the Audit Committee evaluating his good faith; minimal involvement when the SEC was building a fraud case; middle ground at DOJ. The documents show him directing conclusions, not merely reviewing them.</w:t>
            </w:r>
          </w:p>
        </w:tc>
      </w:tr>
      <w:tr>
        <w:tc>
          <w:tcPr>
            <w:tcW w:type="dxa" w:w="2088"/>
            <w:shd w:val="clear" w:color="auto" w:fill="E8ECF3"/>
          </w:tcPr>
          <w:p>
            <w:r/>
            <w:r>
              <w:rPr>
                <w:b/>
                <w:sz w:val="19"/>
              </w:rPr>
              <w:t>Government use</w:t>
            </w:r>
          </w:p>
        </w:tc>
        <w:tc>
          <w:tcPr>
            <w:tcW w:type="dxa" w:w="7272"/>
          </w:tcPr>
          <w:p>
            <w:pPr>
              <w:spacing w:after="40"/>
            </w:pPr>
            <w:r/>
            <w:r>
              <w:rPr>
                <w:sz w:val="19"/>
              </w:rPr>
              <w:t>The AC statements will be used in the case-in-chief to establish personal responsibility; the SEC statements to show willingness to shift blame to subordinates (Liang, Yoon) who will be government witnesses.</w:t>
            </w:r>
          </w:p>
        </w:tc>
      </w:tr>
      <w:tr>
        <w:tc>
          <w:tcPr>
            <w:tcW w:type="dxa" w:w="2088"/>
            <w:shd w:val="clear" w:color="auto" w:fill="E8ECF3"/>
          </w:tcPr>
          <w:p>
            <w:r/>
            <w:r>
              <w:rPr>
                <w:b/>
                <w:sz w:val="19"/>
              </w:rPr>
              <w:t>Defense response</w:t>
            </w:r>
          </w:p>
        </w:tc>
        <w:tc>
          <w:tcPr>
            <w:tcW w:type="dxa" w:w="7272"/>
          </w:tcPr>
          <w:p>
            <w:pPr>
              <w:spacing w:after="40"/>
            </w:pPr>
            <w:r/>
            <w:r>
              <w:rPr>
                <w:sz w:val="19"/>
              </w:rPr>
              <w:t>The proffer formulation is the only one we can safely build on (and the one the rebuttal clause protects). A delegation/blame-the-team defense is foreclosed by the AC transcript and KDC-004.</w:t>
            </w:r>
          </w:p>
        </w:tc>
      </w:tr>
    </w:tbl>
    <w:p>
      <w:pPr>
        <w:spacing w:after="40"/>
      </w:pPr>
    </w:p>
    <w:p>
      <w:pPr>
        <w:pStyle w:val="Heading2"/>
      </w:pPr>
      <w:r>
        <w:t>Issue 10 — Resignation Reasons and Knowledge of the SEC Complaint [HIGH]</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40"/>
            <w:shd w:val="clear" w:color="auto" w:fill="1F2A44"/>
          </w:tcPr>
          <w:p>
            <w:r/>
            <w:r>
              <w:rPr>
                <w:b/>
                <w:color w:val="FFFFFF"/>
                <w:sz w:val="19"/>
              </w:rPr>
              <w:t>Point</w:t>
            </w:r>
          </w:p>
        </w:tc>
        <w:tc>
          <w:tcPr>
            <w:tcW w:type="dxa" w:w="1872"/>
            <w:shd w:val="clear" w:color="auto" w:fill="1F2A44"/>
          </w:tcPr>
          <w:p>
            <w:r/>
            <w:r>
              <w:rPr>
                <w:b/>
                <w:color w:val="FFFFFF"/>
                <w:sz w:val="19"/>
              </w:rPr>
              <w:t>Resignation letter (KDC-006)</w:t>
            </w:r>
          </w:p>
        </w:tc>
        <w:tc>
          <w:tcPr>
            <w:tcW w:type="dxa" w:w="2160"/>
            <w:shd w:val="clear" w:color="auto" w:fill="1F2A44"/>
          </w:tcPr>
          <w:p>
            <w:r/>
            <w:r>
              <w:rPr>
                <w:b/>
                <w:color w:val="FFFFFF"/>
                <w:sz w:val="19"/>
              </w:rPr>
              <w:t>AC interview</w:t>
            </w:r>
          </w:p>
        </w:tc>
        <w:tc>
          <w:tcPr>
            <w:tcW w:type="dxa" w:w="2016"/>
            <w:shd w:val="clear" w:color="auto" w:fill="1F2A44"/>
          </w:tcPr>
          <w:p>
            <w:r/>
            <w:r>
              <w:rPr>
                <w:b/>
                <w:color w:val="FFFFFF"/>
                <w:sz w:val="19"/>
              </w:rPr>
              <w:t>SEC deposition</w:t>
            </w:r>
          </w:p>
        </w:tc>
        <w:tc>
          <w:tcPr>
            <w:tcW w:type="dxa" w:w="1872"/>
            <w:shd w:val="clear" w:color="auto" w:fill="1F2A44"/>
          </w:tcPr>
          <w:p>
            <w:r/>
            <w:r>
              <w:rPr>
                <w:b/>
                <w:color w:val="FFFFFF"/>
                <w:sz w:val="19"/>
              </w:rPr>
              <w:t>DOJ proffer</w:t>
            </w:r>
          </w:p>
        </w:tc>
      </w:tr>
      <w:tr>
        <w:tc>
          <w:tcPr>
            <w:tcW w:type="dxa" w:w="1440"/>
          </w:tcPr>
          <w:p>
            <w:pPr>
              <w:spacing w:after="40"/>
            </w:pPr>
            <w:r/>
            <w:r>
              <w:rPr>
                <w:sz w:val="19"/>
              </w:rPr>
              <w:t>Stated reason</w:t>
            </w:r>
          </w:p>
        </w:tc>
        <w:tc>
          <w:tcPr>
            <w:tcW w:type="dxa" w:w="1872"/>
          </w:tcPr>
          <w:p>
            <w:pPr>
              <w:spacing w:after="40"/>
            </w:pPr>
            <w:r/>
            <w:r>
              <w:rPr>
                <w:sz w:val="19"/>
              </w:rPr>
              <w:t>“to focus on personal and family priorities”; proud of “strengthening of our financial infrastructure”</w:t>
            </w:r>
          </w:p>
        </w:tc>
        <w:tc>
          <w:tcPr>
            <w:tcW w:type="dxa" w:w="2160"/>
          </w:tcPr>
          <w:p>
            <w:pPr>
              <w:spacing w:after="40"/>
            </w:pPr>
            <w:r/>
            <w:r>
              <w:rPr>
                <w:sz w:val="19"/>
              </w:rPr>
              <w:t>Personal reasons; strain; two young children; “also considering other career opportunities”</w:t>
            </w:r>
          </w:p>
        </w:tc>
        <w:tc>
          <w:tcPr>
            <w:tcW w:type="dxa" w:w="2016"/>
          </w:tcPr>
          <w:p>
            <w:pPr>
              <w:spacing w:after="40"/>
            </w:pPr>
            <w:r/>
            <w:r>
              <w:rPr>
                <w:sz w:val="19"/>
              </w:rPr>
              <w:t>“personal and family reasons”; “lifestyle decision” with his wife; no position lined up</w:t>
            </w:r>
          </w:p>
        </w:tc>
        <w:tc>
          <w:tcPr>
            <w:tcW w:type="dxa" w:w="1872"/>
          </w:tcPr>
          <w:p>
            <w:pPr>
              <w:spacing w:after="40"/>
            </w:pPr>
            <w:r/>
            <w:r>
              <w:rPr>
                <w:sz w:val="19"/>
              </w:rPr>
              <w:t>“disagreed with the direction the company was heading”; strategic disputes with Petrova over CRT-4400 vs. diversification</w:t>
            </w:r>
          </w:p>
        </w:tc>
      </w:tr>
      <w:tr>
        <w:tc>
          <w:tcPr>
            <w:tcW w:type="dxa" w:w="1440"/>
          </w:tcPr>
          <w:p>
            <w:pPr>
              <w:spacing w:after="40"/>
            </w:pPr>
            <w:r/>
            <w:r>
              <w:rPr>
                <w:sz w:val="19"/>
              </w:rPr>
              <w:t>Knowledge of inquiry</w:t>
            </w:r>
          </w:p>
        </w:tc>
        <w:tc>
          <w:tcPr>
            <w:tcW w:type="dxa" w:w="1872"/>
          </w:tcPr>
          <w:p>
            <w:pPr>
              <w:spacing w:after="40"/>
            </w:pPr>
            <w:r/>
            <w:r>
              <w:rPr>
                <w:sz w:val="19"/>
              </w:rPr>
              <w:t>—</w:t>
            </w:r>
          </w:p>
        </w:tc>
        <w:tc>
          <w:tcPr>
            <w:tcW w:type="dxa" w:w="2160"/>
          </w:tcPr>
          <w:p>
            <w:pPr>
              <w:spacing w:after="40"/>
            </w:pPr>
            <w:r/>
            <w:r>
              <w:rPr>
                <w:sz w:val="19"/>
              </w:rPr>
              <w:t>Aware of “some inquiry,” understood it was routine; “may have been” the SEC; did not recall who told him; “summer of 2023, I think”; later, nobody had contacted him and “This was all news to me”</w:t>
            </w:r>
          </w:p>
        </w:tc>
        <w:tc>
          <w:tcPr>
            <w:tcW w:type="dxa" w:w="2016"/>
          </w:tcPr>
          <w:p>
            <w:pPr>
              <w:spacing w:after="40"/>
            </w:pPr>
            <w:r/>
            <w:r>
              <w:rPr>
                <w:sz w:val="19"/>
              </w:rPr>
              <w:t>Falcone told him in the first or second week of August 2023 that the SEC had received a complaint; no details; “no basis to believe” it concerned revenue recognition</w:t>
            </w:r>
          </w:p>
        </w:tc>
        <w:tc>
          <w:tcPr>
            <w:tcW w:type="dxa" w:w="1872"/>
          </w:tcPr>
          <w:p>
            <w:pPr>
              <w:spacing w:after="40"/>
            </w:pPr>
            <w:r/>
            <w:r>
              <w:rPr>
                <w:sz w:val="19"/>
              </w:rPr>
              <w:t>Falcone mentioned “some kind of inquiry or … a complaint” in August 2023; “routine”</w:t>
            </w:r>
          </w:p>
        </w:tc>
      </w:tr>
      <w:tr>
        <w:tc>
          <w:tcPr>
            <w:tcW w:type="dxa" w:w="1440"/>
          </w:tcPr>
          <w:p>
            <w:pPr>
              <w:spacing w:after="40"/>
            </w:pPr>
            <w:r/>
            <w:r>
              <w:rPr>
                <w:sz w:val="19"/>
              </w:rPr>
              <w:t>Timing</w:t>
            </w:r>
          </w:p>
        </w:tc>
        <w:tc>
          <w:tcPr>
            <w:tcW w:type="dxa" w:w="1872"/>
          </w:tcPr>
          <w:p>
            <w:pPr>
              <w:spacing w:after="40"/>
            </w:pPr>
            <w:r/>
            <w:r>
              <w:rPr>
                <w:sz w:val="19"/>
              </w:rPr>
              <w:t>Effective immediately, mid-Q3 close</w:t>
            </w:r>
          </w:p>
        </w:tc>
        <w:tc>
          <w:tcPr>
            <w:tcW w:type="dxa" w:w="2160"/>
          </w:tcPr>
          <w:p>
            <w:pPr>
              <w:spacing w:after="40"/>
            </w:pPr>
            <w:r/>
            <w:r>
              <w:rPr>
                <w:sz w:val="19"/>
              </w:rPr>
              <w:t>Had been considering it “for some time”; was “transitioning out of the role” in summer 2023</w:t>
            </w:r>
          </w:p>
        </w:tc>
        <w:tc>
          <w:tcPr>
            <w:tcW w:type="dxa" w:w="2016"/>
          </w:tcPr>
          <w:p>
            <w:pPr>
              <w:spacing w:after="40"/>
            </w:pPr>
            <w:r/>
            <w:r>
              <w:rPr>
                <w:sz w:val="19"/>
              </w:rPr>
              <w:t>Discussed generally “for some time”</w:t>
            </w:r>
          </w:p>
        </w:tc>
        <w:tc>
          <w:tcPr>
            <w:tcW w:type="dxa" w:w="1872"/>
          </w:tcPr>
          <w:p>
            <w:pPr>
              <w:spacing w:after="40"/>
            </w:pPr>
            <w:r/>
            <w:r>
              <w:rPr>
                <w:sz w:val="19"/>
              </w:rPr>
              <w:t>“considering leaving for months”</w:t>
            </w:r>
          </w:p>
        </w:tc>
      </w:tr>
    </w:tbl>
    <w:p>
      <w:pPr>
        <w:spacing w:after="40"/>
      </w:pPr>
    </w:p>
    <w:p>
      <w:pPr>
        <w:spacing w:after="120"/>
        <w:jc w:val="both"/>
      </w:pPr>
      <w:r>
        <w:rPr>
          <w:b/>
        </w:rPr>
        <w:t>Assessment.</w:t>
      </w:r>
      <w:r>
        <w:t xml:space="preserve"> The letter, AC, and SEC accounts are broadly consistent with each other; the proffer’s new “strategic differences” reason is the outlier and cannot be squared with the letter’s warm tone or the SEC “lifestyle” answer. On knowledge, the AC answer (could not recall source; “may have been” SEC) is evasive in light of his later sworn testimony that the General Counsel told him specifically that the SEC had received a complaint. Compl. ¶ 71 alleges the complaint was described as relating to accounting and revenue recognition, contradicting his sworn “no basis to believe.” The AC remark that he was already “transitioning out of the role” in summer 2023 — when he learned of the inquiry — will be used to tie the departure decision to the complaint. Defense: both personal and professional reasons can coexist; at trial, avoid any affirmative “personal reasons only” theme, which would invite rebuttal with the proffer’s “strategic differences” statement. Action: identify corroboration for the timing of his decision (spouse, advisers, recruiters, estate or financial planning records dated before August 2023).</w:t>
      </w:r>
    </w:p>
    <w:p>
      <w:pPr>
        <w:pStyle w:val="Heading2"/>
      </w:pPr>
      <w:r>
        <w:t>Issue 11 — Disclosure to the Audit Committee and Board [MEDIUM-HIGH]</w:t>
      </w:r>
    </w:p>
    <w:p>
      <w:pPr>
        <w:spacing w:after="120"/>
        <w:jc w:val="both"/>
      </w:pPr>
      <w:r>
        <w:t xml:space="preserve">AC: “I kept the Board and Audit Committee fully informed of all significant accounting judgments”; both agreements and their treatments were presented; unsure whether he used the words “constructive exercise” (AC Tr. § 6.1). SEC: presentations were “at a higher level”; does not recall raising the Liang email; would not have tied the $8M to guidance (SEC Dep. §§ 4.3, 5, 10). Proffer: “I may not have highlighted those specific issues because they were within management’s normal accounting judgment”; does not recall telling the Committee about three of five or the absence of formal exercise (Proffer Mem. § VII). KDC-005: he did not tell the Committee of Falcone’s concern. The SEC deposition confirms the slide decks were distributed and retained in Board materials — they will show exactly what he said. </w:t>
      </w:r>
      <w:r>
        <w:rPr>
          <w:b/>
        </w:rPr>
        <w:t>The slide decks are the single most important unreviewed documents on this issue and must be obtained before any further statement on the subject.</w:t>
      </w:r>
      <w:r>
        <w:t xml:space="preserve"> The AC “fully informed” statement, made to the Committee’s own counsel about what he told the Committee, is particularly vulnerable because the Committee members are percipient witnesses.</w:t>
      </w:r>
    </w:p>
    <w:p>
      <w:pPr>
        <w:pStyle w:val="Heading2"/>
      </w:pPr>
      <w:r>
        <w:t>Issue 12 — Document Retention, “My Files,” Phone Replacement, and Recovery of the Text [HIGH — obstruction risk]</w:t>
      </w:r>
    </w:p>
    <w:p>
      <w:pPr>
        <w:pStyle w:val="ListBullet"/>
        <w:spacing w:after="60"/>
      </w:pPr>
      <w:r>
        <w:rPr>
          <w:b/>
        </w:rPr>
        <w:t>AC (Nov. 2, 2023, seven weeks after resignation):</w:t>
      </w:r>
      <w:r>
        <w:t xml:space="preserve"> “I reviewed my files before this interview, and I didn’t find anything like that” (AC Tr. § 4.3).</w:t>
      </w:r>
    </w:p>
    <w:p>
      <w:pPr>
        <w:pStyle w:val="ListBullet"/>
        <w:spacing w:after="60"/>
      </w:pPr>
      <w:r>
        <w:rPr>
          <w:b/>
        </w:rPr>
        <w:t>SEC (sworn):</w:t>
      </w:r>
      <w:r>
        <w:t xml:space="preserve"> returned his laptop and company phone; “I did not retain any Crestline documents”; did not copy or delete files (SEC Dep. § 7). If he retained no documents, what “files” did he review in November 2023? Either he retained company materials (contradicting sworn testimony) or the AC statement was a false assurance of diligence.</w:t>
      </w:r>
    </w:p>
    <w:p>
      <w:pPr>
        <w:pStyle w:val="ListBullet"/>
        <w:spacing w:after="60"/>
      </w:pPr>
      <w:r>
        <w:rPr>
          <w:b/>
        </w:rPr>
        <w:t>KDC-005:</w:t>
      </w:r>
      <w:r>
        <w:t xml:space="preserve"> the original text cannot be recovered because Dr. Halpern “replaced his personal mobile phone in early 2023” and the message “was not backed up to cloud storage or any other archival system.” Yet he says he recalled the text by “reviewing old phone records” (KDC-005) or “reviewing my text messages” (Proffer Mem. § V.C). If the messages were not backed up and the phone was replaced, the explanation for how he “found” the text is inconsistent on its face. The text also evidently went to a personal device, which raises the question whether other business communications were conducted on personal devices not produced.</w:t>
      </w:r>
    </w:p>
    <w:p>
      <w:pPr>
        <w:pStyle w:val="ListBullet"/>
        <w:spacing w:after="60"/>
      </w:pPr>
      <w:r>
        <w:rPr>
          <w:b/>
        </w:rPr>
        <w:t>Exposure:</w:t>
      </w:r>
      <w:r>
        <w:t xml:space="preserve"> § 1519 is a listed subject of the investigation (PA § 1). Replacement in early 2023 pre-dates the August 2023 complaint, which helps, but it post-dates the November 2022 text and preceded the March 2023 certifications. We must establish the exact replacement date, disposition of the old device (trade-in, retained, destroyed), and whether any backup exists (iCloud/Google, carrier, computer sync, Crestline MDM if the device was enrolled). Halpern must be instructed in writing to preserve all devices and accounts.</w:t>
      </w:r>
    </w:p>
    <w:p>
      <w:pPr>
        <w:pStyle w:val="Heading2"/>
      </w:pPr>
      <w:r>
        <w:t>Issue 13 — Whether Subordinates Raised Concerns (Yoon, Liang) [MEDIUM]</w:t>
      </w:r>
    </w:p>
    <w:p>
      <w:pPr>
        <w:spacing w:after="120"/>
        <w:jc w:val="both"/>
      </w:pPr>
      <w:r>
        <w:t>In every session Dr. Halpern said he did not recall Yoon raising concerns (SEC Dep. § 8.1; Proffer Mem. § X.A) and described Liang as “appropriately cautious” while not recalling concerns about the $8M or $5.2M items (SEC Dep. § 8.2). The Liang email is itself a raised concern, so any blanket statement that “no one raised concerns” (AC Tr. §§ 4.4, 4.6: “Everyone was aligned”) is already impeached. If Yoon is the whistleblower, as KDC materials suggest (date and identity unconfirmed), he will likely testify to internal concerns. Caution: the August 9 memo states that Yoon’s identity is “based on publicly available information”; the KDC index says the submission date is unconfirmed. Whistleblower identity is protected by statute and any defense conduct that could be characterized as retaliation or intimidation would be catastrophic. No defense contact with Yoon should occur without partner approval and counsel-to-counsel channels.</w:t>
      </w:r>
    </w:p>
    <w:p>
      <w:pPr>
        <w:pStyle w:val="Heading2"/>
      </w:pPr>
      <w:r>
        <w:t>Issue 14 — Technical Accounting Assertions Inconsistent With ASC 606 [MEDIUM]</w:t>
      </w:r>
    </w:p>
    <w:p>
      <w:pPr>
        <w:spacing w:after="120"/>
        <w:jc w:val="both"/>
      </w:pPr>
      <w:r>
        <w:t>Dr. Halpern, a licensed CPA, has offered accounting rationales that an expert will attack and that the SEC uses to argue his expertise negates good faith (Compl. ¶¶ 55, 68): (a) ASC 606 permits recognition when an obligation is “substantially satisfied” (Proffer Mem. § V.B) — the standard turns on transfer of control, and the Complaint characterizes the five-batch delivery as a single performance obligation (Compl. ¶¶ 43, 46); (b) the remaining batches were “ministerial” (KDC-003) and three of five is “sixty percent” (SEC Dep. § 6); (c) the territorial option exercise was a “contract modification” (AC Tr. § 4.5) versus a “distinct performance obligation satisfied at a point in time” (KDC-004); (d) the Meridian milestone was “binary” and “not subject to adjustment or clawback” (KDC-001 § III) despite reliance on a preliminary report. We should retain a consulting (Kovel) accounting expert now to identify which of these positions are defensible judgment calls and which should be abandoned.</w:t>
      </w:r>
    </w:p>
    <w:p>
      <w:pPr>
        <w:pStyle w:val="Heading2"/>
      </w:pPr>
      <w:r>
        <w:t>Issue 15 — Biographical and Peripheral Discrepancies [LOW, cumulative]</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val="clear" w:color="auto" w:fill="1F2A44"/>
          </w:tcPr>
          <w:p>
            <w:r/>
            <w:r>
              <w:rPr>
                <w:b/>
                <w:color w:val="FFFFFF"/>
                <w:sz w:val="19"/>
              </w:rPr>
              <w:t>Topic</w:t>
            </w:r>
          </w:p>
        </w:tc>
        <w:tc>
          <w:tcPr>
            <w:tcW w:type="dxa" w:w="4320"/>
            <w:shd w:val="clear" w:color="auto" w:fill="1F2A44"/>
          </w:tcPr>
          <w:p>
            <w:r/>
            <w:r>
              <w:rPr>
                <w:b/>
                <w:color w:val="FFFFFF"/>
                <w:sz w:val="19"/>
              </w:rPr>
              <w:t>Discrepancy</w:t>
            </w:r>
          </w:p>
        </w:tc>
        <w:tc>
          <w:tcPr>
            <w:tcW w:type="dxa" w:w="3312"/>
            <w:shd w:val="clear" w:color="auto" w:fill="1F2A44"/>
          </w:tcPr>
          <w:p>
            <w:r/>
            <w:r>
              <w:rPr>
                <w:b/>
                <w:color w:val="FFFFFF"/>
                <w:sz w:val="19"/>
              </w:rPr>
              <w:t>Comment</w:t>
            </w:r>
          </w:p>
        </w:tc>
      </w:tr>
      <w:tr>
        <w:tc>
          <w:tcPr>
            <w:tcW w:type="dxa" w:w="1728"/>
          </w:tcPr>
          <w:p>
            <w:pPr>
              <w:spacing w:after="40"/>
            </w:pPr>
            <w:r/>
            <w:r>
              <w:rPr>
                <w:sz w:val="19"/>
              </w:rPr>
              <w:t>Legal name</w:t>
            </w:r>
          </w:p>
        </w:tc>
        <w:tc>
          <w:tcPr>
            <w:tcW w:type="dxa" w:w="4320"/>
          </w:tcPr>
          <w:p>
            <w:pPr>
              <w:spacing w:after="40"/>
            </w:pPr>
            <w:r/>
            <w:r>
              <w:rPr>
                <w:sz w:val="19"/>
              </w:rPr>
              <w:t>“Marcus Alan Halpern” (AC Tr. § 1.3) vs. “Marcus Jonathan Halpern” (SEC Dep., swearing-in)</w:t>
            </w:r>
          </w:p>
        </w:tc>
        <w:tc>
          <w:tcPr>
            <w:tcW w:type="dxa" w:w="3312"/>
          </w:tcPr>
          <w:p>
            <w:pPr>
              <w:spacing w:after="40"/>
            </w:pPr>
            <w:r/>
            <w:r>
              <w:rPr>
                <w:sz w:val="19"/>
              </w:rPr>
              <w:t>Likely a reporting error in one transcript; confirm and document now so it cannot be used to suggest carelessness under oath.</w:t>
            </w:r>
          </w:p>
        </w:tc>
      </w:tr>
      <w:tr>
        <w:tc>
          <w:tcPr>
            <w:tcW w:type="dxa" w:w="1728"/>
          </w:tcPr>
          <w:p>
            <w:pPr>
              <w:spacing w:after="40"/>
            </w:pPr>
            <w:r/>
            <w:r>
              <w:rPr>
                <w:sz w:val="19"/>
              </w:rPr>
              <w:t>Praxon role</w:t>
            </w:r>
          </w:p>
        </w:tc>
        <w:tc>
          <w:tcPr>
            <w:tcW w:type="dxa" w:w="4320"/>
          </w:tcPr>
          <w:p>
            <w:pPr>
              <w:spacing w:after="40"/>
            </w:pPr>
            <w:r/>
            <w:r>
              <w:rPr>
                <w:sz w:val="19"/>
              </w:rPr>
              <w:t>VP Finance of a business unit with ~$200M revenue, reporting to the corporate CFO (SEC Dep. § 1) vs. overseeing finance for a company with ~$600M revenue (Proffer Mem. § III.A)</w:t>
            </w:r>
          </w:p>
        </w:tc>
        <w:tc>
          <w:tcPr>
            <w:tcW w:type="dxa" w:w="3312"/>
          </w:tcPr>
          <w:p>
            <w:pPr>
              <w:spacing w:after="40"/>
            </w:pPr>
            <w:r/>
            <w:r>
              <w:rPr>
                <w:sz w:val="19"/>
              </w:rPr>
              <w:t>Inflation of credentials to DOJ; easily checked.</w:t>
            </w:r>
          </w:p>
        </w:tc>
      </w:tr>
      <w:tr>
        <w:tc>
          <w:tcPr>
            <w:tcW w:type="dxa" w:w="1728"/>
          </w:tcPr>
          <w:p>
            <w:pPr>
              <w:spacing w:after="40"/>
            </w:pPr>
            <w:r/>
            <w:r>
              <w:rPr>
                <w:sz w:val="19"/>
              </w:rPr>
              <w:t>Reporting lines</w:t>
            </w:r>
          </w:p>
        </w:tc>
        <w:tc>
          <w:tcPr>
            <w:tcW w:type="dxa" w:w="4320"/>
          </w:tcPr>
          <w:p>
            <w:pPr>
              <w:spacing w:after="40"/>
            </w:pPr>
            <w:r/>
            <w:r>
              <w:rPr>
                <w:sz w:val="19"/>
              </w:rPr>
              <w:t>Liang and Yoon both direct reports (AC Tr. § 1.3; Proffer Mem. §§ III.E, X.A) vs. Yoon reported to Liang (SEC Dep. §§ 1, 8.1)</w:t>
            </w:r>
          </w:p>
        </w:tc>
        <w:tc>
          <w:tcPr>
            <w:tcW w:type="dxa" w:w="3312"/>
          </w:tcPr>
          <w:p>
            <w:pPr>
              <w:spacing w:after="40"/>
            </w:pPr>
            <w:r/>
            <w:r>
              <w:rPr>
                <w:sz w:val="19"/>
              </w:rPr>
              <w:t>Bears on who reviewed memos and on the delegation narrative.</w:t>
            </w:r>
          </w:p>
        </w:tc>
      </w:tr>
      <w:tr>
        <w:tc>
          <w:tcPr>
            <w:tcW w:type="dxa" w:w="1728"/>
          </w:tcPr>
          <w:p>
            <w:pPr>
              <w:spacing w:after="40"/>
            </w:pPr>
            <w:r/>
            <w:r>
              <w:rPr>
                <w:sz w:val="19"/>
              </w:rPr>
              <w:t>“Dr.” honorific</w:t>
            </w:r>
          </w:p>
        </w:tc>
        <w:tc>
          <w:tcPr>
            <w:tcW w:type="dxa" w:w="4320"/>
          </w:tcPr>
          <w:p>
            <w:pPr>
              <w:spacing w:after="40"/>
            </w:pPr>
            <w:r/>
            <w:r>
              <w:rPr>
                <w:sz w:val="19"/>
              </w:rPr>
              <w:t>Every source styles him “Dr.,” but his stated degrees are a B.S. in Accounting and an MBA (SEC Dep. § 1; AC Tr. § 1.3)</w:t>
            </w:r>
          </w:p>
        </w:tc>
        <w:tc>
          <w:tcPr>
            <w:tcW w:type="dxa" w:w="3312"/>
          </w:tcPr>
          <w:p>
            <w:pPr>
              <w:spacing w:after="40"/>
            </w:pPr>
            <w:r/>
            <w:r>
              <w:rPr>
                <w:sz w:val="19"/>
              </w:rPr>
              <w:t>Confirm whether he holds a doctorate; if not, the honorific is a jury-credibility problem and should not be used by the defense.</w:t>
            </w:r>
          </w:p>
        </w:tc>
      </w:tr>
      <w:tr>
        <w:tc>
          <w:tcPr>
            <w:tcW w:type="dxa" w:w="1728"/>
          </w:tcPr>
          <w:p>
            <w:pPr>
              <w:spacing w:after="40"/>
            </w:pPr>
            <w:r/>
            <w:r>
              <w:rPr>
                <w:sz w:val="19"/>
              </w:rPr>
              <w:t>Bonus metrics</w:t>
            </w:r>
          </w:p>
        </w:tc>
        <w:tc>
          <w:tcPr>
            <w:tcW w:type="dxa" w:w="4320"/>
          </w:tcPr>
          <w:p>
            <w:pPr>
              <w:spacing w:after="40"/>
            </w:pPr>
            <w:r/>
            <w:r>
              <w:rPr>
                <w:sz w:val="19"/>
              </w:rPr>
              <w:t>Revenue, adjusted EBITDA, operating cash flow plus non-financial metrics; revenue weighted ~25-35% (SEC Dep. § 11) vs. revenue, pipeline, operational efficiency, individual objectives (Proffer Mem. § X.C)</w:t>
            </w:r>
          </w:p>
        </w:tc>
        <w:tc>
          <w:tcPr>
            <w:tcW w:type="dxa" w:w="3312"/>
          </w:tcPr>
          <w:p>
            <w:pPr>
              <w:spacing w:after="40"/>
            </w:pPr>
            <w:r/>
            <w:r>
              <w:rPr>
                <w:sz w:val="19"/>
              </w:rPr>
              <w:t>Obtain the compensation plan and FY2021/FY2022 payouts; also 10b5-1 plan and FY2022 sales (SEC Dep. § 11), which the government has not yet explored.</w:t>
            </w:r>
          </w:p>
        </w:tc>
      </w:tr>
      <w:tr>
        <w:tc>
          <w:tcPr>
            <w:tcW w:type="dxa" w:w="1728"/>
          </w:tcPr>
          <w:p>
            <w:pPr>
              <w:spacing w:after="40"/>
            </w:pPr>
            <w:r/>
            <w:r>
              <w:rPr>
                <w:sz w:val="19"/>
              </w:rPr>
              <w:t>Who decided constructive exercise</w:t>
            </w:r>
          </w:p>
        </w:tc>
        <w:tc>
          <w:tcPr>
            <w:tcW w:type="dxa" w:w="4320"/>
          </w:tcPr>
          <w:p>
            <w:pPr>
              <w:spacing w:after="40"/>
            </w:pPr>
            <w:r/>
            <w:r>
              <w:rPr>
                <w:sz w:val="19"/>
              </w:rPr>
              <w:t>Halpern, Falcone, Petrova (AC Tr. § 4.5) vs. Halpern, Falcone, Simmons (Proffer Mem. § V.C)</w:t>
            </w:r>
          </w:p>
        </w:tc>
        <w:tc>
          <w:tcPr>
            <w:tcW w:type="dxa" w:w="3312"/>
          </w:tcPr>
          <w:p>
            <w:pPr>
              <w:spacing w:after="40"/>
            </w:pPr>
            <w:r/>
            <w:r>
              <w:rPr>
                <w:sz w:val="19"/>
              </w:rPr>
              <w:t>KDC-004 recipients are Falcone and Petrova.</w:t>
            </w:r>
          </w:p>
        </w:tc>
      </w:tr>
      <w:tr>
        <w:tc>
          <w:tcPr>
            <w:tcW w:type="dxa" w:w="1728"/>
          </w:tcPr>
          <w:p>
            <w:pPr>
              <w:spacing w:after="40"/>
            </w:pPr>
            <w:r/>
            <w:r>
              <w:rPr>
                <w:sz w:val="19"/>
              </w:rPr>
              <w:t>Start date</w:t>
            </w:r>
          </w:p>
        </w:tc>
        <w:tc>
          <w:tcPr>
            <w:tcW w:type="dxa" w:w="4320"/>
          </w:tcPr>
          <w:p>
            <w:pPr>
              <w:spacing w:after="40"/>
            </w:pPr>
            <w:r/>
            <w:r>
              <w:rPr>
                <w:sz w:val="19"/>
              </w:rPr>
              <w:t>March 2018 (AC; SEC) vs. “early 2018” (Proffer)</w:t>
            </w:r>
          </w:p>
        </w:tc>
        <w:tc>
          <w:tcPr>
            <w:tcW w:type="dxa" w:w="3312"/>
          </w:tcPr>
          <w:p>
            <w:pPr>
              <w:spacing w:after="40"/>
            </w:pPr>
            <w:r/>
            <w:r>
              <w:rPr>
                <w:sz w:val="19"/>
              </w:rPr>
              <w:t>Immaterial.</w:t>
            </w:r>
          </w:p>
        </w:tc>
      </w:tr>
      <w:tr>
        <w:tc>
          <w:tcPr>
            <w:tcW w:type="dxa" w:w="1728"/>
          </w:tcPr>
          <w:p>
            <w:pPr>
              <w:spacing w:after="40"/>
            </w:pPr>
            <w:r/>
            <w:r>
              <w:rPr>
                <w:sz w:val="19"/>
              </w:rPr>
              <w:t>Source of AC contact</w:t>
            </w:r>
          </w:p>
        </w:tc>
        <w:tc>
          <w:tcPr>
            <w:tcW w:type="dxa" w:w="4320"/>
          </w:tcPr>
          <w:p>
            <w:pPr>
              <w:spacing w:after="40"/>
            </w:pPr>
            <w:r/>
            <w:r>
              <w:rPr>
                <w:sz w:val="19"/>
              </w:rPr>
              <w:t>“contacted by Ms. Pendleton’s firm” (AC Tr. § 5.2) vs. contacted by counsel to the Audit Committee (SEC Dep. §§ 6, 7)</w:t>
            </w:r>
          </w:p>
        </w:tc>
        <w:tc>
          <w:tcPr>
            <w:tcW w:type="dxa" w:w="3312"/>
          </w:tcPr>
          <w:p>
            <w:pPr>
              <w:spacing w:after="40"/>
            </w:pPr>
            <w:r/>
            <w:r>
              <w:rPr>
                <w:sz w:val="19"/>
              </w:rPr>
              <w:t>Minor; clarify with prior counsel.</w:t>
            </w:r>
          </w:p>
        </w:tc>
      </w:tr>
    </w:tbl>
    <w:p>
      <w:pPr>
        <w:spacing w:after="40"/>
      </w:pPr>
    </w:p>
    <w:p>
      <w:pPr>
        <w:pStyle w:val="Heading1"/>
      </w:pPr>
      <w:r>
        <w:t>V. RECORD-INTEGRITY DISCREPANCIES THE DEFENSE MUST RESOLVE</w:t>
      </w:r>
    </w:p>
    <w:p>
      <w:pPr>
        <w:spacing w:after="120"/>
        <w:jc w:val="both"/>
      </w:pPr>
      <w:r>
        <w:t>Several of our own source documents disagree with each other on facts that matter. Until these are resolved, no defense filing, witness outline, or client preparation session should quote any of them.</w:t>
      </w:r>
    </w:p>
    <w:tbl>
      <w:tblPr>
        <w:tblStyle w:val="TableGrid"/>
        <w:tblW w:type="auto" w:w="0"/>
        <w:jc w:val="center"/>
        <w:tblLook w:firstColumn="1" w:firstRow="1" w:lastColumn="0" w:lastRow="0" w:noHBand="0" w:noVBand="1" w:val="04A0"/>
      </w:tblPr>
      <w:tblGrid>
        <w:gridCol w:w="3120"/>
        <w:gridCol w:w="3120"/>
        <w:gridCol w:w="3120"/>
      </w:tblGrid>
      <w:tr>
        <w:tc>
          <w:tcPr>
            <w:tcW w:type="dxa" w:w="648"/>
            <w:shd w:val="clear" w:color="auto" w:fill="1F2A44"/>
          </w:tcPr>
          <w:p>
            <w:r/>
            <w:r>
              <w:rPr>
                <w:b/>
                <w:color w:val="FFFFFF"/>
                <w:sz w:val="19"/>
              </w:rPr>
              <w:t>#</w:t>
            </w:r>
          </w:p>
        </w:tc>
        <w:tc>
          <w:tcPr>
            <w:tcW w:type="dxa" w:w="4896"/>
            <w:shd w:val="clear" w:color="auto" w:fill="1F2A44"/>
          </w:tcPr>
          <w:p>
            <w:r/>
            <w:r>
              <w:rPr>
                <w:b/>
                <w:color w:val="FFFFFF"/>
                <w:sz w:val="19"/>
              </w:rPr>
              <w:t>Discrepancy</w:t>
            </w:r>
          </w:p>
        </w:tc>
        <w:tc>
          <w:tcPr>
            <w:tcW w:type="dxa" w:w="3816"/>
            <w:shd w:val="clear" w:color="auto" w:fill="1F2A44"/>
          </w:tcPr>
          <w:p>
            <w:r/>
            <w:r>
              <w:rPr>
                <w:b/>
                <w:color w:val="FFFFFF"/>
                <w:sz w:val="19"/>
              </w:rPr>
              <w:t>Why it matters / next step</w:t>
            </w:r>
          </w:p>
        </w:tc>
      </w:tr>
      <w:tr>
        <w:tc>
          <w:tcPr>
            <w:tcW w:type="dxa" w:w="648"/>
          </w:tcPr>
          <w:p>
            <w:pPr>
              <w:spacing w:after="40"/>
            </w:pPr>
            <w:r/>
            <w:r>
              <w:rPr>
                <w:sz w:val="19"/>
              </w:rPr>
              <w:t>V-1</w:t>
            </w:r>
          </w:p>
        </w:tc>
        <w:tc>
          <w:tcPr>
            <w:tcW w:type="dxa" w:w="4896"/>
          </w:tcPr>
          <w:p>
            <w:pPr>
              <w:spacing w:after="40"/>
            </w:pPr>
            <w:r/>
            <w:r>
              <w:rPr>
                <w:b/>
                <w:sz w:val="19"/>
              </w:rPr>
              <w:t>Liang email (Sept. 19, 2022).</w:t>
            </w:r>
            <w:r>
              <w:rPr>
                <w:sz w:val="19"/>
              </w:rPr>
              <w:t xml:space="preserve"> KDC-002 is a long, detailed email titled “… Q3 Recognition Question.” The SEC read into the record a short email titled “Re: Aethon compound delivery status” (Dep. Ex. 1). The Complaint (¶ 44) and Proffer Memo quote a third form: “Only 3 of 5 batches delivered. Should we hold Q3 recognition?”</w:t>
            </w:r>
          </w:p>
        </w:tc>
        <w:tc>
          <w:tcPr>
            <w:tcW w:type="dxa" w:w="3816"/>
          </w:tcPr>
          <w:p>
            <w:pPr>
              <w:spacing w:after="40"/>
            </w:pPr>
            <w:r/>
            <w:r>
              <w:rPr>
                <w:sz w:val="19"/>
              </w:rPr>
              <w:t>Possibly two separate emails (the “Re:” suggests a reply in a thread) or an excerpt. The long version is worse for us (subject line and content defeat “routine”). Obtain natives and full thread.</w:t>
            </w:r>
          </w:p>
        </w:tc>
      </w:tr>
      <w:tr>
        <w:tc>
          <w:tcPr>
            <w:tcW w:type="dxa" w:w="648"/>
          </w:tcPr>
          <w:p>
            <w:pPr>
              <w:spacing w:after="40"/>
            </w:pPr>
            <w:r/>
            <w:r>
              <w:rPr>
                <w:sz w:val="19"/>
              </w:rPr>
              <w:t>V-2</w:t>
            </w:r>
          </w:p>
        </w:tc>
        <w:tc>
          <w:tcPr>
            <w:tcW w:type="dxa" w:w="4896"/>
          </w:tcPr>
          <w:p>
            <w:pPr>
              <w:spacing w:after="40"/>
            </w:pPr>
            <w:r/>
            <w:r>
              <w:rPr>
                <w:b/>
                <w:sz w:val="19"/>
              </w:rPr>
              <w:t>Halpern reply (Sept. 22, 2022).</w:t>
            </w:r>
            <w:r>
              <w:rPr>
                <w:sz w:val="19"/>
              </w:rPr>
              <w:t xml:space="preserve"> KDC-003 contains “frame the analysis before we commit to anything in the workpapers” and “I’ll be in the office Thursday”; Dep. Ex. 2 and Compl. ¶ 45 contain only two sentences.</w:t>
            </w:r>
          </w:p>
        </w:tc>
        <w:tc>
          <w:tcPr>
            <w:tcW w:type="dxa" w:w="3816"/>
          </w:tcPr>
          <w:p>
            <w:pPr>
              <w:spacing w:after="40"/>
            </w:pPr>
            <w:r/>
            <w:r>
              <w:rPr>
                <w:sz w:val="19"/>
              </w:rPr>
              <w:t>The full text bears directly on Issue 3 and on intent. Confirm which version the government holds.</w:t>
            </w:r>
          </w:p>
        </w:tc>
      </w:tr>
      <w:tr>
        <w:tc>
          <w:tcPr>
            <w:tcW w:type="dxa" w:w="648"/>
          </w:tcPr>
          <w:p>
            <w:pPr>
              <w:spacing w:after="40"/>
            </w:pPr>
            <w:r/>
            <w:r>
              <w:rPr>
                <w:sz w:val="19"/>
              </w:rPr>
              <w:t>V-3</w:t>
            </w:r>
          </w:p>
        </w:tc>
        <w:tc>
          <w:tcPr>
            <w:tcW w:type="dxa" w:w="4896"/>
          </w:tcPr>
          <w:p>
            <w:pPr>
              <w:spacing w:after="40"/>
            </w:pPr>
            <w:r/>
            <w:r>
              <w:rPr>
                <w:b/>
                <w:sz w:val="19"/>
              </w:rPr>
              <w:t>Nov. 14, 2022 email.</w:t>
            </w:r>
            <w:r>
              <w:rPr>
                <w:sz w:val="19"/>
              </w:rPr>
              <w:t xml:space="preserve"> KDC-004 Email 3 sent 4:23 PM, subject “RE: RE: … Q4 Treatment,” longer text; Dep. Ex. 3 read as sent 3:47 PM, subject “Re: … Q4 outlook,” shorter text. The Proffer Memo (§ V.C) says the email went to Liang and Yoon; both KDC-004 and the Complaint say Falcone and Petrova.</w:t>
            </w:r>
          </w:p>
        </w:tc>
        <w:tc>
          <w:tcPr>
            <w:tcW w:type="dxa" w:w="3816"/>
          </w:tcPr>
          <w:p>
            <w:pPr>
              <w:spacing w:after="40"/>
            </w:pPr>
            <w:r/>
            <w:r>
              <w:rPr>
                <w:sz w:val="19"/>
              </w:rPr>
              <w:t>Correct the Proffer Memo. Obtain native and metadata; a 3:47 PM time also matches the Liang email, suggesting a transcription error.</w:t>
            </w:r>
          </w:p>
        </w:tc>
      </w:tr>
      <w:tr>
        <w:tc>
          <w:tcPr>
            <w:tcW w:type="dxa" w:w="648"/>
          </w:tcPr>
          <w:p>
            <w:pPr>
              <w:spacing w:after="40"/>
            </w:pPr>
            <w:r/>
            <w:r>
              <w:rPr>
                <w:sz w:val="19"/>
              </w:rPr>
              <w:t>V-4</w:t>
            </w:r>
          </w:p>
        </w:tc>
        <w:tc>
          <w:tcPr>
            <w:tcW w:type="dxa" w:w="4896"/>
          </w:tcPr>
          <w:p>
            <w:pPr>
              <w:spacing w:after="40"/>
            </w:pPr>
            <w:r/>
            <w:r>
              <w:rPr>
                <w:b/>
                <w:sz w:val="19"/>
              </w:rPr>
              <w:t>Exhibit references.</w:t>
            </w:r>
            <w:r>
              <w:rPr>
                <w:sz w:val="19"/>
              </w:rPr>
              <w:t xml:space="preserve"> The KDC Index cites Dep. Exs. 7, 12, 15 and pages 147-234; the deposition exhibit list numbers these Exs. 4, 1-2, 3 (Ex. 7 is the 10-K).</w:t>
            </w:r>
          </w:p>
        </w:tc>
        <w:tc>
          <w:tcPr>
            <w:tcW w:type="dxa" w:w="3816"/>
          </w:tcPr>
          <w:p>
            <w:pPr>
              <w:spacing w:after="40"/>
            </w:pPr>
            <w:r/>
            <w:r>
              <w:rPr>
                <w:sz w:val="19"/>
              </w:rPr>
              <w:t>Fix the index before any filing or witness outline relies on it.</w:t>
            </w:r>
          </w:p>
        </w:tc>
      </w:tr>
      <w:tr>
        <w:tc>
          <w:tcPr>
            <w:tcW w:type="dxa" w:w="648"/>
          </w:tcPr>
          <w:p>
            <w:pPr>
              <w:spacing w:after="40"/>
            </w:pPr>
            <w:r/>
            <w:r>
              <w:rPr>
                <w:sz w:val="19"/>
              </w:rPr>
              <w:t>V-5</w:t>
            </w:r>
          </w:p>
        </w:tc>
        <w:tc>
          <w:tcPr>
            <w:tcW w:type="dxa" w:w="4896"/>
          </w:tcPr>
          <w:p>
            <w:pPr>
              <w:spacing w:after="40"/>
            </w:pPr>
            <w:r/>
            <w:r>
              <w:rPr>
                <w:b/>
                <w:sz w:val="19"/>
              </w:rPr>
              <w:t>Aethon delivery-milestone restatement period.</w:t>
            </w:r>
            <w:r>
              <w:rPr>
                <w:sz w:val="19"/>
              </w:rPr>
              <w:t xml:space="preserve"> SEC counsel stated, and Halpern accepted, that the $7.1M was moved to Q1 2023 (SEC Dep. § 6); the Complaint says Q4 2022 upon October 14/22 delivery (¶¶ 43, 49); at the proffer he agreed delivery was completed in October 2022.</w:t>
            </w:r>
          </w:p>
        </w:tc>
        <w:tc>
          <w:tcPr>
            <w:tcW w:type="dxa" w:w="3816"/>
          </w:tcPr>
          <w:p>
            <w:pPr>
              <w:spacing w:after="40"/>
            </w:pPr>
            <w:r/>
            <w:r>
              <w:rPr>
                <w:sz w:val="19"/>
              </w:rPr>
              <w:t>Obtain the 8-K and restated filings. Shows he agrees with whatever premise is put to him — a cross-examination vulnerability.</w:t>
            </w:r>
          </w:p>
        </w:tc>
      </w:tr>
      <w:tr>
        <w:tc>
          <w:tcPr>
            <w:tcW w:type="dxa" w:w="648"/>
          </w:tcPr>
          <w:p>
            <w:pPr>
              <w:spacing w:after="40"/>
            </w:pPr>
            <w:r/>
            <w:r>
              <w:rPr>
                <w:sz w:val="19"/>
              </w:rPr>
              <w:t>V-6</w:t>
            </w:r>
          </w:p>
        </w:tc>
        <w:tc>
          <w:tcPr>
            <w:tcW w:type="dxa" w:w="4896"/>
          </w:tcPr>
          <w:p>
            <w:pPr>
              <w:spacing w:after="40"/>
            </w:pPr>
            <w:r/>
            <w:r>
              <w:rPr>
                <w:b/>
                <w:sz w:val="19"/>
              </w:rPr>
              <w:t>Aethon exercise.</w:t>
            </w:r>
            <w:r>
              <w:rPr>
                <w:sz w:val="19"/>
              </w:rPr>
              <w:t xml:space="preserve"> Halpern: formal exercise in Q2 2023 (SEC Dep. § 6). Complaint: none ever (¶¶ 54, 58).</w:t>
            </w:r>
          </w:p>
        </w:tc>
        <w:tc>
          <w:tcPr>
            <w:tcW w:type="dxa" w:w="3816"/>
          </w:tcPr>
          <w:p>
            <w:pPr>
              <w:spacing w:after="40"/>
            </w:pPr>
            <w:r/>
            <w:r>
              <w:rPr>
                <w:sz w:val="19"/>
              </w:rPr>
              <w:t>Verify; see Issue 7.</w:t>
            </w:r>
          </w:p>
        </w:tc>
      </w:tr>
      <w:tr>
        <w:tc>
          <w:tcPr>
            <w:tcW w:type="dxa" w:w="648"/>
          </w:tcPr>
          <w:p>
            <w:pPr>
              <w:spacing w:after="40"/>
            </w:pPr>
            <w:r/>
            <w:r>
              <w:rPr>
                <w:sz w:val="19"/>
              </w:rPr>
              <w:t>V-7</w:t>
            </w:r>
          </w:p>
        </w:tc>
        <w:tc>
          <w:tcPr>
            <w:tcW w:type="dxa" w:w="4896"/>
          </w:tcPr>
          <w:p>
            <w:pPr>
              <w:spacing w:after="40"/>
            </w:pPr>
            <w:r/>
            <w:r>
              <w:rPr>
                <w:b/>
                <w:sz w:val="19"/>
              </w:rPr>
              <w:t>Contract provisions and products.</w:t>
            </w:r>
            <w:r>
              <w:rPr>
                <w:sz w:val="19"/>
              </w:rPr>
              <w:t xml:space="preserve"> Meridian trigger: § 4.3(b) “first dosing” (KDC-001) vs. § 4.2(b) “confirmed first-patient enrollment” (Compl. ¶ 39). Aethon delivery: Schedule 3.2(a), batches CRT-7702 (KDC-002) vs. § 5.1(a), compound CRT-7750 (Compl. ¶ 43). Option notice: § 6.1(c) “written notice of intent to exercise” (KDC-004) vs. § 8.3 “only by written notice” (Compl. ¶¶ 50, 54). Aethon $22M milestones: development/regulatory (AC; Proffer) vs. compound delivery (Compl. ¶ 36). Territories: Europe and Asia (KDC-004; AC) vs. EU/UK in the emails (Compl. ¶ 51).</w:t>
            </w:r>
          </w:p>
        </w:tc>
        <w:tc>
          <w:tcPr>
            <w:tcW w:type="dxa" w:w="3816"/>
          </w:tcPr>
          <w:p>
            <w:pPr>
              <w:spacing w:after="40"/>
            </w:pPr>
            <w:r/>
            <w:r>
              <w:rPr>
                <w:sz w:val="19"/>
              </w:rPr>
              <w:t>Obtain both agreements in full. Each difference could cut either way; the notice provision is dispositive of the constructive-exercise defense.</w:t>
            </w:r>
          </w:p>
        </w:tc>
      </w:tr>
      <w:tr>
        <w:tc>
          <w:tcPr>
            <w:tcW w:type="dxa" w:w="648"/>
          </w:tcPr>
          <w:p>
            <w:pPr>
              <w:spacing w:after="40"/>
            </w:pPr>
            <w:r/>
            <w:r>
              <w:rPr>
                <w:sz w:val="19"/>
              </w:rPr>
              <w:t>V-8</w:t>
            </w:r>
          </w:p>
        </w:tc>
        <w:tc>
          <w:tcPr>
            <w:tcW w:type="dxa" w:w="4896"/>
          </w:tcPr>
          <w:p>
            <w:pPr>
              <w:spacing w:after="40"/>
            </w:pPr>
            <w:r/>
            <w:r>
              <w:rPr>
                <w:b/>
                <w:sz w:val="19"/>
              </w:rPr>
              <w:t>Proffer location and our two proffer summaries.</w:t>
            </w:r>
            <w:r>
              <w:rPr>
                <w:sz w:val="19"/>
              </w:rPr>
              <w:t xml:space="preserve"> Washington, D.C. (Proffer Mem. § I) vs. U.S. Attorney’s Office, N.D. Ill. (KDC-005); Agreement silent. Our two summaries differ on how the text was found and on what happened afterward (Issue 1).</w:t>
            </w:r>
          </w:p>
        </w:tc>
        <w:tc>
          <w:tcPr>
            <w:tcW w:type="dxa" w:w="3816"/>
          </w:tcPr>
          <w:p>
            <w:pPr>
              <w:spacing w:after="40"/>
            </w:pPr>
            <w:r/>
            <w:r>
              <w:rPr>
                <w:sz w:val="19"/>
              </w:rPr>
              <w:t>Reconcile against the handwritten notes now. Avoid any course that makes Mr. Kovacs a witness.</w:t>
            </w:r>
          </w:p>
        </w:tc>
      </w:tr>
      <w:tr>
        <w:tc>
          <w:tcPr>
            <w:tcW w:type="dxa" w:w="648"/>
          </w:tcPr>
          <w:p>
            <w:pPr>
              <w:spacing w:after="40"/>
            </w:pPr>
            <w:r/>
            <w:r>
              <w:rPr>
                <w:sz w:val="19"/>
              </w:rPr>
              <w:t>V-9</w:t>
            </w:r>
          </w:p>
        </w:tc>
        <w:tc>
          <w:tcPr>
            <w:tcW w:type="dxa" w:w="4896"/>
          </w:tcPr>
          <w:p>
            <w:pPr>
              <w:spacing w:after="40"/>
            </w:pPr>
            <w:r/>
            <w:r>
              <w:rPr>
                <w:b/>
                <w:sz w:val="19"/>
              </w:rPr>
              <w:t>Proffer Memo characterizations of prior testimony.</w:t>
            </w:r>
            <w:r>
              <w:rPr>
                <w:sz w:val="19"/>
              </w:rPr>
              <w:t xml:space="preserve"> It quotes the SEC testimony as saying the conversation “never happened” (the transcript is hedged) and treats the Falcone text as unknown to the government (the Complaint pled it in March 2024).</w:t>
            </w:r>
          </w:p>
        </w:tc>
        <w:tc>
          <w:tcPr>
            <w:tcW w:type="dxa" w:w="3816"/>
          </w:tcPr>
          <w:p>
            <w:pPr>
              <w:spacing w:after="40"/>
            </w:pPr>
            <w:r/>
            <w:r>
              <w:rPr>
                <w:sz w:val="19"/>
              </w:rPr>
              <w:t>Correct internal record; the second point changes the derivative-use analysis (PA § 5): the government appears to have an independent source.</w:t>
            </w:r>
          </w:p>
        </w:tc>
      </w:tr>
      <w:tr>
        <w:tc>
          <w:tcPr>
            <w:tcW w:type="dxa" w:w="648"/>
          </w:tcPr>
          <w:p>
            <w:pPr>
              <w:spacing w:after="40"/>
            </w:pPr>
            <w:r/>
            <w:r>
              <w:rPr>
                <w:sz w:val="19"/>
              </w:rPr>
              <w:t>V-10</w:t>
            </w:r>
          </w:p>
        </w:tc>
        <w:tc>
          <w:tcPr>
            <w:tcW w:type="dxa" w:w="4896"/>
          </w:tcPr>
          <w:p>
            <w:pPr>
              <w:spacing w:after="40"/>
            </w:pPr>
            <w:r/>
            <w:r>
              <w:rPr>
                <w:b/>
                <w:sz w:val="19"/>
              </w:rPr>
              <w:t>SEC Complaint excerpt.</w:t>
            </w:r>
            <w:r>
              <w:rPr>
                <w:sz w:val="19"/>
              </w:rPr>
              <w:t xml:space="preserve"> Note says 87 paragraphs; excerpt runs to ¶ 92 with renumbered counts; ¶ 41 states $5.2M was ~1.6% of FY2021 revenue (implying ~$325M FY2021 revenue, higher than FY2022’s ~$318-320M and inconsistent with the growth narrative).</w:t>
            </w:r>
          </w:p>
        </w:tc>
        <w:tc>
          <w:tcPr>
            <w:tcW w:type="dxa" w:w="3816"/>
          </w:tcPr>
          <w:p>
            <w:pPr>
              <w:spacing w:after="40"/>
            </w:pPr>
            <w:r/>
            <w:r>
              <w:rPr>
                <w:sz w:val="19"/>
              </w:rPr>
              <w:t>Obtain the as-filed complaint; the materiality percentage may be an error we can exploit.</w:t>
            </w:r>
          </w:p>
        </w:tc>
      </w:tr>
      <w:tr>
        <w:tc>
          <w:tcPr>
            <w:tcW w:type="dxa" w:w="648"/>
          </w:tcPr>
          <w:p>
            <w:pPr>
              <w:spacing w:after="40"/>
            </w:pPr>
            <w:r/>
            <w:r>
              <w:rPr>
                <w:sz w:val="19"/>
              </w:rPr>
              <w:t>V-11</w:t>
            </w:r>
          </w:p>
        </w:tc>
        <w:tc>
          <w:tcPr>
            <w:tcW w:type="dxa" w:w="4896"/>
          </w:tcPr>
          <w:p>
            <w:pPr>
              <w:spacing w:after="40"/>
            </w:pPr>
            <w:r/>
            <w:r>
              <w:rPr>
                <w:b/>
                <w:sz w:val="19"/>
              </w:rPr>
              <w:t>Signatures.</w:t>
            </w:r>
            <w:r>
              <w:rPr>
                <w:sz w:val="19"/>
              </w:rPr>
              <w:t xml:space="preserve"> Proffer Agreement signature lines blank; deposition witness certificate and errata unsigned.</w:t>
            </w:r>
          </w:p>
        </w:tc>
        <w:tc>
          <w:tcPr>
            <w:tcW w:type="dxa" w:w="3816"/>
          </w:tcPr>
          <w:p>
            <w:pPr>
              <w:spacing w:after="40"/>
            </w:pPr>
            <w:r/>
            <w:r>
              <w:rPr>
                <w:sz w:val="19"/>
              </w:rPr>
              <w:t>Obtain executed agreement; confirm whether the transcript was ever submitted for review and when the Rule 30(e) period ran.</w:t>
            </w:r>
          </w:p>
        </w:tc>
      </w:tr>
    </w:tbl>
    <w:p>
      <w:pPr>
        <w:spacing w:after="40"/>
      </w:pPr>
    </w:p>
    <w:p>
      <w:pPr>
        <w:pStyle w:val="Heading1"/>
      </w:pPr>
      <w:r>
        <w:t>VI. EFFECT OF THE PROFFER ON AVAILABLE DEFENSE THEORIES</w:t>
      </w:r>
    </w:p>
    <w:p>
      <w:pPr>
        <w:spacing w:after="120"/>
        <w:jc w:val="both"/>
      </w:pPr>
      <w:r>
        <w:t>Because PA § 4(b)-(c) permits rebuttal use against any defense contention contrary to the proffer, including arguments of counsel, each candidate defense theme must be screened against the proffer and the documents.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color="auto" w:fill="1F2A44"/>
          </w:tcPr>
          <w:p>
            <w:r/>
            <w:r>
              <w:rPr>
                <w:b/>
                <w:color w:val="FFFFFF"/>
                <w:sz w:val="19"/>
              </w:rPr>
              <w:t>Candidate defense theme</w:t>
            </w:r>
          </w:p>
        </w:tc>
        <w:tc>
          <w:tcPr>
            <w:tcW w:type="dxa" w:w="2160"/>
            <w:shd w:val="clear" w:color="auto" w:fill="1F2A44"/>
          </w:tcPr>
          <w:p>
            <w:r/>
            <w:r>
              <w:rPr>
                <w:b/>
                <w:color w:val="FFFFFF"/>
                <w:sz w:val="19"/>
              </w:rPr>
              <w:t>Proffer consistency</w:t>
            </w:r>
          </w:p>
        </w:tc>
        <w:tc>
          <w:tcPr>
            <w:tcW w:type="dxa" w:w="2448"/>
            <w:shd w:val="clear" w:color="auto" w:fill="1F2A44"/>
          </w:tcPr>
          <w:p>
            <w:r/>
            <w:r>
              <w:rPr>
                <w:b/>
                <w:color w:val="FFFFFF"/>
                <w:sz w:val="19"/>
              </w:rPr>
              <w:t>Documentary consistency</w:t>
            </w:r>
          </w:p>
        </w:tc>
        <w:tc>
          <w:tcPr>
            <w:tcW w:type="dxa" w:w="1872"/>
            <w:shd w:val="clear" w:color="auto" w:fill="1F2A44"/>
          </w:tcPr>
          <w:p>
            <w:r/>
            <w:r>
              <w:rPr>
                <w:b/>
                <w:color w:val="FFFFFF"/>
                <w:sz w:val="19"/>
              </w:rPr>
              <w:t>Status</w:t>
            </w:r>
          </w:p>
        </w:tc>
      </w:tr>
      <w:tr>
        <w:tc>
          <w:tcPr>
            <w:tcW w:type="dxa" w:w="2880"/>
          </w:tcPr>
          <w:p>
            <w:pPr>
              <w:spacing w:after="40"/>
            </w:pPr>
            <w:r/>
            <w:r>
              <w:rPr>
                <w:sz w:val="19"/>
              </w:rPr>
              <w:t>Halpern did not know delivery was incomplete</w:t>
            </w:r>
          </w:p>
        </w:tc>
        <w:tc>
          <w:tcPr>
            <w:tcW w:type="dxa" w:w="2160"/>
          </w:tcPr>
          <w:p>
            <w:pPr>
              <w:spacing w:after="40"/>
            </w:pPr>
            <w:r/>
            <w:r>
              <w:rPr>
                <w:sz w:val="19"/>
              </w:rPr>
              <w:t>Contradicted (aware of Liang email)</w:t>
            </w:r>
          </w:p>
        </w:tc>
        <w:tc>
          <w:tcPr>
            <w:tcW w:type="dxa" w:w="2448"/>
          </w:tcPr>
          <w:p>
            <w:pPr>
              <w:spacing w:after="40"/>
            </w:pPr>
            <w:r/>
            <w:r>
              <w:rPr>
                <w:sz w:val="19"/>
              </w:rPr>
              <w:t>Contradicted (KDC-002/003)</w:t>
            </w:r>
          </w:p>
        </w:tc>
        <w:tc>
          <w:tcPr>
            <w:tcW w:type="dxa" w:w="1872"/>
          </w:tcPr>
          <w:p>
            <w:pPr>
              <w:spacing w:after="40"/>
            </w:pPr>
            <w:r/>
            <w:r>
              <w:rPr>
                <w:sz w:val="19"/>
              </w:rPr>
              <w:t>FORECLOSED</w:t>
            </w:r>
          </w:p>
        </w:tc>
      </w:tr>
      <w:tr>
        <w:tc>
          <w:tcPr>
            <w:tcW w:type="dxa" w:w="2880"/>
          </w:tcPr>
          <w:p>
            <w:pPr>
              <w:spacing w:after="40"/>
            </w:pPr>
            <w:r/>
            <w:r>
              <w:rPr>
                <w:sz w:val="19"/>
              </w:rPr>
              <w:t>Reliance on General Counsel Falcone</w:t>
            </w:r>
          </w:p>
        </w:tc>
        <w:tc>
          <w:tcPr>
            <w:tcW w:type="dxa" w:w="2160"/>
          </w:tcPr>
          <w:p>
            <w:pPr>
              <w:spacing w:after="40"/>
            </w:pPr>
            <w:r/>
            <w:r>
              <w:rPr>
                <w:sz w:val="19"/>
              </w:rPr>
              <w:t>Contradicted (text objection)</w:t>
            </w:r>
          </w:p>
        </w:tc>
        <w:tc>
          <w:tcPr>
            <w:tcW w:type="dxa" w:w="2448"/>
          </w:tcPr>
          <w:p>
            <w:pPr>
              <w:spacing w:after="40"/>
            </w:pPr>
            <w:r/>
            <w:r>
              <w:rPr>
                <w:sz w:val="19"/>
              </w:rPr>
              <w:t>Contradicted (KDC-004 sign-off request; Compl. ¶ 53)</w:t>
            </w:r>
          </w:p>
        </w:tc>
        <w:tc>
          <w:tcPr>
            <w:tcW w:type="dxa" w:w="1872"/>
          </w:tcPr>
          <w:p>
            <w:pPr>
              <w:spacing w:after="40"/>
            </w:pPr>
            <w:r/>
            <w:r>
              <w:rPr>
                <w:sz w:val="19"/>
              </w:rPr>
              <w:t>FORECLOSED</w:t>
            </w:r>
          </w:p>
        </w:tc>
      </w:tr>
      <w:tr>
        <w:tc>
          <w:tcPr>
            <w:tcW w:type="dxa" w:w="2880"/>
          </w:tcPr>
          <w:p>
            <w:pPr>
              <w:spacing w:after="40"/>
            </w:pPr>
            <w:r/>
            <w:r>
              <w:rPr>
                <w:sz w:val="19"/>
              </w:rPr>
              <w:t>The Liang offline conversation never occurred</w:t>
            </w:r>
          </w:p>
        </w:tc>
        <w:tc>
          <w:tcPr>
            <w:tcW w:type="dxa" w:w="2160"/>
          </w:tcPr>
          <w:p>
            <w:pPr>
              <w:spacing w:after="40"/>
            </w:pPr>
            <w:r/>
            <w:r>
              <w:rPr>
                <w:sz w:val="19"/>
              </w:rPr>
              <w:t>Contradicted</w:t>
            </w:r>
          </w:p>
        </w:tc>
        <w:tc>
          <w:tcPr>
            <w:tcW w:type="dxa" w:w="2448"/>
          </w:tcPr>
          <w:p>
            <w:pPr>
              <w:spacing w:after="40"/>
            </w:pPr>
            <w:r/>
            <w:r>
              <w:rPr>
                <w:sz w:val="19"/>
              </w:rPr>
              <w:t>Undercut (KDC-003 planned meeting)</w:t>
            </w:r>
          </w:p>
        </w:tc>
        <w:tc>
          <w:tcPr>
            <w:tcW w:type="dxa" w:w="1872"/>
          </w:tcPr>
          <w:p>
            <w:pPr>
              <w:spacing w:after="40"/>
            </w:pPr>
            <w:r/>
            <w:r>
              <w:rPr>
                <w:sz w:val="19"/>
              </w:rPr>
              <w:t>FORECLOSED</w:t>
            </w:r>
          </w:p>
        </w:tc>
      </w:tr>
      <w:tr>
        <w:tc>
          <w:tcPr>
            <w:tcW w:type="dxa" w:w="2880"/>
          </w:tcPr>
          <w:p>
            <w:pPr>
              <w:spacing w:after="40"/>
            </w:pPr>
            <w:r/>
            <w:r>
              <w:rPr>
                <w:sz w:val="19"/>
              </w:rPr>
              <w:t>Liang agreed with recognition</w:t>
            </w:r>
          </w:p>
        </w:tc>
        <w:tc>
          <w:tcPr>
            <w:tcW w:type="dxa" w:w="2160"/>
          </w:tcPr>
          <w:p>
            <w:pPr>
              <w:spacing w:after="40"/>
            </w:pPr>
            <w:r/>
            <w:r>
              <w:rPr>
                <w:sz w:val="19"/>
              </w:rPr>
              <w:t>Consistent</w:t>
            </w:r>
          </w:p>
        </w:tc>
        <w:tc>
          <w:tcPr>
            <w:tcW w:type="dxa" w:w="2448"/>
          </w:tcPr>
          <w:p>
            <w:pPr>
              <w:spacing w:after="40"/>
            </w:pPr>
            <w:r/>
            <w:r>
              <w:rPr>
                <w:sz w:val="19"/>
              </w:rPr>
              <w:t>Undercut (KDC-002); Ex. 5 reviewer signature helps</w:t>
            </w:r>
          </w:p>
        </w:tc>
        <w:tc>
          <w:tcPr>
            <w:tcW w:type="dxa" w:w="1872"/>
          </w:tcPr>
          <w:p>
            <w:pPr>
              <w:spacing w:after="40"/>
            </w:pPr>
            <w:r/>
            <w:r>
              <w:rPr>
                <w:sz w:val="19"/>
              </w:rPr>
              <w:t>HIGH RISK — await Liang</w:t>
            </w:r>
          </w:p>
        </w:tc>
      </w:tr>
      <w:tr>
        <w:tc>
          <w:tcPr>
            <w:tcW w:type="dxa" w:w="2880"/>
          </w:tcPr>
          <w:p>
            <w:pPr>
              <w:spacing w:after="40"/>
            </w:pPr>
            <w:r/>
            <w:r>
              <w:rPr>
                <w:sz w:val="19"/>
              </w:rPr>
              <w:t>Reliance on auditors (with full disclosure)</w:t>
            </w:r>
          </w:p>
        </w:tc>
        <w:tc>
          <w:tcPr>
            <w:tcW w:type="dxa" w:w="2160"/>
          </w:tcPr>
          <w:p>
            <w:pPr>
              <w:spacing w:after="40"/>
            </w:pPr>
            <w:r/>
            <w:r>
              <w:rPr>
                <w:sz w:val="19"/>
              </w:rPr>
              <w:t>Partly (uncertain who raised it; “nothing held back”)</w:t>
            </w:r>
          </w:p>
        </w:tc>
        <w:tc>
          <w:tcPr>
            <w:tcW w:type="dxa" w:w="2448"/>
          </w:tcPr>
          <w:p>
            <w:pPr>
              <w:spacing w:after="40"/>
            </w:pPr>
            <w:r/>
            <w:r>
              <w:rPr>
                <w:sz w:val="19"/>
              </w:rPr>
              <w:t>Undercut (no documentation; Falcone concern not disclosed)</w:t>
            </w:r>
          </w:p>
        </w:tc>
        <w:tc>
          <w:tcPr>
            <w:tcW w:type="dxa" w:w="1872"/>
          </w:tcPr>
          <w:p>
            <w:pPr>
              <w:spacing w:after="40"/>
            </w:pPr>
            <w:r/>
            <w:r>
              <w:rPr>
                <w:sz w:val="19"/>
              </w:rPr>
              <w:t>LIMITED to $7.1M, only if Muñoz corroborates</w:t>
            </w:r>
          </w:p>
        </w:tc>
      </w:tr>
      <w:tr>
        <w:tc>
          <w:tcPr>
            <w:tcW w:type="dxa" w:w="2880"/>
          </w:tcPr>
          <w:p>
            <w:pPr>
              <w:spacing w:after="40"/>
            </w:pPr>
            <w:r/>
            <w:r>
              <w:rPr>
                <w:sz w:val="19"/>
              </w:rPr>
              <w:t>Good-faith, contestable accounting judgment (substance over form; timing only)</w:t>
            </w:r>
          </w:p>
        </w:tc>
        <w:tc>
          <w:tcPr>
            <w:tcW w:type="dxa" w:w="2160"/>
          </w:tcPr>
          <w:p>
            <w:pPr>
              <w:spacing w:after="40"/>
            </w:pPr>
            <w:r/>
            <w:r>
              <w:rPr>
                <w:sz w:val="19"/>
              </w:rPr>
              <w:t>Consistent</w:t>
            </w:r>
          </w:p>
        </w:tc>
        <w:tc>
          <w:tcPr>
            <w:tcW w:type="dxa" w:w="2448"/>
          </w:tcPr>
          <w:p>
            <w:pPr>
              <w:spacing w:after="40"/>
            </w:pPr>
            <w:r/>
            <w:r>
              <w:rPr>
                <w:sz w:val="19"/>
              </w:rPr>
              <w:t>Partly consistent (revenue ultimately earned for Meridian and Aethon milestone)</w:t>
            </w:r>
          </w:p>
        </w:tc>
        <w:tc>
          <w:tcPr>
            <w:tcW w:type="dxa" w:w="1872"/>
          </w:tcPr>
          <w:p>
            <w:pPr>
              <w:spacing w:after="40"/>
            </w:pPr>
            <w:r/>
            <w:r>
              <w:rPr>
                <w:sz w:val="19"/>
              </w:rPr>
              <w:t>AVAILABLE — core theme</w:t>
            </w:r>
          </w:p>
        </w:tc>
      </w:tr>
      <w:tr>
        <w:tc>
          <w:tcPr>
            <w:tcW w:type="dxa" w:w="2880"/>
          </w:tcPr>
          <w:p>
            <w:pPr>
              <w:spacing w:after="40"/>
            </w:pPr>
            <w:r/>
            <w:r>
              <w:rPr>
                <w:sz w:val="19"/>
              </w:rPr>
              <w:t>Guidance played no role</w:t>
            </w:r>
          </w:p>
        </w:tc>
        <w:tc>
          <w:tcPr>
            <w:tcW w:type="dxa" w:w="2160"/>
          </w:tcPr>
          <w:p>
            <w:pPr>
              <w:spacing w:after="40"/>
            </w:pPr>
            <w:r/>
            <w:r>
              <w:rPr>
                <w:sz w:val="19"/>
              </w:rPr>
              <w:t>Consistent (volunteered)</w:t>
            </w:r>
          </w:p>
        </w:tc>
        <w:tc>
          <w:tcPr>
            <w:tcW w:type="dxa" w:w="2448"/>
          </w:tcPr>
          <w:p>
            <w:pPr>
              <w:spacing w:after="40"/>
            </w:pPr>
            <w:r/>
            <w:r>
              <w:rPr>
                <w:sz w:val="19"/>
              </w:rPr>
              <w:t>Contradicted (KDC-004 Email 1)</w:t>
            </w:r>
          </w:p>
        </w:tc>
        <w:tc>
          <w:tcPr>
            <w:tcW w:type="dxa" w:w="1872"/>
          </w:tcPr>
          <w:p>
            <w:pPr>
              <w:spacing w:after="40"/>
            </w:pPr>
            <w:r/>
            <w:r>
              <w:rPr>
                <w:sz w:val="19"/>
              </w:rPr>
              <w:t>AVOID — reframe as reason to examine, not to conclude</w:t>
            </w:r>
          </w:p>
        </w:tc>
      </w:tr>
      <w:tr>
        <w:tc>
          <w:tcPr>
            <w:tcW w:type="dxa" w:w="2880"/>
          </w:tcPr>
          <w:p>
            <w:pPr>
              <w:spacing w:after="40"/>
            </w:pPr>
            <w:r/>
            <w:r>
              <w:rPr>
                <w:sz w:val="19"/>
              </w:rPr>
              <w:t>CEO pressure / shared decision with Petrova</w:t>
            </w:r>
          </w:p>
        </w:tc>
        <w:tc>
          <w:tcPr>
            <w:tcW w:type="dxa" w:w="2160"/>
          </w:tcPr>
          <w:p>
            <w:pPr>
              <w:spacing w:after="40"/>
            </w:pPr>
            <w:r/>
            <w:r>
              <w:rPr>
                <w:sz w:val="19"/>
              </w:rPr>
              <w:t>Neutral</w:t>
            </w:r>
          </w:p>
        </w:tc>
        <w:tc>
          <w:tcPr>
            <w:tcW w:type="dxa" w:w="2448"/>
          </w:tcPr>
          <w:p>
            <w:pPr>
              <w:spacing w:after="40"/>
            </w:pPr>
            <w:r/>
            <w:r>
              <w:rPr>
                <w:sz w:val="19"/>
              </w:rPr>
              <w:t>Supported (KDC-004 Email 2)</w:t>
            </w:r>
          </w:p>
        </w:tc>
        <w:tc>
          <w:tcPr>
            <w:tcW w:type="dxa" w:w="1872"/>
          </w:tcPr>
          <w:p>
            <w:pPr>
              <w:spacing w:after="40"/>
            </w:pPr>
            <w:r/>
            <w:r>
              <w:rPr>
                <w:sz w:val="19"/>
              </w:rPr>
              <w:t>AVAILABLE with care (co-defendant dynamics; SEC Dep. said Petrova deferred to him on accounting)</w:t>
            </w:r>
          </w:p>
        </w:tc>
      </w:tr>
      <w:tr>
        <w:tc>
          <w:tcPr>
            <w:tcW w:type="dxa" w:w="2880"/>
          </w:tcPr>
          <w:p>
            <w:pPr>
              <w:spacing w:after="40"/>
            </w:pPr>
            <w:r/>
            <w:r>
              <w:rPr>
                <w:sz w:val="19"/>
              </w:rPr>
              <w:t>Board/Audit Committee was fully informed</w:t>
            </w:r>
          </w:p>
        </w:tc>
        <w:tc>
          <w:tcPr>
            <w:tcW w:type="dxa" w:w="2160"/>
          </w:tcPr>
          <w:p>
            <w:pPr>
              <w:spacing w:after="40"/>
            </w:pPr>
            <w:r/>
            <w:r>
              <w:rPr>
                <w:sz w:val="19"/>
              </w:rPr>
              <w:t>Contradicted (“may not have highlighted”)</w:t>
            </w:r>
          </w:p>
        </w:tc>
        <w:tc>
          <w:tcPr>
            <w:tcW w:type="dxa" w:w="2448"/>
          </w:tcPr>
          <w:p>
            <w:pPr>
              <w:spacing w:after="40"/>
            </w:pPr>
            <w:r/>
            <w:r>
              <w:rPr>
                <w:sz w:val="19"/>
              </w:rPr>
              <w:t>Unknown (slide decks)</w:t>
            </w:r>
          </w:p>
        </w:tc>
        <w:tc>
          <w:tcPr>
            <w:tcW w:type="dxa" w:w="1872"/>
          </w:tcPr>
          <w:p>
            <w:pPr>
              <w:spacing w:after="40"/>
            </w:pPr>
            <w:r/>
            <w:r>
              <w:rPr>
                <w:sz w:val="19"/>
              </w:rPr>
              <w:t>AVOID pending slide decks</w:t>
            </w:r>
          </w:p>
        </w:tc>
      </w:tr>
      <w:tr>
        <w:tc>
          <w:tcPr>
            <w:tcW w:type="dxa" w:w="2880"/>
          </w:tcPr>
          <w:p>
            <w:pPr>
              <w:spacing w:after="40"/>
            </w:pPr>
            <w:r/>
            <w:r>
              <w:rPr>
                <w:sz w:val="19"/>
              </w:rPr>
              <w:t>Resignation unrelated; personal reasons only</w:t>
            </w:r>
          </w:p>
        </w:tc>
        <w:tc>
          <w:tcPr>
            <w:tcW w:type="dxa" w:w="2160"/>
          </w:tcPr>
          <w:p>
            <w:pPr>
              <w:spacing w:after="40"/>
            </w:pPr>
            <w:r/>
            <w:r>
              <w:rPr>
                <w:sz w:val="19"/>
              </w:rPr>
              <w:t>Contradicted (strategic differences)</w:t>
            </w:r>
          </w:p>
        </w:tc>
        <w:tc>
          <w:tcPr>
            <w:tcW w:type="dxa" w:w="2448"/>
          </w:tcPr>
          <w:p>
            <w:pPr>
              <w:spacing w:after="40"/>
            </w:pPr>
            <w:r/>
            <w:r>
              <w:rPr>
                <w:sz w:val="19"/>
              </w:rPr>
              <w:t>Consistent (KDC-006)</w:t>
            </w:r>
          </w:p>
        </w:tc>
        <w:tc>
          <w:tcPr>
            <w:tcW w:type="dxa" w:w="1872"/>
          </w:tcPr>
          <w:p>
            <w:pPr>
              <w:spacing w:after="40"/>
            </w:pPr>
            <w:r/>
            <w:r>
              <w:rPr>
                <w:sz w:val="19"/>
              </w:rPr>
              <w:t>AVOID single-reason theme</w:t>
            </w:r>
          </w:p>
        </w:tc>
      </w:tr>
    </w:tbl>
    <w:p>
      <w:pPr>
        <w:spacing w:after="40"/>
      </w:pPr>
    </w:p>
    <w:p>
      <w:pPr>
        <w:pStyle w:val="Heading1"/>
      </w:pPr>
      <w:r>
        <w:t>VII. REHABILITATION POINTS AND THEMES THAT SURVIVE</w:t>
      </w:r>
    </w:p>
    <w:p>
      <w:pPr>
        <w:pStyle w:val="ListBullet"/>
        <w:spacing w:after="60"/>
      </w:pPr>
      <w:r>
        <w:rPr>
          <w:b/>
        </w:rPr>
        <w:t>Timing, not fabrication.</w:t>
      </w:r>
      <w:r>
        <w:t xml:space="preserve"> Each restated item was a real contractual entitlement; the Meridian milestone was recognized one quarter later and the Aethon delivery milestone within weeks (Compl. ¶¶ 42, 43, 49). Useful on intent and, if necessary, on loss and sentencing.</w:t>
      </w:r>
    </w:p>
    <w:p>
      <w:pPr>
        <w:pStyle w:val="ListBullet"/>
        <w:spacing w:after="60"/>
      </w:pPr>
      <w:r>
        <w:rPr>
          <w:b/>
        </w:rPr>
        <w:t>Hedged sworn answers.</w:t>
      </w:r>
      <w:r>
        <w:t xml:space="preserve"> Many SEC answers were framed as recollection (“not that I recall,” “I don’t believe so,” “anything is possible”), which supports a failure-of-memory rather than fabrication explanation for the later proffer disclosures.</w:t>
      </w:r>
    </w:p>
    <w:p>
      <w:pPr>
        <w:pStyle w:val="ListBullet"/>
        <w:spacing w:after="60"/>
      </w:pPr>
      <w:r>
        <w:rPr>
          <w:b/>
        </w:rPr>
        <w:t>Documents not shown at the AC interview.</w:t>
      </w:r>
      <w:r>
        <w:t xml:space="preserve"> The KDC Index records that he was not shown KDC-002 to -004 at the interview; his counsel twice reserved the right to supplement. (Undercut by his “reviewed my files” statement.)</w:t>
      </w:r>
    </w:p>
    <w:p>
      <w:pPr>
        <w:pStyle w:val="ListBullet"/>
        <w:spacing w:after="60"/>
      </w:pPr>
      <w:r>
        <w:rPr>
          <w:b/>
        </w:rPr>
        <w:t>Others signed off.</w:t>
      </w:r>
      <w:r>
        <w:t xml:space="preserve"> Yoon drafted and Liang reviewed the Q3 and Q4 2022 memos (SEC Dep. §§ 4.2, 4.3); Stanton Barrow issued unqualified opinions for FY2021 and FY2022.</w:t>
      </w:r>
    </w:p>
    <w:p>
      <w:pPr>
        <w:pStyle w:val="ListBullet"/>
        <w:spacing w:after="60"/>
      </w:pPr>
      <w:r>
        <w:rPr>
          <w:b/>
        </w:rPr>
        <w:t>Voluntary disclosure of the Falcone text.</w:t>
      </w:r>
      <w:r>
        <w:t xml:space="preserve"> Whatever the timing problems, he volunteered it to DOJ; this can be presented as candor, and it is consistent with the Complaint’s allegation, which reduces any argument that he concealed it from the government at the proffer.</w:t>
      </w:r>
    </w:p>
    <w:p>
      <w:pPr>
        <w:pStyle w:val="ListBullet"/>
        <w:spacing w:after="60"/>
      </w:pPr>
      <w:r>
        <w:rPr>
          <w:b/>
        </w:rPr>
        <w:t>Contemporaneous conditioning on legal sign-off.</w:t>
      </w:r>
      <w:r>
        <w:t xml:space="preserve"> KDC-004 Email 3 asks for legal confirmation “before we finalize the workpapers” and conditions recognition on whether “the analysis holds up.”</w:t>
      </w:r>
    </w:p>
    <w:p>
      <w:pPr>
        <w:pStyle w:val="Heading1"/>
      </w:pPr>
      <w:r>
        <w:t>VIII. RECOMMENDATIONS AND PRIORITIZED NEXT STEPS</w:t>
      </w:r>
    </w:p>
    <w:p>
      <w:pPr>
        <w:pStyle w:val="ListNumber"/>
        <w:spacing w:after="60"/>
      </w:pPr>
      <w:r>
        <w:rPr>
          <w:b/>
        </w:rPr>
        <w:t>Freeze the record.</w:t>
      </w:r>
      <w:r>
        <w:t xml:space="preserve"> No further proffer, reverse proffer response by the client, SEC testimony, or interview in any forum until items 2-6 are complete. Communicate to DOJ that any follow-up session must await document review.</w:t>
      </w:r>
    </w:p>
    <w:p>
      <w:pPr>
        <w:pStyle w:val="ListNumber"/>
        <w:spacing w:after="60"/>
      </w:pPr>
      <w:r>
        <w:rPr>
          <w:b/>
        </w:rPr>
        <w:t>SEC action strategy.</w:t>
      </w:r>
      <w:r>
        <w:t xml:space="preserve"> Evaluate, with the client’s informed consent, asserting the Fifth Amendment in any further SEC discovery and seeking a stay of the civil action pending the criminal investigation; weigh the civil adverse inference against the criminal risk. Assess whether any corrective statement regarding the SEC testimony (e.g., on the Falcone text and the offline conversation) is advisable; that decision has § 1623 and admission consequences and requires a separate privileged memo.</w:t>
      </w:r>
    </w:p>
    <w:p>
      <w:pPr>
        <w:pStyle w:val="ListNumber"/>
        <w:spacing w:after="60"/>
      </w:pPr>
      <w:r>
        <w:rPr>
          <w:b/>
        </w:rPr>
        <w:t>Reconcile our proffer record.</w:t>
      </w:r>
      <w:r>
        <w:t xml:space="preserve"> Compare KDC-005 and the Proffer Memo against the Kovacs handwritten notes; prepare a single corrected internal summary; correct the factual errors identified in Part V (V-3, V-8, V-9). Anticipate that the FD-302s will differ.</w:t>
      </w:r>
    </w:p>
    <w:p>
      <w:pPr>
        <w:pStyle w:val="ListNumber"/>
        <w:spacing w:after="60"/>
      </w:pPr>
      <w:r>
        <w:rPr>
          <w:b/>
        </w:rPr>
        <w:t>Obtain the documents that decide the critical issues.</w:t>
      </w:r>
      <w:r>
        <w:t xml:space="preserve"> Native emails and threads (V-1 to V-3); the October 3, 2022 Aethon chain; full Meridian and Aethon agreements; Dep. Exs. 4-6 in full (including any Falcone attachment); Audit Committee slide decks and minutes; management representation letters and sub-certifications; Stanton Barrow workpapers and AR confirmations; any 2023 Aethon exercise notice; Meridian payment records; the 8-K and restated financials.</w:t>
      </w:r>
    </w:p>
    <w:p>
      <w:pPr>
        <w:pStyle w:val="ListNumber"/>
        <w:spacing w:after="60"/>
      </w:pPr>
      <w:r>
        <w:rPr>
          <w:b/>
        </w:rPr>
        <w:t>Witness assessment.</w:t>
      </w:r>
      <w:r>
        <w:t xml:space="preserve"> Through counsel, determine the posture of Liang, Falcone, Muñoz, Petrova, Simmons, and Yoon (the last only through counsel-to-counsel channels and with partner approval). Liang and Falcone are dispositive of Issues 1 and 3.</w:t>
      </w:r>
    </w:p>
    <w:p>
      <w:pPr>
        <w:pStyle w:val="ListNumber"/>
        <w:spacing w:after="60"/>
      </w:pPr>
      <w:r>
        <w:rPr>
          <w:b/>
        </w:rPr>
        <w:t>Obstruction workstream.</w:t>
      </w:r>
      <w:r>
        <w:t xml:space="preserve"> Establish the phone-replacement facts and the source of the “files” referenced at the AC interview; issue a written preservation instruction to the client covering all devices and personal accounts; consider a forensic examination under privilege (Kovel or counsel-retained vendor).</w:t>
      </w:r>
    </w:p>
    <w:p>
      <w:pPr>
        <w:pStyle w:val="ListNumber"/>
        <w:spacing w:after="60"/>
      </w:pPr>
      <w:r>
        <w:rPr>
          <w:b/>
        </w:rPr>
        <w:t>Retain a consulting accounting expert</w:t>
      </w:r>
      <w:r>
        <w:t xml:space="preserve"> to separate defensible ASC 606 judgments from untenable positions (Issue 14).</w:t>
      </w:r>
    </w:p>
    <w:p>
      <w:pPr>
        <w:pStyle w:val="ListNumber"/>
        <w:spacing w:after="60"/>
      </w:pPr>
      <w:r>
        <w:rPr>
          <w:b/>
        </w:rPr>
        <w:t>Trial-testimony decision.</w:t>
      </w:r>
      <w:r>
        <w:t xml:space="preserve"> On the present record, Dr. Halpern should not testify at any criminal trial absent a material change. If he must testify (e.g., at a suppression or Kastigar-type hearing), restrict his testimony to positions consistent with both the proffer and the documents (Part VI) and prepare him on every item in Appendix B.</w:t>
      </w:r>
    </w:p>
    <w:p>
      <w:pPr>
        <w:pStyle w:val="ListNumber"/>
        <w:spacing w:after="60"/>
      </w:pPr>
      <w:r>
        <w:rPr>
          <w:b/>
        </w:rPr>
        <w:t>Calibrate defense theory to the rebuttal clause.</w:t>
      </w:r>
      <w:r>
        <w:t xml:space="preserve"> All openings, cross-examinations, and defense witness outlines must be screened against the proffer to avoid opening the door (Part VI).</w:t>
      </w:r>
    </w:p>
    <w:p>
      <w:pPr>
        <w:pStyle w:val="Heading1"/>
      </w:pPr>
      <w:r>
        <w:t>APPENDIX A — CHRONOLOGY</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1F2A44"/>
          </w:tcPr>
          <w:p>
            <w:r/>
            <w:r>
              <w:rPr>
                <w:b/>
                <w:color w:val="FFFFFF"/>
                <w:sz w:val="19"/>
              </w:rPr>
              <w:t>Date</w:t>
            </w:r>
          </w:p>
        </w:tc>
        <w:tc>
          <w:tcPr>
            <w:tcW w:type="dxa" w:w="5184"/>
            <w:shd w:val="clear" w:color="auto" w:fill="1F2A44"/>
          </w:tcPr>
          <w:p>
            <w:r/>
            <w:r>
              <w:rPr>
                <w:b/>
                <w:color w:val="FFFFFF"/>
                <w:sz w:val="19"/>
              </w:rPr>
              <w:t>Event</w:t>
            </w:r>
          </w:p>
        </w:tc>
        <w:tc>
          <w:tcPr>
            <w:tcW w:type="dxa" w:w="2160"/>
            <w:shd w:val="clear" w:color="auto" w:fill="1F2A44"/>
          </w:tcPr>
          <w:p>
            <w:r/>
            <w:r>
              <w:rPr>
                <w:b/>
                <w:color w:val="FFFFFF"/>
                <w:sz w:val="19"/>
              </w:rPr>
              <w:t>Source</w:t>
            </w:r>
          </w:p>
        </w:tc>
      </w:tr>
      <w:tr>
        <w:tc>
          <w:tcPr>
            <w:tcW w:type="dxa" w:w="2016"/>
          </w:tcPr>
          <w:p>
            <w:pPr>
              <w:spacing w:after="40"/>
            </w:pPr>
            <w:r/>
            <w:r>
              <w:rPr>
                <w:sz w:val="19"/>
              </w:rPr>
              <w:t>Mar. 2018</w:t>
            </w:r>
          </w:p>
        </w:tc>
        <w:tc>
          <w:tcPr>
            <w:tcW w:type="dxa" w:w="5184"/>
          </w:tcPr>
          <w:p>
            <w:pPr>
              <w:spacing w:after="40"/>
            </w:pPr>
            <w:r/>
            <w:r>
              <w:rPr>
                <w:sz w:val="19"/>
              </w:rPr>
              <w:t>Halpern joins Crestline as CFO</w:t>
            </w:r>
          </w:p>
        </w:tc>
        <w:tc>
          <w:tcPr>
            <w:tcW w:type="dxa" w:w="2160"/>
          </w:tcPr>
          <w:p>
            <w:pPr>
              <w:spacing w:after="40"/>
            </w:pPr>
            <w:r/>
            <w:r>
              <w:rPr>
                <w:sz w:val="19"/>
              </w:rPr>
              <w:t>AC Tr. § 1.3; SEC Dep. § 1</w:t>
            </w:r>
          </w:p>
        </w:tc>
      </w:tr>
      <w:tr>
        <w:tc>
          <w:tcPr>
            <w:tcW w:type="dxa" w:w="2016"/>
          </w:tcPr>
          <w:p>
            <w:pPr>
              <w:spacing w:after="40"/>
            </w:pPr>
            <w:r/>
            <w:r>
              <w:rPr>
                <w:sz w:val="19"/>
              </w:rPr>
              <w:t>June 15, 2021</w:t>
            </w:r>
          </w:p>
        </w:tc>
        <w:tc>
          <w:tcPr>
            <w:tcW w:type="dxa" w:w="5184"/>
          </w:tcPr>
          <w:p>
            <w:pPr>
              <w:spacing w:after="40"/>
            </w:pPr>
            <w:r/>
            <w:r>
              <w:rPr>
                <w:sz w:val="19"/>
              </w:rPr>
              <w:t>Meridian Agreement executed ($38M)</w:t>
            </w:r>
          </w:p>
        </w:tc>
        <w:tc>
          <w:tcPr>
            <w:tcW w:type="dxa" w:w="2160"/>
          </w:tcPr>
          <w:p>
            <w:pPr>
              <w:spacing w:after="40"/>
            </w:pPr>
            <w:r/>
            <w:r>
              <w:rPr>
                <w:sz w:val="19"/>
              </w:rPr>
              <w:t>KDC-001; Compl. ¶ 34</w:t>
            </w:r>
          </w:p>
        </w:tc>
      </w:tr>
      <w:tr>
        <w:tc>
          <w:tcPr>
            <w:tcW w:type="dxa" w:w="2016"/>
          </w:tcPr>
          <w:p>
            <w:pPr>
              <w:spacing w:after="40"/>
            </w:pPr>
            <w:r/>
            <w:r>
              <w:rPr>
                <w:sz w:val="19"/>
              </w:rPr>
              <w:t>Dec. 28, 2021</w:t>
            </w:r>
          </w:p>
        </w:tc>
        <w:tc>
          <w:tcPr>
            <w:tcW w:type="dxa" w:w="5184"/>
          </w:tcPr>
          <w:p>
            <w:pPr>
              <w:spacing w:after="40"/>
            </w:pPr>
            <w:r/>
            <w:r>
              <w:rPr>
                <w:sz w:val="19"/>
              </w:rPr>
              <w:t>Halpern signs Meridian $5.2M memo relying on “preliminary enrollment report”</w:t>
            </w:r>
          </w:p>
        </w:tc>
        <w:tc>
          <w:tcPr>
            <w:tcW w:type="dxa" w:w="2160"/>
          </w:tcPr>
          <w:p>
            <w:pPr>
              <w:spacing w:after="40"/>
            </w:pPr>
            <w:r/>
            <w:r>
              <w:rPr>
                <w:sz w:val="19"/>
              </w:rPr>
              <w:t>KDC-001</w:t>
            </w:r>
          </w:p>
        </w:tc>
      </w:tr>
      <w:tr>
        <w:tc>
          <w:tcPr>
            <w:tcW w:type="dxa" w:w="2016"/>
          </w:tcPr>
          <w:p>
            <w:pPr>
              <w:spacing w:after="40"/>
            </w:pPr>
            <w:r/>
            <w:r>
              <w:rPr>
                <w:sz w:val="19"/>
              </w:rPr>
              <w:t>Jan. 22, 2022</w:t>
            </w:r>
          </w:p>
        </w:tc>
        <w:tc>
          <w:tcPr>
            <w:tcW w:type="dxa" w:w="5184"/>
          </w:tcPr>
          <w:p>
            <w:pPr>
              <w:spacing w:after="40"/>
            </w:pPr>
            <w:r/>
            <w:r>
              <w:rPr>
                <w:sz w:val="19"/>
              </w:rPr>
              <w:t>Aethon Agreement executed ($52M)</w:t>
            </w:r>
          </w:p>
        </w:tc>
        <w:tc>
          <w:tcPr>
            <w:tcW w:type="dxa" w:w="2160"/>
          </w:tcPr>
          <w:p>
            <w:pPr>
              <w:spacing w:after="40"/>
            </w:pPr>
            <w:r/>
            <w:r>
              <w:rPr>
                <w:sz w:val="19"/>
              </w:rPr>
              <w:t>Compl. ¶ 36</w:t>
            </w:r>
          </w:p>
        </w:tc>
      </w:tr>
      <w:tr>
        <w:tc>
          <w:tcPr>
            <w:tcW w:type="dxa" w:w="2016"/>
          </w:tcPr>
          <w:p>
            <w:pPr>
              <w:spacing w:after="40"/>
            </w:pPr>
            <w:r/>
            <w:r>
              <w:rPr>
                <w:sz w:val="19"/>
              </w:rPr>
              <w:t>Feb. 7, 2022</w:t>
            </w:r>
          </w:p>
        </w:tc>
        <w:tc>
          <w:tcPr>
            <w:tcW w:type="dxa" w:w="5184"/>
          </w:tcPr>
          <w:p>
            <w:pPr>
              <w:spacing w:after="40"/>
            </w:pPr>
            <w:r/>
            <w:r>
              <w:rPr>
                <w:sz w:val="19"/>
              </w:rPr>
              <w:t>DMC confirms first-patient enrollment</w:t>
            </w:r>
          </w:p>
        </w:tc>
        <w:tc>
          <w:tcPr>
            <w:tcW w:type="dxa" w:w="2160"/>
          </w:tcPr>
          <w:p>
            <w:pPr>
              <w:spacing w:after="40"/>
            </w:pPr>
            <w:r/>
            <w:r>
              <w:rPr>
                <w:sz w:val="19"/>
              </w:rPr>
              <w:t>Compl. ¶¶ 39, 42</w:t>
            </w:r>
          </w:p>
        </w:tc>
      </w:tr>
      <w:tr>
        <w:tc>
          <w:tcPr>
            <w:tcW w:type="dxa" w:w="2016"/>
          </w:tcPr>
          <w:p>
            <w:pPr>
              <w:spacing w:after="40"/>
            </w:pPr>
            <w:r/>
            <w:r>
              <w:rPr>
                <w:sz w:val="19"/>
              </w:rPr>
              <w:t>Mar. 16, 2022</w:t>
            </w:r>
          </w:p>
        </w:tc>
        <w:tc>
          <w:tcPr>
            <w:tcW w:type="dxa" w:w="5184"/>
          </w:tcPr>
          <w:p>
            <w:pPr>
              <w:spacing w:after="40"/>
            </w:pPr>
            <w:r/>
            <w:r>
              <w:rPr>
                <w:sz w:val="19"/>
              </w:rPr>
              <w:t>FY2021 10-K filed; Halpern certifies</w:t>
            </w:r>
          </w:p>
        </w:tc>
        <w:tc>
          <w:tcPr>
            <w:tcW w:type="dxa" w:w="2160"/>
          </w:tcPr>
          <w:p>
            <w:pPr>
              <w:spacing w:after="40"/>
            </w:pPr>
            <w:r/>
            <w:r>
              <w:rPr>
                <w:sz w:val="19"/>
              </w:rPr>
              <w:t>Compl. ¶¶ 10, 80</w:t>
            </w:r>
          </w:p>
        </w:tc>
      </w:tr>
      <w:tr>
        <w:tc>
          <w:tcPr>
            <w:tcW w:type="dxa" w:w="2016"/>
          </w:tcPr>
          <w:p>
            <w:pPr>
              <w:spacing w:after="40"/>
            </w:pPr>
            <w:r/>
            <w:r>
              <w:rPr>
                <w:sz w:val="19"/>
              </w:rPr>
              <w:t>Sept. 19, 2022</w:t>
            </w:r>
          </w:p>
        </w:tc>
        <w:tc>
          <w:tcPr>
            <w:tcW w:type="dxa" w:w="5184"/>
          </w:tcPr>
          <w:p>
            <w:pPr>
              <w:spacing w:after="40"/>
            </w:pPr>
            <w:r/>
            <w:r>
              <w:rPr>
                <w:sz w:val="19"/>
              </w:rPr>
              <w:t>Liang email: 3 of 5 batches; hold Q3 recognition?</w:t>
            </w:r>
          </w:p>
        </w:tc>
        <w:tc>
          <w:tcPr>
            <w:tcW w:type="dxa" w:w="2160"/>
          </w:tcPr>
          <w:p>
            <w:pPr>
              <w:spacing w:after="40"/>
            </w:pPr>
            <w:r/>
            <w:r>
              <w:rPr>
                <w:sz w:val="19"/>
              </w:rPr>
              <w:t>KDC-002</w:t>
            </w:r>
          </w:p>
        </w:tc>
      </w:tr>
      <w:tr>
        <w:tc>
          <w:tcPr>
            <w:tcW w:type="dxa" w:w="2016"/>
          </w:tcPr>
          <w:p>
            <w:pPr>
              <w:spacing w:after="40"/>
            </w:pPr>
            <w:r/>
            <w:r>
              <w:rPr>
                <w:sz w:val="19"/>
              </w:rPr>
              <w:t>Sept. 22, 2022</w:t>
            </w:r>
          </w:p>
        </w:tc>
        <w:tc>
          <w:tcPr>
            <w:tcW w:type="dxa" w:w="5184"/>
          </w:tcPr>
          <w:p>
            <w:pPr>
              <w:spacing w:after="40"/>
            </w:pPr>
            <w:r/>
            <w:r>
              <w:rPr>
                <w:sz w:val="19"/>
              </w:rPr>
              <w:t>Halpern reply: “discuss offline … substantially complete”</w:t>
            </w:r>
          </w:p>
        </w:tc>
        <w:tc>
          <w:tcPr>
            <w:tcW w:type="dxa" w:w="2160"/>
          </w:tcPr>
          <w:p>
            <w:pPr>
              <w:spacing w:after="40"/>
            </w:pPr>
            <w:r/>
            <w:r>
              <w:rPr>
                <w:sz w:val="19"/>
              </w:rPr>
              <w:t>KDC-003</w:t>
            </w:r>
          </w:p>
        </w:tc>
      </w:tr>
      <w:tr>
        <w:tc>
          <w:tcPr>
            <w:tcW w:type="dxa" w:w="2016"/>
          </w:tcPr>
          <w:p>
            <w:pPr>
              <w:spacing w:after="40"/>
            </w:pPr>
            <w:r/>
            <w:r>
              <w:rPr>
                <w:sz w:val="19"/>
              </w:rPr>
              <w:t>Late Sept. 2022</w:t>
            </w:r>
          </w:p>
        </w:tc>
        <w:tc>
          <w:tcPr>
            <w:tcW w:type="dxa" w:w="5184"/>
          </w:tcPr>
          <w:p>
            <w:pPr>
              <w:spacing w:after="40"/>
            </w:pPr>
            <w:r/>
            <w:r>
              <w:rPr>
                <w:sz w:val="19"/>
              </w:rPr>
              <w:t>Claimed Halpern-Muñoz conversation (undocumented)</w:t>
            </w:r>
          </w:p>
        </w:tc>
        <w:tc>
          <w:tcPr>
            <w:tcW w:type="dxa" w:w="2160"/>
          </w:tcPr>
          <w:p>
            <w:pPr>
              <w:spacing w:after="40"/>
            </w:pPr>
            <w:r/>
            <w:r>
              <w:rPr>
                <w:sz w:val="19"/>
              </w:rPr>
              <w:t>SEC Dep. §§ 4.2, 9</w:t>
            </w:r>
          </w:p>
        </w:tc>
      </w:tr>
      <w:tr>
        <w:tc>
          <w:tcPr>
            <w:tcW w:type="dxa" w:w="2016"/>
          </w:tcPr>
          <w:p>
            <w:pPr>
              <w:spacing w:after="40"/>
            </w:pPr>
            <w:r/>
            <w:r>
              <w:rPr>
                <w:sz w:val="19"/>
              </w:rPr>
              <w:t>Sept. 30, 2022</w:t>
            </w:r>
          </w:p>
        </w:tc>
        <w:tc>
          <w:tcPr>
            <w:tcW w:type="dxa" w:w="5184"/>
          </w:tcPr>
          <w:p>
            <w:pPr>
              <w:spacing w:after="40"/>
            </w:pPr>
            <w:r/>
            <w:r>
              <w:rPr>
                <w:sz w:val="19"/>
              </w:rPr>
              <w:t>Q3 close; $7.1M recognized</w:t>
            </w:r>
          </w:p>
        </w:tc>
        <w:tc>
          <w:tcPr>
            <w:tcW w:type="dxa" w:w="2160"/>
          </w:tcPr>
          <w:p>
            <w:pPr>
              <w:spacing w:after="40"/>
            </w:pPr>
            <w:r/>
            <w:r>
              <w:rPr>
                <w:sz w:val="19"/>
              </w:rPr>
              <w:t>Compl. ¶ 47</w:t>
            </w:r>
          </w:p>
        </w:tc>
      </w:tr>
      <w:tr>
        <w:tc>
          <w:tcPr>
            <w:tcW w:type="dxa" w:w="2016"/>
          </w:tcPr>
          <w:p>
            <w:pPr>
              <w:spacing w:after="40"/>
            </w:pPr>
            <w:r/>
            <w:r>
              <w:rPr>
                <w:sz w:val="19"/>
              </w:rPr>
              <w:t>Oct. 3, 2022</w:t>
            </w:r>
          </w:p>
        </w:tc>
        <w:tc>
          <w:tcPr>
            <w:tcW w:type="dxa" w:w="5184"/>
          </w:tcPr>
          <w:p>
            <w:pPr>
              <w:spacing w:after="40"/>
            </w:pPr>
            <w:r/>
            <w:r>
              <w:rPr>
                <w:sz w:val="19"/>
              </w:rPr>
              <w:t>Aethon email re territories (“pending final board approval”)</w:t>
            </w:r>
          </w:p>
        </w:tc>
        <w:tc>
          <w:tcPr>
            <w:tcW w:type="dxa" w:w="2160"/>
          </w:tcPr>
          <w:p>
            <w:pPr>
              <w:spacing w:after="40"/>
            </w:pPr>
            <w:r/>
            <w:r>
              <w:rPr>
                <w:sz w:val="19"/>
              </w:rPr>
              <w:t>KDC-004</w:t>
            </w:r>
          </w:p>
        </w:tc>
      </w:tr>
      <w:tr>
        <w:tc>
          <w:tcPr>
            <w:tcW w:type="dxa" w:w="2016"/>
          </w:tcPr>
          <w:p>
            <w:pPr>
              <w:spacing w:after="40"/>
            </w:pPr>
            <w:r/>
            <w:r>
              <w:rPr>
                <w:sz w:val="19"/>
              </w:rPr>
              <w:t>Oct. 14 &amp; 22, 2022</w:t>
            </w:r>
          </w:p>
        </w:tc>
        <w:tc>
          <w:tcPr>
            <w:tcW w:type="dxa" w:w="5184"/>
          </w:tcPr>
          <w:p>
            <w:pPr>
              <w:spacing w:after="40"/>
            </w:pPr>
            <w:r/>
            <w:r>
              <w:rPr>
                <w:sz w:val="19"/>
              </w:rPr>
              <w:t>Remaining two batches delivered</w:t>
            </w:r>
          </w:p>
        </w:tc>
        <w:tc>
          <w:tcPr>
            <w:tcW w:type="dxa" w:w="2160"/>
          </w:tcPr>
          <w:p>
            <w:pPr>
              <w:spacing w:after="40"/>
            </w:pPr>
            <w:r/>
            <w:r>
              <w:rPr>
                <w:sz w:val="19"/>
              </w:rPr>
              <w:t>Compl. ¶ 43</w:t>
            </w:r>
          </w:p>
        </w:tc>
      </w:tr>
      <w:tr>
        <w:tc>
          <w:tcPr>
            <w:tcW w:type="dxa" w:w="2016"/>
          </w:tcPr>
          <w:p>
            <w:pPr>
              <w:spacing w:after="40"/>
            </w:pPr>
            <w:r/>
            <w:r>
              <w:rPr>
                <w:sz w:val="19"/>
              </w:rPr>
              <w:t>Nov. 9, 2022</w:t>
            </w:r>
          </w:p>
        </w:tc>
        <w:tc>
          <w:tcPr>
            <w:tcW w:type="dxa" w:w="5184"/>
          </w:tcPr>
          <w:p>
            <w:pPr>
              <w:spacing w:after="40"/>
            </w:pPr>
            <w:r/>
            <w:r>
              <w:rPr>
                <w:sz w:val="19"/>
              </w:rPr>
              <w:t>Q3 2022 10-Q filed</w:t>
            </w:r>
          </w:p>
        </w:tc>
        <w:tc>
          <w:tcPr>
            <w:tcW w:type="dxa" w:w="2160"/>
          </w:tcPr>
          <w:p>
            <w:pPr>
              <w:spacing w:after="40"/>
            </w:pPr>
            <w:r/>
            <w:r>
              <w:rPr>
                <w:sz w:val="19"/>
              </w:rPr>
              <w:t>Compl. ¶ 47</w:t>
            </w:r>
          </w:p>
        </w:tc>
      </w:tr>
      <w:tr>
        <w:tc>
          <w:tcPr>
            <w:tcW w:type="dxa" w:w="2016"/>
          </w:tcPr>
          <w:p>
            <w:pPr>
              <w:spacing w:after="40"/>
            </w:pPr>
            <w:r/>
            <w:r>
              <w:rPr>
                <w:sz w:val="19"/>
              </w:rPr>
              <w:t>Nov. 14, 2022</w:t>
            </w:r>
          </w:p>
        </w:tc>
        <w:tc>
          <w:tcPr>
            <w:tcW w:type="dxa" w:w="5184"/>
          </w:tcPr>
          <w:p>
            <w:pPr>
              <w:spacing w:after="40"/>
            </w:pPr>
            <w:r/>
            <w:r>
              <w:rPr>
                <w:sz w:val="19"/>
              </w:rPr>
              <w:t>Guidance-gap emails among Halpern, Petrova, Falcone</w:t>
            </w:r>
          </w:p>
        </w:tc>
        <w:tc>
          <w:tcPr>
            <w:tcW w:type="dxa" w:w="2160"/>
          </w:tcPr>
          <w:p>
            <w:pPr>
              <w:spacing w:after="40"/>
            </w:pPr>
            <w:r/>
            <w:r>
              <w:rPr>
                <w:sz w:val="19"/>
              </w:rPr>
              <w:t>KDC-004</w:t>
            </w:r>
          </w:p>
        </w:tc>
      </w:tr>
      <w:tr>
        <w:tc>
          <w:tcPr>
            <w:tcW w:type="dxa" w:w="2016"/>
          </w:tcPr>
          <w:p>
            <w:pPr>
              <w:spacing w:after="40"/>
            </w:pPr>
            <w:r/>
            <w:r>
              <w:rPr>
                <w:sz w:val="19"/>
              </w:rPr>
              <w:t>Nov. 2022 (days after Nov. 14)</w:t>
            </w:r>
          </w:p>
        </w:tc>
        <w:tc>
          <w:tcPr>
            <w:tcW w:type="dxa" w:w="5184"/>
          </w:tcPr>
          <w:p>
            <w:pPr>
              <w:spacing w:after="40"/>
            </w:pPr>
            <w:r/>
            <w:r>
              <w:rPr>
                <w:sz w:val="19"/>
              </w:rPr>
              <w:t>Falcone text: not comfortable; get outside counsel</w:t>
            </w:r>
          </w:p>
        </w:tc>
        <w:tc>
          <w:tcPr>
            <w:tcW w:type="dxa" w:w="2160"/>
          </w:tcPr>
          <w:p>
            <w:pPr>
              <w:spacing w:after="40"/>
            </w:pPr>
            <w:r/>
            <w:r>
              <w:rPr>
                <w:sz w:val="19"/>
              </w:rPr>
              <w:t>KDC-005; Compl. ¶ 81(e)</w:t>
            </w:r>
          </w:p>
        </w:tc>
      </w:tr>
      <w:tr>
        <w:tc>
          <w:tcPr>
            <w:tcW w:type="dxa" w:w="2016"/>
          </w:tcPr>
          <w:p>
            <w:pPr>
              <w:spacing w:after="40"/>
            </w:pPr>
            <w:r/>
            <w:r>
              <w:rPr>
                <w:sz w:val="19"/>
              </w:rPr>
              <w:t>Q4 2022</w:t>
            </w:r>
          </w:p>
        </w:tc>
        <w:tc>
          <w:tcPr>
            <w:tcW w:type="dxa" w:w="5184"/>
          </w:tcPr>
          <w:p>
            <w:pPr>
              <w:spacing w:after="40"/>
            </w:pPr>
            <w:r/>
            <w:r>
              <w:rPr>
                <w:sz w:val="19"/>
              </w:rPr>
              <w:t>$8M territorial option fees recognized</w:t>
            </w:r>
          </w:p>
        </w:tc>
        <w:tc>
          <w:tcPr>
            <w:tcW w:type="dxa" w:w="2160"/>
          </w:tcPr>
          <w:p>
            <w:pPr>
              <w:spacing w:after="40"/>
            </w:pPr>
            <w:r/>
            <w:r>
              <w:rPr>
                <w:sz w:val="19"/>
              </w:rPr>
              <w:t>Compl. ¶ 51</w:t>
            </w:r>
          </w:p>
        </w:tc>
      </w:tr>
      <w:tr>
        <w:tc>
          <w:tcPr>
            <w:tcW w:type="dxa" w:w="2016"/>
          </w:tcPr>
          <w:p>
            <w:pPr>
              <w:spacing w:after="40"/>
            </w:pPr>
            <w:r/>
            <w:r>
              <w:rPr>
                <w:sz w:val="19"/>
              </w:rPr>
              <w:t>Early 2023</w:t>
            </w:r>
          </w:p>
        </w:tc>
        <w:tc>
          <w:tcPr>
            <w:tcW w:type="dxa" w:w="5184"/>
          </w:tcPr>
          <w:p>
            <w:pPr>
              <w:spacing w:after="40"/>
            </w:pPr>
            <w:r/>
            <w:r>
              <w:rPr>
                <w:sz w:val="19"/>
              </w:rPr>
              <w:t>Halpern replaces personal phone; no backup</w:t>
            </w:r>
          </w:p>
        </w:tc>
        <w:tc>
          <w:tcPr>
            <w:tcW w:type="dxa" w:w="2160"/>
          </w:tcPr>
          <w:p>
            <w:pPr>
              <w:spacing w:after="40"/>
            </w:pPr>
            <w:r/>
            <w:r>
              <w:rPr>
                <w:sz w:val="19"/>
              </w:rPr>
              <w:t>KDC-005</w:t>
            </w:r>
          </w:p>
        </w:tc>
      </w:tr>
      <w:tr>
        <w:tc>
          <w:tcPr>
            <w:tcW w:type="dxa" w:w="2016"/>
          </w:tcPr>
          <w:p>
            <w:pPr>
              <w:spacing w:after="40"/>
            </w:pPr>
            <w:r/>
            <w:r>
              <w:rPr>
                <w:sz w:val="19"/>
              </w:rPr>
              <w:t>Mar. 15, 2023</w:t>
            </w:r>
          </w:p>
        </w:tc>
        <w:tc>
          <w:tcPr>
            <w:tcW w:type="dxa" w:w="5184"/>
          </w:tcPr>
          <w:p>
            <w:pPr>
              <w:spacing w:after="40"/>
            </w:pPr>
            <w:r/>
            <w:r>
              <w:rPr>
                <w:sz w:val="19"/>
              </w:rPr>
              <w:t>FY2022 10-K filed; Halpern certifies</w:t>
            </w:r>
          </w:p>
        </w:tc>
        <w:tc>
          <w:tcPr>
            <w:tcW w:type="dxa" w:w="2160"/>
          </w:tcPr>
          <w:p>
            <w:pPr>
              <w:spacing w:after="40"/>
            </w:pPr>
            <w:r/>
            <w:r>
              <w:rPr>
                <w:sz w:val="19"/>
              </w:rPr>
              <w:t>Compl. ¶ 81</w:t>
            </w:r>
          </w:p>
        </w:tc>
      </w:tr>
      <w:tr>
        <w:tc>
          <w:tcPr>
            <w:tcW w:type="dxa" w:w="2016"/>
          </w:tcPr>
          <w:p>
            <w:pPr>
              <w:spacing w:after="40"/>
            </w:pPr>
            <w:r/>
            <w:r>
              <w:rPr>
                <w:sz w:val="19"/>
              </w:rPr>
              <w:t>Q2 2023</w:t>
            </w:r>
          </w:p>
        </w:tc>
        <w:tc>
          <w:tcPr>
            <w:tcW w:type="dxa" w:w="5184"/>
          </w:tcPr>
          <w:p>
            <w:pPr>
              <w:spacing w:after="40"/>
            </w:pPr>
            <w:r/>
            <w:r>
              <w:rPr>
                <w:sz w:val="19"/>
              </w:rPr>
              <w:t>Claimed formal Aethon exercise (disputed)</w:t>
            </w:r>
          </w:p>
        </w:tc>
        <w:tc>
          <w:tcPr>
            <w:tcW w:type="dxa" w:w="2160"/>
          </w:tcPr>
          <w:p>
            <w:pPr>
              <w:spacing w:after="40"/>
            </w:pPr>
            <w:r/>
            <w:r>
              <w:rPr>
                <w:sz w:val="19"/>
              </w:rPr>
              <w:t>SEC Dep. § 6 vs. Compl. ¶ 58</w:t>
            </w:r>
          </w:p>
        </w:tc>
      </w:tr>
      <w:tr>
        <w:tc>
          <w:tcPr>
            <w:tcW w:type="dxa" w:w="2016"/>
          </w:tcPr>
          <w:p>
            <w:pPr>
              <w:spacing w:after="40"/>
            </w:pPr>
            <w:r/>
            <w:r>
              <w:rPr>
                <w:sz w:val="19"/>
              </w:rPr>
              <w:t>Early-mid Aug. 2023</w:t>
            </w:r>
          </w:p>
        </w:tc>
        <w:tc>
          <w:tcPr>
            <w:tcW w:type="dxa" w:w="5184"/>
          </w:tcPr>
          <w:p>
            <w:pPr>
              <w:spacing w:after="40"/>
            </w:pPr>
            <w:r/>
            <w:r>
              <w:rPr>
                <w:sz w:val="19"/>
              </w:rPr>
              <w:t>Falcone tells Halpern SEC received a complaint</w:t>
            </w:r>
          </w:p>
        </w:tc>
        <w:tc>
          <w:tcPr>
            <w:tcW w:type="dxa" w:w="2160"/>
          </w:tcPr>
          <w:p>
            <w:pPr>
              <w:spacing w:after="40"/>
            </w:pPr>
            <w:r/>
            <w:r>
              <w:rPr>
                <w:sz w:val="19"/>
              </w:rPr>
              <w:t>SEC Dep. § 7; Proffer Mem. § VIII</w:t>
            </w:r>
          </w:p>
        </w:tc>
      </w:tr>
      <w:tr>
        <w:tc>
          <w:tcPr>
            <w:tcW w:type="dxa" w:w="2016"/>
          </w:tcPr>
          <w:p>
            <w:pPr>
              <w:spacing w:after="40"/>
            </w:pPr>
            <w:r/>
            <w:r>
              <w:rPr>
                <w:sz w:val="19"/>
              </w:rPr>
              <w:t>Sept. 14, 2023</w:t>
            </w:r>
          </w:p>
        </w:tc>
        <w:tc>
          <w:tcPr>
            <w:tcW w:type="dxa" w:w="5184"/>
          </w:tcPr>
          <w:p>
            <w:pPr>
              <w:spacing w:after="40"/>
            </w:pPr>
            <w:r/>
            <w:r>
              <w:rPr>
                <w:sz w:val="19"/>
              </w:rPr>
              <w:t>Halpern resigns effective immediately</w:t>
            </w:r>
          </w:p>
        </w:tc>
        <w:tc>
          <w:tcPr>
            <w:tcW w:type="dxa" w:w="2160"/>
          </w:tcPr>
          <w:p>
            <w:pPr>
              <w:spacing w:after="40"/>
            </w:pPr>
            <w:r/>
            <w:r>
              <w:rPr>
                <w:sz w:val="19"/>
              </w:rPr>
              <w:t>KDC-006</w:t>
            </w:r>
          </w:p>
        </w:tc>
      </w:tr>
      <w:tr>
        <w:tc>
          <w:tcPr>
            <w:tcW w:type="dxa" w:w="2016"/>
          </w:tcPr>
          <w:p>
            <w:pPr>
              <w:spacing w:after="40"/>
            </w:pPr>
            <w:r/>
            <w:r>
              <w:rPr>
                <w:sz w:val="19"/>
              </w:rPr>
              <w:t>Oct. 5, 2023</w:t>
            </w:r>
          </w:p>
        </w:tc>
        <w:tc>
          <w:tcPr>
            <w:tcW w:type="dxa" w:w="5184"/>
          </w:tcPr>
          <w:p>
            <w:pPr>
              <w:spacing w:after="40"/>
            </w:pPr>
            <w:r/>
            <w:r>
              <w:rPr>
                <w:sz w:val="19"/>
              </w:rPr>
              <w:t>Harwick Alderman retained by Audit Committee</w:t>
            </w:r>
          </w:p>
        </w:tc>
        <w:tc>
          <w:tcPr>
            <w:tcW w:type="dxa" w:w="2160"/>
          </w:tcPr>
          <w:p>
            <w:pPr>
              <w:spacing w:after="40"/>
            </w:pPr>
            <w:r/>
            <w:r>
              <w:rPr>
                <w:sz w:val="19"/>
              </w:rPr>
              <w:t>AC Tr. § 1.1</w:t>
            </w:r>
          </w:p>
        </w:tc>
      </w:tr>
      <w:tr>
        <w:tc>
          <w:tcPr>
            <w:tcW w:type="dxa" w:w="2016"/>
          </w:tcPr>
          <w:p>
            <w:pPr>
              <w:spacing w:after="40"/>
            </w:pPr>
            <w:r/>
            <w:r>
              <w:rPr>
                <w:sz w:val="19"/>
              </w:rPr>
              <w:t>Oct. 2023</w:t>
            </w:r>
          </w:p>
        </w:tc>
        <w:tc>
          <w:tcPr>
            <w:tcW w:type="dxa" w:w="5184"/>
          </w:tcPr>
          <w:p>
            <w:pPr>
              <w:spacing w:after="40"/>
            </w:pPr>
            <w:r/>
            <w:r>
              <w:rPr>
                <w:sz w:val="19"/>
              </w:rPr>
              <w:t>Falcone resigns</w:t>
            </w:r>
          </w:p>
        </w:tc>
        <w:tc>
          <w:tcPr>
            <w:tcW w:type="dxa" w:w="2160"/>
          </w:tcPr>
          <w:p>
            <w:pPr>
              <w:spacing w:after="40"/>
            </w:pPr>
            <w:r/>
            <w:r>
              <w:rPr>
                <w:sz w:val="19"/>
              </w:rPr>
              <w:t>Proffer Mem. § III.F</w:t>
            </w:r>
          </w:p>
        </w:tc>
      </w:tr>
      <w:tr>
        <w:tc>
          <w:tcPr>
            <w:tcW w:type="dxa" w:w="2016"/>
          </w:tcPr>
          <w:p>
            <w:pPr>
              <w:spacing w:after="40"/>
            </w:pPr>
            <w:r/>
            <w:r>
              <w:rPr>
                <w:sz w:val="19"/>
              </w:rPr>
              <w:t>Nov. 2, 2023</w:t>
            </w:r>
          </w:p>
        </w:tc>
        <w:tc>
          <w:tcPr>
            <w:tcW w:type="dxa" w:w="5184"/>
          </w:tcPr>
          <w:p>
            <w:pPr>
              <w:spacing w:after="40"/>
            </w:pPr>
            <w:r/>
            <w:r>
              <w:rPr>
                <w:sz w:val="19"/>
              </w:rPr>
              <w:t>Audit Committee interview</w:t>
            </w:r>
          </w:p>
        </w:tc>
        <w:tc>
          <w:tcPr>
            <w:tcW w:type="dxa" w:w="2160"/>
          </w:tcPr>
          <w:p>
            <w:pPr>
              <w:spacing w:after="40"/>
            </w:pPr>
            <w:r/>
            <w:r>
              <w:rPr>
                <w:sz w:val="19"/>
              </w:rPr>
              <w:t>AC Tr.</w:t>
            </w:r>
          </w:p>
        </w:tc>
      </w:tr>
      <w:tr>
        <w:tc>
          <w:tcPr>
            <w:tcW w:type="dxa" w:w="2016"/>
          </w:tcPr>
          <w:p>
            <w:pPr>
              <w:spacing w:after="40"/>
            </w:pPr>
            <w:r/>
            <w:r>
              <w:rPr>
                <w:sz w:val="19"/>
              </w:rPr>
              <w:t>Nov. 17, 2023</w:t>
            </w:r>
          </w:p>
        </w:tc>
        <w:tc>
          <w:tcPr>
            <w:tcW w:type="dxa" w:w="5184"/>
          </w:tcPr>
          <w:p>
            <w:pPr>
              <w:spacing w:after="40"/>
            </w:pPr>
            <w:r/>
            <w:r>
              <w:rPr>
                <w:sz w:val="19"/>
              </w:rPr>
              <w:t>Restatement 8-K ($20.3M)</w:t>
            </w:r>
          </w:p>
        </w:tc>
        <w:tc>
          <w:tcPr>
            <w:tcW w:type="dxa" w:w="2160"/>
          </w:tcPr>
          <w:p>
            <w:pPr>
              <w:spacing w:after="40"/>
            </w:pPr>
            <w:r/>
            <w:r>
              <w:rPr>
                <w:sz w:val="19"/>
              </w:rPr>
              <w:t>Compl. ¶ 6</w:t>
            </w:r>
          </w:p>
        </w:tc>
      </w:tr>
      <w:tr>
        <w:tc>
          <w:tcPr>
            <w:tcW w:type="dxa" w:w="2016"/>
          </w:tcPr>
          <w:p>
            <w:pPr>
              <w:spacing w:after="40"/>
            </w:pPr>
            <w:r/>
            <w:r>
              <w:rPr>
                <w:sz w:val="19"/>
              </w:rPr>
              <w:t>Feb. 12, 2024</w:t>
            </w:r>
          </w:p>
        </w:tc>
        <w:tc>
          <w:tcPr>
            <w:tcW w:type="dxa" w:w="5184"/>
          </w:tcPr>
          <w:p>
            <w:pPr>
              <w:spacing w:after="40"/>
            </w:pPr>
            <w:r/>
            <w:r>
              <w:rPr>
                <w:sz w:val="19"/>
              </w:rPr>
              <w:t>DOJ opens criminal investigation on SEC referral</w:t>
            </w:r>
          </w:p>
        </w:tc>
        <w:tc>
          <w:tcPr>
            <w:tcW w:type="dxa" w:w="2160"/>
          </w:tcPr>
          <w:p>
            <w:pPr>
              <w:spacing w:after="40"/>
            </w:pPr>
            <w:r/>
            <w:r>
              <w:rPr>
                <w:sz w:val="19"/>
              </w:rPr>
              <w:t>Proffer Mem. § I</w:t>
            </w:r>
          </w:p>
        </w:tc>
      </w:tr>
      <w:tr>
        <w:tc>
          <w:tcPr>
            <w:tcW w:type="dxa" w:w="2016"/>
          </w:tcPr>
          <w:p>
            <w:pPr>
              <w:spacing w:after="40"/>
            </w:pPr>
            <w:r/>
            <w:r>
              <w:rPr>
                <w:sz w:val="19"/>
              </w:rPr>
              <w:t>Mar. 8, 2024</w:t>
            </w:r>
          </w:p>
        </w:tc>
        <w:tc>
          <w:tcPr>
            <w:tcW w:type="dxa" w:w="5184"/>
          </w:tcPr>
          <w:p>
            <w:pPr>
              <w:spacing w:after="40"/>
            </w:pPr>
            <w:r/>
            <w:r>
              <w:rPr>
                <w:sz w:val="19"/>
              </w:rPr>
              <w:t>SEC Complaint filed (pleads Falcone text)</w:t>
            </w:r>
          </w:p>
        </w:tc>
        <w:tc>
          <w:tcPr>
            <w:tcW w:type="dxa" w:w="2160"/>
          </w:tcPr>
          <w:p>
            <w:pPr>
              <w:spacing w:after="40"/>
            </w:pPr>
            <w:r/>
            <w:r>
              <w:rPr>
                <w:sz w:val="19"/>
              </w:rPr>
              <w:t>Compl.</w:t>
            </w:r>
          </w:p>
        </w:tc>
      </w:tr>
      <w:tr>
        <w:tc>
          <w:tcPr>
            <w:tcW w:type="dxa" w:w="2016"/>
          </w:tcPr>
          <w:p>
            <w:pPr>
              <w:spacing w:after="40"/>
            </w:pPr>
            <w:r/>
            <w:r>
              <w:rPr>
                <w:sz w:val="19"/>
              </w:rPr>
              <w:t>Apr. 16, 2024</w:t>
            </w:r>
          </w:p>
        </w:tc>
        <w:tc>
          <w:tcPr>
            <w:tcW w:type="dxa" w:w="5184"/>
          </w:tcPr>
          <w:p>
            <w:pPr>
              <w:spacing w:after="40"/>
            </w:pPr>
            <w:r/>
            <w:r>
              <w:rPr>
                <w:sz w:val="19"/>
              </w:rPr>
              <w:t>SEC deposition</w:t>
            </w:r>
          </w:p>
        </w:tc>
        <w:tc>
          <w:tcPr>
            <w:tcW w:type="dxa" w:w="2160"/>
          </w:tcPr>
          <w:p>
            <w:pPr>
              <w:spacing w:after="40"/>
            </w:pPr>
            <w:r/>
            <w:r>
              <w:rPr>
                <w:sz w:val="19"/>
              </w:rPr>
              <w:t>SEC Dep.</w:t>
            </w:r>
          </w:p>
        </w:tc>
      </w:tr>
      <w:tr>
        <w:tc>
          <w:tcPr>
            <w:tcW w:type="dxa" w:w="2016"/>
          </w:tcPr>
          <w:p>
            <w:pPr>
              <w:spacing w:after="40"/>
            </w:pPr>
            <w:r/>
            <w:r>
              <w:rPr>
                <w:sz w:val="19"/>
              </w:rPr>
              <w:t>June 2024</w:t>
            </w:r>
          </w:p>
        </w:tc>
        <w:tc>
          <w:tcPr>
            <w:tcW w:type="dxa" w:w="5184"/>
          </w:tcPr>
          <w:p>
            <w:pPr>
              <w:spacing w:after="40"/>
            </w:pPr>
            <w:r/>
            <w:r>
              <w:rPr>
                <w:sz w:val="19"/>
              </w:rPr>
              <w:t>Greenfield &amp; Associates retained</w:t>
            </w:r>
          </w:p>
        </w:tc>
        <w:tc>
          <w:tcPr>
            <w:tcW w:type="dxa" w:w="2160"/>
          </w:tcPr>
          <w:p>
            <w:pPr>
              <w:spacing w:after="40"/>
            </w:pPr>
            <w:r/>
            <w:r>
              <w:rPr>
                <w:sz w:val="19"/>
              </w:rPr>
              <w:t>Proffer Mem. § I</w:t>
            </w:r>
          </w:p>
        </w:tc>
      </w:tr>
      <w:tr>
        <w:tc>
          <w:tcPr>
            <w:tcW w:type="dxa" w:w="2016"/>
          </w:tcPr>
          <w:p>
            <w:pPr>
              <w:spacing w:after="40"/>
            </w:pPr>
            <w:r/>
            <w:r>
              <w:rPr>
                <w:sz w:val="19"/>
              </w:rPr>
              <w:t>Aug. 7, 2024</w:t>
            </w:r>
          </w:p>
        </w:tc>
        <w:tc>
          <w:tcPr>
            <w:tcW w:type="dxa" w:w="5184"/>
          </w:tcPr>
          <w:p>
            <w:pPr>
              <w:spacing w:after="40"/>
            </w:pPr>
            <w:r/>
            <w:r>
              <w:rPr>
                <w:sz w:val="19"/>
              </w:rPr>
              <w:t>Proffer Agreement and DOJ proffer</w:t>
            </w:r>
          </w:p>
        </w:tc>
        <w:tc>
          <w:tcPr>
            <w:tcW w:type="dxa" w:w="2160"/>
          </w:tcPr>
          <w:p>
            <w:pPr>
              <w:spacing w:after="40"/>
            </w:pPr>
            <w:r/>
            <w:r>
              <w:rPr>
                <w:sz w:val="19"/>
              </w:rPr>
              <w:t>PA; Proffer Mem.</w:t>
            </w:r>
          </w:p>
        </w:tc>
      </w:tr>
    </w:tbl>
    <w:p>
      <w:pPr>
        <w:spacing w:after="40"/>
      </w:pPr>
    </w:p>
    <w:p>
      <w:pPr>
        <w:pStyle w:val="Heading1"/>
      </w:pPr>
      <w:r>
        <w:t>APPENDIX B — CROSS-EXAMINATION PREPARATION GRID (statements the government will juxtapose)</w:t>
      </w:r>
    </w:p>
    <w:tbl>
      <w:tblPr>
        <w:tblStyle w:val="TableGrid"/>
        <w:tblW w:type="auto" w:w="0"/>
        <w:jc w:val="center"/>
        <w:tblLook w:firstColumn="1" w:firstRow="1" w:lastColumn="0" w:lastRow="0" w:noHBand="0" w:noVBand="1" w:val="04A0"/>
      </w:tblPr>
      <w:tblGrid>
        <w:gridCol w:w="3120"/>
        <w:gridCol w:w="3120"/>
        <w:gridCol w:w="3120"/>
      </w:tblGrid>
      <w:tr>
        <w:tc>
          <w:tcPr>
            <w:tcW w:type="dxa" w:w="1584"/>
            <w:shd w:val="clear" w:color="auto" w:fill="1F2A44"/>
          </w:tcPr>
          <w:p>
            <w:r/>
            <w:r>
              <w:rPr>
                <w:b/>
                <w:color w:val="FFFFFF"/>
                <w:sz w:val="19"/>
              </w:rPr>
              <w:t>Topic</w:t>
            </w:r>
          </w:p>
        </w:tc>
        <w:tc>
          <w:tcPr>
            <w:tcW w:type="dxa" w:w="3744"/>
            <w:shd w:val="clear" w:color="auto" w:fill="1F2A44"/>
          </w:tcPr>
          <w:p>
            <w:r/>
            <w:r>
              <w:rPr>
                <w:b/>
                <w:color w:val="FFFFFF"/>
                <w:sz w:val="19"/>
              </w:rPr>
              <w:t>Statement A</w:t>
            </w:r>
          </w:p>
        </w:tc>
        <w:tc>
          <w:tcPr>
            <w:tcW w:type="dxa" w:w="4032"/>
            <w:shd w:val="clear" w:color="auto" w:fill="1F2A44"/>
          </w:tcPr>
          <w:p>
            <w:r/>
            <w:r>
              <w:rPr>
                <w:b/>
                <w:color w:val="FFFFFF"/>
                <w:sz w:val="19"/>
              </w:rPr>
              <w:t>Statement B / contradicting evidence</w:t>
            </w:r>
          </w:p>
        </w:tc>
      </w:tr>
      <w:tr>
        <w:tc>
          <w:tcPr>
            <w:tcW w:type="dxa" w:w="1584"/>
          </w:tcPr>
          <w:p>
            <w:pPr>
              <w:spacing w:after="40"/>
            </w:pPr>
            <w:r/>
            <w:r>
              <w:rPr>
                <w:sz w:val="19"/>
              </w:rPr>
              <w:t>Falcone</w:t>
            </w:r>
          </w:p>
        </w:tc>
        <w:tc>
          <w:tcPr>
            <w:tcW w:type="dxa" w:w="3744"/>
          </w:tcPr>
          <w:p>
            <w:pPr>
              <w:spacing w:after="40"/>
            </w:pPr>
            <w:r/>
            <w:r>
              <w:rPr>
                <w:sz w:val="19"/>
              </w:rPr>
              <w:t>“Rob was fully on board … He provided a written analysis” (AC § 4.5)</w:t>
            </w:r>
          </w:p>
        </w:tc>
        <w:tc>
          <w:tcPr>
            <w:tcW w:type="dxa" w:w="4032"/>
          </w:tcPr>
          <w:p>
            <w:pPr>
              <w:spacing w:after="40"/>
            </w:pPr>
            <w:r/>
            <w:r>
              <w:rPr>
                <w:sz w:val="19"/>
              </w:rPr>
              <w:t>Falcone text: “I’m not comfortable … get outside counsel involved” (Proffer § V.C); KDC-004 sign-off request</w:t>
            </w:r>
          </w:p>
        </w:tc>
      </w:tr>
      <w:tr>
        <w:tc>
          <w:tcPr>
            <w:tcW w:type="dxa" w:w="1584"/>
          </w:tcPr>
          <w:p>
            <w:pPr>
              <w:spacing w:after="40"/>
            </w:pPr>
            <w:r/>
            <w:r>
              <w:rPr>
                <w:sz w:val="19"/>
              </w:rPr>
              <w:t>Outside counsel</w:t>
            </w:r>
          </w:p>
        </w:tc>
        <w:tc>
          <w:tcPr>
            <w:tcW w:type="dxa" w:w="3744"/>
          </w:tcPr>
          <w:p>
            <w:pPr>
              <w:spacing w:after="40"/>
            </w:pPr>
            <w:r/>
            <w:r>
              <w:rPr>
                <w:sz w:val="19"/>
              </w:rPr>
              <w:t>Falcone recommended outside counsel? “Not that I recall” (SEC §§ 4.3, 8.3)</w:t>
            </w:r>
          </w:p>
        </w:tc>
        <w:tc>
          <w:tcPr>
            <w:tcW w:type="dxa" w:w="4032"/>
          </w:tcPr>
          <w:p>
            <w:pPr>
              <w:spacing w:after="40"/>
            </w:pPr>
            <w:r/>
            <w:r>
              <w:rPr>
                <w:sz w:val="19"/>
              </w:rPr>
              <w:t>Text recommended outside counsel; pled in Compl. ¶ 53 before deposition</w:t>
            </w:r>
          </w:p>
        </w:tc>
      </w:tr>
      <w:tr>
        <w:tc>
          <w:tcPr>
            <w:tcW w:type="dxa" w:w="1584"/>
          </w:tcPr>
          <w:p>
            <w:pPr>
              <w:spacing w:after="40"/>
            </w:pPr>
            <w:r/>
            <w:r>
              <w:rPr>
                <w:sz w:val="19"/>
              </w:rPr>
              <w:t>Delivery knowledge</w:t>
            </w:r>
          </w:p>
        </w:tc>
        <w:tc>
          <w:tcPr>
            <w:tcW w:type="dxa" w:w="3744"/>
          </w:tcPr>
          <w:p>
            <w:pPr>
              <w:spacing w:after="40"/>
            </w:pPr>
            <w:r/>
            <w:r>
              <w:rPr>
                <w:sz w:val="19"/>
              </w:rPr>
              <w:t>“I first learned … in October 2023” (AC § 4.3)</w:t>
            </w:r>
          </w:p>
        </w:tc>
        <w:tc>
          <w:tcPr>
            <w:tcW w:type="dxa" w:w="4032"/>
          </w:tcPr>
          <w:p>
            <w:pPr>
              <w:spacing w:after="40"/>
            </w:pPr>
            <w:r/>
            <w:r>
              <w:rPr>
                <w:sz w:val="19"/>
              </w:rPr>
              <w:t>Told Muñoz “3 of 5” in Sept. 2022 (SEC § 9); KDC-002/003</w:t>
            </w:r>
          </w:p>
        </w:tc>
      </w:tr>
      <w:tr>
        <w:tc>
          <w:tcPr>
            <w:tcW w:type="dxa" w:w="1584"/>
          </w:tcPr>
          <w:p>
            <w:pPr>
              <w:spacing w:after="40"/>
            </w:pPr>
            <w:r/>
            <w:r>
              <w:rPr>
                <w:sz w:val="19"/>
              </w:rPr>
              <w:t>Emails</w:t>
            </w:r>
          </w:p>
        </w:tc>
        <w:tc>
          <w:tcPr>
            <w:tcW w:type="dxa" w:w="3744"/>
          </w:tcPr>
          <w:p>
            <w:pPr>
              <w:spacing w:after="40"/>
            </w:pPr>
            <w:r/>
            <w:r>
              <w:rPr>
                <w:sz w:val="19"/>
              </w:rPr>
              <w:t>“I didn’t find anything like that” in my files (AC § 4.3)</w:t>
            </w:r>
          </w:p>
        </w:tc>
        <w:tc>
          <w:tcPr>
            <w:tcW w:type="dxa" w:w="4032"/>
          </w:tcPr>
          <w:p>
            <w:pPr>
              <w:spacing w:after="40"/>
            </w:pPr>
            <w:r/>
            <w:r>
              <w:rPr>
                <w:sz w:val="19"/>
              </w:rPr>
              <w:t>KDC-002/003; and “I did not retain any Crestline documents” (SEC § 7)</w:t>
            </w:r>
          </w:p>
        </w:tc>
      </w:tr>
      <w:tr>
        <w:tc>
          <w:tcPr>
            <w:tcW w:type="dxa" w:w="1584"/>
          </w:tcPr>
          <w:p>
            <w:pPr>
              <w:spacing w:after="40"/>
            </w:pPr>
            <w:r/>
            <w:r>
              <w:rPr>
                <w:sz w:val="19"/>
              </w:rPr>
              <w:t>Offline talk</w:t>
            </w:r>
          </w:p>
        </w:tc>
        <w:tc>
          <w:tcPr>
            <w:tcW w:type="dxa" w:w="3744"/>
          </w:tcPr>
          <w:p>
            <w:pPr>
              <w:spacing w:after="40"/>
            </w:pPr>
            <w:r/>
            <w:r>
              <w:rPr>
                <w:sz w:val="19"/>
              </w:rPr>
              <w:t>“I don’t believe so … fell through the cracks” (SEC § 4.2)</w:t>
            </w:r>
          </w:p>
        </w:tc>
        <w:tc>
          <w:tcPr>
            <w:tcW w:type="dxa" w:w="4032"/>
          </w:tcPr>
          <w:p>
            <w:pPr>
              <w:spacing w:after="40"/>
            </w:pPr>
            <w:r/>
            <w:r>
              <w:rPr>
                <w:sz w:val="19"/>
              </w:rPr>
              <w:t>“Yes … she agreed” (Proffer § V.B); “I’ll be in the office Thursday” (KDC-003)</w:t>
            </w:r>
          </w:p>
        </w:tc>
      </w:tr>
      <w:tr>
        <w:tc>
          <w:tcPr>
            <w:tcW w:type="dxa" w:w="1584"/>
          </w:tcPr>
          <w:p>
            <w:pPr>
              <w:spacing w:after="40"/>
            </w:pPr>
            <w:r/>
            <w:r>
              <w:rPr>
                <w:sz w:val="19"/>
              </w:rPr>
              <w:t>Liang email</w:t>
            </w:r>
          </w:p>
        </w:tc>
        <w:tc>
          <w:tcPr>
            <w:tcW w:type="dxa" w:w="3744"/>
          </w:tcPr>
          <w:p>
            <w:pPr>
              <w:spacing w:after="40"/>
            </w:pPr>
            <w:r/>
            <w:r>
              <w:rPr>
                <w:sz w:val="19"/>
              </w:rPr>
              <w:t>“routine operational correspondence”; subject line not urgent (SEC § 4.2)</w:t>
            </w:r>
          </w:p>
        </w:tc>
        <w:tc>
          <w:tcPr>
            <w:tcW w:type="dxa" w:w="4032"/>
          </w:tcPr>
          <w:p>
            <w:pPr>
              <w:spacing w:after="40"/>
            </w:pPr>
            <w:r/>
            <w:r>
              <w:rPr>
                <w:sz w:val="19"/>
              </w:rPr>
              <w:t>Subject “Q3 Recognition Question”; detailed ASC 606 analysis (KDC-002)</w:t>
            </w:r>
          </w:p>
        </w:tc>
      </w:tr>
      <w:tr>
        <w:tc>
          <w:tcPr>
            <w:tcW w:type="dxa" w:w="1584"/>
          </w:tcPr>
          <w:p>
            <w:pPr>
              <w:spacing w:after="40"/>
            </w:pPr>
            <w:r/>
            <w:r>
              <w:rPr>
                <w:sz w:val="19"/>
              </w:rPr>
              <w:t>Muñoz</w:t>
            </w:r>
          </w:p>
        </w:tc>
        <w:tc>
          <w:tcPr>
            <w:tcW w:type="dxa" w:w="3744"/>
          </w:tcPr>
          <w:p>
            <w:pPr>
              <w:spacing w:after="40"/>
            </w:pPr>
            <w:r/>
            <w:r>
              <w:rPr>
                <w:sz w:val="19"/>
              </w:rPr>
              <w:t>“I personally discussed this issue with Richard Muñoz” (SEC § 4.2)</w:t>
            </w:r>
          </w:p>
        </w:tc>
        <w:tc>
          <w:tcPr>
            <w:tcW w:type="dxa" w:w="4032"/>
          </w:tcPr>
          <w:p>
            <w:pPr>
              <w:spacing w:after="40"/>
            </w:pPr>
            <w:r/>
            <w:r>
              <w:rPr>
                <w:sz w:val="19"/>
              </w:rPr>
              <w:t>“I’m not certain whether I personally raised” it (Proffer § VI.A)</w:t>
            </w:r>
          </w:p>
        </w:tc>
      </w:tr>
      <w:tr>
        <w:tc>
          <w:tcPr>
            <w:tcW w:type="dxa" w:w="1584"/>
          </w:tcPr>
          <w:p>
            <w:pPr>
              <w:spacing w:after="40"/>
            </w:pPr>
            <w:r/>
            <w:r>
              <w:rPr>
                <w:sz w:val="19"/>
              </w:rPr>
              <w:t>Auditors</w:t>
            </w:r>
          </w:p>
        </w:tc>
        <w:tc>
          <w:tcPr>
            <w:tcW w:type="dxa" w:w="3744"/>
          </w:tcPr>
          <w:p>
            <w:pPr>
              <w:spacing w:after="40"/>
            </w:pPr>
            <w:r/>
            <w:r>
              <w:rPr>
                <w:sz w:val="19"/>
              </w:rPr>
              <w:t>“We never held anything back” (Proffer § VI.D)</w:t>
            </w:r>
          </w:p>
        </w:tc>
        <w:tc>
          <w:tcPr>
            <w:tcW w:type="dxa" w:w="4032"/>
          </w:tcPr>
          <w:p>
            <w:pPr>
              <w:spacing w:after="40"/>
            </w:pPr>
            <w:r/>
            <w:r>
              <w:rPr>
                <w:sz w:val="19"/>
              </w:rPr>
              <w:t>Did not inform Stanton Barrow of Falcone’s concern (KDC-005)</w:t>
            </w:r>
          </w:p>
        </w:tc>
      </w:tr>
      <w:tr>
        <w:tc>
          <w:tcPr>
            <w:tcW w:type="dxa" w:w="1584"/>
          </w:tcPr>
          <w:p>
            <w:pPr>
              <w:spacing w:after="40"/>
            </w:pPr>
            <w:r/>
            <w:r>
              <w:rPr>
                <w:sz w:val="19"/>
              </w:rPr>
              <w:t>Guidance</w:t>
            </w:r>
          </w:p>
        </w:tc>
        <w:tc>
          <w:tcPr>
            <w:tcW w:type="dxa" w:w="3744"/>
          </w:tcPr>
          <w:p>
            <w:pPr>
              <w:spacing w:after="40"/>
            </w:pPr>
            <w:r/>
            <w:r>
              <w:rPr>
                <w:sz w:val="19"/>
              </w:rPr>
              <w:t>“casual observation”; “guidance is a range” (SEC § 4.3); “no connection to financial targets” (Proffer § V.C)</w:t>
            </w:r>
          </w:p>
        </w:tc>
        <w:tc>
          <w:tcPr>
            <w:tcW w:type="dxa" w:w="4032"/>
          </w:tcPr>
          <w:p>
            <w:pPr>
              <w:spacing w:after="40"/>
            </w:pPr>
            <w:r/>
            <w:r>
              <w:rPr>
                <w:sz w:val="19"/>
              </w:rPr>
              <w:t>“leaves an $8 million gap”; “gets us to the annual guidance number” (KDC-004)</w:t>
            </w:r>
          </w:p>
        </w:tc>
      </w:tr>
      <w:tr>
        <w:tc>
          <w:tcPr>
            <w:tcW w:type="dxa" w:w="1584"/>
          </w:tcPr>
          <w:p>
            <w:pPr>
              <w:spacing w:after="40"/>
            </w:pPr>
            <w:r/>
            <w:r>
              <w:rPr>
                <w:sz w:val="19"/>
              </w:rPr>
              <w:t>Notice</w:t>
            </w:r>
          </w:p>
        </w:tc>
        <w:tc>
          <w:tcPr>
            <w:tcW w:type="dxa" w:w="3744"/>
          </w:tcPr>
          <w:p>
            <w:pPr>
              <w:spacing w:after="40"/>
            </w:pPr>
            <w:r/>
            <w:r>
              <w:rPr>
                <w:sz w:val="19"/>
              </w:rPr>
              <w:t>“the contract didn’t require a specific form of notice” (AC § 4.6)</w:t>
            </w:r>
          </w:p>
        </w:tc>
        <w:tc>
          <w:tcPr>
            <w:tcW w:type="dxa" w:w="4032"/>
          </w:tcPr>
          <w:p>
            <w:pPr>
              <w:spacing w:after="40"/>
            </w:pPr>
            <w:r/>
            <w:r>
              <w:rPr>
                <w:sz w:val="19"/>
              </w:rPr>
              <w:t>“requires ‘written notice of intent to exercise’” (KDC-004); § 8.3 (Compl. ¶ 50)</w:t>
            </w:r>
          </w:p>
        </w:tc>
      </w:tr>
      <w:tr>
        <w:tc>
          <w:tcPr>
            <w:tcW w:type="dxa" w:w="1584"/>
          </w:tcPr>
          <w:p>
            <w:pPr>
              <w:spacing w:after="40"/>
            </w:pPr>
            <w:r/>
            <w:r>
              <w:rPr>
                <w:sz w:val="19"/>
              </w:rPr>
              <w:t>Exercise</w:t>
            </w:r>
          </w:p>
        </w:tc>
        <w:tc>
          <w:tcPr>
            <w:tcW w:type="dxa" w:w="3744"/>
          </w:tcPr>
          <w:p>
            <w:pPr>
              <w:spacing w:after="40"/>
            </w:pPr>
            <w:r/>
            <w:r>
              <w:rPr>
                <w:sz w:val="19"/>
              </w:rPr>
              <w:t>“they ultimately did exercise them formally in Q2 2023” (SEC § 6)</w:t>
            </w:r>
          </w:p>
        </w:tc>
        <w:tc>
          <w:tcPr>
            <w:tcW w:type="dxa" w:w="4032"/>
          </w:tcPr>
          <w:p>
            <w:pPr>
              <w:spacing w:after="40"/>
            </w:pPr>
            <w:r/>
            <w:r>
              <w:rPr>
                <w:sz w:val="19"/>
              </w:rPr>
              <w:t>No notice ever delivered (Compl. ¶¶ 54, 58)</w:t>
            </w:r>
          </w:p>
        </w:tc>
      </w:tr>
      <w:tr>
        <w:tc>
          <w:tcPr>
            <w:tcW w:type="dxa" w:w="1584"/>
          </w:tcPr>
          <w:p>
            <w:pPr>
              <w:spacing w:after="40"/>
            </w:pPr>
            <w:r/>
            <w:r>
              <w:rPr>
                <w:sz w:val="19"/>
              </w:rPr>
              <w:t>Meridian</w:t>
            </w:r>
          </w:p>
        </w:tc>
        <w:tc>
          <w:tcPr>
            <w:tcW w:type="dxa" w:w="3744"/>
          </w:tcPr>
          <w:p>
            <w:pPr>
              <w:spacing w:after="40"/>
            </w:pPr>
            <w:r/>
            <w:r>
              <w:rPr>
                <w:sz w:val="19"/>
              </w:rPr>
              <w:t>Memo did not “characterize the data as preliminary” (SEC § 3.2)</w:t>
            </w:r>
          </w:p>
        </w:tc>
        <w:tc>
          <w:tcPr>
            <w:tcW w:type="dxa" w:w="4032"/>
          </w:tcPr>
          <w:p>
            <w:pPr>
              <w:spacing w:after="40"/>
            </w:pPr>
            <w:r/>
            <w:r>
              <w:rPr>
                <w:sz w:val="19"/>
              </w:rPr>
              <w:t>“preliminary enrollment report” (KDC-001 § II)</w:t>
            </w:r>
          </w:p>
        </w:tc>
      </w:tr>
      <w:tr>
        <w:tc>
          <w:tcPr>
            <w:tcW w:type="dxa" w:w="1584"/>
          </w:tcPr>
          <w:p>
            <w:pPr>
              <w:spacing w:after="40"/>
            </w:pPr>
            <w:r/>
            <w:r>
              <w:rPr>
                <w:sz w:val="19"/>
              </w:rPr>
              <w:t>Role</w:t>
            </w:r>
          </w:p>
        </w:tc>
        <w:tc>
          <w:tcPr>
            <w:tcW w:type="dxa" w:w="3744"/>
          </w:tcPr>
          <w:p>
            <w:pPr>
              <w:spacing w:after="40"/>
            </w:pPr>
            <w:r/>
            <w:r>
              <w:rPr>
                <w:sz w:val="19"/>
              </w:rPr>
              <w:t>“I had a very hands-on management style” (AC § 2.1)</w:t>
            </w:r>
          </w:p>
        </w:tc>
        <w:tc>
          <w:tcPr>
            <w:tcW w:type="dxa" w:w="4032"/>
          </w:tcPr>
          <w:p>
            <w:pPr>
              <w:spacing w:after="40"/>
            </w:pPr>
            <w:r/>
            <w:r>
              <w:rPr>
                <w:sz w:val="19"/>
              </w:rPr>
              <w:t>“I would describe myself as a big picture CFO” (SEC § 1)</w:t>
            </w:r>
          </w:p>
        </w:tc>
      </w:tr>
      <w:tr>
        <w:tc>
          <w:tcPr>
            <w:tcW w:type="dxa" w:w="1584"/>
          </w:tcPr>
          <w:p>
            <w:pPr>
              <w:spacing w:after="40"/>
            </w:pPr>
            <w:r/>
            <w:r>
              <w:rPr>
                <w:sz w:val="19"/>
              </w:rPr>
              <w:t>Audit Committee</w:t>
            </w:r>
          </w:p>
        </w:tc>
        <w:tc>
          <w:tcPr>
            <w:tcW w:type="dxa" w:w="3744"/>
          </w:tcPr>
          <w:p>
            <w:pPr>
              <w:spacing w:after="40"/>
            </w:pPr>
            <w:r/>
            <w:r>
              <w:rPr>
                <w:sz w:val="19"/>
              </w:rPr>
              <w:t>“fully informed of all significant accounting judgments” (AC § 6.1)</w:t>
            </w:r>
          </w:p>
        </w:tc>
        <w:tc>
          <w:tcPr>
            <w:tcW w:type="dxa" w:w="4032"/>
          </w:tcPr>
          <w:p>
            <w:pPr>
              <w:spacing w:after="40"/>
            </w:pPr>
            <w:r/>
            <w:r>
              <w:rPr>
                <w:sz w:val="19"/>
              </w:rPr>
              <w:t>“I may not have highlighted those specific issues” (Proffer § VII.A)</w:t>
            </w:r>
          </w:p>
        </w:tc>
      </w:tr>
      <w:tr>
        <w:tc>
          <w:tcPr>
            <w:tcW w:type="dxa" w:w="1584"/>
          </w:tcPr>
          <w:p>
            <w:pPr>
              <w:spacing w:after="40"/>
            </w:pPr>
            <w:r/>
            <w:r>
              <w:rPr>
                <w:sz w:val="19"/>
              </w:rPr>
              <w:t>Resignation</w:t>
            </w:r>
          </w:p>
        </w:tc>
        <w:tc>
          <w:tcPr>
            <w:tcW w:type="dxa" w:w="3744"/>
          </w:tcPr>
          <w:p>
            <w:pPr>
              <w:spacing w:after="40"/>
            </w:pPr>
            <w:r/>
            <w:r>
              <w:rPr>
                <w:sz w:val="19"/>
              </w:rPr>
              <w:t>“personal and family reasons” (SEC § 7; KDC-006)</w:t>
            </w:r>
          </w:p>
        </w:tc>
        <w:tc>
          <w:tcPr>
            <w:tcW w:type="dxa" w:w="4032"/>
          </w:tcPr>
          <w:p>
            <w:pPr>
              <w:spacing w:after="40"/>
            </w:pPr>
            <w:r/>
            <w:r>
              <w:rPr>
                <w:sz w:val="19"/>
              </w:rPr>
              <w:t>“strategic differences … with Dr. Petrova” (Proffer § VIII.A)</w:t>
            </w:r>
          </w:p>
        </w:tc>
      </w:tr>
      <w:tr>
        <w:tc>
          <w:tcPr>
            <w:tcW w:type="dxa" w:w="1584"/>
          </w:tcPr>
          <w:p>
            <w:pPr>
              <w:spacing w:after="40"/>
            </w:pPr>
            <w:r/>
            <w:r>
              <w:rPr>
                <w:sz w:val="19"/>
              </w:rPr>
              <w:t>Inquiry</w:t>
            </w:r>
          </w:p>
        </w:tc>
        <w:tc>
          <w:tcPr>
            <w:tcW w:type="dxa" w:w="3744"/>
          </w:tcPr>
          <w:p>
            <w:pPr>
              <w:spacing w:after="40"/>
            </w:pPr>
            <w:r/>
            <w:r>
              <w:rPr>
                <w:sz w:val="19"/>
              </w:rPr>
              <w:t>Did not recall who told him; “may have been” SEC (AC § 5.1)</w:t>
            </w:r>
          </w:p>
        </w:tc>
        <w:tc>
          <w:tcPr>
            <w:tcW w:type="dxa" w:w="4032"/>
          </w:tcPr>
          <w:p>
            <w:pPr>
              <w:spacing w:after="40"/>
            </w:pPr>
            <w:r/>
            <w:r>
              <w:rPr>
                <w:sz w:val="19"/>
              </w:rPr>
              <w:t>Falcone told him the SEC had received a complaint, Aug. 2023 (SEC § 7)</w:t>
            </w:r>
          </w:p>
        </w:tc>
      </w:tr>
    </w:tbl>
    <w:p>
      <w:pPr>
        <w:spacing w:after="40"/>
      </w:pPr>
    </w:p>
    <w:p>
      <w:pPr>
        <w:spacing w:after="120"/>
        <w:jc w:val="both"/>
      </w:pPr>
      <w:r>
        <w:rPr>
          <w:i/>
        </w:rPr>
        <w:t>This memorandum reflects counsel’s mental impressions and is prepared in anticipation of litigation. Legal citations are flagged for cite-check before any external use. Section references to the AC transcript and SEC deposition are to headings in our copies, which lack page and line numbers.</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PRIVILEGED AND CONFIDENTIAL — ATTORNEY WORK PRODUCT — PREPARED IN ANTICIPATION OF LITIGATION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Greenfield &amp; Associates LLP — Halpern Defense — Impeachment Vulnerability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2A4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