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PRIVILEGED &amp; CONFIDENTIAL</w:t>
      </w:r>
    </w:p>
    <w:p>
      <w:pPr>
        <w:jc w:val="center"/>
      </w:pPr>
      <w:r>
        <w:rPr>
          <w:b/>
        </w:rPr>
        <w:t>ATTORNEY-CLIENT COMMUNICATION / ATTORNEY WORK PRODUCT</w:t>
      </w:r>
    </w:p>
    <w:p>
      <w:pPr>
        <w:jc w:val="center"/>
      </w:pPr>
      <w:r>
        <w:rPr>
          <w:b/>
          <w:sz w:val="19"/>
        </w:rPr>
        <w:t>PREPARED AT THE REQUEST OF COUNSEL IN ANTICIPATION OF REGULATORY REVIEW</w:t>
      </w:r>
    </w:p>
    <w:p/>
    <w:p>
      <w:pPr>
        <w:jc w:val="center"/>
      </w:pPr>
      <w:r>
        <w:rPr>
          <w:b/>
        </w:rPr>
        <w:t>WESTBROOK &amp; CALLOWAY LLP</w:t>
      </w:r>
    </w:p>
    <w:p>
      <w:pPr>
        <w:jc w:val="center"/>
      </w:pPr>
      <w:r>
        <w:rPr>
          <w:b/>
        </w:rPr>
        <w:t>MEMORANDUM</w:t>
      </w:r>
    </w:p>
    <w:tbl>
      <w:tblPr>
        <w:tblStyle w:val="TableGrid"/>
        <w:tblW w:type="auto" w:w="0"/>
        <w:jc w:val="center"/>
        <w:tblLook w:firstColumn="1" w:firstRow="1" w:lastColumn="0" w:lastRow="0" w:noHBand="0" w:noVBand="1" w:val="04A0"/>
      </w:tblPr>
      <w:tblGrid>
        <w:gridCol w:w="4680"/>
        <w:gridCol w:w="4680"/>
      </w:tblGrid>
      <w:tr>
        <w:tc>
          <w:tcPr>
            <w:tcW w:type="dxa" w:w="1440"/>
          </w:tcPr>
          <w:p>
            <w:pPr>
              <w:spacing w:after="40"/>
            </w:pPr>
            <w:r>
              <w:rPr>
                <w:sz w:val="21"/>
              </w:rPr>
            </w:r>
            <w:r>
              <w:rPr>
                <w:b/>
                <w:sz w:val="21"/>
              </w:rPr>
              <w:t>TO:</w:t>
            </w:r>
          </w:p>
        </w:tc>
        <w:tc>
          <w:tcPr>
            <w:tcW w:type="dxa" w:w="7920"/>
          </w:tcPr>
          <w:p>
            <w:pPr>
              <w:spacing w:after="40"/>
            </w:pPr>
            <w:r>
              <w:rPr>
                <w:sz w:val="21"/>
              </w:rPr>
            </w:r>
            <w:r>
              <w:rPr>
                <w:sz w:val="21"/>
              </w:rPr>
              <w:t>David Yoon, General Counsel, Pinnacle Fiber Technologies, Inc.</w:t>
            </w:r>
          </w:p>
        </w:tc>
      </w:tr>
      <w:tr>
        <w:tc>
          <w:tcPr>
            <w:tcW w:type="dxa" w:w="1440"/>
          </w:tcPr>
          <w:p>
            <w:pPr>
              <w:spacing w:after="40"/>
            </w:pPr>
            <w:r>
              <w:rPr>
                <w:sz w:val="21"/>
              </w:rPr>
            </w:r>
            <w:r>
              <w:rPr>
                <w:b/>
                <w:sz w:val="21"/>
              </w:rPr>
              <w:t>FROM:</w:t>
            </w:r>
          </w:p>
        </w:tc>
        <w:tc>
          <w:tcPr>
            <w:tcW w:type="dxa" w:w="7920"/>
          </w:tcPr>
          <w:p>
            <w:pPr>
              <w:spacing w:after="40"/>
            </w:pPr>
            <w:r>
              <w:rPr>
                <w:sz w:val="21"/>
              </w:rPr>
            </w:r>
            <w:r>
              <w:rPr>
                <w:sz w:val="21"/>
              </w:rPr>
              <w:t>Catherine (Kate) Ellsworth, Partner; James Okoro, Associate — Westbrook &amp; Calloway LLP</w:t>
            </w:r>
          </w:p>
        </w:tc>
      </w:tr>
      <w:tr>
        <w:tc>
          <w:tcPr>
            <w:tcW w:type="dxa" w:w="1440"/>
          </w:tcPr>
          <w:p>
            <w:pPr>
              <w:spacing w:after="40"/>
            </w:pPr>
            <w:r>
              <w:rPr>
                <w:sz w:val="21"/>
              </w:rPr>
            </w:r>
            <w:r>
              <w:rPr>
                <w:b/>
                <w:sz w:val="21"/>
              </w:rPr>
              <w:t>DATE:</w:t>
            </w:r>
          </w:p>
        </w:tc>
        <w:tc>
          <w:tcPr>
            <w:tcW w:type="dxa" w:w="7920"/>
          </w:tcPr>
          <w:p>
            <w:pPr>
              <w:spacing w:after="40"/>
            </w:pPr>
            <w:r>
              <w:rPr>
                <w:sz w:val="21"/>
              </w:rPr>
            </w:r>
            <w:r>
              <w:rPr>
                <w:sz w:val="21"/>
              </w:rPr>
              <w:t>January 21, 2025</w:t>
            </w:r>
          </w:p>
        </w:tc>
      </w:tr>
      <w:tr>
        <w:tc>
          <w:tcPr>
            <w:tcW w:type="dxa" w:w="1440"/>
          </w:tcPr>
          <w:p>
            <w:pPr>
              <w:spacing w:after="40"/>
            </w:pPr>
            <w:r>
              <w:rPr>
                <w:sz w:val="21"/>
              </w:rPr>
            </w:r>
            <w:r>
              <w:rPr>
                <w:b/>
                <w:sz w:val="21"/>
              </w:rPr>
              <w:t>RE:</w:t>
            </w:r>
          </w:p>
        </w:tc>
        <w:tc>
          <w:tcPr>
            <w:tcW w:type="dxa" w:w="7920"/>
          </w:tcPr>
          <w:p>
            <w:pPr>
              <w:spacing w:after="40"/>
            </w:pPr>
            <w:r>
              <w:rPr>
                <w:sz w:val="21"/>
              </w:rPr>
            </w:r>
            <w:r>
              <w:rPr>
                <w:sz w:val="21"/>
              </w:rPr>
              <w:t>Project Meridian — Antitrust and Competition Law Review of Lakeshore’s Draft Mutual Confidentiality and Non-Disclosure Agreement (Hargrove Dean &amp; Millstein draft dated January 10, 2025); Recommended Revisions; Clean Team Protocol and Antitrust Compliance Annex</w:t>
            </w:r>
          </w:p>
        </w:tc>
      </w:tr>
    </w:tbl>
    <w:p/>
    <w:p>
      <w:pPr>
        <w:pStyle w:val="Heading1"/>
      </w:pPr>
      <w:r>
        <w:t>I. Executive Summary (suitable for sharing with Ms. Thornton and the Board)</w:t>
      </w:r>
    </w:p>
    <w:p>
      <w:pPr>
        <w:jc w:val="both"/>
      </w:pPr>
      <w:r>
        <w:rPr>
          <w:b/>
        </w:rPr>
        <w:t>Bottom line.</w:t>
      </w:r>
      <w:r>
        <w:t xml:space="preserve"> The Lakeshore draft NDA should not be signed in its current form. It is a general-purpose M&amp;A confidentiality agreement that, as drafted, would require two direct horizontal competitors — the #1 (Lakeshore, ~19%) and #3 (Pinnacle, ~14%) producers in the North American carbon fiber reinforcement market — to exchange, on a mandatory and recurring basis, the most competitively sensitive information in their existing virgin carbon fiber businesses (current pricing schedules, discount matrices, customer-by-customer revenue, plant-level capacity utilization and five-year strategic plans), and to do so with no clean team, no firewall, no counsel oversight and no limitation to the actual subject of the deal: a greenfield 50/50 joint venture limited to recycled carbon fiber (rCF) for automotive lightweighting. Several provisions would, in our view, create meaningful exposure under Section 1 of the Sherman Act and would be difficult to explain to the DOJ Antitrust Division or the FTC if the information exchange or the JV were ever investigated.</w:t>
      </w:r>
    </w:p>
    <w:p>
      <w:pPr>
        <w:jc w:val="both"/>
      </w:pPr>
      <w:r>
        <w:rPr>
          <w:b/>
        </w:rPr>
        <w:t>The problems are fixable, and the transaction itself can proceed.</w:t>
      </w:r>
      <w:r>
        <w:t xml:space="preserve"> Competitor collaborations to develop a new product are common and lawful when the information exchanged is limited to what is reasonably necessary to evaluate the collaboration and is handled through appropriate safeguards. With the revisions below, Pinnacle can satisfy the Board’s condition that “appropriate antitrust safeguards” be in place before anything is executed.</w:t>
      </w:r>
    </w:p>
    <w:p>
      <w:r>
        <w:rPr>
          <w:b/>
        </w:rPr>
        <w:t>Most significant issues (all rated Critical):</w:t>
      </w:r>
    </w:p>
    <w:p>
      <w:pPr>
        <w:pStyle w:val="ListBullet"/>
      </w:pPr>
      <w:r>
        <w:rPr>
          <w:b/>
        </w:rPr>
        <w:t>Mandatory and recurring exchange of competitively sensitive information (§§ 6.1, 6.2).</w:t>
      </w:r>
      <w:r>
        <w:t xml:space="preserve"> The required deliverables — current pricing schedules and discount matrices, customer lists with revenue by customer, capacity and utilization by facility, product-line margins and five-year strategic plans, refreshed quarterly for 18+ months — go far beyond what is needed to evaluate an rCF JV in which neither party has a product. A standing, periodic exchange of current, disaggregated price and output data between leading competitors is the classic fact pattern for an unlawful information exchange.</w:t>
      </w:r>
    </w:p>
    <w:p>
      <w:pPr>
        <w:pStyle w:val="ListBullet"/>
      </w:pPr>
      <w:r>
        <w:rPr>
          <w:b/>
        </w:rPr>
        <w:t>No clean team or firewall (§§ 1.6, 4.1).</w:t>
      </w:r>
      <w:r>
        <w:t xml:space="preserve"> Confidential Information may go to any “Representative,” including affiliates and all employees, at the recipient’s sole discretion. Pinnacle’s VP of Sales (Brian Hecht) and VP of Strategic Pricing (Elena Vasquez), who set competitive prices daily, would have unrestricted access to Lakeshore’s pricing and customer data.</w:t>
      </w:r>
    </w:p>
    <w:p>
      <w:pPr>
        <w:pStyle w:val="ListBullet"/>
      </w:pPr>
      <w:r>
        <w:rPr>
          <w:b/>
        </w:rPr>
        <w:t>Residuals clause (§§ 1.7, 5.3, 8.3(ii)).</w:t>
      </w:r>
      <w:r>
        <w:t xml:space="preserve"> Each party may freely use in its business whatever its people remember of the other’s Confidential Information — in practice, a contractual license to use a competitor’s pricing and customer intelligence in competition. It must be deleted.</w:t>
      </w:r>
    </w:p>
    <w:p>
      <w:pPr>
        <w:pStyle w:val="ListBullet"/>
      </w:pPr>
      <w:r>
        <w:rPr>
          <w:b/>
        </w:rPr>
        <w:t>Waiver of antitrust claims (§ 9.3).</w:t>
      </w:r>
      <w:r>
        <w:t xml:space="preserve"> A prospective release of antitrust and unfair competition claims arising from the exchange is very likely unenforceable as against public policy, cannot bind the government or customers, strips Pinnacle of protection if Lakeshore misuses Pinnacle data, and — most importantly — reads as an acknowledgment that the parties anticipated anticompetitive conduct. It must be deleted.</w:t>
      </w:r>
    </w:p>
    <w:p>
      <w:pPr>
        <w:pStyle w:val="ListBullet"/>
      </w:pPr>
      <w:r>
        <w:rPr>
          <w:b/>
        </w:rPr>
        <w:t>Monthly senior-executive meetings on “matters of mutual interest” (§ 6.3)</w:t>
      </w:r>
      <w:r>
        <w:t xml:space="preserve"> with no agenda, counsel or scope limits — an open channel between competing executives.</w:t>
      </w:r>
    </w:p>
    <w:p>
      <w:pPr>
        <w:pStyle w:val="ListBullet"/>
      </w:pPr>
      <w:r>
        <w:rPr>
          <w:b/>
        </w:rPr>
        <w:t>The pending Northwind Aerospace bid.</w:t>
      </w:r>
      <w:r>
        <w:t xml:space="preserve"> Pinnacle and Lakeshore are competing bidders for a ~$22 million/year, three-year Northwind supply contract to be awarded in February 2025 — exactly when the NDA’s 30-day mandatory exchange of current pricing and customer data would occur. Any exchange touching that bid risks being characterized as bid rigging, which is a per se, criminally prosecuted offense.</w:t>
      </w:r>
    </w:p>
    <w:p>
      <w:pPr>
        <w:jc w:val="both"/>
      </w:pPr>
      <w:r>
        <w:rPr>
          <w:b/>
        </w:rPr>
        <w:t>Other material issues (High/Medium):</w:t>
      </w:r>
      <w:r>
        <w:t xml:space="preserve"> an over-broad Transaction/Permitted Purpose definition reaching mergers, acquisitions and “integration planning” and “consummating” (gun-jumping risk) (§§ 1.8, 3.1); an all-encompassing Confidential Information definition untethered to rCF (§ 2.1); an automatically renewing term that extends the exchange obligations indefinitely (§ 8.1); a 24-month, no-hire-style employee non-solicit that runs from an indefinite term (§ 7.1); exchange of employee compensation data (§ 2.1(h)); missing independent-development, third-party and compelled/regulatory-disclosure provisions (§ 5.2); and the absence of any clause preserving each party’s independent competitive decision-making.</w:t>
      </w:r>
    </w:p>
    <w:p>
      <w:r>
        <w:rPr>
          <w:b/>
        </w:rPr>
        <w:t>Our recommendations:</w:t>
      </w:r>
    </w:p>
    <w:p>
      <w:pPr>
        <w:pStyle w:val="ListNumber"/>
      </w:pPr>
      <w:r>
        <w:t>Respond to Hargrove Dean &amp; Millstein with a full antitrust redline (Section V and Appendix B below) before the call Mr. Cavanaugh has proposed for the week of January 20.</w:t>
      </w:r>
    </w:p>
    <w:p>
      <w:pPr>
        <w:pStyle w:val="ListNumber"/>
      </w:pPr>
      <w:r>
        <w:t xml:space="preserve">Make a </w:t>
      </w:r>
      <w:r>
        <w:rPr>
          <w:b/>
        </w:rPr>
        <w:t>Clean Team Agreement</w:t>
      </w:r>
      <w:r>
        <w:t xml:space="preserve"> and an </w:t>
      </w:r>
      <w:r>
        <w:rPr>
          <w:b/>
        </w:rPr>
        <w:t>Antitrust Compliance Annex</w:t>
      </w:r>
      <w:r>
        <w:t xml:space="preserve"> (term sheet at Appendix A) a binding part of, and condition precedent to any exchange under, the NDA. No Confidential Information should be exchanged until both are signed and clean team members are designated and trained.</w:t>
      </w:r>
    </w:p>
    <w:p>
      <w:pPr>
        <w:pStyle w:val="ListNumber"/>
      </w:pPr>
      <w:r>
        <w:t>Replace the mandatory exchange in § 6 with a counsel-supervised, staged, rCF-focused request process. Customer-specific pricing, discount matrices, bid information and forward-looking competitive plans for existing virgin carbon fiber lines should not be exchanged at all, or only in aggregated, historical form reviewed by outside counsel or an independent consultant.</w:t>
      </w:r>
    </w:p>
    <w:p>
      <w:pPr>
        <w:pStyle w:val="ListNumber"/>
      </w:pPr>
      <w:r>
        <w:t xml:space="preserve">Impose a complete </w:t>
      </w:r>
      <w:r>
        <w:rPr>
          <w:b/>
        </w:rPr>
        <w:t>Northwind blackout</w:t>
      </w:r>
      <w:r>
        <w:t>: no exchange of any information about the Northwind bid or any other open competitive procurement, and no Tier 2/Tier 3 commercial data until at least the Northwind award is made.</w:t>
      </w:r>
    </w:p>
    <w:p>
      <w:pPr>
        <w:pStyle w:val="ListNumber"/>
      </w:pPr>
      <w:r>
        <w:t>Exclude Mr. Hecht and Ms. Vasquez (and any other employee with pricing, sales or bid responsibility for overlapping products) from access to Lakeshore’s competitively sensitive information; restructure their roles to work only from sanitized, aggregated clean-team outputs.</w:t>
      </w:r>
    </w:p>
    <w:p>
      <w:pPr>
        <w:pStyle w:val="ListNumber"/>
      </w:pPr>
      <w:r>
        <w:t>Take immediate internal steps: hold the NDA’s circulation (as you have), suspend the December 20 instruction to pre-assemble current pricing schedules and customer lists for disclosure, issue antitrust guidelines to the evaluation team, and confirm that no competitively sensitive information has already been exchanged in the Thornton–Delaney discussions.</w:t>
      </w:r>
    </w:p>
    <w:p>
      <w:pPr>
        <w:jc w:val="both"/>
      </w:pPr>
      <w:r>
        <w:rPr>
          <w:b/>
        </w:rPr>
        <w:t>Timing.</w:t>
      </w:r>
      <w:r>
        <w:t xml:space="preserve"> The January 31 signing target remains achievable if Lakeshore accepts the core safeguards, which are standard in competitor transactions and which a responsive counterparty should accept quickly. If Lakeshore resists deletion of §§ 5.3 and 9.3, the mandatory exchange in § 6, or a clean team, we recommend that Pinnacle defer signing rather than accept those terms; a short slip is far less costly than the exposure. Note also that the competitor-collaboration safe harbors that practitioners historically relied upon are no longer available (see Section III), which counsels a conservative approach.</w:t>
      </w:r>
    </w:p>
    <w:p>
      <w:pPr>
        <w:pStyle w:val="Heading1"/>
      </w:pPr>
      <w:r>
        <w:t>II. Background, Documents Reviewed and Assumptions</w:t>
      </w:r>
    </w:p>
    <w:p>
      <w:pPr>
        <w:jc w:val="both"/>
      </w:pPr>
      <w:r>
        <w:t>We reviewed: (1) the draft Mutual Confidentiality and Non-Disclosure Agreement between Pinnacle and Lakeshore prepared by Hargrove Dean &amp; Millstein LLP (“HDM”), Draft January 10, 2025 (the “NDA”); (2) Thomas Cavanaugh’s January 10, 2025 cover letter; (3) your January 12, 2025 email requesting this review; (4) Ms. Thornton’s December 20, 2024 internal memorandum on Project Meridian evaluation team formation and information requirements (the “Team Memo”); and (5) Pinnacle Corporate Strategy Group’s November 2024 North American Carbon Fiber Reinforcement Market Overview (the “Market Overview”).</w:t>
      </w:r>
    </w:p>
    <w:p>
      <w:pPr>
        <w:jc w:val="both"/>
      </w:pPr>
      <w:r>
        <w:rPr>
          <w:b/>
        </w:rPr>
        <w:t>Key facts.</w:t>
      </w:r>
      <w:r>
        <w:t xml:space="preserve"> Project Meridian is a proposed 50/50 JV to co-develop and commercialize next-generation rCF products for automotive lightweighting, with a total capital commitment of approximately $75 million ($37.5 million each). The JV would focus “exclusively” on rCF; each parent would continue to independently manufacture and sell its existing virgin carbon fiber products, and the JV would not consolidate existing operations (Team Memo § I). Neither party currently has a commercial rCF product (Market Overview § 5.2). Timeline: NDA by January 31, 2025; preliminary exchange through Q1 2025; definitive JV agreement by June 30, 2025. The Board’s December 15, 2024 approval was conditioned on “appropriate antitrust safeguards.”</w:t>
      </w:r>
    </w:p>
    <w:p>
      <w:pPr>
        <w:jc w:val="both"/>
      </w:pPr>
      <w:r>
        <w:rPr>
          <w:b/>
        </w:rPr>
        <w:t>Assumptions and open points.</w:t>
      </w:r>
      <w:r>
        <w:t xml:space="preserve"> We have assumed that (i) Lakeshore and Pinnacle compete head-to-head across virgin carbon fiber reinforcements, most directly in automotive and aerospace; (ii) both parties sell in Canada as well as the U.S. (to be confirmed — it affects whether Canadian Competition Act analysis is needed); (iii) no competitively sensitive information has yet been exchanged; and (iv) the JV structure (corporate vs. LLC; contributed assets beyond cash) is not yet settled. Please let us know if any of these assumptions is incorrect. Market share figures are Pinnacle’s internal estimates and have not been validated for any antitrust market definition.</w:t>
      </w:r>
    </w:p>
    <w:p>
      <w:pPr>
        <w:pStyle w:val="Heading1"/>
      </w:pPr>
      <w:r>
        <w:t>III. Governing Legal Framework</w:t>
      </w:r>
    </w:p>
    <w:p>
      <w:pPr>
        <w:pStyle w:val="Heading2"/>
      </w:pPr>
      <w:r>
        <w:t>A. Information exchange between competitors — Sherman Act § 1</w:t>
      </w:r>
    </w:p>
    <w:p>
      <w:pPr>
        <w:jc w:val="both"/>
      </w:pPr>
      <w:r>
        <w:t xml:space="preserve">Section 1 of the Sherman Act (15 U.S.C. § 1) prohibits contracts, combinations and conspiracies in unreasonable restraint of trade. An exchange of competitively sensitive information between competitors is generally assessed under the rule of reason, but it can (i) itself violate Section 1 where it is likely to have an anticompetitive effect, such as by stabilizing prices or facilitating tacit coordination, and (ii) serve as evidence of an underlying price-fixing, bid-rigging or customer-allocation agreement, which is per se unlawful and criminally prosecuted. See </w:t>
      </w:r>
      <w:r>
        <w:rPr>
          <w:i/>
        </w:rPr>
        <w:t>United States v. Container Corp. of America</w:t>
      </w:r>
      <w:r>
        <w:t xml:space="preserve">, 393 U.S. 333 (1969) (exchange of current price information among competitors in a concentrated market unlawful); </w:t>
      </w:r>
      <w:r>
        <w:rPr>
          <w:i/>
        </w:rPr>
        <w:t>United States v. United States Gypsum Co.</w:t>
      </w:r>
      <w:r>
        <w:t xml:space="preserve">, 438 U.S. 422 (1978) (information exchange evaluated under the rule of reason; intent required for criminal liability); </w:t>
      </w:r>
      <w:r>
        <w:rPr>
          <w:i/>
        </w:rPr>
        <w:t>Todd v. Exxon Corp.</w:t>
      </w:r>
      <w:r>
        <w:t>, 275 F.3d 191 (2d Cir. 2001) (factors include market structure, nature of the information — current vs. historical, specific vs. aggregated, price/output — and whether it is publicly available).</w:t>
      </w:r>
    </w:p>
    <w:p>
      <w:pPr>
        <w:jc w:val="both"/>
      </w:pPr>
      <w:r>
        <w:t>The factors that drive risk are all present in the draft NDA: a concentrated market with a few leading producers; individually negotiated, customer-specific pricing where “discount structures and rebate programs are among the most closely guarded competitive secrets” (Market Overview § 4.2); information that is current and forward-looking, disaggregated (by customer, product line and facility), and non-public; and exchange on a recurring basis directly between the business people who set prices.</w:t>
      </w:r>
    </w:p>
    <w:p>
      <w:pPr>
        <w:jc w:val="both"/>
      </w:pPr>
      <w:r>
        <w:rPr>
          <w:b/>
        </w:rPr>
        <w:t>Agency guidance has become less forgiving.</w:t>
      </w:r>
      <w:r>
        <w:t xml:space="preserve"> In February 2023 the DOJ Antitrust Division withdrew its health care policy statements, including the information-exchange “safety zones” (historical data, aggregated, third-party administered) that practitioners had applied by analogy across industries; the FTC followed in July 2023. On December 11, 2024, the FTC and DOJ withdrew the 2000 Antitrust Guidelines for Collaborations Among Competitors, without replacement, and the agencies have stated that they will assess information exchanges case by case based on their actual effects. The agencies have also been actively litigating information-sharing theories (e.g., </w:t>
      </w:r>
      <w:r>
        <w:rPr>
          <w:i/>
        </w:rPr>
        <w:t>United States v. Agri Stats</w:t>
      </w:r>
      <w:r>
        <w:t xml:space="preserve"> (D. Minn., filed 2023); the DOJ’s 2024 suit against RealPage). Pinnacle cannot rely on any safe harbor; the safeguards in this memo are designed to make the exchange defensible on its merits. The 2023 DOJ consent decree with two fiberglass producers described in the Market Overview (§§ 3.3, 6.1) — premised on exchanges of pricing and capacity data “outside of any legitimate joint venture or transaction context” — underscores that the agencies are watching this sector; while we have relied on the Market Overview’s description of that matter, the key lesson is that the legitimacy of a transaction context is a defense only if the exchange is in fact confined to, and reasonably necessary for, that transaction.</w:t>
      </w:r>
    </w:p>
    <w:p>
      <w:pPr>
        <w:pStyle w:val="Heading2"/>
      </w:pPr>
      <w:r>
        <w:t>B. Pre-closing coordination and “gun-jumping”</w:t>
      </w:r>
    </w:p>
    <w:p>
      <w:pPr>
        <w:jc w:val="both"/>
      </w:pPr>
      <w:r>
        <w:t xml:space="preserve">Even where a transaction is legitimate, parties remain independent competitors until closing and may not coordinate their competitive conduct, transfer operational control or exchange competitively sensitive information beyond what is reasonably necessary for due diligence and integration planning. Pre-closing coordination can violate Sherman Act § 1 and, for HSR-reportable transactions, Section 7A of the Clayton Act (15 U.S.C. § 18a). See, e.g., </w:t>
      </w:r>
      <w:r>
        <w:rPr>
          <w:i/>
        </w:rPr>
        <w:t>United States v. Computer Associates International, Inc.</w:t>
      </w:r>
      <w:r>
        <w:t xml:space="preserve"> (D.D.C. 2002) (pre-closing review of customer contracts and pricing); </w:t>
      </w:r>
      <w:r>
        <w:rPr>
          <w:i/>
        </w:rPr>
        <w:t>United States v. Gemstar-TV Guide International, Inc.</w:t>
      </w:r>
      <w:r>
        <w:t xml:space="preserve"> (D.D.C. 2003); </w:t>
      </w:r>
      <w:r>
        <w:rPr>
          <w:i/>
        </w:rPr>
        <w:t>United States v. Flakeboard America Ltd.</w:t>
      </w:r>
      <w:r>
        <w:t xml:space="preserve"> (N.D. Cal. 2014) (coordination to move customers prior to closing; § 1 and § 7A settlement including disgorgement). The draft’s inclusion of “consummating” the Transaction and “integration planning activities” in the Permitted Purpose, its application to mergers and acquisitions, and its lack of process controls increase this risk.</w:t>
      </w:r>
    </w:p>
    <w:p>
      <w:pPr>
        <w:jc w:val="both"/>
      </w:pPr>
      <w:r>
        <w:rPr>
          <w:b/>
        </w:rPr>
        <w:t>HSR.</w:t>
      </w:r>
      <w:r>
        <w:t xml:space="preserve"> On the current $75 million capital figure, the JV formation may fall below the HSR size-of-transaction threshold ($119.5 million for 2024; revised 2025 thresholds are expected to take effect in February 2025), but reportability depends on the JV’s form (corporate under 16 C.F.R. § 801.40 or non-corporate under § 801.50), the value of non-cash contributions (IP, facilities, feedstock contracts) and any related agreements. We will confirm once the structure is settled. If reportable, the new HSR form (effective February 10, 2025) requires overlap and supply-relationship descriptions and transaction-related documents, which makes document discipline (Section IX) even more important. Non-reportability does not reduce substantive exposure: the agencies may investigate non-reportable JVs under Sherman Act § 1 and Clayton Act § 7 at any time.</w:t>
      </w:r>
    </w:p>
    <w:p>
      <w:pPr>
        <w:pStyle w:val="Heading2"/>
      </w:pPr>
      <w:r>
        <w:t>C. The JV itself — Clayton Act § 7 and spillover</w:t>
      </w:r>
    </w:p>
    <w:p>
      <w:pPr>
        <w:jc w:val="both"/>
      </w:pPr>
      <w:r>
        <w:t>Although the NDA, not the JV, is the subject of this memo, the agencies would evaluate the JV for (i) loss of potential competition in rCF (the Market Overview describes Pinnacle’s “build-versus-partner” decision, signaling that each party may be a plausible independent entrant), and (ii) “spillover” or collateral coordination in the parties’ existing virgin carbon fiber businesses, particularly automotive, where rCF is a substitute. The information exchange during evaluation is often the first place investigators look for evidence of spillover. An exchange that is narrowly confined to rCF is therefore the best evidence that the JV is what it purports to be.</w:t>
      </w:r>
    </w:p>
    <w:p>
      <w:pPr>
        <w:pStyle w:val="Heading2"/>
      </w:pPr>
      <w:r>
        <w:t>D. Employee non-solicitation and labor-market information</w:t>
      </w:r>
    </w:p>
    <w:p>
      <w:pPr>
        <w:jc w:val="both"/>
      </w:pPr>
      <w:r>
        <w:t>The DOJ and FTC treat naked no-poach and wage-fixing agreements between competing employers as per se unlawful and have pursued them criminally (Antitrust Guidance for Human Resource Professionals (2016); Antitrust Guidelines for Business Activities Affecting Workers (Jan. 16, 2025)). Non-solicitation covenants that are ancillary to a legitimate transaction are generally assessed under the rule of reason, but must be reasonably necessary to the transaction and narrowly tailored in scope and duration. The exchange of compensation data between competitors for talent raises the same concerns as price data. In Canada, Competition Act § 45(1.1) (in force June 23, 2023) criminalizes wage-fixing and no-poaching agreements between unaffiliated employers, subject to an ancillary restraints defense.</w:t>
      </w:r>
    </w:p>
    <w:p>
      <w:pPr>
        <w:pStyle w:val="Heading2"/>
      </w:pPr>
      <w:r>
        <w:t>E. Bid rigging</w:t>
      </w:r>
    </w:p>
    <w:p>
      <w:pPr>
        <w:jc w:val="both"/>
      </w:pPr>
      <w:r>
        <w:t>Any agreement or understanding between competing bidders concerning a pending bid — including the exchange of bid prices, terms or intentions — is per se illegal and a principal focus of DOJ criminal enforcement. Because Pinnacle and Lakeshore are rival bidders on the pending Northwind contract, the timing of the NDA’s mandatory exchanges (within 30 days of signing, i.e., by early March 2025 if signed January 31) overlaps the expected February 2025 award.</w:t>
      </w:r>
    </w:p>
    <w:p>
      <w:pPr>
        <w:pStyle w:val="Heading1"/>
      </w:pPr>
      <w:r>
        <w:t>IV. Market Context and Risk Profile</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val="clear" w:color="auto" w:fill="D9E2F3"/>
          </w:tcPr>
          <w:p>
            <w:r/>
            <w:r>
              <w:rPr>
                <w:b/>
                <w:sz w:val="19"/>
              </w:rPr>
              <w:t>Metric</w:t>
            </w:r>
          </w:p>
        </w:tc>
        <w:tc>
          <w:tcPr>
            <w:tcW w:type="dxa" w:w="3312"/>
            <w:shd w:val="clear" w:color="auto" w:fill="D9E2F3"/>
          </w:tcPr>
          <w:p>
            <w:r/>
            <w:r>
              <w:rPr>
                <w:b/>
                <w:sz w:val="19"/>
              </w:rPr>
              <w:t>Figure (source)</w:t>
            </w:r>
          </w:p>
        </w:tc>
        <w:tc>
          <w:tcPr>
            <w:tcW w:type="dxa" w:w="4032"/>
            <w:shd w:val="clear" w:color="auto" w:fill="D9E2F3"/>
          </w:tcPr>
          <w:p>
            <w:r/>
            <w:r>
              <w:rPr>
                <w:b/>
                <w:sz w:val="19"/>
              </w:rPr>
              <w:t>Antitrust significance</w:t>
            </w:r>
          </w:p>
        </w:tc>
      </w:tr>
      <w:tr>
        <w:tc>
          <w:tcPr>
            <w:tcW w:type="dxa" w:w="2016"/>
          </w:tcPr>
          <w:p>
            <w:pPr>
              <w:spacing w:after="40"/>
            </w:pPr>
            <w:r>
              <w:rPr>
                <w:sz w:val="19"/>
              </w:rPr>
            </w:r>
            <w:r>
              <w:rPr>
                <w:sz w:val="19"/>
              </w:rPr>
              <w:t>Lakeshore share</w:t>
            </w:r>
          </w:p>
        </w:tc>
        <w:tc>
          <w:tcPr>
            <w:tcW w:type="dxa" w:w="3312"/>
          </w:tcPr>
          <w:p>
            <w:pPr>
              <w:spacing w:after="40"/>
            </w:pPr>
            <w:r>
              <w:rPr>
                <w:sz w:val="19"/>
              </w:rPr>
            </w:r>
            <w:r>
              <w:rPr>
                <w:sz w:val="19"/>
              </w:rPr>
              <w:t>~19%, #1; FY2024 revenue $612M (Market Overview § 3.2)</w:t>
            </w:r>
          </w:p>
        </w:tc>
        <w:tc>
          <w:tcPr>
            <w:tcW w:type="dxa" w:w="4032"/>
          </w:tcPr>
          <w:p>
            <w:pPr>
              <w:spacing w:after="40"/>
            </w:pPr>
            <w:r>
              <w:rPr>
                <w:sz w:val="19"/>
              </w:rPr>
            </w:r>
            <w:r>
              <w:rPr>
                <w:sz w:val="19"/>
              </w:rPr>
              <w:t>Market leader; Pinnacle would be giving its most sensitive data to its largest rival.</w:t>
            </w:r>
          </w:p>
        </w:tc>
      </w:tr>
      <w:tr>
        <w:tc>
          <w:tcPr>
            <w:tcW w:type="dxa" w:w="2016"/>
          </w:tcPr>
          <w:p>
            <w:pPr>
              <w:spacing w:after="40"/>
            </w:pPr>
            <w:r>
              <w:rPr>
                <w:sz w:val="19"/>
              </w:rPr>
            </w:r>
            <w:r>
              <w:rPr>
                <w:sz w:val="19"/>
              </w:rPr>
              <w:t>Pinnacle share</w:t>
            </w:r>
          </w:p>
        </w:tc>
        <w:tc>
          <w:tcPr>
            <w:tcW w:type="dxa" w:w="3312"/>
          </w:tcPr>
          <w:p>
            <w:pPr>
              <w:spacing w:after="40"/>
            </w:pPr>
            <w:r>
              <w:rPr>
                <w:sz w:val="19"/>
              </w:rPr>
            </w:r>
            <w:r>
              <w:rPr>
                <w:sz w:val="19"/>
              </w:rPr>
              <w:t>~14%, #3; FY2024 revenue $487M</w:t>
            </w:r>
          </w:p>
        </w:tc>
        <w:tc>
          <w:tcPr>
            <w:tcW w:type="dxa" w:w="4032"/>
          </w:tcPr>
          <w:p>
            <w:pPr>
              <w:spacing w:after="40"/>
            </w:pPr>
            <w:r>
              <w:rPr>
                <w:sz w:val="19"/>
              </w:rPr>
            </w:r>
            <w:r>
              <w:rPr>
                <w:sz w:val="19"/>
              </w:rPr>
              <w:t>Combined ~33% — exceeds the 30% share level that the 2023 Merger Guidelines treat as presumptively problematic for a combination (with HHI delta &gt; 100).</w:t>
            </w:r>
          </w:p>
        </w:tc>
      </w:tr>
      <w:tr>
        <w:tc>
          <w:tcPr>
            <w:tcW w:type="dxa" w:w="2016"/>
          </w:tcPr>
          <w:p>
            <w:pPr>
              <w:spacing w:after="40"/>
            </w:pPr>
            <w:r>
              <w:rPr>
                <w:sz w:val="19"/>
              </w:rPr>
            </w:r>
            <w:r>
              <w:rPr>
                <w:sz w:val="19"/>
              </w:rPr>
              <w:t>Top-six concentration</w:t>
            </w:r>
          </w:p>
        </w:tc>
        <w:tc>
          <w:tcPr>
            <w:tcW w:type="dxa" w:w="3312"/>
          </w:tcPr>
          <w:p>
            <w:pPr>
              <w:spacing w:after="40"/>
            </w:pPr>
            <w:r>
              <w:rPr>
                <w:sz w:val="19"/>
              </w:rPr>
            </w:r>
            <w:r>
              <w:rPr>
                <w:sz w:val="19"/>
              </w:rPr>
              <w:t>~82% (CR6)</w:t>
            </w:r>
          </w:p>
        </w:tc>
        <w:tc>
          <w:tcPr>
            <w:tcW w:type="dxa" w:w="4032"/>
          </w:tcPr>
          <w:p>
            <w:pPr>
              <w:spacing w:after="40"/>
            </w:pPr>
            <w:r>
              <w:rPr>
                <w:sz w:val="19"/>
              </w:rPr>
            </w:r>
            <w:r>
              <w:rPr>
                <w:sz w:val="19"/>
              </w:rPr>
              <w:t>Few large producers; conditions in which information exchange can facilitate coordination.</w:t>
            </w:r>
          </w:p>
        </w:tc>
      </w:tr>
      <w:tr>
        <w:tc>
          <w:tcPr>
            <w:tcW w:type="dxa" w:w="2016"/>
          </w:tcPr>
          <w:p>
            <w:pPr>
              <w:spacing w:after="40"/>
            </w:pPr>
            <w:r>
              <w:rPr>
                <w:sz w:val="19"/>
              </w:rPr>
            </w:r>
            <w:r>
              <w:rPr>
                <w:sz w:val="19"/>
              </w:rPr>
              <w:t>HHI (top six)</w:t>
            </w:r>
          </w:p>
        </w:tc>
        <w:tc>
          <w:tcPr>
            <w:tcW w:type="dxa" w:w="3312"/>
          </w:tcPr>
          <w:p>
            <w:pPr>
              <w:spacing w:after="40"/>
            </w:pPr>
            <w:r>
              <w:rPr>
                <w:sz w:val="19"/>
              </w:rPr>
            </w:r>
            <w:r>
              <w:rPr>
                <w:sz w:val="19"/>
              </w:rPr>
              <w:t>1,184 (19²+16²+14²+13²+11²+9²)</w:t>
            </w:r>
          </w:p>
        </w:tc>
        <w:tc>
          <w:tcPr>
            <w:tcW w:type="dxa" w:w="4032"/>
          </w:tcPr>
          <w:p>
            <w:pPr>
              <w:spacing w:after="40"/>
            </w:pPr>
            <w:r>
              <w:rPr>
                <w:sz w:val="19"/>
              </w:rPr>
            </w:r>
            <w:r>
              <w:rPr>
                <w:sz w:val="19"/>
              </w:rPr>
              <w:t>See correction below.</w:t>
            </w:r>
          </w:p>
        </w:tc>
      </w:tr>
      <w:tr>
        <w:tc>
          <w:tcPr>
            <w:tcW w:type="dxa" w:w="2016"/>
          </w:tcPr>
          <w:p>
            <w:pPr>
              <w:spacing w:after="40"/>
            </w:pPr>
            <w:r>
              <w:rPr>
                <w:sz w:val="19"/>
              </w:rPr>
            </w:r>
            <w:r>
              <w:rPr>
                <w:sz w:val="19"/>
              </w:rPr>
              <w:t>HHI delta if shares were combined</w:t>
            </w:r>
          </w:p>
        </w:tc>
        <w:tc>
          <w:tcPr>
            <w:tcW w:type="dxa" w:w="3312"/>
          </w:tcPr>
          <w:p>
            <w:pPr>
              <w:spacing w:after="40"/>
            </w:pPr>
            <w:r>
              <w:rPr>
                <w:sz w:val="19"/>
              </w:rPr>
            </w:r>
            <w:r>
              <w:rPr>
                <w:sz w:val="19"/>
              </w:rPr>
              <w:t>2 × 19 × 14 = 532; post-combination HHI ≈ 1,716 (top six only)</w:t>
            </w:r>
          </w:p>
        </w:tc>
        <w:tc>
          <w:tcPr>
            <w:tcW w:type="dxa" w:w="4032"/>
          </w:tcPr>
          <w:p>
            <w:pPr>
              <w:spacing w:after="40"/>
            </w:pPr>
            <w:r>
              <w:rPr>
                <w:sz w:val="19"/>
              </w:rPr>
            </w:r>
            <w:r>
              <w:rPr>
                <w:sz w:val="19"/>
              </w:rPr>
              <w:t>Relevant to any full combination and to how the agencies would view spillover; not a measure for an rCF-only JV.</w:t>
            </w:r>
          </w:p>
        </w:tc>
      </w:tr>
      <w:tr>
        <w:tc>
          <w:tcPr>
            <w:tcW w:type="dxa" w:w="2016"/>
          </w:tcPr>
          <w:p>
            <w:pPr>
              <w:spacing w:after="40"/>
            </w:pPr>
            <w:r>
              <w:rPr>
                <w:sz w:val="19"/>
              </w:rPr>
            </w:r>
            <w:r>
              <w:rPr>
                <w:sz w:val="19"/>
              </w:rPr>
              <w:t>Pricing</w:t>
            </w:r>
          </w:p>
        </w:tc>
        <w:tc>
          <w:tcPr>
            <w:tcW w:type="dxa" w:w="3312"/>
          </w:tcPr>
          <w:p>
            <w:pPr>
              <w:spacing w:after="40"/>
            </w:pPr>
            <w:r>
              <w:rPr>
                <w:sz w:val="19"/>
              </w:rPr>
            </w:r>
            <w:r>
              <w:rPr>
                <w:sz w:val="19"/>
              </w:rPr>
              <w:t>85% of volume under individually negotiated annual contracts; no list price; discount/rebate matrices “most closely guarded competitive secrets”</w:t>
            </w:r>
          </w:p>
        </w:tc>
        <w:tc>
          <w:tcPr>
            <w:tcW w:type="dxa" w:w="4032"/>
          </w:tcPr>
          <w:p>
            <w:pPr>
              <w:spacing w:after="40"/>
            </w:pPr>
            <w:r>
              <w:rPr>
                <w:sz w:val="19"/>
              </w:rPr>
            </w:r>
            <w:r>
              <w:rPr>
                <w:sz w:val="19"/>
              </w:rPr>
              <w:t>Customer-specific price and discount data is the highest-risk category; its exchange would give a direct ability to undercut or to coordinate.</w:t>
            </w:r>
          </w:p>
        </w:tc>
      </w:tr>
      <w:tr>
        <w:tc>
          <w:tcPr>
            <w:tcW w:type="dxa" w:w="2016"/>
          </w:tcPr>
          <w:p>
            <w:pPr>
              <w:spacing w:after="40"/>
            </w:pPr>
            <w:r>
              <w:rPr>
                <w:sz w:val="19"/>
              </w:rPr>
            </w:r>
            <w:r>
              <w:rPr>
                <w:sz w:val="19"/>
              </w:rPr>
              <w:t>rCF segment</w:t>
            </w:r>
          </w:p>
        </w:tc>
        <w:tc>
          <w:tcPr>
            <w:tcW w:type="dxa" w:w="3312"/>
          </w:tcPr>
          <w:p>
            <w:pPr>
              <w:spacing w:after="40"/>
            </w:pPr>
            <w:r>
              <w:rPr>
                <w:sz w:val="19"/>
              </w:rPr>
            </w:r>
            <w:r>
              <w:rPr>
                <w:sz w:val="19"/>
              </w:rPr>
              <w:t>&lt;2% of market (&lt;$68M); neither party has a commercial product</w:t>
            </w:r>
          </w:p>
        </w:tc>
        <w:tc>
          <w:tcPr>
            <w:tcW w:type="dxa" w:w="4032"/>
          </w:tcPr>
          <w:p>
            <w:pPr>
              <w:spacing w:after="40"/>
            </w:pPr>
            <w:r>
              <w:rPr>
                <w:sz w:val="19"/>
              </w:rPr>
            </w:r>
            <w:r>
              <w:rPr>
                <w:sz w:val="19"/>
              </w:rPr>
              <w:t>The legitimate need is for rCF technical, feedstock, capex and JV-economics data — not existing-business pricing or customer data.</w:t>
            </w:r>
          </w:p>
        </w:tc>
      </w:tr>
      <w:tr>
        <w:tc>
          <w:tcPr>
            <w:tcW w:type="dxa" w:w="2016"/>
          </w:tcPr>
          <w:p>
            <w:pPr>
              <w:spacing w:after="40"/>
            </w:pPr>
            <w:r>
              <w:rPr>
                <w:sz w:val="19"/>
              </w:rPr>
            </w:r>
            <w:r>
              <w:rPr>
                <w:sz w:val="19"/>
              </w:rPr>
              <w:t>Pending bid</w:t>
            </w:r>
          </w:p>
        </w:tc>
        <w:tc>
          <w:tcPr>
            <w:tcW w:type="dxa" w:w="3312"/>
          </w:tcPr>
          <w:p>
            <w:pPr>
              <w:spacing w:after="40"/>
            </w:pPr>
            <w:r>
              <w:rPr>
                <w:sz w:val="19"/>
              </w:rPr>
            </w:r>
            <w:r>
              <w:rPr>
                <w:sz w:val="19"/>
              </w:rPr>
              <w:t>Northwind Aerospace: ~$22M/yr, 3-year contract; award expected February 2025; Pinnacle and Lakeshore are rival bidders</w:t>
            </w:r>
          </w:p>
        </w:tc>
        <w:tc>
          <w:tcPr>
            <w:tcW w:type="dxa" w:w="4032"/>
          </w:tcPr>
          <w:p>
            <w:pPr>
              <w:spacing w:after="40"/>
            </w:pPr>
            <w:r>
              <w:rPr>
                <w:sz w:val="19"/>
              </w:rPr>
            </w:r>
            <w:r>
              <w:rPr>
                <w:sz w:val="19"/>
              </w:rPr>
              <w:t>Acute bid-rigging and information-misuse risk.</w:t>
            </w:r>
          </w:p>
        </w:tc>
      </w:tr>
    </w:tbl>
    <w:p/>
    <w:p>
      <w:pPr>
        <w:jc w:val="both"/>
      </w:pPr>
      <w:r>
        <w:rPr>
          <w:b/>
        </w:rPr>
        <w:t>Correction to the Market Overview’s concentration characterization.</w:t>
      </w:r>
      <w:r>
        <w:t xml:space="preserve"> The Market Overview (§ 3.1) states that an HHI of approximately 1,200 places the market “above the unconcentrated threshold (HHI below 1,500)” and within the “moderately concentrated” range. That is internally inconsistent: 1,184 is </w:t>
      </w:r>
      <w:r>
        <w:rPr>
          <w:i/>
        </w:rPr>
        <w:t>below</w:t>
      </w:r>
      <w:r>
        <w:t xml:space="preserve"> 1,500 and would have been “unconcentrated” under the 2010 Horizontal Merger Guidelines; the 2023 Merger Guidelines no longer use a “moderately concentrated” category and treat markets above 1,800 as highly concentrated. The correction does not lower the risk of the information exchange — leading competitors with a 33% combined share in a market where six firms hold 82% and pricing is opaque and customer-specific are precisely the circumstances in which the agencies focus on information sharing, and the 2023 Guidelines’ 30% share presumption would be triggered by a full combination. But the Board materials should not repeat the erroneous statement, and internal documents should avoid inaccurate characterizations of market structure that could later be produced to an agency.</w:t>
      </w:r>
    </w:p>
    <w:p>
      <w:pPr>
        <w:pStyle w:val="Heading1"/>
      </w:pPr>
      <w:r>
        <w:t>V. Provision-by-Provision Analysis and Recommended Revisions</w:t>
      </w:r>
    </w:p>
    <w:p>
      <w:pPr>
        <w:jc w:val="both"/>
      </w:pPr>
      <w:r>
        <w:rPr>
          <w:b/>
        </w:rPr>
        <w:t>Severity scale.</w:t>
      </w:r>
      <w:r>
        <w:t xml:space="preserve"> </w:t>
      </w:r>
      <w:r>
        <w:rPr>
          <w:i/>
        </w:rPr>
        <w:t>Critical</w:t>
      </w:r>
      <w:r>
        <w:t xml:space="preserve"> — must be fixed before signing; creates significant Sherman Act exposure or potential criminal risk. </w:t>
      </w:r>
      <w:r>
        <w:rPr>
          <w:i/>
        </w:rPr>
        <w:t>High</w:t>
      </w:r>
      <w:r>
        <w:t xml:space="preserve"> — should be fixed before signing; materially increases exposure or undermines the safeguards. </w:t>
      </w:r>
      <w:r>
        <w:rPr>
          <w:i/>
        </w:rPr>
        <w:t>Medium</w:t>
      </w:r>
      <w:r>
        <w:t xml:space="preserve"> — should be fixed; meaningful risk or missing protection. </w:t>
      </w:r>
      <w:r>
        <w:rPr>
          <w:i/>
        </w:rPr>
        <w:t>Low</w:t>
      </w:r>
      <w:r>
        <w:t xml:space="preserve"> — recommended clean-up or commercial point with limited antitrust significance.</w:t>
      </w:r>
    </w:p>
    <w:p>
      <w:pPr>
        <w:pStyle w:val="Heading2"/>
      </w:pPr>
      <w:r>
        <w:t>A. Summary table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432"/>
            <w:shd w:val="clear" w:color="auto" w:fill="D9E2F3"/>
          </w:tcPr>
          <w:p>
            <w:r/>
            <w:r>
              <w:rPr>
                <w:b/>
                <w:sz w:val="17"/>
              </w:rPr>
              <w:t>#</w:t>
            </w:r>
          </w:p>
        </w:tc>
        <w:tc>
          <w:tcPr>
            <w:tcW w:type="dxa" w:w="1872"/>
            <w:shd w:val="clear" w:color="auto" w:fill="D9E2F3"/>
          </w:tcPr>
          <w:p>
            <w:r/>
            <w:r>
              <w:rPr>
                <w:b/>
                <w:sz w:val="17"/>
              </w:rPr>
              <w:t>Provision</w:t>
            </w:r>
          </w:p>
        </w:tc>
        <w:tc>
          <w:tcPr>
            <w:tcW w:type="dxa" w:w="3024"/>
            <w:shd w:val="clear" w:color="auto" w:fill="D9E2F3"/>
          </w:tcPr>
          <w:p>
            <w:r/>
            <w:r>
              <w:rPr>
                <w:b/>
                <w:sz w:val="17"/>
              </w:rPr>
              <w:t>Issue</w:t>
            </w:r>
          </w:p>
        </w:tc>
        <w:tc>
          <w:tcPr>
            <w:tcW w:type="dxa" w:w="1080"/>
            <w:shd w:val="clear" w:color="auto" w:fill="D9E2F3"/>
          </w:tcPr>
          <w:p>
            <w:r/>
            <w:r>
              <w:rPr>
                <w:b/>
                <w:sz w:val="17"/>
              </w:rPr>
              <w:t>Severity</w:t>
            </w:r>
          </w:p>
        </w:tc>
        <w:tc>
          <w:tcPr>
            <w:tcW w:type="dxa" w:w="2952"/>
            <w:shd w:val="clear" w:color="auto" w:fill="D9E2F3"/>
          </w:tcPr>
          <w:p>
            <w:r/>
            <w:r>
              <w:rPr>
                <w:b/>
                <w:sz w:val="17"/>
              </w:rPr>
              <w:t>Recommendation</w:t>
            </w:r>
          </w:p>
        </w:tc>
      </w:tr>
      <w:tr>
        <w:tc>
          <w:tcPr>
            <w:tcW w:type="dxa" w:w="432"/>
          </w:tcPr>
          <w:p>
            <w:pPr>
              <w:spacing w:after="40"/>
            </w:pPr>
            <w:r>
              <w:rPr>
                <w:sz w:val="17"/>
              </w:rPr>
            </w:r>
            <w:r>
              <w:rPr>
                <w:sz w:val="17"/>
              </w:rPr>
              <w:t>1</w:t>
            </w:r>
          </w:p>
        </w:tc>
        <w:tc>
          <w:tcPr>
            <w:tcW w:type="dxa" w:w="1872"/>
          </w:tcPr>
          <w:p>
            <w:pPr>
              <w:spacing w:after="40"/>
            </w:pPr>
            <w:r>
              <w:rPr>
                <w:sz w:val="17"/>
              </w:rPr>
            </w:r>
            <w:r>
              <w:rPr>
                <w:sz w:val="17"/>
              </w:rPr>
              <w:t>§ 6.1 Mandatory Initial Data Exchange</w:t>
            </w:r>
          </w:p>
        </w:tc>
        <w:tc>
          <w:tcPr>
            <w:tcW w:type="dxa" w:w="3024"/>
          </w:tcPr>
          <w:p>
            <w:pPr>
              <w:spacing w:after="40"/>
            </w:pPr>
            <w:r>
              <w:rPr>
                <w:sz w:val="17"/>
              </w:rPr>
            </w:r>
            <w:r>
              <w:rPr>
                <w:sz w:val="17"/>
              </w:rPr>
              <w:t>Mandatory exchange within 30 days of current pricing schedules/discount matrices, customer lists with revenue by customer, capacity/utilization by facility, product-line margins, five-year strategic plans — all business lines</w:t>
            </w:r>
          </w:p>
        </w:tc>
        <w:tc>
          <w:tcPr>
            <w:tcW w:type="dxa" w:w="1080"/>
            <w:shd w:val="clear" w:color="auto" w:fill="F4CCCC"/>
          </w:tcPr>
          <w:p>
            <w:pPr>
              <w:spacing w:after="40"/>
            </w:pPr>
            <w:r>
              <w:rPr>
                <w:sz w:val="17"/>
              </w:rPr>
            </w:r>
            <w:r>
              <w:rPr>
                <w:sz w:val="17"/>
              </w:rPr>
              <w:t>Critical</w:t>
            </w:r>
          </w:p>
        </w:tc>
        <w:tc>
          <w:tcPr>
            <w:tcW w:type="dxa" w:w="2952"/>
          </w:tcPr>
          <w:p>
            <w:pPr>
              <w:spacing w:after="40"/>
            </w:pPr>
            <w:r>
              <w:rPr>
                <w:sz w:val="17"/>
              </w:rPr>
            </w:r>
            <w:r>
              <w:rPr>
                <w:sz w:val="17"/>
              </w:rPr>
              <w:t>Delete mandatory exchange; replace with counsel-supervised, staged, rCF-focused requests; CSI only via Clean Team, aggregated/historical; no customer-specific pricing or discount matrices</w:t>
            </w:r>
          </w:p>
        </w:tc>
      </w:tr>
      <w:tr>
        <w:tc>
          <w:tcPr>
            <w:tcW w:type="dxa" w:w="432"/>
          </w:tcPr>
          <w:p>
            <w:pPr>
              <w:spacing w:after="40"/>
            </w:pPr>
            <w:r>
              <w:rPr>
                <w:sz w:val="17"/>
              </w:rPr>
            </w:r>
            <w:r>
              <w:rPr>
                <w:sz w:val="17"/>
              </w:rPr>
              <w:t>2</w:t>
            </w:r>
          </w:p>
        </w:tc>
        <w:tc>
          <w:tcPr>
            <w:tcW w:type="dxa" w:w="1872"/>
          </w:tcPr>
          <w:p>
            <w:pPr>
              <w:spacing w:after="40"/>
            </w:pPr>
            <w:r>
              <w:rPr>
                <w:sz w:val="17"/>
              </w:rPr>
            </w:r>
            <w:r>
              <w:rPr>
                <w:sz w:val="17"/>
              </w:rPr>
              <w:t>§ 6.2 Quarterly Updates</w:t>
            </w:r>
          </w:p>
        </w:tc>
        <w:tc>
          <w:tcPr>
            <w:tcW w:type="dxa" w:w="3024"/>
          </w:tcPr>
          <w:p>
            <w:pPr>
              <w:spacing w:after="40"/>
            </w:pPr>
            <w:r>
              <w:rPr>
                <w:sz w:val="17"/>
              </w:rPr>
            </w:r>
            <w:r>
              <w:rPr>
                <w:sz w:val="17"/>
              </w:rPr>
              <w:t>Recurring quarterly refresh of all § 6.1 categories for the Evaluation Period (and renewals)</w:t>
            </w:r>
          </w:p>
        </w:tc>
        <w:tc>
          <w:tcPr>
            <w:tcW w:type="dxa" w:w="1080"/>
            <w:shd w:val="clear" w:color="auto" w:fill="F4CCCC"/>
          </w:tcPr>
          <w:p>
            <w:pPr>
              <w:spacing w:after="40"/>
            </w:pPr>
            <w:r>
              <w:rPr>
                <w:sz w:val="17"/>
              </w:rPr>
            </w:r>
            <w:r>
              <w:rPr>
                <w:sz w:val="17"/>
              </w:rPr>
              <w:t>Critical</w:t>
            </w:r>
          </w:p>
        </w:tc>
        <w:tc>
          <w:tcPr>
            <w:tcW w:type="dxa" w:w="2952"/>
          </w:tcPr>
          <w:p>
            <w:pPr>
              <w:spacing w:after="40"/>
            </w:pPr>
            <w:r>
              <w:rPr>
                <w:sz w:val="17"/>
              </w:rPr>
            </w:r>
            <w:r>
              <w:rPr>
                <w:sz w:val="17"/>
              </w:rPr>
              <w:t>Delete</w:t>
            </w:r>
          </w:p>
        </w:tc>
      </w:tr>
      <w:tr>
        <w:tc>
          <w:tcPr>
            <w:tcW w:type="dxa" w:w="432"/>
          </w:tcPr>
          <w:p>
            <w:pPr>
              <w:spacing w:after="40"/>
            </w:pPr>
            <w:r>
              <w:rPr>
                <w:sz w:val="17"/>
              </w:rPr>
            </w:r>
            <w:r>
              <w:rPr>
                <w:sz w:val="17"/>
              </w:rPr>
              <w:t>3</w:t>
            </w:r>
          </w:p>
        </w:tc>
        <w:tc>
          <w:tcPr>
            <w:tcW w:type="dxa" w:w="1872"/>
          </w:tcPr>
          <w:p>
            <w:pPr>
              <w:spacing w:after="40"/>
            </w:pPr>
            <w:r>
              <w:rPr>
                <w:sz w:val="17"/>
              </w:rPr>
            </w:r>
            <w:r>
              <w:rPr>
                <w:sz w:val="17"/>
              </w:rPr>
              <w:t>§§ 1.6, 4.1 Representatives / Disclosure</w:t>
            </w:r>
          </w:p>
        </w:tc>
        <w:tc>
          <w:tcPr>
            <w:tcW w:type="dxa" w:w="3024"/>
          </w:tcPr>
          <w:p>
            <w:pPr>
              <w:spacing w:after="40"/>
            </w:pPr>
            <w:r>
              <w:rPr>
                <w:sz w:val="17"/>
              </w:rPr>
            </w:r>
            <w:r>
              <w:rPr>
                <w:sz w:val="17"/>
              </w:rPr>
              <w:t>Unlimited dissemination to all employees and affiliates at recipient’s discretion; no clean team; no need-to-know</w:t>
            </w:r>
          </w:p>
        </w:tc>
        <w:tc>
          <w:tcPr>
            <w:tcW w:type="dxa" w:w="1080"/>
            <w:shd w:val="clear" w:color="auto" w:fill="F4CCCC"/>
          </w:tcPr>
          <w:p>
            <w:pPr>
              <w:spacing w:after="40"/>
            </w:pPr>
            <w:r>
              <w:rPr>
                <w:sz w:val="17"/>
              </w:rPr>
            </w:r>
            <w:r>
              <w:rPr>
                <w:sz w:val="17"/>
              </w:rPr>
              <w:t>Critical</w:t>
            </w:r>
          </w:p>
        </w:tc>
        <w:tc>
          <w:tcPr>
            <w:tcW w:type="dxa" w:w="2952"/>
          </w:tcPr>
          <w:p>
            <w:pPr>
              <w:spacing w:after="40"/>
            </w:pPr>
            <w:r>
              <w:rPr>
                <w:sz w:val="17"/>
              </w:rPr>
            </w:r>
            <w:r>
              <w:rPr>
                <w:sz w:val="17"/>
              </w:rPr>
              <w:t>Need-to-know standard; tiered access; Clean Team Agreement; exclude commercial personnel from CSI</w:t>
            </w:r>
          </w:p>
        </w:tc>
      </w:tr>
      <w:tr>
        <w:tc>
          <w:tcPr>
            <w:tcW w:type="dxa" w:w="432"/>
          </w:tcPr>
          <w:p>
            <w:pPr>
              <w:spacing w:after="40"/>
            </w:pPr>
            <w:r>
              <w:rPr>
                <w:sz w:val="17"/>
              </w:rPr>
            </w:r>
            <w:r>
              <w:rPr>
                <w:sz w:val="17"/>
              </w:rPr>
              <w:t>4</w:t>
            </w:r>
          </w:p>
        </w:tc>
        <w:tc>
          <w:tcPr>
            <w:tcW w:type="dxa" w:w="1872"/>
          </w:tcPr>
          <w:p>
            <w:pPr>
              <w:spacing w:after="40"/>
            </w:pPr>
            <w:r>
              <w:rPr>
                <w:sz w:val="17"/>
              </w:rPr>
            </w:r>
            <w:r>
              <w:rPr>
                <w:sz w:val="17"/>
              </w:rPr>
              <w:t>§§ 1.7, 5.3, 8.3(ii) Residuals</w:t>
            </w:r>
          </w:p>
        </w:tc>
        <w:tc>
          <w:tcPr>
            <w:tcW w:type="dxa" w:w="3024"/>
          </w:tcPr>
          <w:p>
            <w:pPr>
              <w:spacing w:after="40"/>
            </w:pPr>
            <w:r>
              <w:rPr>
                <w:sz w:val="17"/>
              </w:rPr>
            </w:r>
            <w:r>
              <w:rPr>
                <w:sz w:val="17"/>
              </w:rPr>
              <w:t>Free use in business of anything retained in memory; residuals exempt from return/destruction</w:t>
            </w:r>
          </w:p>
        </w:tc>
        <w:tc>
          <w:tcPr>
            <w:tcW w:type="dxa" w:w="1080"/>
            <w:shd w:val="clear" w:color="auto" w:fill="F4CCCC"/>
          </w:tcPr>
          <w:p>
            <w:pPr>
              <w:spacing w:after="40"/>
            </w:pPr>
            <w:r>
              <w:rPr>
                <w:sz w:val="17"/>
              </w:rPr>
            </w:r>
            <w:r>
              <w:rPr>
                <w:sz w:val="17"/>
              </w:rPr>
              <w:t>Critical</w:t>
            </w:r>
          </w:p>
        </w:tc>
        <w:tc>
          <w:tcPr>
            <w:tcW w:type="dxa" w:w="2952"/>
          </w:tcPr>
          <w:p>
            <w:pPr>
              <w:spacing w:after="40"/>
            </w:pPr>
            <w:r>
              <w:rPr>
                <w:sz w:val="17"/>
              </w:rPr>
            </w:r>
            <w:r>
              <w:rPr>
                <w:sz w:val="17"/>
              </w:rPr>
              <w:t>Delete entirely</w:t>
            </w:r>
          </w:p>
        </w:tc>
      </w:tr>
      <w:tr>
        <w:tc>
          <w:tcPr>
            <w:tcW w:type="dxa" w:w="432"/>
          </w:tcPr>
          <w:p>
            <w:pPr>
              <w:spacing w:after="40"/>
            </w:pPr>
            <w:r>
              <w:rPr>
                <w:sz w:val="17"/>
              </w:rPr>
            </w:r>
            <w:r>
              <w:rPr>
                <w:sz w:val="17"/>
              </w:rPr>
              <w:t>5</w:t>
            </w:r>
          </w:p>
        </w:tc>
        <w:tc>
          <w:tcPr>
            <w:tcW w:type="dxa" w:w="1872"/>
          </w:tcPr>
          <w:p>
            <w:pPr>
              <w:spacing w:after="40"/>
            </w:pPr>
            <w:r>
              <w:rPr>
                <w:sz w:val="17"/>
              </w:rPr>
            </w:r>
            <w:r>
              <w:rPr>
                <w:sz w:val="17"/>
              </w:rPr>
              <w:t>§ 9.3 Mutual Release of antitrust claims</w:t>
            </w:r>
          </w:p>
        </w:tc>
        <w:tc>
          <w:tcPr>
            <w:tcW w:type="dxa" w:w="3024"/>
          </w:tcPr>
          <w:p>
            <w:pPr>
              <w:spacing w:after="40"/>
            </w:pPr>
            <w:r>
              <w:rPr>
                <w:sz w:val="17"/>
              </w:rPr>
            </w:r>
            <w:r>
              <w:rPr>
                <w:sz w:val="17"/>
              </w:rPr>
              <w:t>Prospective waiver of antitrust, unfair competition, tortious interference and misappropriation claims</w:t>
            </w:r>
          </w:p>
        </w:tc>
        <w:tc>
          <w:tcPr>
            <w:tcW w:type="dxa" w:w="1080"/>
            <w:shd w:val="clear" w:color="auto" w:fill="F4CCCC"/>
          </w:tcPr>
          <w:p>
            <w:pPr>
              <w:spacing w:after="40"/>
            </w:pPr>
            <w:r>
              <w:rPr>
                <w:sz w:val="17"/>
              </w:rPr>
            </w:r>
            <w:r>
              <w:rPr>
                <w:sz w:val="17"/>
              </w:rPr>
              <w:t>Critical</w:t>
            </w:r>
          </w:p>
        </w:tc>
        <w:tc>
          <w:tcPr>
            <w:tcW w:type="dxa" w:w="2952"/>
          </w:tcPr>
          <w:p>
            <w:pPr>
              <w:spacing w:after="40"/>
            </w:pPr>
            <w:r>
              <w:rPr>
                <w:sz w:val="17"/>
              </w:rPr>
            </w:r>
            <w:r>
              <w:rPr>
                <w:sz w:val="17"/>
              </w:rPr>
              <w:t>Delete entirely</w:t>
            </w:r>
          </w:p>
        </w:tc>
      </w:tr>
      <w:tr>
        <w:tc>
          <w:tcPr>
            <w:tcW w:type="dxa" w:w="432"/>
          </w:tcPr>
          <w:p>
            <w:pPr>
              <w:spacing w:after="40"/>
            </w:pPr>
            <w:r>
              <w:rPr>
                <w:sz w:val="17"/>
              </w:rPr>
            </w:r>
            <w:r>
              <w:rPr>
                <w:sz w:val="17"/>
              </w:rPr>
              <w:t>6</w:t>
            </w:r>
          </w:p>
        </w:tc>
        <w:tc>
          <w:tcPr>
            <w:tcW w:type="dxa" w:w="1872"/>
          </w:tcPr>
          <w:p>
            <w:pPr>
              <w:spacing w:after="40"/>
            </w:pPr>
            <w:r>
              <w:rPr>
                <w:sz w:val="17"/>
              </w:rPr>
            </w:r>
            <w:r>
              <w:rPr>
                <w:sz w:val="17"/>
              </w:rPr>
              <w:t>§ 6.3 Monthly Executive Meetings</w:t>
            </w:r>
          </w:p>
        </w:tc>
        <w:tc>
          <w:tcPr>
            <w:tcW w:type="dxa" w:w="3024"/>
          </w:tcPr>
          <w:p>
            <w:pPr>
              <w:spacing w:after="40"/>
            </w:pPr>
            <w:r>
              <w:rPr>
                <w:sz w:val="17"/>
              </w:rPr>
            </w:r>
            <w:r>
              <w:rPr>
                <w:sz w:val="17"/>
              </w:rPr>
              <w:t>Standing monthly meetings of senior executives on “matters of mutual interest”; any attendees</w:t>
            </w:r>
          </w:p>
        </w:tc>
        <w:tc>
          <w:tcPr>
            <w:tcW w:type="dxa" w:w="1080"/>
            <w:shd w:val="clear" w:color="auto" w:fill="F4CCCC"/>
          </w:tcPr>
          <w:p>
            <w:pPr>
              <w:spacing w:after="40"/>
            </w:pPr>
            <w:r>
              <w:rPr>
                <w:sz w:val="17"/>
              </w:rPr>
            </w:r>
            <w:r>
              <w:rPr>
                <w:sz w:val="17"/>
              </w:rPr>
              <w:t>Critical</w:t>
            </w:r>
          </w:p>
        </w:tc>
        <w:tc>
          <w:tcPr>
            <w:tcW w:type="dxa" w:w="2952"/>
          </w:tcPr>
          <w:p>
            <w:pPr>
              <w:spacing w:after="40"/>
            </w:pPr>
            <w:r>
              <w:rPr>
                <w:sz w:val="17"/>
              </w:rPr>
            </w:r>
            <w:r>
              <w:rPr>
                <w:sz w:val="17"/>
              </w:rPr>
              <w:t>Replace with as-needed meetings limited to JV evaluation; written agenda pre-cleared by counsel; counsel present; minutes; no CSI discussion</w:t>
            </w:r>
          </w:p>
        </w:tc>
      </w:tr>
      <w:tr>
        <w:tc>
          <w:tcPr>
            <w:tcW w:type="dxa" w:w="432"/>
          </w:tcPr>
          <w:p>
            <w:pPr>
              <w:spacing w:after="40"/>
            </w:pPr>
            <w:r>
              <w:rPr>
                <w:sz w:val="17"/>
              </w:rPr>
            </w:r>
            <w:r>
              <w:rPr>
                <w:sz w:val="17"/>
              </w:rPr>
              <w:t>7</w:t>
            </w:r>
          </w:p>
        </w:tc>
        <w:tc>
          <w:tcPr>
            <w:tcW w:type="dxa" w:w="1872"/>
          </w:tcPr>
          <w:p>
            <w:pPr>
              <w:spacing w:after="40"/>
            </w:pPr>
            <w:r>
              <w:rPr>
                <w:sz w:val="17"/>
              </w:rPr>
            </w:r>
            <w:r>
              <w:rPr>
                <w:sz w:val="17"/>
              </w:rPr>
              <w:t>Northwind (no provision)</w:t>
            </w:r>
          </w:p>
        </w:tc>
        <w:tc>
          <w:tcPr>
            <w:tcW w:type="dxa" w:w="3024"/>
          </w:tcPr>
          <w:p>
            <w:pPr>
              <w:spacing w:after="40"/>
            </w:pPr>
            <w:r>
              <w:rPr>
                <w:sz w:val="17"/>
              </w:rPr>
            </w:r>
            <w:r>
              <w:rPr>
                <w:sz w:val="17"/>
              </w:rPr>
              <w:t>Exchange timing coincides with February 2025 award on contract both parties bid</w:t>
            </w:r>
          </w:p>
        </w:tc>
        <w:tc>
          <w:tcPr>
            <w:tcW w:type="dxa" w:w="1080"/>
            <w:shd w:val="clear" w:color="auto" w:fill="F4CCCC"/>
          </w:tcPr>
          <w:p>
            <w:pPr>
              <w:spacing w:after="40"/>
            </w:pPr>
            <w:r>
              <w:rPr>
                <w:sz w:val="17"/>
              </w:rPr>
            </w:r>
            <w:r>
              <w:rPr>
                <w:sz w:val="17"/>
              </w:rPr>
              <w:t>Critical</w:t>
            </w:r>
          </w:p>
        </w:tc>
        <w:tc>
          <w:tcPr>
            <w:tcW w:type="dxa" w:w="2952"/>
          </w:tcPr>
          <w:p>
            <w:pPr>
              <w:spacing w:after="40"/>
            </w:pPr>
            <w:r>
              <w:rPr>
                <w:sz w:val="17"/>
              </w:rPr>
            </w:r>
            <w:r>
              <w:rPr>
                <w:sz w:val="17"/>
              </w:rPr>
              <w:t>Express blackout on bid and open-procurement information; defer commercial data until after award; bid-independence certifications</w:t>
            </w:r>
          </w:p>
        </w:tc>
      </w:tr>
      <w:tr>
        <w:tc>
          <w:tcPr>
            <w:tcW w:type="dxa" w:w="432"/>
          </w:tcPr>
          <w:p>
            <w:pPr>
              <w:spacing w:after="40"/>
            </w:pPr>
            <w:r>
              <w:rPr>
                <w:sz w:val="17"/>
              </w:rPr>
            </w:r>
            <w:r>
              <w:rPr>
                <w:sz w:val="17"/>
              </w:rPr>
              <w:t>8</w:t>
            </w:r>
          </w:p>
        </w:tc>
        <w:tc>
          <w:tcPr>
            <w:tcW w:type="dxa" w:w="1872"/>
          </w:tcPr>
          <w:p>
            <w:pPr>
              <w:spacing w:after="40"/>
            </w:pPr>
            <w:r>
              <w:rPr>
                <w:sz w:val="17"/>
              </w:rPr>
            </w:r>
            <w:r>
              <w:rPr>
                <w:sz w:val="17"/>
              </w:rPr>
              <w:t>§§ 1.8, 3.1 Transaction / Permitted Purpose</w:t>
            </w:r>
          </w:p>
        </w:tc>
        <w:tc>
          <w:tcPr>
            <w:tcW w:type="dxa" w:w="3024"/>
          </w:tcPr>
          <w:p>
            <w:pPr>
              <w:spacing w:after="40"/>
            </w:pPr>
            <w:r>
              <w:rPr>
                <w:sz w:val="17"/>
              </w:rPr>
            </w:r>
            <w:r>
              <w:rPr>
                <w:sz w:val="17"/>
              </w:rPr>
              <w:t>Covers any merger, acquisition, licensing or combination, “consummating” and “integration planning”; not limited to rCF JV</w:t>
            </w:r>
          </w:p>
        </w:tc>
        <w:tc>
          <w:tcPr>
            <w:tcW w:type="dxa" w:w="1080"/>
            <w:shd w:val="clear" w:color="auto" w:fill="FCE5CD"/>
          </w:tcPr>
          <w:p>
            <w:pPr>
              <w:spacing w:after="40"/>
            </w:pPr>
            <w:r>
              <w:rPr>
                <w:sz w:val="17"/>
              </w:rPr>
            </w:r>
            <w:r>
              <w:rPr>
                <w:sz w:val="17"/>
              </w:rPr>
              <w:t>High</w:t>
            </w:r>
          </w:p>
        </w:tc>
        <w:tc>
          <w:tcPr>
            <w:tcW w:type="dxa" w:w="2952"/>
          </w:tcPr>
          <w:p>
            <w:pPr>
              <w:spacing w:after="40"/>
            </w:pPr>
            <w:r>
              <w:rPr>
                <w:sz w:val="17"/>
              </w:rPr>
            </w:r>
            <w:r>
              <w:rPr>
                <w:sz w:val="17"/>
              </w:rPr>
              <w:t>Limit to evaluation and negotiation of the rCF JV; integration planning only per Clean Team protocol; no implementation pre-closing</w:t>
            </w:r>
          </w:p>
        </w:tc>
      </w:tr>
      <w:tr>
        <w:tc>
          <w:tcPr>
            <w:tcW w:type="dxa" w:w="432"/>
          </w:tcPr>
          <w:p>
            <w:pPr>
              <w:spacing w:after="40"/>
            </w:pPr>
            <w:r>
              <w:rPr>
                <w:sz w:val="17"/>
              </w:rPr>
            </w:r>
            <w:r>
              <w:rPr>
                <w:sz w:val="17"/>
              </w:rPr>
              <w:t>9</w:t>
            </w:r>
          </w:p>
        </w:tc>
        <w:tc>
          <w:tcPr>
            <w:tcW w:type="dxa" w:w="1872"/>
          </w:tcPr>
          <w:p>
            <w:pPr>
              <w:spacing w:after="40"/>
            </w:pPr>
            <w:r>
              <w:rPr>
                <w:sz w:val="17"/>
              </w:rPr>
            </w:r>
            <w:r>
              <w:rPr>
                <w:sz w:val="17"/>
              </w:rPr>
              <w:t>§ 2.1 Confidential Information</w:t>
            </w:r>
          </w:p>
        </w:tc>
        <w:tc>
          <w:tcPr>
            <w:tcW w:type="dxa" w:w="3024"/>
          </w:tcPr>
          <w:p>
            <w:pPr>
              <w:spacing w:after="40"/>
            </w:pPr>
            <w:r>
              <w:rPr>
                <w:sz w:val="17"/>
              </w:rPr>
            </w:r>
            <w:r>
              <w:rPr>
                <w:sz w:val="17"/>
              </w:rPr>
              <w:t>Captures all information on all business lines; (j) catch-all</w:t>
            </w:r>
          </w:p>
        </w:tc>
        <w:tc>
          <w:tcPr>
            <w:tcW w:type="dxa" w:w="1080"/>
            <w:shd w:val="clear" w:color="auto" w:fill="FCE5CD"/>
          </w:tcPr>
          <w:p>
            <w:pPr>
              <w:spacing w:after="40"/>
            </w:pPr>
            <w:r>
              <w:rPr>
                <w:sz w:val="17"/>
              </w:rPr>
            </w:r>
            <w:r>
              <w:rPr>
                <w:sz w:val="17"/>
              </w:rPr>
              <w:t>High</w:t>
            </w:r>
          </w:p>
        </w:tc>
        <w:tc>
          <w:tcPr>
            <w:tcW w:type="dxa" w:w="2952"/>
          </w:tcPr>
          <w:p>
            <w:pPr>
              <w:spacing w:after="40"/>
            </w:pPr>
            <w:r>
              <w:rPr>
                <w:sz w:val="17"/>
              </w:rPr>
            </w:r>
            <w:r>
              <w:rPr>
                <w:sz w:val="17"/>
              </w:rPr>
              <w:t>Retain broad protective definition but add separate “Competitively Sensitive Information” category with heightened handling; limit what is requested, not what is protected</w:t>
            </w:r>
          </w:p>
        </w:tc>
      </w:tr>
      <w:tr>
        <w:tc>
          <w:tcPr>
            <w:tcW w:type="dxa" w:w="432"/>
          </w:tcPr>
          <w:p>
            <w:pPr>
              <w:spacing w:after="40"/>
            </w:pPr>
            <w:r>
              <w:rPr>
                <w:sz w:val="17"/>
              </w:rPr>
            </w:r>
            <w:r>
              <w:rPr>
                <w:sz w:val="17"/>
              </w:rPr>
              <w:t>10</w:t>
            </w:r>
          </w:p>
        </w:tc>
        <w:tc>
          <w:tcPr>
            <w:tcW w:type="dxa" w:w="1872"/>
          </w:tcPr>
          <w:p>
            <w:pPr>
              <w:spacing w:after="40"/>
            </w:pPr>
            <w:r>
              <w:rPr>
                <w:sz w:val="17"/>
              </w:rPr>
            </w:r>
            <w:r>
              <w:rPr>
                <w:sz w:val="17"/>
              </w:rPr>
              <w:t>§ 2.1(h) Employee compensation data</w:t>
            </w:r>
          </w:p>
        </w:tc>
        <w:tc>
          <w:tcPr>
            <w:tcW w:type="dxa" w:w="3024"/>
          </w:tcPr>
          <w:p>
            <w:pPr>
              <w:spacing w:after="40"/>
            </w:pPr>
            <w:r>
              <w:rPr>
                <w:sz w:val="17"/>
              </w:rPr>
            </w:r>
            <w:r>
              <w:rPr>
                <w:sz w:val="17"/>
              </w:rPr>
              <w:t>Exchange of compensation and headcount data between competing employers</w:t>
            </w:r>
          </w:p>
        </w:tc>
        <w:tc>
          <w:tcPr>
            <w:tcW w:type="dxa" w:w="1080"/>
            <w:shd w:val="clear" w:color="auto" w:fill="FCE5CD"/>
          </w:tcPr>
          <w:p>
            <w:pPr>
              <w:spacing w:after="40"/>
            </w:pPr>
            <w:r>
              <w:rPr>
                <w:sz w:val="17"/>
              </w:rPr>
            </w:r>
            <w:r>
              <w:rPr>
                <w:sz w:val="17"/>
              </w:rPr>
              <w:t>High</w:t>
            </w:r>
          </w:p>
        </w:tc>
        <w:tc>
          <w:tcPr>
            <w:tcW w:type="dxa" w:w="2952"/>
          </w:tcPr>
          <w:p>
            <w:pPr>
              <w:spacing w:after="40"/>
            </w:pPr>
            <w:r>
              <w:rPr>
                <w:sz w:val="17"/>
              </w:rPr>
            </w:r>
            <w:r>
              <w:rPr>
                <w:sz w:val="17"/>
              </w:rPr>
              <w:t>Exclude individual compensation; JV-staffing data only in aggregated form via Clean Team/outside consultant</w:t>
            </w:r>
          </w:p>
        </w:tc>
      </w:tr>
      <w:tr>
        <w:tc>
          <w:tcPr>
            <w:tcW w:type="dxa" w:w="432"/>
          </w:tcPr>
          <w:p>
            <w:pPr>
              <w:spacing w:after="40"/>
            </w:pPr>
            <w:r>
              <w:rPr>
                <w:sz w:val="17"/>
              </w:rPr>
            </w:r>
            <w:r>
              <w:rPr>
                <w:sz w:val="17"/>
              </w:rPr>
              <w:t>11</w:t>
            </w:r>
          </w:p>
        </w:tc>
        <w:tc>
          <w:tcPr>
            <w:tcW w:type="dxa" w:w="1872"/>
          </w:tcPr>
          <w:p>
            <w:pPr>
              <w:spacing w:after="40"/>
            </w:pPr>
            <w:r>
              <w:rPr>
                <w:sz w:val="17"/>
              </w:rPr>
            </w:r>
            <w:r>
              <w:rPr>
                <w:sz w:val="17"/>
              </w:rPr>
              <w:t>§ 8.1 Term / Automatic Renewal</w:t>
            </w:r>
          </w:p>
        </w:tc>
        <w:tc>
          <w:tcPr>
            <w:tcW w:type="dxa" w:w="3024"/>
          </w:tcPr>
          <w:p>
            <w:pPr>
              <w:spacing w:after="40"/>
            </w:pPr>
            <w:r>
              <w:rPr>
                <w:sz w:val="17"/>
              </w:rPr>
            </w:r>
            <w:r>
              <w:rPr>
                <w:sz w:val="17"/>
              </w:rPr>
              <w:t>18-month term auto-renews indefinitely; extends exchange obligations, meeting obligations and non-solicit</w:t>
            </w:r>
          </w:p>
        </w:tc>
        <w:tc>
          <w:tcPr>
            <w:tcW w:type="dxa" w:w="1080"/>
            <w:shd w:val="clear" w:color="auto" w:fill="FCE5CD"/>
          </w:tcPr>
          <w:p>
            <w:pPr>
              <w:spacing w:after="40"/>
            </w:pPr>
            <w:r>
              <w:rPr>
                <w:sz w:val="17"/>
              </w:rPr>
            </w:r>
            <w:r>
              <w:rPr>
                <w:sz w:val="17"/>
              </w:rPr>
              <w:t>High</w:t>
            </w:r>
          </w:p>
        </w:tc>
        <w:tc>
          <w:tcPr>
            <w:tcW w:type="dxa" w:w="2952"/>
          </w:tcPr>
          <w:p>
            <w:pPr>
              <w:spacing w:after="40"/>
            </w:pPr>
            <w:r>
              <w:rPr>
                <w:sz w:val="17"/>
              </w:rPr>
            </w:r>
            <w:r>
              <w:rPr>
                <w:sz w:val="17"/>
              </w:rPr>
              <w:t>Fixed term tied to JV timetable (e.g., 12 months or signing of definitive agreement); no auto-renewal; confidentiality survival unaffected</w:t>
            </w:r>
          </w:p>
        </w:tc>
      </w:tr>
      <w:tr>
        <w:tc>
          <w:tcPr>
            <w:tcW w:type="dxa" w:w="432"/>
          </w:tcPr>
          <w:p>
            <w:pPr>
              <w:spacing w:after="40"/>
            </w:pPr>
            <w:r>
              <w:rPr>
                <w:sz w:val="17"/>
              </w:rPr>
            </w:r>
            <w:r>
              <w:rPr>
                <w:sz w:val="17"/>
              </w:rPr>
              <w:t>12</w:t>
            </w:r>
          </w:p>
        </w:tc>
        <w:tc>
          <w:tcPr>
            <w:tcW w:type="dxa" w:w="1872"/>
          </w:tcPr>
          <w:p>
            <w:pPr>
              <w:spacing w:after="40"/>
            </w:pPr>
            <w:r>
              <w:rPr>
                <w:sz w:val="17"/>
              </w:rPr>
            </w:r>
            <w:r>
              <w:rPr>
                <w:sz w:val="17"/>
              </w:rPr>
              <w:t>§ 7.1 Non-Solicitation</w:t>
            </w:r>
          </w:p>
        </w:tc>
        <w:tc>
          <w:tcPr>
            <w:tcW w:type="dxa" w:w="3024"/>
          </w:tcPr>
          <w:p>
            <w:pPr>
              <w:spacing w:after="40"/>
            </w:pPr>
            <w:r>
              <w:rPr>
                <w:sz w:val="17"/>
              </w:rPr>
            </w:r>
            <w:r>
              <w:rPr>
                <w:sz w:val="17"/>
              </w:rPr>
              <w:t>Covers “hire”; 24 months post-termination of an auto-renewing term; former employees</w:t>
            </w:r>
          </w:p>
        </w:tc>
        <w:tc>
          <w:tcPr>
            <w:tcW w:type="dxa" w:w="1080"/>
            <w:shd w:val="clear" w:color="auto" w:fill="FCE5CD"/>
          </w:tcPr>
          <w:p>
            <w:pPr>
              <w:spacing w:after="40"/>
            </w:pPr>
            <w:r>
              <w:rPr>
                <w:sz w:val="17"/>
              </w:rPr>
            </w:r>
            <w:r>
              <w:rPr>
                <w:sz w:val="17"/>
              </w:rPr>
              <w:t>High</w:t>
            </w:r>
          </w:p>
        </w:tc>
        <w:tc>
          <w:tcPr>
            <w:tcW w:type="dxa" w:w="2952"/>
          </w:tcPr>
          <w:p>
            <w:pPr>
              <w:spacing w:after="40"/>
            </w:pPr>
            <w:r>
              <w:rPr>
                <w:sz w:val="17"/>
              </w:rPr>
            </w:r>
            <w:r>
              <w:rPr>
                <w:sz w:val="17"/>
              </w:rPr>
              <w:t>Non-solicit only (no no-hire); 12 months from signing or termination of discussions; limited to employees met in evaluation; carve-outs</w:t>
            </w:r>
          </w:p>
        </w:tc>
      </w:tr>
      <w:tr>
        <w:tc>
          <w:tcPr>
            <w:tcW w:type="dxa" w:w="432"/>
          </w:tcPr>
          <w:p>
            <w:pPr>
              <w:spacing w:after="40"/>
            </w:pPr>
            <w:r>
              <w:rPr>
                <w:sz w:val="17"/>
              </w:rPr>
            </w:r>
            <w:r>
              <w:rPr>
                <w:sz w:val="17"/>
              </w:rPr>
              <w:t>13</w:t>
            </w:r>
          </w:p>
        </w:tc>
        <w:tc>
          <w:tcPr>
            <w:tcW w:type="dxa" w:w="1872"/>
          </w:tcPr>
          <w:p>
            <w:pPr>
              <w:spacing w:after="40"/>
            </w:pPr>
            <w:r>
              <w:rPr>
                <w:sz w:val="17"/>
              </w:rPr>
            </w:r>
            <w:r>
              <w:rPr>
                <w:sz w:val="17"/>
              </w:rPr>
              <w:t>§ 5.2 Exclusions; no compelled-disclosure clause</w:t>
            </w:r>
          </w:p>
        </w:tc>
        <w:tc>
          <w:tcPr>
            <w:tcW w:type="dxa" w:w="3024"/>
          </w:tcPr>
          <w:p>
            <w:pPr>
              <w:spacing w:after="40"/>
            </w:pPr>
            <w:r>
              <w:rPr>
                <w:sz w:val="17"/>
              </w:rPr>
            </w:r>
            <w:r>
              <w:rPr>
                <w:sz w:val="17"/>
              </w:rPr>
              <w:t>Missing independent development, third-party receipt, and legally required/regulatory disclosure</w:t>
            </w:r>
          </w:p>
        </w:tc>
        <w:tc>
          <w:tcPr>
            <w:tcW w:type="dxa" w:w="1080"/>
            <w:shd w:val="clear" w:color="auto" w:fill="FFF2CC"/>
          </w:tcPr>
          <w:p>
            <w:pPr>
              <w:spacing w:after="40"/>
            </w:pPr>
            <w:r>
              <w:rPr>
                <w:sz w:val="17"/>
              </w:rPr>
            </w:r>
            <w:r>
              <w:rPr>
                <w:sz w:val="17"/>
              </w:rPr>
              <w:t>Medium</w:t>
            </w:r>
          </w:p>
        </w:tc>
        <w:tc>
          <w:tcPr>
            <w:tcW w:type="dxa" w:w="2952"/>
          </w:tcPr>
          <w:p>
            <w:pPr>
              <w:spacing w:after="40"/>
            </w:pPr>
            <w:r>
              <w:rPr>
                <w:sz w:val="17"/>
              </w:rPr>
            </w:r>
            <w:r>
              <w:rPr>
                <w:sz w:val="17"/>
              </w:rPr>
              <w:t>Add standard exclusions; add compelled disclosure clause expressly permitting responses to DOJ/FTC/other authorities and HSR filings</w:t>
            </w:r>
          </w:p>
        </w:tc>
      </w:tr>
      <w:tr>
        <w:tc>
          <w:tcPr>
            <w:tcW w:type="dxa" w:w="432"/>
          </w:tcPr>
          <w:p>
            <w:pPr>
              <w:spacing w:after="40"/>
            </w:pPr>
            <w:r>
              <w:rPr>
                <w:sz w:val="17"/>
              </w:rPr>
            </w:r>
            <w:r>
              <w:rPr>
                <w:sz w:val="17"/>
              </w:rPr>
              <w:t>14</w:t>
            </w:r>
          </w:p>
        </w:tc>
        <w:tc>
          <w:tcPr>
            <w:tcW w:type="dxa" w:w="1872"/>
          </w:tcPr>
          <w:p>
            <w:pPr>
              <w:spacing w:after="40"/>
            </w:pPr>
            <w:r>
              <w:rPr>
                <w:sz w:val="17"/>
              </w:rPr>
            </w:r>
            <w:r>
              <w:rPr>
                <w:sz w:val="17"/>
              </w:rPr>
              <w:t>§§ 12.9, 12.10 — no independence clause</w:t>
            </w:r>
          </w:p>
        </w:tc>
        <w:tc>
          <w:tcPr>
            <w:tcW w:type="dxa" w:w="3024"/>
          </w:tcPr>
          <w:p>
            <w:pPr>
              <w:spacing w:after="40"/>
            </w:pPr>
            <w:r>
              <w:rPr>
                <w:sz w:val="17"/>
              </w:rPr>
            </w:r>
            <w:r>
              <w:rPr>
                <w:sz w:val="17"/>
              </w:rPr>
              <w:t>Nothing preserves independent competition or permits withholding information on antitrust grounds</w:t>
            </w:r>
          </w:p>
        </w:tc>
        <w:tc>
          <w:tcPr>
            <w:tcW w:type="dxa" w:w="1080"/>
            <w:shd w:val="clear" w:color="auto" w:fill="FFF2CC"/>
          </w:tcPr>
          <w:p>
            <w:pPr>
              <w:spacing w:after="40"/>
            </w:pPr>
            <w:r>
              <w:rPr>
                <w:sz w:val="17"/>
              </w:rPr>
            </w:r>
            <w:r>
              <w:rPr>
                <w:sz w:val="17"/>
              </w:rPr>
              <w:t>Medium</w:t>
            </w:r>
          </w:p>
        </w:tc>
        <w:tc>
          <w:tcPr>
            <w:tcW w:type="dxa" w:w="2952"/>
          </w:tcPr>
          <w:p>
            <w:pPr>
              <w:spacing w:after="40"/>
            </w:pPr>
            <w:r>
              <w:rPr>
                <w:sz w:val="17"/>
              </w:rPr>
            </w:r>
            <w:r>
              <w:rPr>
                <w:sz w:val="17"/>
              </w:rPr>
              <w:t>Add Antitrust Compliance / Independent Conduct clause and antitrust override</w:t>
            </w:r>
          </w:p>
        </w:tc>
      </w:tr>
      <w:tr>
        <w:tc>
          <w:tcPr>
            <w:tcW w:type="dxa" w:w="432"/>
          </w:tcPr>
          <w:p>
            <w:pPr>
              <w:spacing w:after="40"/>
            </w:pPr>
            <w:r>
              <w:rPr>
                <w:sz w:val="17"/>
              </w:rPr>
            </w:r>
            <w:r>
              <w:rPr>
                <w:sz w:val="17"/>
              </w:rPr>
              <w:t>15</w:t>
            </w:r>
          </w:p>
        </w:tc>
        <w:tc>
          <w:tcPr>
            <w:tcW w:type="dxa" w:w="1872"/>
          </w:tcPr>
          <w:p>
            <w:pPr>
              <w:spacing w:after="40"/>
            </w:pPr>
            <w:r>
              <w:rPr>
                <w:sz w:val="17"/>
              </w:rPr>
            </w:r>
            <w:r>
              <w:rPr>
                <w:sz w:val="17"/>
              </w:rPr>
              <w:t>§ 8.3 Return/Destruction</w:t>
            </w:r>
          </w:p>
        </w:tc>
        <w:tc>
          <w:tcPr>
            <w:tcW w:type="dxa" w:w="3024"/>
          </w:tcPr>
          <w:p>
            <w:pPr>
              <w:spacing w:after="40"/>
            </w:pPr>
            <w:r>
              <w:rPr>
                <w:sz w:val="17"/>
              </w:rPr>
            </w:r>
            <w:r>
              <w:rPr>
                <w:sz w:val="17"/>
              </w:rPr>
              <w:t>Archival copy held by business; residuals carve-out; no clean-team-specific destruction</w:t>
            </w:r>
          </w:p>
        </w:tc>
        <w:tc>
          <w:tcPr>
            <w:tcW w:type="dxa" w:w="1080"/>
            <w:shd w:val="clear" w:color="auto" w:fill="FFF2CC"/>
          </w:tcPr>
          <w:p>
            <w:pPr>
              <w:spacing w:after="40"/>
            </w:pPr>
            <w:r>
              <w:rPr>
                <w:sz w:val="17"/>
              </w:rPr>
            </w:r>
            <w:r>
              <w:rPr>
                <w:sz w:val="17"/>
              </w:rPr>
              <w:t>Medium</w:t>
            </w:r>
          </w:p>
        </w:tc>
        <w:tc>
          <w:tcPr>
            <w:tcW w:type="dxa" w:w="2952"/>
          </w:tcPr>
          <w:p>
            <w:pPr>
              <w:spacing w:after="40"/>
            </w:pPr>
            <w:r>
              <w:rPr>
                <w:sz w:val="17"/>
              </w:rPr>
            </w:r>
            <w:r>
              <w:rPr>
                <w:sz w:val="17"/>
              </w:rPr>
              <w:t>Archival copy held only by legal; delete residuals carve-out; Clean Team materials destroyed with certification</w:t>
            </w:r>
          </w:p>
        </w:tc>
      </w:tr>
      <w:tr>
        <w:tc>
          <w:tcPr>
            <w:tcW w:type="dxa" w:w="432"/>
          </w:tcPr>
          <w:p>
            <w:pPr>
              <w:spacing w:after="40"/>
            </w:pPr>
            <w:r>
              <w:rPr>
                <w:sz w:val="17"/>
              </w:rPr>
            </w:r>
            <w:r>
              <w:rPr>
                <w:sz w:val="17"/>
              </w:rPr>
              <w:t>16</w:t>
            </w:r>
          </w:p>
        </w:tc>
        <w:tc>
          <w:tcPr>
            <w:tcW w:type="dxa" w:w="1872"/>
          </w:tcPr>
          <w:p>
            <w:pPr>
              <w:spacing w:after="40"/>
            </w:pPr>
            <w:r>
              <w:rPr>
                <w:sz w:val="17"/>
              </w:rPr>
            </w:r>
            <w:r>
              <w:rPr>
                <w:sz w:val="17"/>
              </w:rPr>
              <w:t>§ 4.3 Information Access Log</w:t>
            </w:r>
          </w:p>
        </w:tc>
        <w:tc>
          <w:tcPr>
            <w:tcW w:type="dxa" w:w="3024"/>
          </w:tcPr>
          <w:p>
            <w:pPr>
              <w:spacing w:after="40"/>
            </w:pPr>
            <w:r>
              <w:rPr>
                <w:sz w:val="17"/>
              </w:rPr>
            </w:r>
            <w:r>
              <w:rPr>
                <w:sz w:val="17"/>
              </w:rPr>
              <w:t>Positive provision but not linked to tiers/clean team</w:t>
            </w:r>
          </w:p>
        </w:tc>
        <w:tc>
          <w:tcPr>
            <w:tcW w:type="dxa" w:w="1080"/>
          </w:tcPr>
          <w:p>
            <w:pPr>
              <w:spacing w:after="40"/>
            </w:pPr>
            <w:r>
              <w:rPr>
                <w:sz w:val="17"/>
              </w:rPr>
            </w:r>
            <w:r>
              <w:rPr>
                <w:sz w:val="17"/>
              </w:rPr>
              <w:t>Low (retain)</w:t>
            </w:r>
          </w:p>
        </w:tc>
        <w:tc>
          <w:tcPr>
            <w:tcW w:type="dxa" w:w="2952"/>
          </w:tcPr>
          <w:p>
            <w:pPr>
              <w:spacing w:after="40"/>
            </w:pPr>
            <w:r>
              <w:rPr>
                <w:sz w:val="17"/>
              </w:rPr>
            </w:r>
            <w:r>
              <w:rPr>
                <w:sz w:val="17"/>
              </w:rPr>
              <w:t>Retain and expand to track CSI and Clean Team access</w:t>
            </w:r>
          </w:p>
        </w:tc>
      </w:tr>
      <w:tr>
        <w:tc>
          <w:tcPr>
            <w:tcW w:type="dxa" w:w="432"/>
          </w:tcPr>
          <w:p>
            <w:pPr>
              <w:spacing w:after="40"/>
            </w:pPr>
            <w:r>
              <w:rPr>
                <w:sz w:val="17"/>
              </w:rPr>
            </w:r>
            <w:r>
              <w:rPr>
                <w:sz w:val="17"/>
              </w:rPr>
              <w:t>17</w:t>
            </w:r>
          </w:p>
        </w:tc>
        <w:tc>
          <w:tcPr>
            <w:tcW w:type="dxa" w:w="1872"/>
          </w:tcPr>
          <w:p>
            <w:pPr>
              <w:spacing w:after="40"/>
            </w:pPr>
            <w:r>
              <w:rPr>
                <w:sz w:val="17"/>
              </w:rPr>
            </w:r>
            <w:r>
              <w:rPr>
                <w:sz w:val="17"/>
              </w:rPr>
              <w:t>§ 2.3 Derivative Materials</w:t>
            </w:r>
          </w:p>
        </w:tc>
        <w:tc>
          <w:tcPr>
            <w:tcW w:type="dxa" w:w="3024"/>
          </w:tcPr>
          <w:p>
            <w:pPr>
              <w:spacing w:after="40"/>
            </w:pPr>
            <w:r>
              <w:rPr>
                <w:sz w:val="17"/>
              </w:rPr>
            </w:r>
            <w:r>
              <w:rPr>
                <w:sz w:val="17"/>
              </w:rPr>
              <w:t>Appropriate, but needs a mechanism for clean-team outputs</w:t>
            </w:r>
          </w:p>
        </w:tc>
        <w:tc>
          <w:tcPr>
            <w:tcW w:type="dxa" w:w="1080"/>
            <w:shd w:val="clear" w:color="auto" w:fill="D9EAD3"/>
          </w:tcPr>
          <w:p>
            <w:pPr>
              <w:spacing w:after="40"/>
            </w:pPr>
            <w:r>
              <w:rPr>
                <w:sz w:val="17"/>
              </w:rPr>
            </w:r>
            <w:r>
              <w:rPr>
                <w:sz w:val="17"/>
              </w:rPr>
              <w:t>Low</w:t>
            </w:r>
          </w:p>
        </w:tc>
        <w:tc>
          <w:tcPr>
            <w:tcW w:type="dxa" w:w="2952"/>
          </w:tcPr>
          <w:p>
            <w:pPr>
              <w:spacing w:after="40"/>
            </w:pPr>
            <w:r>
              <w:rPr>
                <w:sz w:val="17"/>
              </w:rPr>
            </w:r>
            <w:r>
              <w:rPr>
                <w:sz w:val="17"/>
              </w:rPr>
              <w:t>Permit sanitized, counsel-approved aggregated reports to be shared beyond Clean Team</w:t>
            </w:r>
          </w:p>
        </w:tc>
      </w:tr>
      <w:tr>
        <w:tc>
          <w:tcPr>
            <w:tcW w:type="dxa" w:w="432"/>
          </w:tcPr>
          <w:p>
            <w:pPr>
              <w:spacing w:after="40"/>
            </w:pPr>
            <w:r>
              <w:rPr>
                <w:sz w:val="17"/>
              </w:rPr>
            </w:r>
            <w:r>
              <w:rPr>
                <w:sz w:val="17"/>
              </w:rPr>
              <w:t>18</w:t>
            </w:r>
          </w:p>
        </w:tc>
        <w:tc>
          <w:tcPr>
            <w:tcW w:type="dxa" w:w="1872"/>
          </w:tcPr>
          <w:p>
            <w:pPr>
              <w:spacing w:after="40"/>
            </w:pPr>
            <w:r>
              <w:rPr>
                <w:sz w:val="17"/>
              </w:rPr>
            </w:r>
            <w:r>
              <w:rPr>
                <w:sz w:val="17"/>
              </w:rPr>
              <w:t>§ 7.2 Standstill</w:t>
            </w:r>
          </w:p>
        </w:tc>
        <w:tc>
          <w:tcPr>
            <w:tcW w:type="dxa" w:w="3024"/>
          </w:tcPr>
          <w:p>
            <w:pPr>
              <w:spacing w:after="40"/>
            </w:pPr>
            <w:r>
              <w:rPr>
                <w:sz w:val="17"/>
              </w:rPr>
            </w:r>
            <w:r>
              <w:rPr>
                <w:sz w:val="17"/>
              </w:rPr>
              <w:t>Limited antitrust risk; “assets” language could capture ordinary-course purchases; 24 months post-term</w:t>
            </w:r>
          </w:p>
        </w:tc>
        <w:tc>
          <w:tcPr>
            <w:tcW w:type="dxa" w:w="1080"/>
            <w:shd w:val="clear" w:color="auto" w:fill="D9EAD3"/>
          </w:tcPr>
          <w:p>
            <w:pPr>
              <w:spacing w:after="40"/>
            </w:pPr>
            <w:r>
              <w:rPr>
                <w:sz w:val="17"/>
              </w:rPr>
            </w:r>
            <w:r>
              <w:rPr>
                <w:sz w:val="17"/>
              </w:rPr>
              <w:t>Low</w:t>
            </w:r>
          </w:p>
        </w:tc>
        <w:tc>
          <w:tcPr>
            <w:tcW w:type="dxa" w:w="2952"/>
          </w:tcPr>
          <w:p>
            <w:pPr>
              <w:spacing w:after="40"/>
            </w:pPr>
            <w:r>
              <w:rPr>
                <w:sz w:val="17"/>
              </w:rPr>
            </w:r>
            <w:r>
              <w:rPr>
                <w:sz w:val="17"/>
              </w:rPr>
              <w:t>Clarify ordinary-course carve-out; shorten; standard fall-away</w:t>
            </w:r>
          </w:p>
        </w:tc>
      </w:tr>
      <w:tr>
        <w:tc>
          <w:tcPr>
            <w:tcW w:type="dxa" w:w="432"/>
          </w:tcPr>
          <w:p>
            <w:pPr>
              <w:spacing w:after="40"/>
            </w:pPr>
            <w:r>
              <w:rPr>
                <w:sz w:val="17"/>
              </w:rPr>
            </w:r>
            <w:r>
              <w:rPr>
                <w:sz w:val="17"/>
              </w:rPr>
              <w:t>19</w:t>
            </w:r>
          </w:p>
        </w:tc>
        <w:tc>
          <w:tcPr>
            <w:tcW w:type="dxa" w:w="1872"/>
          </w:tcPr>
          <w:p>
            <w:pPr>
              <w:spacing w:after="40"/>
            </w:pPr>
            <w:r>
              <w:rPr>
                <w:sz w:val="17"/>
              </w:rPr>
            </w:r>
            <w:r>
              <w:rPr>
                <w:sz w:val="17"/>
              </w:rPr>
              <w:t>§§ 9.1, 9.2 Law / Arbitration</w:t>
            </w:r>
          </w:p>
        </w:tc>
        <w:tc>
          <w:tcPr>
            <w:tcW w:type="dxa" w:w="3024"/>
          </w:tcPr>
          <w:p>
            <w:pPr>
              <w:spacing w:after="40"/>
            </w:pPr>
            <w:r>
              <w:rPr>
                <w:sz w:val="17"/>
              </w:rPr>
            </w:r>
            <w:r>
              <w:rPr>
                <w:sz w:val="17"/>
              </w:rPr>
              <w:t>Ohio law; National Arbitration Forum; court access for injunctions unclear</w:t>
            </w:r>
          </w:p>
        </w:tc>
        <w:tc>
          <w:tcPr>
            <w:tcW w:type="dxa" w:w="1080"/>
            <w:shd w:val="clear" w:color="auto" w:fill="D9EAD3"/>
          </w:tcPr>
          <w:p>
            <w:pPr>
              <w:spacing w:after="40"/>
            </w:pPr>
            <w:r>
              <w:rPr>
                <w:sz w:val="17"/>
              </w:rPr>
            </w:r>
            <w:r>
              <w:rPr>
                <w:sz w:val="17"/>
              </w:rPr>
              <w:t>Low</w:t>
            </w:r>
          </w:p>
        </w:tc>
        <w:tc>
          <w:tcPr>
            <w:tcW w:type="dxa" w:w="2952"/>
          </w:tcPr>
          <w:p>
            <w:pPr>
              <w:spacing w:after="40"/>
            </w:pPr>
            <w:r>
              <w:rPr>
                <w:sz w:val="17"/>
              </w:rPr>
            </w:r>
            <w:r>
              <w:rPr>
                <w:sz w:val="17"/>
              </w:rPr>
              <w:t>Confirm NAF availability or use AAA/JAMS; preserve court access for interim relief; consider neutral law</w:t>
            </w:r>
          </w:p>
        </w:tc>
      </w:tr>
      <w:tr>
        <w:tc>
          <w:tcPr>
            <w:tcW w:type="dxa" w:w="432"/>
          </w:tcPr>
          <w:p>
            <w:pPr>
              <w:spacing w:after="40"/>
            </w:pPr>
            <w:r>
              <w:rPr>
                <w:sz w:val="17"/>
              </w:rPr>
            </w:r>
            <w:r>
              <w:rPr>
                <w:sz w:val="17"/>
              </w:rPr>
              <w:t>20</w:t>
            </w:r>
          </w:p>
        </w:tc>
        <w:tc>
          <w:tcPr>
            <w:tcW w:type="dxa" w:w="1872"/>
          </w:tcPr>
          <w:p>
            <w:pPr>
              <w:spacing w:after="40"/>
            </w:pPr>
            <w:r>
              <w:rPr>
                <w:sz w:val="17"/>
              </w:rPr>
            </w:r>
            <w:r>
              <w:rPr>
                <w:sz w:val="17"/>
              </w:rPr>
              <w:t>§ 12.1 Entire Agreement</w:t>
            </w:r>
          </w:p>
        </w:tc>
        <w:tc>
          <w:tcPr>
            <w:tcW w:type="dxa" w:w="3024"/>
          </w:tcPr>
          <w:p>
            <w:pPr>
              <w:spacing w:after="40"/>
            </w:pPr>
            <w:r>
              <w:rPr>
                <w:sz w:val="17"/>
              </w:rPr>
            </w:r>
            <w:r>
              <w:rPr>
                <w:sz w:val="17"/>
              </w:rPr>
              <w:t>Could supersede Clean Team Agreement/Annex if separately papered</w:t>
            </w:r>
          </w:p>
        </w:tc>
        <w:tc>
          <w:tcPr>
            <w:tcW w:type="dxa" w:w="1080"/>
            <w:shd w:val="clear" w:color="auto" w:fill="D9EAD3"/>
          </w:tcPr>
          <w:p>
            <w:pPr>
              <w:spacing w:after="40"/>
            </w:pPr>
            <w:r>
              <w:rPr>
                <w:sz w:val="17"/>
              </w:rPr>
            </w:r>
            <w:r>
              <w:rPr>
                <w:sz w:val="17"/>
              </w:rPr>
              <w:t>Low</w:t>
            </w:r>
          </w:p>
        </w:tc>
        <w:tc>
          <w:tcPr>
            <w:tcW w:type="dxa" w:w="2952"/>
          </w:tcPr>
          <w:p>
            <w:pPr>
              <w:spacing w:after="40"/>
            </w:pPr>
            <w:r>
              <w:rPr>
                <w:sz w:val="17"/>
              </w:rPr>
            </w:r>
            <w:r>
              <w:rPr>
                <w:sz w:val="17"/>
              </w:rPr>
              <w:t>Incorporate Clean Team Agreement and Annex expressly; precedence clause</w:t>
            </w:r>
          </w:p>
        </w:tc>
      </w:tr>
    </w:tbl>
    <w:p/>
    <w:p>
      <w:pPr>
        <w:pStyle w:val="Heading2"/>
      </w:pPr>
      <w:r>
        <w:t>B. Detailed discussion</w:t>
      </w:r>
    </w:p>
    <w:p>
      <w:pPr>
        <w:pStyle w:val="Heading3"/>
      </w:pPr>
      <w:r>
        <w:t>Issue 1 — § 6.1 Mandatory Initial Data Exchange (Critical)</w:t>
      </w:r>
    </w:p>
    <w:p>
      <w:pPr>
        <w:jc w:val="both"/>
      </w:pPr>
      <w:r>
        <w:rPr>
          <w:b/>
        </w:rPr>
        <w:t>What it says.</w:t>
      </w:r>
      <w:r>
        <w:t xml:space="preserve"> Within 30 days of the Effective Date each party must deliver: (a) three years of audited financials; (b) current product-line revenue, cost and margin data; (c) customer lists with annualized revenue by customer; (d) production capacity and utilization by facility; (e) current pricing schedules and standard discount matrices; and (f) five-year strategic plans including planned capacity expansions and new product launches — and must use commercially reasonable efforts to ensure accuracy and completeness.</w:t>
      </w:r>
    </w:p>
    <w:p>
      <w:pPr>
        <w:jc w:val="both"/>
      </w:pPr>
      <w:r>
        <w:rPr>
          <w:b/>
        </w:rPr>
        <w:t>Why it is a problem.</w:t>
      </w:r>
      <w:r>
        <w:t xml:space="preserve"> Items (b) through (f) are, almost verbatim, the categories the Market Overview identifies as the most competitively sensitive in this industry (§ 4.2: discount and rebate matrices are “among the most closely guarded competitive secrets”; § 7, rec. 3: current pricing, customer-specific data, discount structures, capacity utilization and forward-looking strategy “should not be shared beyond what is demonstrably required”). They relate to the parties’ existing virgin carbon fiber businesses, which by design will remain independent and competing (Team Memo § I). The JV is a greenfield rCF business in which neither party has a product, customers or prices. There is no evident need for either party to see the other’s current customer-by-customer revenue, discount matrices or plant utilization in order to evaluate an rCF JV; the agencies would be expected to ask exactly that question. The </w:t>
      </w:r>
      <w:r>
        <w:rPr>
          <w:i/>
        </w:rPr>
        <w:t>mandatory</w:t>
      </w:r>
      <w:r>
        <w:t xml:space="preserve"> nature of the obligation is itself aggravating: it converts the exchange from an evaluation-driven, need-based process into an affirmative contractual commitment by two leading competitors to swap pricing and output data, and it removes Pinnacle’s ability to decline on antitrust grounds. Timing (within 30 days) also coincides with the Northwind award (Issue 7).</w:t>
      </w:r>
    </w:p>
    <w:p>
      <w:pPr>
        <w:jc w:val="both"/>
      </w:pPr>
      <w:r>
        <w:rPr>
          <w:b/>
        </w:rPr>
        <w:t>Note on Pinnacle’s own requests.</w:t>
      </w:r>
      <w:r>
        <w:t xml:space="preserve"> The Team Memo (§§ IV–V) lists essentially the same categories as information Pinnacle intends to request and to provide, and directs the team to begin assembling Pinnacle’s current pricing schedules and customer lists for disclosure. The § 6.1 list appears to mirror that list. Pinnacle should recalibrate its own requests at the same time it pushes back on § 6.1, so that its negotiating position is consistent (see Section IX).</w:t>
      </w:r>
    </w:p>
    <w:p>
      <w:r>
        <w:rPr>
          <w:b/>
        </w:rPr>
        <w:t>Recommended revision.</w:t>
      </w:r>
      <w:r>
        <w:t xml:space="preserve"> Delete § 6.1 and replace with:</w:t>
      </w:r>
    </w:p>
    <w:p>
      <w:pPr>
        <w:ind w:left="720" w:right="576"/>
      </w:pPr>
      <w:r>
        <w:rPr>
          <w:sz w:val="21"/>
        </w:rPr>
        <w:t xml:space="preserve">“6.1 </w:t>
      </w:r>
      <w:r>
        <w:rPr>
          <w:i/>
          <w:sz w:val="21"/>
        </w:rPr>
        <w:t>Information Requests.</w:t>
      </w:r>
      <w:r>
        <w:rPr>
          <w:sz w:val="21"/>
        </w:rPr>
        <w:t xml:space="preserve"> Any exchange of information under this Agreement shall be voluntary and limited to information that is reasonably necessary for the Permitted Purpose. Requests shall be made in writing through the Parties’ designated legal coordinators and shall be reviewed by each Party’s antitrust counsel before any information is provided. Nothing in this Agreement obligates either Party to provide any particular information, and either Party may decline to provide, or may provide only in redacted, aggregated, historical or summary form, any information that it or its counsel determines in good faith to be Competitively Sensitive Information or otherwise inappropriate to share between competitors. All Competitively Sensitive Information shall be provided only in accordance with the Clean Team Agreement and the Antitrust Compliance Annex attached as Exhibits A and B.”</w:t>
      </w:r>
    </w:p>
    <w:p>
      <w:pPr>
        <w:jc w:val="both"/>
      </w:pPr>
      <w:r>
        <w:t>Pinnacle should propose a staged request list focused on rCF: Phase 1 (non-sensitive) — rCF technology, pilot programs and IP relevant to rCF; feedstock sources and recycling processes; JV capital requirements, site options and governance; audited financial statements (to assess financial capability as a JV partner). Phase 2 (Clean Team only) — cost inputs relevant to rCF modeling, presented as ranges or indexed values; anticipated contributions of personnel or assets to the JV. Customer-specific pricing, discount and rebate matrices, customer lists with revenue by customer, open bid information and existing-product strategic plans should be excluded entirely; if a demonstrated need emerges (e.g., to model JV demand), it should be met by an independent consultant producing aggregated, anonymized outputs, or by data at least several months old and aggregated across customers.</w:t>
      </w:r>
    </w:p>
    <w:p>
      <w:pPr>
        <w:pStyle w:val="Heading3"/>
      </w:pPr>
      <w:r>
        <w:t>Issue 2 — § 6.2 Quarterly Updates (Critical)</w:t>
      </w:r>
    </w:p>
    <w:p>
      <w:pPr>
        <w:jc w:val="both"/>
      </w:pPr>
      <w:r>
        <w:t xml:space="preserve">Requiring both parties to refresh every § 6.1 category within 15 business days of each fiscal quarter-end for the 18-month (and auto-renewing) Evaluation Period creates a standing, periodic exchange of current price, cost, customer and capacity data between the #1 and #3 producers. Regular, current, disaggregated exchanges are the pattern condemned in </w:t>
      </w:r>
      <w:r>
        <w:rPr>
          <w:i/>
        </w:rPr>
        <w:t>Container Corp.</w:t>
      </w:r>
      <w:r>
        <w:t xml:space="preserve"> and the core concern of recent DOJ information-exchange enforcement. No evaluation of a JV targeted for signing by June 30, 2025 requires quarterly refreshes of the parents’ existing-business pricing. </w:t>
      </w:r>
      <w:r>
        <w:rPr>
          <w:b/>
        </w:rPr>
        <w:t>Recommendation:</w:t>
      </w:r>
      <w:r>
        <w:t xml:space="preserve"> delete § 6.2 in its entirety. Any updates should be requested case by case under revised § 6.1.</w:t>
      </w:r>
    </w:p>
    <w:p>
      <w:pPr>
        <w:pStyle w:val="Heading3"/>
      </w:pPr>
      <w:r>
        <w:t>Issue 3 — §§ 1.6 and 4.1 Representatives; Absence of Clean Team (Critical)</w:t>
      </w:r>
    </w:p>
    <w:p>
      <w:pPr>
        <w:jc w:val="both"/>
      </w:pPr>
      <w:r>
        <w:t>“Representatives” includes all directors, officers, employees, agents, advisors, consultants and affiliates, and § 4.1 allows disclosure to any of them, with each party “solely responsible for determining which of its Representatives shall receive access to particular categories of Confidential Information.” There is no need-to-know requirement, no clean team, no restriction on disclosure to sales and pricing personnel, and no requirement that Representatives sign anything. As you correctly identified, Mr. Hecht (VP Sales) and Ms. Vasquez (VP Strategic Pricing), both involved day-to-day in competitive pricing and customer negotiations, would receive Lakeshore’s pricing, customer and cost data and then return to Pinnacle’s pricing decisions — and the same would be true of Lakeshore’s commercial staff with Pinnacle’s data. Beyond the § 1 risk, this exposes Pinnacle to misappropriation claims and taints its future pricing decisions with an inference of reliance on Lakeshore data.</w:t>
      </w:r>
    </w:p>
    <w:p>
      <w:r>
        <w:rPr>
          <w:b/>
        </w:rPr>
        <w:t>Recommended revision.</w:t>
      </w:r>
      <w:r>
        <w:t xml:space="preserve"> Revise § 1.6 to define Representatives as those “who have a need to know such information for the Permitted Purpose,” and replace § 4.1 with:</w:t>
      </w:r>
    </w:p>
    <w:p>
      <w:pPr>
        <w:ind w:left="720" w:right="576"/>
      </w:pPr>
      <w:r>
        <w:rPr>
          <w:sz w:val="21"/>
        </w:rPr>
        <w:t xml:space="preserve">“4.1 </w:t>
      </w:r>
      <w:r>
        <w:rPr>
          <w:i/>
          <w:sz w:val="21"/>
        </w:rPr>
        <w:t>Disclosure to Representatives.</w:t>
      </w:r>
      <w:r>
        <w:rPr>
          <w:sz w:val="21"/>
        </w:rPr>
        <w:t xml:space="preserve"> The Receiving Party may disclose Confidential Information only to those of its Representatives who need to know such information for the Permitted Purpose, who have been informed of its confidential nature and who are bound by obligations of confidentiality no less protective than those herein. Notwithstanding the foregoing, Competitively Sensitive Information (as defined in Section 2.4) may be disclosed only to (i) the Receiving Party’s outside legal counsel and outside consultants and economic advisers engaged for the Permitted Purpose and (ii) members of the Receiving Party’s Clean Team, in each case in accordance with the Clean Team Agreement attached as Exhibit A. No Competitively Sensitive Information shall be disclosed to any individual with direct responsibility for pricing, sales, marketing, bidding, customer negotiations or capacity planning for products that compete with products of the Disclosing Party.”</w:t>
      </w:r>
    </w:p>
    <w:p>
      <w:pPr>
        <w:jc w:val="both"/>
      </w:pPr>
      <w:r>
        <w:t>Add new § 2.4 defining “Competitively Sensitive Information” (see Appendix B) and require written acknowledgments from Clean Team members.</w:t>
      </w:r>
    </w:p>
    <w:p>
      <w:pPr>
        <w:pStyle w:val="Heading3"/>
      </w:pPr>
      <w:r>
        <w:t>Issue 4 — §§ 1.7, 5.3 and 8.3(ii) Residuals Clause (Critical)</w:t>
      </w:r>
    </w:p>
    <w:p>
      <w:pPr>
        <w:jc w:val="both"/>
      </w:pPr>
      <w:r>
        <w:t xml:space="preserve">Section 5.3 provides that nothing restricts either party from using “in its business activities” any Residual Information retained in the unaided memories of Representatives, and § 8.3(ii) exempts residuals from return or destruction. Combined with § 4.1’s unrestricted access, this would permit pricing and sales personnel to use whatever they remember of a competitor’s pricing, discount structures, customer volumes and strategic plans in competing against that competitor. Residuals clauses are sometimes accepted in technology licensing for general skills and know-how; between horizontal competitors exchanging commercial data, they function as a license to use the competitor’s information competitively and would be strong evidence that the exchange was not confined to the transaction. The clause also substantially undercuts the confidentiality protection for Pinnacle’s own data in the hands of a larger rival and would undermine any trade secret claim. The IP carve-out in the last sentence of § 5.3 is not a meaningful limitation. </w:t>
      </w:r>
      <w:r>
        <w:rPr>
          <w:b/>
        </w:rPr>
        <w:t>Recommendation:</w:t>
      </w:r>
      <w:r>
        <w:t xml:space="preserve"> delete § 1.7, § 5.3 and clause (ii) of § 8.3 in their entirety. Do not accept a narrowed version; at most, a statement that general skills and experience of individuals not derived from Competitively Sensitive Information are unaffected.</w:t>
      </w:r>
    </w:p>
    <w:p>
      <w:pPr>
        <w:pStyle w:val="Heading3"/>
      </w:pPr>
      <w:r>
        <w:t>Issue 5 — § 9.3 Mutual Release and Limitation on Claims (Critical)</w:t>
      </w:r>
    </w:p>
    <w:p>
      <w:pPr>
        <w:jc w:val="both"/>
      </w:pPr>
      <w:r>
        <w:t>Each party agrees not to assert any claim “arising from or related to the exchange of Confidential Information hereunder, including … any claim based on antitrust or competition law, unfair competition, tortious interference, or misappropriation,” other than for willful and material breach of §§ 2–6. This is problematic on four levels:</w:t>
      </w:r>
    </w:p>
    <w:p>
      <w:pPr>
        <w:pStyle w:val="ListBullet"/>
      </w:pPr>
      <w:r>
        <w:rPr>
          <w:b/>
        </w:rPr>
        <w:t>Unenforceability.</w:t>
      </w:r>
      <w:r>
        <w:t xml:space="preserve"> A prospective waiver of federal antitrust remedies is very likely void as against public policy. </w:t>
      </w:r>
      <w:r>
        <w:rPr>
          <w:i/>
        </w:rPr>
        <w:t>Mitsubishi Motors Corp. v. Soler Chrysler-Plymouth, Inc.</w:t>
      </w:r>
      <w:r>
        <w:t>, 473 U.S. 614, 637 n.19 (1985) (Court would have “little hesitation in condemning” an agreement operating as a prospective waiver of the right to pursue antitrust remedies). Including an unenforceable clause provides no protection.</w:t>
      </w:r>
    </w:p>
    <w:p>
      <w:pPr>
        <w:pStyle w:val="ListBullet"/>
      </w:pPr>
      <w:r>
        <w:rPr>
          <w:b/>
        </w:rPr>
        <w:t>It does not reach the parties who matter.</w:t>
      </w:r>
      <w:r>
        <w:t xml:space="preserve"> The DOJ, FTC, state attorneys general and customers (e.g., automotive OEMs or Northwind, who could seek treble damages under Clayton Act § 4) are not bound.</w:t>
      </w:r>
    </w:p>
    <w:p>
      <w:pPr>
        <w:pStyle w:val="ListBullet"/>
      </w:pPr>
      <w:r>
        <w:rPr>
          <w:b/>
        </w:rPr>
        <w:t>It harms Pinnacle.</w:t>
      </w:r>
      <w:r>
        <w:t xml:space="preserve"> As the smaller party disclosing to the market leader, Pinnacle would waive its own antitrust, unfair competition and misappropriation claims if Lakeshore misuses Pinnacle data (e.g., to target Pinnacle accounts), leaving only a narrow “willful and material” breach claim.</w:t>
      </w:r>
    </w:p>
    <w:p>
      <w:pPr>
        <w:pStyle w:val="ListBullet"/>
      </w:pPr>
      <w:r>
        <w:rPr>
          <w:b/>
        </w:rPr>
        <w:t>It is a damaging document.</w:t>
      </w:r>
      <w:r>
        <w:t xml:space="preserve"> A clause in which competitors mutually release antitrust claims arising from their information exchange would be read by an investigator or jury as evidence that the parties anticipated the exchange could be anticompetitive. It would be among the first provisions highlighted in any investigation.</w:t>
      </w:r>
    </w:p>
    <w:p>
      <w:pPr>
        <w:jc w:val="both"/>
      </w:pPr>
      <w:r>
        <w:rPr>
          <w:b/>
        </w:rPr>
        <w:t>Recommendation:</w:t>
      </w:r>
      <w:r>
        <w:t xml:space="preserve"> delete § 9.3 in its entirety. Replace, if anything, with the Antitrust Compliance clause in Issue 14 and clarify in § 11.2 that the limitation on reliance does not limit liability for breach of this Agreement or misuse of Confidential Information.</w:t>
      </w:r>
    </w:p>
    <w:p>
      <w:pPr>
        <w:pStyle w:val="Heading3"/>
      </w:pPr>
      <w:r>
        <w:t>Issue 6 — § 6.3 Monthly Executive Meetings (Critical)</w:t>
      </w:r>
    </w:p>
    <w:p>
      <w:pPr>
        <w:jc w:val="both"/>
      </w:pPr>
      <w:r>
        <w:t xml:space="preserve">The parties must designate senior executives to meet “no less frequently than monthly” to discuss the evaluation “and matters of mutual interest,” and either party may add any Representatives. Recurring, unstructured meetings among competing senior executives are a well-recognized antitrust hazard: they create opportunity and, in hindsight, inference of agreement. “Matters of mutual interest” between the #1 and #3 competitors has no limiting principle and could readily be characterized as cover for discussing pricing, customers, capacity or the Northwind bid. </w:t>
      </w:r>
      <w:r>
        <w:rPr>
          <w:b/>
        </w:rPr>
        <w:t>Recommendation:</w:t>
      </w:r>
      <w:r>
        <w:t xml:space="preserve"> replace § 6.3 with:</w:t>
      </w:r>
    </w:p>
    <w:p>
      <w:pPr>
        <w:ind w:left="720" w:right="576"/>
      </w:pPr>
      <w:r>
        <w:rPr>
          <w:sz w:val="21"/>
        </w:rPr>
        <w:t xml:space="preserve">“6.3 </w:t>
      </w:r>
      <w:r>
        <w:rPr>
          <w:i/>
          <w:sz w:val="21"/>
        </w:rPr>
        <w:t>Meetings.</w:t>
      </w:r>
      <w:r>
        <w:rPr>
          <w:sz w:val="21"/>
        </w:rPr>
        <w:t xml:space="preserve"> Meetings between the Parties’ Representatives concerning the Transaction shall be held as reasonably required for the Permitted Purpose and shall be limited to matters directly related to the evaluation and negotiation of the Transaction. Each meeting shall proceed under a written agenda circulated in advance and reviewed by each Party’s legal counsel; legal counsel for each Party shall be entitled to attend, and counsel shall attend any meeting at which Competitively Sensitive Information may be discussed. Minutes shall be prepared and retained. Representatives shall not discuss current or future prices, pricing strategies, discounts, bids, terms of sale, customers or suppliers (other than in respect of the JV business as permitted by the Antitrust Compliance Annex), capacity, output, wages or other terms of employment, or any other competitively sensitive matter relating to the Parties’ respective businesses outside the Transaction. Any participant may terminate a discussion that he or she believes to be inappropriate, and such termination shall be recorded in the minutes.”</w:t>
      </w:r>
    </w:p>
    <w:p>
      <w:pPr>
        <w:pStyle w:val="Heading3"/>
      </w:pPr>
      <w:r>
        <w:t>Issue 7 — The Northwind Aerospace Bid (Critical; not addressed by the draft)</w:t>
      </w:r>
    </w:p>
    <w:p>
      <w:pPr>
        <w:jc w:val="both"/>
      </w:pPr>
      <w:r>
        <w:t>Pinnacle and Lakeshore are rival bidders on a three-year Northwind supply contract (~$22 million/year), with award expected in February 2025. If the NDA is signed January 31, § 6.1 would require the delivery of current pricing schedules, discount matrices and customer revenue data by about March 2, 2025 — during or immediately around the award decision. Lakeshore’s receipt of Pinnacle’s current aerospace pricing (or vice versa) while the bid is open, or while best-and-final or post-award negotiations remain possible, could be characterized as facilitating bid rigging (a per se, criminal offense) and would at minimum create a damaging evidentiary record if the losing bidder or Northwind later questioned the outcome. Aerospace pricing has no relevance to an automotive rCF JV.</w:t>
      </w:r>
    </w:p>
    <w:p>
      <w:r>
        <w:rPr>
          <w:b/>
        </w:rPr>
        <w:t>Recommendations:</w:t>
      </w:r>
    </w:p>
    <w:p>
      <w:pPr>
        <w:pStyle w:val="ListBullet"/>
      </w:pPr>
      <w:r>
        <w:t>Add an express blackout: no Party shall request, disclose or discuss any information concerning the Northwind procurement or any other pending or anticipated bid, tender or RFQ in which both Parties are or may be participants, at any time, including after award.</w:t>
      </w:r>
    </w:p>
    <w:p>
      <w:pPr>
        <w:pStyle w:val="ListBullet"/>
      </w:pPr>
      <w:r>
        <w:t>No Phase 2 (Clean Team) commercial or cost data should be exchanged before the Northwind award is announced and any best-and-final or negotiation round has concluded; Phase 1 technical rCF work can proceed.</w:t>
      </w:r>
    </w:p>
    <w:p>
      <w:pPr>
        <w:pStyle w:val="ListBullet"/>
      </w:pPr>
      <w:r>
        <w:t>Instruct the Pinnacle Northwind bid team (in writing) that it must not receive any Project Meridian information, and confirm that no Northwind bid team member is on the Clean Team.</w:t>
      </w:r>
    </w:p>
    <w:p>
      <w:pPr>
        <w:pStyle w:val="ListBullet"/>
      </w:pPr>
      <w:r>
        <w:t>Each party should confirm in writing (Annex) that its Northwind bid was and will be determined independently.</w:t>
      </w:r>
    </w:p>
    <w:p>
      <w:pPr>
        <w:pStyle w:val="ListBullet"/>
      </w:pPr>
      <w:r>
        <w:t>If Pinnacle learns of any communication between the parties concerning Northwind, it should contact us immediately.</w:t>
      </w:r>
    </w:p>
    <w:p>
      <w:pPr>
        <w:pStyle w:val="Heading3"/>
      </w:pPr>
      <w:r>
        <w:t>Issue 8 — §§ 1.8 and 3.1 Transaction / Permitted Purpose (High)</w:t>
      </w:r>
    </w:p>
    <w:p>
      <w:pPr>
        <w:jc w:val="both"/>
      </w:pPr>
      <w:r>
        <w:t>“Transaction” and “Permitted Purpose” cover “any joint venture, merger, acquisition, licensing arrangement, or other business combination,” and include “consummating” the Transaction and “integration planning activities.” As your email notes, this is an M&amp;A form. It is inconsistent with the Board-approved scope — a JV focused “exclusively” on rCF, with no consolidation of existing operations — and it broadens the legitimate need for information to whole-company merger diligence, which the parties would then use to justify existing-business data requests. “Consummating” and “integration planning” invite pre-closing implementation and coordination (gun-jumping). The definition is also duplicated (once in § 1.8 and again in § 3.1), which should be cleaned up.</w:t>
      </w:r>
    </w:p>
    <w:p>
      <w:r>
        <w:rPr>
          <w:b/>
        </w:rPr>
        <w:t>Recommended revision:</w:t>
      </w:r>
    </w:p>
    <w:p>
      <w:pPr>
        <w:ind w:left="720" w:right="576"/>
      </w:pPr>
      <w:r>
        <w:rPr>
          <w:sz w:val="21"/>
        </w:rPr>
        <w:t>“‘Transaction’ means a potential joint venture between the Parties limited to the research, development, manufacture and commercialization of recycled carbon fiber products for automotive lightweighting applications (the ‘JV Business’). ‘Permitted Purpose’ means the evaluation and negotiation of the Transaction and, to the extent permitted by the Clean Team Agreement and Antitrust Compliance Annex, planning for the formation and operation of the JV Business following execution of definitive agreements. The Permitted Purpose does not include the implementation of any aspect of the Transaction, or any coordination of the Parties’ respective businesses, prior to the consummation of the Transaction and receipt of any required regulatory clearances.”</w:t>
      </w:r>
    </w:p>
    <w:p>
      <w:pPr>
        <w:pStyle w:val="Heading3"/>
      </w:pPr>
      <w:r>
        <w:t>Issue 9 — § 2.1 Confidential Information Definition (High)</w:t>
      </w:r>
    </w:p>
    <w:p>
      <w:pPr>
        <w:jc w:val="both"/>
      </w:pPr>
      <w:r>
        <w:t xml:space="preserve">From a confidentiality standpoint a broad definition is protective, and Pinnacle should not want its own information left unprotected merely because it falls outside rCF. The antitrust risk is not that the definition protects too much, but that §§ 2.1, 6.1 and 4.1 together presuppose and authorize the exchange of all of it, without any differentiated handling. Items (c) pricing, (d) customer lists/contracts/pricing/volumes, (e) supplier and raw material costs, (f) production volumes, capacity utilization and plant-level costs, (g) product roadmaps, (h) compensation data and (i) sales volumes and market share are all competitively sensitive. </w:t>
      </w:r>
      <w:r>
        <w:rPr>
          <w:b/>
        </w:rPr>
        <w:t>Recommendation:</w:t>
      </w:r>
      <w:r>
        <w:t xml:space="preserve"> keep a broad definition of Confidential Information for protection purposes, but (i) add a defined subcategory of Competitively Sensitive Information (Appendix B, § 2.4) subject to clean team handling, (ii) require CSI to be labeled “CLEAN TEAM ONLY” or “OUTSIDE COUNSEL ONLY” (while preserving protection for unlabeled information), and (iii) add a statement that inclusion of a category in the definition does not imply that such information will be or should be exchanged. Also expressly cover information disclosed prior to the Effective Date in connection with Project Meridian, so any earlier executive-level discussions are protected.</w:t>
      </w:r>
    </w:p>
    <w:p>
      <w:pPr>
        <w:pStyle w:val="Heading3"/>
      </w:pPr>
      <w:r>
        <w:t>Issue 10 — § 2.1(h) Employee Compensation Data (High)</w:t>
      </w:r>
    </w:p>
    <w:p>
      <w:pPr>
        <w:jc w:val="both"/>
      </w:pPr>
      <w:r>
        <w:t xml:space="preserve">Pinnacle and Lakeshore compete for engineers, technicians and plant workers. The exchange of compensation and headcount data between competing employers carries wage-fixing risk that the agencies treat seriously (2025 Worker Guidelines; 2016 HR Guidance), and the Team Memo specifically contemplates exchanging “compensation benchmarking data for relevant technical and operational roles.” </w:t>
      </w:r>
      <w:r>
        <w:rPr>
          <w:b/>
        </w:rPr>
        <w:t>Recommendation:</w:t>
      </w:r>
      <w:r>
        <w:t xml:space="preserve"> no exchange of individual or role-level compensation data between the parties. If JV staffing economics require it, use an independent compensation consultant to prepare aggregated, anonymized JV staffing cost assumptions, or exchange only aggregated data for specific individuals proposed to be seconded to the JV, through the Clean Team.</w:t>
      </w:r>
    </w:p>
    <w:p>
      <w:pPr>
        <w:pStyle w:val="Heading3"/>
      </w:pPr>
      <w:r>
        <w:t>Issue 11 — § 8.1 Term and Automatic Renewal (High)</w:t>
      </w:r>
    </w:p>
    <w:p>
      <w:pPr>
        <w:jc w:val="both"/>
      </w:pPr>
      <w:r>
        <w:t xml:space="preserve">The 18-month Initial Term automatically renews for successive 12-month periods unless either party gives 90 days’ notice. Because the term drives the Evaluation Period, the § 6.2 quarterly exchanges, the § 6.3 meetings and the start of the 24-month non-solicit and standstill tails, auto-renewal could perpetuate a recurring competitor data exchange indefinitely if neither party remembers to give notice. Prolonged exchange untethered to a live deal is hard to justify. </w:t>
      </w:r>
      <w:r>
        <w:rPr>
          <w:b/>
        </w:rPr>
        <w:t>Recommendation:</w:t>
      </w:r>
      <w:r>
        <w:t xml:space="preserve"> fixed term of 12 months (comfortably covering the June 30, 2025 definitive agreement target), terminable by either party on written notice and terminating automatically on execution of definitive agreements (which will contain their own provisions) or termination of discussions; any extension only by written agreement. The five-year confidentiality survival in § 8.2 is appropriate and protective and may be retained; consider extending trade-secret protection for as long as the information remains a trade secret.</w:t>
      </w:r>
    </w:p>
    <w:p>
      <w:pPr>
        <w:pStyle w:val="Heading3"/>
      </w:pPr>
      <w:r>
        <w:t>Issue 12 — § 7.1 Employee Non-Solicitation (High)</w:t>
      </w:r>
    </w:p>
    <w:p>
      <w:pPr>
        <w:jc w:val="both"/>
      </w:pPr>
      <w:r>
        <w:t xml:space="preserve">Section 7.1 bars soliciting, recruiting, </w:t>
      </w:r>
      <w:r>
        <w:rPr>
          <w:b/>
        </w:rPr>
        <w:t>or hiring</w:t>
      </w:r>
      <w:r>
        <w:t xml:space="preserve"> any employee (or former employee within six months) who became known in connection with the Transaction, for the term (auto-renewing) plus 24 months. A non-solicit ancillary to a legitimate JV evaluation is defensible if reasonably necessary and narrowly tailored, but this one has features that increase the risk of it being characterized as a no-poach agreement: (i) the “hire” prohibition operates as a no-hire restraint even for employees who apply on their own; (ii) its duration is open-ended because it runs from an auto-renewing term; (iii) “became known … in connection with the Transaction” is loosely defined and could sweep in large numbers of employees; and (iv) it covers former employees. </w:t>
      </w:r>
      <w:r>
        <w:rPr>
          <w:b/>
        </w:rPr>
        <w:t>Recommendation:</w:t>
      </w:r>
    </w:p>
    <w:p>
      <w:pPr>
        <w:ind w:left="720" w:right="576"/>
      </w:pPr>
      <w:r>
        <w:rPr>
          <w:sz w:val="21"/>
        </w:rPr>
        <w:t>“7.1 For a period of twelve (12) months from the Effective Date, neither Party shall, directly or indirectly, solicit for employment any officer or employee of the other Party with whom it first had contact, or of whom it first became aware, through the evaluation of the Transaction; provided that this Section 7.1 shall not restrict (a) general solicitations (including through search firms) not specifically directed at such persons, or hiring persons who respond thereto, (b) soliciting or hiring any person who first contacts the soliciting Party on his or her own initiative, or (c) soliciting or hiring any person whose employment was terminated by the other Party.”</w:t>
      </w:r>
    </w:p>
    <w:p>
      <w:pPr>
        <w:jc w:val="both"/>
      </w:pPr>
      <w:r>
        <w:t>We also recommend confirming whether the parties have Canadian employees, given Canada’s criminal no-poach provision.</w:t>
      </w:r>
    </w:p>
    <w:p>
      <w:pPr>
        <w:pStyle w:val="Heading3"/>
      </w:pPr>
      <w:r>
        <w:t>Issue 13 — § 5.2 Exclusions; Absence of Compelled/Regulatory Disclosure Clause (Medium)</w:t>
      </w:r>
    </w:p>
    <w:p>
      <w:pPr>
        <w:jc w:val="both"/>
      </w:pPr>
      <w:r>
        <w:t xml:space="preserve">The exclusions omit two standard carve-outs that have particular antitrust importance between competitors: (i) information </w:t>
      </w:r>
      <w:r>
        <w:rPr>
          <w:b/>
        </w:rPr>
        <w:t>independently developed</w:t>
      </w:r>
      <w:r>
        <w:t xml:space="preserve"> without use of the other’s Confidential Information, and (ii) information </w:t>
      </w:r>
      <w:r>
        <w:rPr>
          <w:b/>
        </w:rPr>
        <w:t>received from a third party</w:t>
      </w:r>
      <w:r>
        <w:t xml:space="preserve"> without a duty of confidentiality. Without them, Pinnacle could face claims that its own independently developed pricing, product or rCF strategy was “derived from” Lakeshore information, which chills independent competition. The written-records requirement in § 5.2(b) should be relaxed to “as shown by competent evidence.” Separately, the NDA has no provision permitting disclosure required by law or requested by a governmental authority. Pinnacle must be free to respond to an HSR filing requirement, a Second Request, a civil investigative demand, a subpoena or an informal agency inquiry without breaching the NDA, and should not be required to give the other party advance notice of a confidential governmental antitrust inquiry where that is prohibited or inappropriate. See Appendix B, §§ 5.2 and 5.4.</w:t>
      </w:r>
    </w:p>
    <w:p>
      <w:pPr>
        <w:pStyle w:val="Heading3"/>
      </w:pPr>
      <w:r>
        <w:t>Issue 14 — §§ 12.9, 12.10 No Independence or Antitrust Compliance Clause (Medium)</w:t>
      </w:r>
    </w:p>
    <w:p>
      <w:pPr>
        <w:jc w:val="both"/>
      </w:pPr>
      <w:r>
        <w:t>The general “Compliance with Law” clause in § 12.10 is not sufficient. The NDA should affirmatively record that (i) the parties are and will remain independent competitors; (ii) nothing in the Agreement requires or permits any agreement on prices, output, customers, territories, bids, wages or other competitive matters; (iii) each party will continue to make its own competitive decisions independently; (iv) either party may decline to provide information on antitrust grounds; and (v) the Clean Team Agreement and Antitrust Compliance Annex control in case of conflict. This clause is useful both as a behavioral guide and as contemporaneous evidence of the parties’ intent. See Appendix B, § 12.11.</w:t>
      </w:r>
    </w:p>
    <w:p>
      <w:pPr>
        <w:pStyle w:val="Heading3"/>
      </w:pPr>
      <w:r>
        <w:t>Issue 15 — § 8.3 Return or Destruction (Medium)</w:t>
      </w:r>
    </w:p>
    <w:p>
      <w:pPr>
        <w:jc w:val="both"/>
      </w:pPr>
      <w:r>
        <w:t xml:space="preserve">Section 8.3 allows retention of one archival copy without specifying who holds it, and exempts Residual Information. </w:t>
      </w:r>
      <w:r>
        <w:rPr>
          <w:b/>
        </w:rPr>
        <w:t>Recommendation:</w:t>
      </w:r>
      <w:r>
        <w:t xml:space="preserve"> archival copies (and copies retained on automatic backup systems) to be held only by the legal department or outside counsel and accessible only for compliance and enforcement; delete clause (ii); require Clean Team materials and Derivative Materials containing CSI to be destroyed with written certification by a Clean Team member and counsel; confirm the obligation survives.</w:t>
      </w:r>
    </w:p>
    <w:p>
      <w:pPr>
        <w:pStyle w:val="Heading3"/>
      </w:pPr>
      <w:r>
        <w:t>Issues 16–20 — Lower-severity points</w:t>
      </w:r>
    </w:p>
    <w:p>
      <w:pPr>
        <w:pStyle w:val="ListBullet"/>
      </w:pPr>
      <w:r>
        <w:rPr>
          <w:b/>
        </w:rPr>
        <w:t>§ 4.3 Information Access Log (retain and strengthen).</w:t>
      </w:r>
      <w:r>
        <w:t xml:space="preserve"> This is a positive feature that supports compliance and should be retained. Expand it to record, for CSI, each Clean Team member granted access, the date and the materials accessed, and integrate it with the virtual data room’s access logs.</w:t>
      </w:r>
    </w:p>
    <w:p>
      <w:pPr>
        <w:pStyle w:val="ListBullet"/>
      </w:pPr>
      <w:r>
        <w:rPr>
          <w:b/>
        </w:rPr>
        <w:t>§ 2.3 Derivative Materials.</w:t>
      </w:r>
      <w:r>
        <w:t xml:space="preserve"> Appropriate as a protective matter. Add a mechanism under which Clean Team members and outside advisers may prepare summaries that aggregate or sanitize CSI and, once cleared by outside antitrust counsel for the producing party, share them with the broader evaluation team.</w:t>
      </w:r>
    </w:p>
    <w:p>
      <w:pPr>
        <w:pStyle w:val="ListBullet"/>
      </w:pPr>
      <w:r>
        <w:rPr>
          <w:b/>
        </w:rPr>
        <w:t>§ 7.2 Standstill.</w:t>
      </w:r>
      <w:r>
        <w:t xml:space="preserve"> Standstills raise limited antitrust risk. Clarify that clause (a) does not restrict ordinary-course purchases of products or assets; shorten the tail to 12 months; add a customary fall-away if a third party announces or makes an offer for a party; and confirm whether either party has registered securities (§ 13(d) references suggest a public-company form; Lakeshore is an LLC).</w:t>
      </w:r>
    </w:p>
    <w:p>
      <w:pPr>
        <w:pStyle w:val="ListBullet"/>
      </w:pPr>
      <w:r>
        <w:rPr>
          <w:b/>
        </w:rPr>
        <w:t>§§ 9.1, 9.2 Governing Law/Arbitration.</w:t>
      </w:r>
      <w:r>
        <w:t xml:space="preserve"> Not antitrust issues as such, but: the National Arbitration Forum withdrew from consumer arbitration in 2009 and its suitability as an administrator for a commercial dispute should be confirmed — we recommend AAA (Commercial Rules) or JAMS; preserve the right to seek interim injunctive relief in court (consistent with § 10.1); and consider Delaware law (both parties are Delaware entities) as a neutral alternative to Ohio, Lakeshore’s home state.</w:t>
      </w:r>
    </w:p>
    <w:p>
      <w:pPr>
        <w:pStyle w:val="ListBullet"/>
      </w:pPr>
      <w:r>
        <w:rPr>
          <w:b/>
        </w:rPr>
        <w:t>§ 12.1 Entire Agreement.</w:t>
      </w:r>
      <w:r>
        <w:t xml:space="preserve"> Ensure the Clean Team Agreement and Antitrust Compliance Annex are attached as exhibits, are expressly incorporated, prevail over any conflicting NDA provision, and survive termination.</w:t>
      </w:r>
    </w:p>
    <w:p>
      <w:pPr>
        <w:pStyle w:val="Heading1"/>
      </w:pPr>
      <w:r>
        <w:t>VI. Clean Team Protocol and Antitrust Compliance Annex — Recommendation</w:t>
      </w:r>
    </w:p>
    <w:p>
      <w:pPr>
        <w:jc w:val="both"/>
      </w:pPr>
      <w:r>
        <w:rPr>
          <w:b/>
        </w:rPr>
        <w:t>Recommendation: both, and as a condition of the NDA rather than a supplement.</w:t>
      </w:r>
      <w:r>
        <w:t xml:space="preserve"> Pinnacle should require (i) a Clean Team Agreement governing who may access Competitively Sensitive Information and how, and (ii) an Antitrust Compliance Annex governing the conduct of the evaluation (communications, meetings, documents, bid blackout, integration planning limits). Both should be exhibits to and incorporated into the NDA, should prevail over the NDA body in case of conflict, and execution of both (plus designation and training of Clean Team members) should be an express condition precedent to any exchange of information beyond Phase 1 non-sensitive material. Putting these in a side letter or leaving them to be negotiated later would risk the exchange beginning before the safeguards exist, and the § 12.1 integration clause could undercut a separate document. A key term sheet is at Appendix A.</w:t>
      </w:r>
    </w:p>
    <w:p>
      <w:pPr>
        <w:jc w:val="both"/>
      </w:pPr>
      <w:r>
        <w:rPr>
          <w:b/>
        </w:rPr>
        <w:t>Why it matters here.</w:t>
      </w:r>
      <w:r>
        <w:t xml:space="preserve"> Clean teams are the standard tool for competitor diligence and are expected by the agencies. They allow the legitimate evaluation to proceed — the CFO and CTO can assess JV economics and technology — while keeping a competitor’s pricing and customer intelligence away from the people who compete against it. A properly designed, documented and followed clean team process is also Pinnacle’s best evidence, if ever asked, that it met the Board’s safeguards condition.</w:t>
      </w:r>
    </w:p>
    <w:p>
      <w:pPr>
        <w:pStyle w:val="Heading2"/>
      </w:pPr>
      <w:r>
        <w:t>A. Tiered information categories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val="clear" w:color="auto" w:fill="D9E2F3"/>
          </w:tcPr>
          <w:p>
            <w:r/>
            <w:r>
              <w:rPr>
                <w:b/>
                <w:sz w:val="18"/>
              </w:rPr>
              <w:t>Tier</w:t>
            </w:r>
          </w:p>
        </w:tc>
        <w:tc>
          <w:tcPr>
            <w:tcW w:type="dxa" w:w="3456"/>
            <w:shd w:val="clear" w:color="auto" w:fill="D9E2F3"/>
          </w:tcPr>
          <w:p>
            <w:r/>
            <w:r>
              <w:rPr>
                <w:b/>
                <w:sz w:val="18"/>
              </w:rPr>
              <w:t>Examples</w:t>
            </w:r>
          </w:p>
        </w:tc>
        <w:tc>
          <w:tcPr>
            <w:tcW w:type="dxa" w:w="2304"/>
            <w:shd w:val="clear" w:color="auto" w:fill="D9E2F3"/>
          </w:tcPr>
          <w:p>
            <w:r/>
            <w:r>
              <w:rPr>
                <w:b/>
                <w:sz w:val="18"/>
              </w:rPr>
              <w:t>Who may access</w:t>
            </w:r>
          </w:p>
        </w:tc>
        <w:tc>
          <w:tcPr>
            <w:tcW w:type="dxa" w:w="1728"/>
            <w:shd w:val="clear" w:color="auto" w:fill="D9E2F3"/>
          </w:tcPr>
          <w:p>
            <w:r/>
            <w:r>
              <w:rPr>
                <w:b/>
                <w:sz w:val="18"/>
              </w:rPr>
              <w:t>Form</w:t>
            </w:r>
          </w:p>
        </w:tc>
      </w:tr>
      <w:tr>
        <w:tc>
          <w:tcPr>
            <w:tcW w:type="dxa" w:w="1872"/>
          </w:tcPr>
          <w:p>
            <w:pPr>
              <w:spacing w:after="40"/>
            </w:pPr>
            <w:r>
              <w:rPr>
                <w:sz w:val="18"/>
              </w:rPr>
            </w:r>
            <w:r>
              <w:rPr>
                <w:sz w:val="18"/>
              </w:rPr>
              <w:t>Tier 1 — General</w:t>
            </w:r>
          </w:p>
        </w:tc>
        <w:tc>
          <w:tcPr>
            <w:tcW w:type="dxa" w:w="3456"/>
          </w:tcPr>
          <w:p>
            <w:pPr>
              <w:spacing w:after="40"/>
            </w:pPr>
            <w:r>
              <w:rPr>
                <w:sz w:val="18"/>
              </w:rPr>
            </w:r>
            <w:r>
              <w:rPr>
                <w:sz w:val="18"/>
              </w:rPr>
              <w:t>rCF technology concepts; JV structure/governance; public and audited financial statements; general capabilities; site options</w:t>
            </w:r>
          </w:p>
        </w:tc>
        <w:tc>
          <w:tcPr>
            <w:tcW w:type="dxa" w:w="2304"/>
          </w:tcPr>
          <w:p>
            <w:pPr>
              <w:spacing w:after="40"/>
            </w:pPr>
            <w:r>
              <w:rPr>
                <w:sz w:val="18"/>
              </w:rPr>
            </w:r>
            <w:r>
              <w:rPr>
                <w:sz w:val="18"/>
              </w:rPr>
              <w:t>Evaluation team on need-to-know basis</w:t>
            </w:r>
          </w:p>
        </w:tc>
        <w:tc>
          <w:tcPr>
            <w:tcW w:type="dxa" w:w="1728"/>
          </w:tcPr>
          <w:p>
            <w:pPr>
              <w:spacing w:after="40"/>
            </w:pPr>
            <w:r>
              <w:rPr>
                <w:sz w:val="18"/>
              </w:rPr>
            </w:r>
            <w:r>
              <w:rPr>
                <w:sz w:val="18"/>
              </w:rPr>
              <w:t>As provided</w:t>
            </w:r>
          </w:p>
        </w:tc>
      </w:tr>
      <w:tr>
        <w:tc>
          <w:tcPr>
            <w:tcW w:type="dxa" w:w="1872"/>
          </w:tcPr>
          <w:p>
            <w:pPr>
              <w:spacing w:after="40"/>
            </w:pPr>
            <w:r>
              <w:rPr>
                <w:sz w:val="18"/>
              </w:rPr>
            </w:r>
            <w:r>
              <w:rPr>
                <w:sz w:val="18"/>
              </w:rPr>
              <w:t>Tier 2 — Clean Team Only</w:t>
            </w:r>
          </w:p>
        </w:tc>
        <w:tc>
          <w:tcPr>
            <w:tcW w:type="dxa" w:w="3456"/>
          </w:tcPr>
          <w:p>
            <w:pPr>
              <w:spacing w:after="40"/>
            </w:pPr>
            <w:r>
              <w:rPr>
                <w:sz w:val="18"/>
              </w:rPr>
            </w:r>
            <w:r>
              <w:rPr>
                <w:sz w:val="18"/>
              </w:rPr>
              <w:t>Cost inputs relevant to rCF modeling; non-public R&amp;D/IP on rCF; facility information relevant to JV siting; feedstock sourcing terms; JV-relevant capex</w:t>
            </w:r>
          </w:p>
        </w:tc>
        <w:tc>
          <w:tcPr>
            <w:tcW w:type="dxa" w:w="2304"/>
          </w:tcPr>
          <w:p>
            <w:pPr>
              <w:spacing w:after="40"/>
            </w:pPr>
            <w:r>
              <w:rPr>
                <w:sz w:val="18"/>
              </w:rPr>
            </w:r>
            <w:r>
              <w:rPr>
                <w:sz w:val="18"/>
              </w:rPr>
              <w:t>Designated Clean Team members, outside counsel, outside consultants</w:t>
            </w:r>
          </w:p>
        </w:tc>
        <w:tc>
          <w:tcPr>
            <w:tcW w:type="dxa" w:w="1728"/>
          </w:tcPr>
          <w:p>
            <w:pPr>
              <w:spacing w:after="40"/>
            </w:pPr>
            <w:r>
              <w:rPr>
                <w:sz w:val="18"/>
              </w:rPr>
            </w:r>
            <w:r>
              <w:rPr>
                <w:sz w:val="18"/>
              </w:rPr>
              <w:t>Labeled; data room with access controls; aggregated or ranged where possible</w:t>
            </w:r>
          </w:p>
        </w:tc>
      </w:tr>
      <w:tr>
        <w:tc>
          <w:tcPr>
            <w:tcW w:type="dxa" w:w="1872"/>
          </w:tcPr>
          <w:p>
            <w:pPr>
              <w:spacing w:after="40"/>
            </w:pPr>
            <w:r>
              <w:rPr>
                <w:sz w:val="18"/>
              </w:rPr>
            </w:r>
            <w:r>
              <w:rPr>
                <w:sz w:val="18"/>
              </w:rPr>
              <w:t>Tier 3 — Outside Counsel/Consultant Only</w:t>
            </w:r>
          </w:p>
        </w:tc>
        <w:tc>
          <w:tcPr>
            <w:tcW w:type="dxa" w:w="3456"/>
          </w:tcPr>
          <w:p>
            <w:pPr>
              <w:spacing w:after="40"/>
            </w:pPr>
            <w:r>
              <w:rPr>
                <w:sz w:val="18"/>
              </w:rPr>
            </w:r>
            <w:r>
              <w:rPr>
                <w:sz w:val="18"/>
              </w:rPr>
              <w:t>Any customer-specific, product-specific pricing; discount/rebate matrices; customer lists with revenue; existing-product strategic plans; capacity utilization by plant; compensation data</w:t>
            </w:r>
          </w:p>
        </w:tc>
        <w:tc>
          <w:tcPr>
            <w:tcW w:type="dxa" w:w="2304"/>
          </w:tcPr>
          <w:p>
            <w:pPr>
              <w:spacing w:after="40"/>
            </w:pPr>
            <w:r>
              <w:rPr>
                <w:sz w:val="18"/>
              </w:rPr>
            </w:r>
            <w:r>
              <w:rPr>
                <w:sz w:val="18"/>
              </w:rPr>
              <w:t>Outside counsel and independent consultants only — and only if a specific need is shown</w:t>
            </w:r>
          </w:p>
        </w:tc>
        <w:tc>
          <w:tcPr>
            <w:tcW w:type="dxa" w:w="1728"/>
          </w:tcPr>
          <w:p>
            <w:pPr>
              <w:spacing w:after="40"/>
            </w:pPr>
            <w:r>
              <w:rPr>
                <w:sz w:val="18"/>
              </w:rPr>
            </w:r>
            <w:r>
              <w:rPr>
                <w:sz w:val="18"/>
              </w:rPr>
              <w:t>Outputs to business only as aggregated/anonymized summaries cleared by producing party’s counsel</w:t>
            </w:r>
          </w:p>
        </w:tc>
      </w:tr>
      <w:tr>
        <w:tc>
          <w:tcPr>
            <w:tcW w:type="dxa" w:w="1872"/>
          </w:tcPr>
          <w:p>
            <w:pPr>
              <w:spacing w:after="40"/>
            </w:pPr>
            <w:r>
              <w:rPr>
                <w:sz w:val="18"/>
              </w:rPr>
            </w:r>
            <w:r>
              <w:rPr>
                <w:sz w:val="18"/>
              </w:rPr>
              <w:t>Prohibited</w:t>
            </w:r>
          </w:p>
        </w:tc>
        <w:tc>
          <w:tcPr>
            <w:tcW w:type="dxa" w:w="3456"/>
          </w:tcPr>
          <w:p>
            <w:pPr>
              <w:spacing w:after="40"/>
            </w:pPr>
            <w:r>
              <w:rPr>
                <w:sz w:val="18"/>
              </w:rPr>
            </w:r>
            <w:r>
              <w:rPr>
                <w:sz w:val="18"/>
              </w:rPr>
              <w:t>Any information regarding the Northwind bid or any other open or anticipated bid; future pricing intentions for existing products</w:t>
            </w:r>
          </w:p>
        </w:tc>
        <w:tc>
          <w:tcPr>
            <w:tcW w:type="dxa" w:w="2304"/>
          </w:tcPr>
          <w:p>
            <w:pPr>
              <w:spacing w:after="40"/>
            </w:pPr>
            <w:r>
              <w:rPr>
                <w:sz w:val="18"/>
              </w:rPr>
            </w:r>
            <w:r>
              <w:rPr>
                <w:sz w:val="18"/>
              </w:rPr>
              <w:t>No one</w:t>
            </w:r>
          </w:p>
        </w:tc>
        <w:tc>
          <w:tcPr>
            <w:tcW w:type="dxa" w:w="1728"/>
          </w:tcPr>
          <w:p>
            <w:pPr>
              <w:spacing w:after="40"/>
            </w:pPr>
            <w:r>
              <w:rPr>
                <w:sz w:val="18"/>
              </w:rPr>
            </w:r>
            <w:r>
              <w:rPr>
                <w:sz w:val="18"/>
              </w:rPr>
              <w:t>Not to be exchanged</w:t>
            </w:r>
          </w:p>
        </w:tc>
      </w:tr>
    </w:tbl>
    <w:p/>
    <w:p>
      <w:pPr>
        <w:pStyle w:val="Heading2"/>
      </w:pPr>
      <w:r>
        <w:t>B. Proposed designation of the Pinnacle evaluation team</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val="clear" w:color="auto" w:fill="D9E2F3"/>
          </w:tcPr>
          <w:p>
            <w:r/>
            <w:r>
              <w:rPr>
                <w:b/>
                <w:sz w:val="18"/>
              </w:rPr>
              <w:t>Team member</w:t>
            </w:r>
          </w:p>
        </w:tc>
        <w:tc>
          <w:tcPr>
            <w:tcW w:type="dxa" w:w="1872"/>
            <w:shd w:val="clear" w:color="auto" w:fill="D9E2F3"/>
          </w:tcPr>
          <w:p>
            <w:r/>
            <w:r>
              <w:rPr>
                <w:b/>
                <w:sz w:val="18"/>
              </w:rPr>
              <w:t>Role</w:t>
            </w:r>
          </w:p>
        </w:tc>
        <w:tc>
          <w:tcPr>
            <w:tcW w:type="dxa" w:w="2736"/>
            <w:shd w:val="clear" w:color="auto" w:fill="D9E2F3"/>
          </w:tcPr>
          <w:p>
            <w:r/>
            <w:r>
              <w:rPr>
                <w:b/>
                <w:sz w:val="18"/>
              </w:rPr>
              <w:t>Recommended access</w:t>
            </w:r>
          </w:p>
        </w:tc>
        <w:tc>
          <w:tcPr>
            <w:tcW w:type="dxa" w:w="3024"/>
            <w:shd w:val="clear" w:color="auto" w:fill="D9E2F3"/>
          </w:tcPr>
          <w:p>
            <w:r/>
            <w:r>
              <w:rPr>
                <w:b/>
                <w:sz w:val="18"/>
              </w:rPr>
              <w:t>Rationale</w:t>
            </w:r>
          </w:p>
        </w:tc>
      </w:tr>
      <w:tr>
        <w:tc>
          <w:tcPr>
            <w:tcW w:type="dxa" w:w="1728"/>
          </w:tcPr>
          <w:p>
            <w:pPr>
              <w:spacing w:after="40"/>
            </w:pPr>
            <w:r>
              <w:rPr>
                <w:sz w:val="18"/>
              </w:rPr>
            </w:r>
            <w:r>
              <w:rPr>
                <w:sz w:val="18"/>
              </w:rPr>
              <w:t>David Yoon, GC</w:t>
            </w:r>
          </w:p>
        </w:tc>
        <w:tc>
          <w:tcPr>
            <w:tcW w:type="dxa" w:w="1872"/>
          </w:tcPr>
          <w:p>
            <w:pPr>
              <w:spacing w:after="40"/>
            </w:pPr>
            <w:r>
              <w:rPr>
                <w:sz w:val="18"/>
              </w:rPr>
            </w:r>
            <w:r>
              <w:rPr>
                <w:sz w:val="18"/>
              </w:rPr>
              <w:t>Legal oversight; coordinator</w:t>
            </w:r>
          </w:p>
        </w:tc>
        <w:tc>
          <w:tcPr>
            <w:tcW w:type="dxa" w:w="2736"/>
          </w:tcPr>
          <w:p>
            <w:pPr>
              <w:spacing w:after="40"/>
            </w:pPr>
            <w:r>
              <w:rPr>
                <w:sz w:val="18"/>
              </w:rPr>
            </w:r>
            <w:r>
              <w:rPr>
                <w:sz w:val="18"/>
              </w:rPr>
              <w:t>Clean Team (legal); Tier 2; Tier 3 summaries</w:t>
            </w:r>
          </w:p>
        </w:tc>
        <w:tc>
          <w:tcPr>
            <w:tcW w:type="dxa" w:w="3024"/>
          </w:tcPr>
          <w:p>
            <w:pPr>
              <w:spacing w:after="40"/>
            </w:pPr>
            <w:r>
              <w:rPr>
                <w:sz w:val="18"/>
              </w:rPr>
            </w:r>
            <w:r>
              <w:rPr>
                <w:sz w:val="18"/>
              </w:rPr>
              <w:t>Legal function; no pricing role. Should be the gatekeeper for requests and the log.</w:t>
            </w:r>
          </w:p>
        </w:tc>
      </w:tr>
      <w:tr>
        <w:tc>
          <w:tcPr>
            <w:tcW w:type="dxa" w:w="1728"/>
          </w:tcPr>
          <w:p>
            <w:pPr>
              <w:spacing w:after="40"/>
            </w:pPr>
            <w:r>
              <w:rPr>
                <w:sz w:val="18"/>
              </w:rPr>
            </w:r>
            <w:r>
              <w:rPr>
                <w:sz w:val="18"/>
              </w:rPr>
              <w:t>Marcus Webb, CFO</w:t>
            </w:r>
          </w:p>
        </w:tc>
        <w:tc>
          <w:tcPr>
            <w:tcW w:type="dxa" w:w="1872"/>
          </w:tcPr>
          <w:p>
            <w:pPr>
              <w:spacing w:after="40"/>
            </w:pPr>
            <w:r>
              <w:rPr>
                <w:sz w:val="18"/>
              </w:rPr>
            </w:r>
            <w:r>
              <w:rPr>
                <w:sz w:val="18"/>
              </w:rPr>
              <w:t>Financial diligence, JV economics</w:t>
            </w:r>
          </w:p>
        </w:tc>
        <w:tc>
          <w:tcPr>
            <w:tcW w:type="dxa" w:w="2736"/>
          </w:tcPr>
          <w:p>
            <w:pPr>
              <w:spacing w:after="40"/>
            </w:pPr>
            <w:r>
              <w:rPr>
                <w:sz w:val="18"/>
              </w:rPr>
            </w:r>
            <w:r>
              <w:rPr>
                <w:sz w:val="18"/>
              </w:rPr>
              <w:t>Clean Team, Tier 2 — subject to confirmation that he does not approve customer-specific pricing or bids</w:t>
            </w:r>
          </w:p>
        </w:tc>
        <w:tc>
          <w:tcPr>
            <w:tcW w:type="dxa" w:w="3024"/>
          </w:tcPr>
          <w:p>
            <w:pPr>
              <w:spacing w:after="40"/>
            </w:pPr>
            <w:r>
              <w:rPr>
                <w:sz w:val="18"/>
              </w:rPr>
            </w:r>
            <w:r>
              <w:rPr>
                <w:sz w:val="18"/>
              </w:rPr>
              <w:t>Needed for JV financial modeling; confirm role in pricing approvals or Northwind bid sign-off. If he signs off on bids, limit to Tier 3 outputs.</w:t>
            </w:r>
          </w:p>
        </w:tc>
      </w:tr>
      <w:tr>
        <w:tc>
          <w:tcPr>
            <w:tcW w:type="dxa" w:w="1728"/>
          </w:tcPr>
          <w:p>
            <w:pPr>
              <w:spacing w:after="40"/>
            </w:pPr>
            <w:r>
              <w:rPr>
                <w:sz w:val="18"/>
              </w:rPr>
            </w:r>
            <w:r>
              <w:rPr>
                <w:sz w:val="18"/>
              </w:rPr>
              <w:t>Dr. Lina Patel, CTO</w:t>
            </w:r>
          </w:p>
        </w:tc>
        <w:tc>
          <w:tcPr>
            <w:tcW w:type="dxa" w:w="1872"/>
          </w:tcPr>
          <w:p>
            <w:pPr>
              <w:spacing w:after="40"/>
            </w:pPr>
            <w:r>
              <w:rPr>
                <w:sz w:val="18"/>
              </w:rPr>
            </w:r>
            <w:r>
              <w:rPr>
                <w:sz w:val="18"/>
              </w:rPr>
              <w:t>Technical/rCF evaluation</w:t>
            </w:r>
          </w:p>
        </w:tc>
        <w:tc>
          <w:tcPr>
            <w:tcW w:type="dxa" w:w="2736"/>
          </w:tcPr>
          <w:p>
            <w:pPr>
              <w:spacing w:after="40"/>
            </w:pPr>
            <w:r>
              <w:rPr>
                <w:sz w:val="18"/>
              </w:rPr>
            </w:r>
            <w:r>
              <w:rPr>
                <w:sz w:val="18"/>
              </w:rPr>
              <w:t>Clean Team, Tier 2 (technical/IP)</w:t>
            </w:r>
          </w:p>
        </w:tc>
        <w:tc>
          <w:tcPr>
            <w:tcW w:type="dxa" w:w="3024"/>
          </w:tcPr>
          <w:p>
            <w:pPr>
              <w:spacing w:after="40"/>
            </w:pPr>
            <w:r>
              <w:rPr>
                <w:sz w:val="18"/>
              </w:rPr>
            </w:r>
            <w:r>
              <w:rPr>
                <w:sz w:val="18"/>
              </w:rPr>
              <w:t>Core to rCF evaluation; product roadmaps limited to rCF and relevant technology.</w:t>
            </w:r>
          </w:p>
        </w:tc>
      </w:tr>
      <w:tr>
        <w:tc>
          <w:tcPr>
            <w:tcW w:type="dxa" w:w="1728"/>
          </w:tcPr>
          <w:p>
            <w:pPr>
              <w:spacing w:after="40"/>
            </w:pPr>
            <w:r>
              <w:rPr>
                <w:sz w:val="18"/>
              </w:rPr>
            </w:r>
            <w:r>
              <w:rPr>
                <w:sz w:val="18"/>
              </w:rPr>
              <w:t>Kevin Driscoll, VP Mfg. Ops</w:t>
            </w:r>
          </w:p>
        </w:tc>
        <w:tc>
          <w:tcPr>
            <w:tcW w:type="dxa" w:w="1872"/>
          </w:tcPr>
          <w:p>
            <w:pPr>
              <w:spacing w:after="40"/>
            </w:pPr>
            <w:r>
              <w:rPr>
                <w:sz w:val="18"/>
              </w:rPr>
            </w:r>
            <w:r>
              <w:rPr>
                <w:sz w:val="18"/>
              </w:rPr>
              <w:t>Manufacturing requirements, siting</w:t>
            </w:r>
          </w:p>
        </w:tc>
        <w:tc>
          <w:tcPr>
            <w:tcW w:type="dxa" w:w="2736"/>
          </w:tcPr>
          <w:p>
            <w:pPr>
              <w:spacing w:after="40"/>
            </w:pPr>
            <w:r>
              <w:rPr>
                <w:sz w:val="18"/>
              </w:rPr>
            </w:r>
            <w:r>
              <w:rPr>
                <w:sz w:val="18"/>
              </w:rPr>
              <w:t>Clean Team for JV-siting and rCF process data only; no plant-level utilization of existing facilities</w:t>
            </w:r>
          </w:p>
        </w:tc>
        <w:tc>
          <w:tcPr>
            <w:tcW w:type="dxa" w:w="3024"/>
          </w:tcPr>
          <w:p>
            <w:pPr>
              <w:spacing w:after="40"/>
            </w:pPr>
            <w:r>
              <w:rPr>
                <w:sz w:val="18"/>
              </w:rPr>
            </w:r>
            <w:r>
              <w:rPr>
                <w:sz w:val="18"/>
              </w:rPr>
              <w:t>Capacity data for existing lines is output-related CSI; confirm he has no role in capacity allocation decisions linked to pricing.</w:t>
            </w:r>
          </w:p>
        </w:tc>
      </w:tr>
      <w:tr>
        <w:tc>
          <w:tcPr>
            <w:tcW w:type="dxa" w:w="1728"/>
          </w:tcPr>
          <w:p>
            <w:pPr>
              <w:spacing w:after="40"/>
            </w:pPr>
            <w:r>
              <w:rPr>
                <w:sz w:val="18"/>
              </w:rPr>
            </w:r>
            <w:r>
              <w:rPr>
                <w:sz w:val="18"/>
              </w:rPr>
              <w:t>Brian Hecht, VP Sales</w:t>
            </w:r>
          </w:p>
        </w:tc>
        <w:tc>
          <w:tcPr>
            <w:tcW w:type="dxa" w:w="1872"/>
          </w:tcPr>
          <w:p>
            <w:pPr>
              <w:spacing w:after="40"/>
            </w:pPr>
            <w:r>
              <w:rPr>
                <w:sz w:val="18"/>
              </w:rPr>
            </w:r>
            <w:r>
              <w:rPr>
                <w:sz w:val="18"/>
              </w:rPr>
              <w:t>Market/customer assessment</w:t>
            </w:r>
          </w:p>
        </w:tc>
        <w:tc>
          <w:tcPr>
            <w:tcW w:type="dxa" w:w="2736"/>
          </w:tcPr>
          <w:p>
            <w:pPr>
              <w:spacing w:after="40"/>
            </w:pPr>
            <w:r>
              <w:rPr>
                <w:sz w:val="18"/>
              </w:rPr>
            </w:r>
            <w:r>
              <w:rPr>
                <w:b/>
                <w:sz w:val="18"/>
              </w:rPr>
              <w:t>No access to Tier 2 or Tier 3.</w:t>
            </w:r>
            <w:r>
              <w:rPr>
                <w:sz w:val="18"/>
              </w:rPr>
              <w:t xml:space="preserve"> Tier 1 plus sanitized, aggregated outputs only</w:t>
            </w:r>
          </w:p>
        </w:tc>
        <w:tc>
          <w:tcPr>
            <w:tcW w:type="dxa" w:w="3024"/>
          </w:tcPr>
          <w:p>
            <w:pPr>
              <w:spacing w:after="40"/>
            </w:pPr>
            <w:r>
              <w:rPr>
                <w:sz w:val="18"/>
              </w:rPr>
            </w:r>
            <w:r>
              <w:rPr>
                <w:sz w:val="18"/>
              </w:rPr>
              <w:t>Daily responsibility for competitive pricing and customer negotiations; very likely involved in the Northwind bid. rCF demand assessment can be done from third-party data and Pinnacle’s own customer insights.</w:t>
            </w:r>
          </w:p>
        </w:tc>
      </w:tr>
      <w:tr>
        <w:tc>
          <w:tcPr>
            <w:tcW w:type="dxa" w:w="1728"/>
          </w:tcPr>
          <w:p>
            <w:pPr>
              <w:spacing w:after="40"/>
            </w:pPr>
            <w:r>
              <w:rPr>
                <w:sz w:val="18"/>
              </w:rPr>
            </w:r>
            <w:r>
              <w:rPr>
                <w:sz w:val="18"/>
              </w:rPr>
              <w:t>Elena Vasquez, VP Strategic Pricing</w:t>
            </w:r>
          </w:p>
        </w:tc>
        <w:tc>
          <w:tcPr>
            <w:tcW w:type="dxa" w:w="1872"/>
          </w:tcPr>
          <w:p>
            <w:pPr>
              <w:spacing w:after="40"/>
            </w:pPr>
            <w:r>
              <w:rPr>
                <w:sz w:val="18"/>
              </w:rPr>
            </w:r>
            <w:r>
              <w:rPr>
                <w:sz w:val="18"/>
              </w:rPr>
              <w:t>Pricing evaluation for JV</w:t>
            </w:r>
          </w:p>
        </w:tc>
        <w:tc>
          <w:tcPr>
            <w:tcW w:type="dxa" w:w="2736"/>
          </w:tcPr>
          <w:p>
            <w:pPr>
              <w:spacing w:after="40"/>
            </w:pPr>
            <w:r>
              <w:rPr>
                <w:sz w:val="18"/>
              </w:rPr>
            </w:r>
            <w:r>
              <w:rPr>
                <w:b/>
                <w:sz w:val="18"/>
              </w:rPr>
              <w:t>No access to Tier 2 or Tier 3.</w:t>
            </w:r>
            <w:r>
              <w:rPr>
                <w:sz w:val="18"/>
              </w:rPr>
              <w:t xml:space="preserve"> Tier 1 plus sanitized outputs; JV pricing modeling to be done by an independent consultant</w:t>
            </w:r>
          </w:p>
        </w:tc>
        <w:tc>
          <w:tcPr>
            <w:tcW w:type="dxa" w:w="3024"/>
          </w:tcPr>
          <w:p>
            <w:pPr>
              <w:spacing w:after="40"/>
            </w:pPr>
            <w:r>
              <w:rPr>
                <w:sz w:val="18"/>
              </w:rPr>
            </w:r>
            <w:r>
              <w:rPr>
                <w:sz w:val="18"/>
              </w:rPr>
              <w:t>Sets Pinnacle pricing; exposure to Lakeshore’s pricing would taint Pinnacle’s pricing decisions and create § 1 and misappropriation risk.</w:t>
            </w:r>
          </w:p>
        </w:tc>
      </w:tr>
      <w:tr>
        <w:tc>
          <w:tcPr>
            <w:tcW w:type="dxa" w:w="1728"/>
          </w:tcPr>
          <w:p>
            <w:pPr>
              <w:spacing w:after="40"/>
            </w:pPr>
            <w:r>
              <w:rPr>
                <w:sz w:val="18"/>
              </w:rPr>
            </w:r>
            <w:r>
              <w:rPr>
                <w:sz w:val="18"/>
              </w:rPr>
              <w:t>Meg Thornton, CEO</w:t>
            </w:r>
          </w:p>
        </w:tc>
        <w:tc>
          <w:tcPr>
            <w:tcW w:type="dxa" w:w="1872"/>
          </w:tcPr>
          <w:p>
            <w:pPr>
              <w:spacing w:after="40"/>
            </w:pPr>
            <w:r>
              <w:rPr>
                <w:sz w:val="18"/>
              </w:rPr>
            </w:r>
            <w:r>
              <w:rPr>
                <w:sz w:val="18"/>
              </w:rPr>
              <w:t>Executive sponsor</w:t>
            </w:r>
          </w:p>
        </w:tc>
        <w:tc>
          <w:tcPr>
            <w:tcW w:type="dxa" w:w="2736"/>
          </w:tcPr>
          <w:p>
            <w:pPr>
              <w:spacing w:after="40"/>
            </w:pPr>
            <w:r>
              <w:rPr>
                <w:sz w:val="18"/>
              </w:rPr>
            </w:r>
            <w:r>
              <w:rPr>
                <w:sz w:val="18"/>
              </w:rPr>
              <w:t>Tier 1 and counsel-cleared summaries</w:t>
            </w:r>
          </w:p>
        </w:tc>
        <w:tc>
          <w:tcPr>
            <w:tcW w:type="dxa" w:w="3024"/>
          </w:tcPr>
          <w:p>
            <w:pPr>
              <w:spacing w:after="40"/>
            </w:pPr>
            <w:r>
              <w:rPr>
                <w:sz w:val="18"/>
              </w:rPr>
            </w:r>
            <w:r>
              <w:rPr>
                <w:sz w:val="18"/>
              </w:rPr>
              <w:t>Senior executives with overall commercial authority should not receive raw CSI.</w:t>
            </w:r>
          </w:p>
        </w:tc>
      </w:tr>
    </w:tbl>
    <w:p/>
    <w:p>
      <w:pPr>
        <w:jc w:val="both"/>
      </w:pPr>
      <w:r>
        <w:t>If Pinnacle concludes that Mr. Hecht or Ms. Vasquez must have deeper involvement (e.g., once the JV moves toward commercialization planning), alternatives include (i) substituting a less senior analyst without pricing authority for overlapping products, (ii) relying on an independent consultant, or (iii) as a last resort, a written cooling-off commitment under which the individual does not participate in pricing for overlapping products for a defined period (typically 6–12 months) after access — which is unlikely to be workable for the VPs of Sales and Pricing.</w:t>
      </w:r>
    </w:p>
    <w:p>
      <w:pPr>
        <w:pStyle w:val="Heading1"/>
      </w:pPr>
      <w:r>
        <w:t>VII. The Northwind Bid — Practical Steps</w:t>
      </w:r>
    </w:p>
    <w:p>
      <w:pPr>
        <w:jc w:val="both"/>
      </w:pPr>
      <w:r>
        <w:t>In addition to the contractual blackout (Issue 7): (1) identify the Northwind bid team in writing and wall it off from Project Meridian; (2) defer any Tier 2/Tier 3 exchange until the Northwind award has been made and any negotiations concluded; (3) instruct all evaluation team members not to mention Northwind or any customer procurement in communications with Lakeshore; (4) document the date and basis of Pinnacle’s final Northwind pricing and keep that record; and (5) if the award goes to Lakeshore, avoid internal commentary linking the result to Project Meridian. The same blackout should apply to any other procurement in which both parties are competing.</w:t>
      </w:r>
    </w:p>
    <w:p>
      <w:pPr>
        <w:pStyle w:val="Heading1"/>
      </w:pPr>
      <w:r>
        <w:t>VIII. Negotiation Strategy and Timeline</w:t>
      </w:r>
    </w:p>
    <w:p>
      <w:pPr>
        <w:jc w:val="both"/>
      </w:pPr>
      <w:r>
        <w:rPr>
          <w:b/>
        </w:rPr>
        <w:t>Non-negotiable (do not sign without):</w:t>
      </w:r>
      <w:r>
        <w:t xml:space="preserve"> deletion of §§ 5.3/1.7/8.3(ii) and 9.3; deletion of the mandatory and recurring exchange in §§ 6.1–6.2; a clean team and need-to-know restriction; restructured meetings in § 6.3; the Northwind/bid blackout; narrowing of the Transaction to the rCF JV; deletion of auto-renewal; and the compelled/regulatory disclosure clause.</w:t>
      </w:r>
    </w:p>
    <w:p>
      <w:pPr>
        <w:jc w:val="both"/>
      </w:pPr>
      <w:r>
        <w:rPr>
          <w:b/>
        </w:rPr>
        <w:t>Important but negotiable:</w:t>
      </w:r>
      <w:r>
        <w:t xml:space="preserve"> non-solicit duration and carve-outs; standstill details; governing law and arbitral institution; archival copy mechanics; exact Clean Team membership (Lakeshore will propose its own list, which Pinnacle should also review to ensure Lakeshore’s sales and pricing personnel are excluded).</w:t>
      </w:r>
    </w:p>
    <w:p>
      <w:pPr>
        <w:jc w:val="both"/>
      </w:pPr>
      <w:r>
        <w:rPr>
          <w:b/>
        </w:rPr>
        <w:t>Framing.</w:t>
      </w:r>
      <w:r>
        <w:t xml:space="preserve"> These revisions protect both parties equally and Lakeshore’s counsel should recognize them as market-standard for competitor transactions; the existing draft exposes Lakeshore as much as Pinnacle. We recommend presenting the changes as necessary to satisfy Pinnacle’s Board condition and to protect the JV’s eventual regulatory review, rather than as a criticism of HDM’s draft. We would avoid any written suggestion that the original draft was “illegal”; the redline speaks for itself.</w:t>
      </w:r>
    </w:p>
    <w:tbl>
      <w:tblPr>
        <w:tblStyle w:val="TableGrid"/>
        <w:tblW w:type="auto" w:w="0"/>
        <w:jc w:val="center"/>
        <w:tblLook w:firstColumn="1" w:firstRow="1" w:lastColumn="0" w:lastRow="0" w:noHBand="0" w:noVBand="1" w:val="04A0"/>
      </w:tblPr>
      <w:tblGrid>
        <w:gridCol w:w="4680"/>
        <w:gridCol w:w="4680"/>
      </w:tblGrid>
      <w:tr>
        <w:tc>
          <w:tcPr>
            <w:tcW w:type="dxa" w:w="2016"/>
            <w:shd w:val="clear" w:color="auto" w:fill="D9E2F3"/>
          </w:tcPr>
          <w:p>
            <w:r/>
            <w:r>
              <w:rPr>
                <w:b/>
                <w:sz w:val="19"/>
              </w:rPr>
              <w:t>Date</w:t>
            </w:r>
          </w:p>
        </w:tc>
        <w:tc>
          <w:tcPr>
            <w:tcW w:type="dxa" w:w="7344"/>
            <w:shd w:val="clear" w:color="auto" w:fill="D9E2F3"/>
          </w:tcPr>
          <w:p>
            <w:r/>
            <w:r>
              <w:rPr>
                <w:b/>
                <w:sz w:val="19"/>
              </w:rPr>
              <w:t>Action</w:t>
            </w:r>
          </w:p>
        </w:tc>
      </w:tr>
      <w:tr>
        <w:tc>
          <w:tcPr>
            <w:tcW w:type="dxa" w:w="2016"/>
          </w:tcPr>
          <w:p>
            <w:pPr>
              <w:spacing w:after="40"/>
            </w:pPr>
            <w:r>
              <w:rPr>
                <w:sz w:val="19"/>
              </w:rPr>
            </w:r>
            <w:r>
              <w:rPr>
                <w:sz w:val="19"/>
              </w:rPr>
              <w:t>Jan. 21–22</w:t>
            </w:r>
          </w:p>
        </w:tc>
        <w:tc>
          <w:tcPr>
            <w:tcW w:type="dxa" w:w="7344"/>
          </w:tcPr>
          <w:p>
            <w:pPr>
              <w:spacing w:after="40"/>
            </w:pPr>
            <w:r>
              <w:rPr>
                <w:sz w:val="19"/>
              </w:rPr>
            </w:r>
            <w:r>
              <w:rPr>
                <w:sz w:val="19"/>
              </w:rPr>
              <w:t>Pinnacle review of this memo; call to discuss (we are available Wednesday/Thursday as you proposed)</w:t>
            </w:r>
          </w:p>
        </w:tc>
      </w:tr>
      <w:tr>
        <w:tc>
          <w:tcPr>
            <w:tcW w:type="dxa" w:w="2016"/>
          </w:tcPr>
          <w:p>
            <w:pPr>
              <w:spacing w:after="40"/>
            </w:pPr>
            <w:r>
              <w:rPr>
                <w:sz w:val="19"/>
              </w:rPr>
            </w:r>
            <w:r>
              <w:rPr>
                <w:sz w:val="19"/>
              </w:rPr>
              <w:t>Jan. 23</w:t>
            </w:r>
          </w:p>
        </w:tc>
        <w:tc>
          <w:tcPr>
            <w:tcW w:type="dxa" w:w="7344"/>
          </w:tcPr>
          <w:p>
            <w:pPr>
              <w:spacing w:after="40"/>
            </w:pPr>
            <w:r>
              <w:rPr>
                <w:sz w:val="19"/>
              </w:rPr>
            </w:r>
            <w:r>
              <w:rPr>
                <w:sz w:val="19"/>
              </w:rPr>
              <w:t>Send revised NDA redline, Clean Team Agreement and Antitrust Compliance Annex to HDM</w:t>
            </w:r>
          </w:p>
        </w:tc>
      </w:tr>
      <w:tr>
        <w:tc>
          <w:tcPr>
            <w:tcW w:type="dxa" w:w="2016"/>
          </w:tcPr>
          <w:p>
            <w:pPr>
              <w:spacing w:after="40"/>
            </w:pPr>
            <w:r>
              <w:rPr>
                <w:sz w:val="19"/>
              </w:rPr>
            </w:r>
            <w:r>
              <w:rPr>
                <w:sz w:val="19"/>
              </w:rPr>
              <w:t>Week of Jan. 20/27</w:t>
            </w:r>
          </w:p>
        </w:tc>
        <w:tc>
          <w:tcPr>
            <w:tcW w:type="dxa" w:w="7344"/>
          </w:tcPr>
          <w:p>
            <w:pPr>
              <w:spacing w:after="40"/>
            </w:pPr>
            <w:r>
              <w:rPr>
                <w:sz w:val="19"/>
              </w:rPr>
            </w:r>
            <w:r>
              <w:rPr>
                <w:sz w:val="19"/>
              </w:rPr>
              <w:t>Call with Mr. Cavanaugh (as proposed in his cover letter); W&amp;C to attend</w:t>
            </w:r>
          </w:p>
        </w:tc>
      </w:tr>
      <w:tr>
        <w:tc>
          <w:tcPr>
            <w:tcW w:type="dxa" w:w="2016"/>
          </w:tcPr>
          <w:p>
            <w:pPr>
              <w:spacing w:after="40"/>
            </w:pPr>
            <w:r>
              <w:rPr>
                <w:sz w:val="19"/>
              </w:rPr>
            </w:r>
            <w:r>
              <w:rPr>
                <w:sz w:val="19"/>
              </w:rPr>
              <w:t>By Jan. 31</w:t>
            </w:r>
          </w:p>
        </w:tc>
        <w:tc>
          <w:tcPr>
            <w:tcW w:type="dxa" w:w="7344"/>
          </w:tcPr>
          <w:p>
            <w:pPr>
              <w:spacing w:after="40"/>
            </w:pPr>
            <w:r>
              <w:rPr>
                <w:sz w:val="19"/>
              </w:rPr>
            </w:r>
            <w:r>
              <w:rPr>
                <w:sz w:val="19"/>
              </w:rPr>
              <w:t>Execute NDA with exhibits, if core terms agreed; otherwise defer signing</w:t>
            </w:r>
          </w:p>
        </w:tc>
      </w:tr>
      <w:tr>
        <w:tc>
          <w:tcPr>
            <w:tcW w:type="dxa" w:w="2016"/>
          </w:tcPr>
          <w:p>
            <w:pPr>
              <w:spacing w:after="40"/>
            </w:pPr>
            <w:r>
              <w:rPr>
                <w:sz w:val="19"/>
              </w:rPr>
            </w:r>
            <w:r>
              <w:rPr>
                <w:sz w:val="19"/>
              </w:rPr>
              <w:t>Upon signing</w:t>
            </w:r>
          </w:p>
        </w:tc>
        <w:tc>
          <w:tcPr>
            <w:tcW w:type="dxa" w:w="7344"/>
          </w:tcPr>
          <w:p>
            <w:pPr>
              <w:spacing w:after="40"/>
            </w:pPr>
            <w:r>
              <w:rPr>
                <w:sz w:val="19"/>
              </w:rPr>
            </w:r>
            <w:r>
              <w:rPr>
                <w:sz w:val="19"/>
              </w:rPr>
              <w:t>Designate and train Clean Teams; execute individual acknowledgments; set up data room; Phase 1 exchange only</w:t>
            </w:r>
          </w:p>
        </w:tc>
      </w:tr>
      <w:tr>
        <w:tc>
          <w:tcPr>
            <w:tcW w:type="dxa" w:w="2016"/>
          </w:tcPr>
          <w:p>
            <w:pPr>
              <w:spacing w:after="40"/>
            </w:pPr>
            <w:r>
              <w:rPr>
                <w:sz w:val="19"/>
              </w:rPr>
            </w:r>
            <w:r>
              <w:rPr>
                <w:sz w:val="19"/>
              </w:rPr>
              <w:t>After Northwind award</w:t>
            </w:r>
          </w:p>
        </w:tc>
        <w:tc>
          <w:tcPr>
            <w:tcW w:type="dxa" w:w="7344"/>
          </w:tcPr>
          <w:p>
            <w:pPr>
              <w:spacing w:after="40"/>
            </w:pPr>
            <w:r>
              <w:rPr>
                <w:sz w:val="19"/>
              </w:rPr>
            </w:r>
            <w:r>
              <w:rPr>
                <w:sz w:val="19"/>
              </w:rPr>
              <w:t>Counsel-reviewed Phase 2 requests through Clean Team</w:t>
            </w:r>
          </w:p>
        </w:tc>
      </w:tr>
      <w:tr>
        <w:tc>
          <w:tcPr>
            <w:tcW w:type="dxa" w:w="2016"/>
          </w:tcPr>
          <w:p>
            <w:pPr>
              <w:spacing w:after="40"/>
            </w:pPr>
            <w:r>
              <w:rPr>
                <w:sz w:val="19"/>
              </w:rPr>
            </w:r>
            <w:r>
              <w:rPr>
                <w:sz w:val="19"/>
              </w:rPr>
              <w:t>Through June 30</w:t>
            </w:r>
          </w:p>
        </w:tc>
        <w:tc>
          <w:tcPr>
            <w:tcW w:type="dxa" w:w="7344"/>
          </w:tcPr>
          <w:p>
            <w:pPr>
              <w:spacing w:after="40"/>
            </w:pPr>
            <w:r>
              <w:rPr>
                <w:sz w:val="19"/>
              </w:rPr>
            </w:r>
            <w:r>
              <w:rPr>
                <w:sz w:val="19"/>
              </w:rPr>
              <w:t>Periodic counsel audit of the access log, meeting minutes and requests; HSR analysis once JV structure is fixed</w:t>
            </w:r>
          </w:p>
        </w:tc>
      </w:tr>
    </w:tbl>
    <w:p/>
    <w:p>
      <w:pPr>
        <w:pStyle w:val="Heading1"/>
      </w:pPr>
      <w:r>
        <w:t>IX. Internal Pinnacle Steps (Recommended Now)</w:t>
      </w:r>
    </w:p>
    <w:p>
      <w:pPr>
        <w:pStyle w:val="ListNumber"/>
      </w:pPr>
      <w:r>
        <w:rPr>
          <w:b/>
        </w:rPr>
        <w:t>Hold circulation of the NDA</w:t>
      </w:r>
      <w:r>
        <w:t xml:space="preserve"> (as you have) and do not circulate HDM’s draft to the evaluation team until it is revised.</w:t>
      </w:r>
    </w:p>
    <w:p>
      <w:pPr>
        <w:pStyle w:val="ListNumber"/>
      </w:pPr>
      <w:r>
        <w:rPr>
          <w:b/>
        </w:rPr>
        <w:t>Suspend the pre-assembly instruction</w:t>
      </w:r>
      <w:r>
        <w:t xml:space="preserve"> in the Team Memo (§§ V–VI) to prepare Pinnacle’s current pricing schedules, customer lists and strategic plans for disclosure, and the instruction to have data assembly “substantially complete before the NDA is signed.” Replace it with a short note from you that all information requests and disclosures will be handled through counsel under a clean team process.</w:t>
      </w:r>
    </w:p>
    <w:p>
      <w:pPr>
        <w:pStyle w:val="ListNumber"/>
      </w:pPr>
      <w:r>
        <w:rPr>
          <w:b/>
        </w:rPr>
        <w:t>Antitrust guidelines and training</w:t>
      </w:r>
      <w:r>
        <w:t xml:space="preserve"> for every evaluation team member before any contact with Lakeshore (summary at Appendix C).</w:t>
      </w:r>
    </w:p>
    <w:p>
      <w:pPr>
        <w:pStyle w:val="ListNumber"/>
      </w:pPr>
      <w:r>
        <w:rPr>
          <w:b/>
        </w:rPr>
        <w:t>Confirm prior contacts.</w:t>
      </w:r>
      <w:r>
        <w:t xml:space="preserve"> Determine whether any information (beyond the fact of interest in the JV) has been exchanged between Ms. Thornton and Mr. Delaney or other personnel; if so, we should review it.</w:t>
      </w:r>
    </w:p>
    <w:p>
      <w:pPr>
        <w:pStyle w:val="ListNumber"/>
      </w:pPr>
      <w:r>
        <w:rPr>
          <w:b/>
        </w:rPr>
        <w:t>Document discipline.</w:t>
      </w:r>
      <w:r>
        <w:t xml:space="preserve"> Internal documents may be produced to the agencies (and, if HSR-reportable, will be required in the filing). Avoid speculation about market power, “eliminating” a competitor, or effects on pricing; ensure market descriptions are accurate (see the HHI correction in Section IV).</w:t>
      </w:r>
    </w:p>
    <w:p>
      <w:pPr>
        <w:pStyle w:val="ListNumber"/>
      </w:pPr>
      <w:r>
        <w:rPr>
          <w:b/>
        </w:rPr>
        <w:t>Board reporting.</w:t>
      </w:r>
      <w:r>
        <w:t xml:space="preserve"> Provide the Executive Summary (Section I) to the Board, and record in the minutes that counsel reviewed the NDA and that the clean team and compliance annex are conditions to any exchange — this documents satisfaction of the “appropriate antitrust safeguards” condition.</w:t>
      </w:r>
    </w:p>
    <w:p>
      <w:pPr>
        <w:pStyle w:val="ListNumber"/>
      </w:pPr>
      <w:r>
        <w:rPr>
          <w:b/>
        </w:rPr>
        <w:t>HSR / foreign filings.</w:t>
      </w:r>
      <w:r>
        <w:t xml:space="preserve"> Once the JV structure and contributions are known, we will confirm HSR reportability and whether Canadian or other notifications are required.</w:t>
      </w:r>
    </w:p>
    <w:p>
      <w:r>
        <w:br w:type="page"/>
      </w:r>
    </w:p>
    <w:p>
      <w:pPr>
        <w:pStyle w:val="Heading1"/>
      </w:pPr>
      <w:r>
        <w:t>Appendix A — Clean Team Agreement and Antitrust Compliance Annex: Key Terms</w:t>
      </w:r>
    </w:p>
    <w:p>
      <w:pPr>
        <w:pStyle w:val="Heading2"/>
      </w:pPr>
      <w:r>
        <w:t>A-1. Clean Team Agreement (Exhibit A to NDA)</w:t>
      </w:r>
    </w:p>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D9E2F3"/>
          </w:tcPr>
          <w:p>
            <w:r/>
            <w:r>
              <w:rPr>
                <w:b/>
                <w:sz w:val="18"/>
              </w:rPr>
              <w:t>Term</w:t>
            </w:r>
          </w:p>
        </w:tc>
        <w:tc>
          <w:tcPr>
            <w:tcW w:type="dxa" w:w="7200"/>
            <w:shd w:val="clear" w:color="auto" w:fill="D9E2F3"/>
          </w:tcPr>
          <w:p>
            <w:r/>
            <w:r>
              <w:rPr>
                <w:b/>
                <w:sz w:val="18"/>
              </w:rPr>
              <w:t>Proposed provision</w:t>
            </w:r>
          </w:p>
        </w:tc>
      </w:tr>
      <w:tr>
        <w:tc>
          <w:tcPr>
            <w:tcW w:type="dxa" w:w="2160"/>
          </w:tcPr>
          <w:p>
            <w:pPr>
              <w:spacing w:after="40"/>
            </w:pPr>
            <w:r>
              <w:rPr>
                <w:sz w:val="18"/>
              </w:rPr>
            </w:r>
            <w:r>
              <w:rPr>
                <w:sz w:val="18"/>
              </w:rPr>
              <w:t>Scope</w:t>
            </w:r>
          </w:p>
        </w:tc>
        <w:tc>
          <w:tcPr>
            <w:tcW w:type="dxa" w:w="7200"/>
          </w:tcPr>
          <w:p>
            <w:pPr>
              <w:spacing w:after="40"/>
            </w:pPr>
            <w:r>
              <w:rPr>
                <w:sz w:val="18"/>
              </w:rPr>
            </w:r>
            <w:r>
              <w:rPr>
                <w:sz w:val="18"/>
              </w:rPr>
              <w:t>Governs all Competitively Sensitive Information (“CSI”) exchanged in connection with Project Meridian, whether before or after signing.</w:t>
            </w:r>
          </w:p>
        </w:tc>
      </w:tr>
      <w:tr>
        <w:tc>
          <w:tcPr>
            <w:tcW w:type="dxa" w:w="2160"/>
          </w:tcPr>
          <w:p>
            <w:pPr>
              <w:spacing w:after="40"/>
            </w:pPr>
            <w:r>
              <w:rPr>
                <w:sz w:val="18"/>
              </w:rPr>
            </w:r>
            <w:r>
              <w:rPr>
                <w:sz w:val="18"/>
              </w:rPr>
              <w:t>Clean Team membership</w:t>
            </w:r>
          </w:p>
        </w:tc>
        <w:tc>
          <w:tcPr>
            <w:tcW w:type="dxa" w:w="7200"/>
          </w:tcPr>
          <w:p>
            <w:pPr>
              <w:spacing w:after="40"/>
            </w:pPr>
            <w:r>
              <w:rPr>
                <w:sz w:val="18"/>
              </w:rPr>
            </w:r>
            <w:r>
              <w:rPr>
                <w:sz w:val="18"/>
              </w:rPr>
              <w:t>Each party designates in writing a limited list of named individuals (outside counsel, outside consultants/economists, and employees without responsibility for pricing, sales, marketing, bidding, customer negotiations or capacity planning for overlapping products). Additions require notice to and non-objection by the other party’s counsel. Each member signs an individual acknowledgment.</w:t>
            </w:r>
          </w:p>
        </w:tc>
      </w:tr>
      <w:tr>
        <w:tc>
          <w:tcPr>
            <w:tcW w:type="dxa" w:w="2160"/>
          </w:tcPr>
          <w:p>
            <w:pPr>
              <w:spacing w:after="40"/>
            </w:pPr>
            <w:r>
              <w:rPr>
                <w:sz w:val="18"/>
              </w:rPr>
            </w:r>
            <w:r>
              <w:rPr>
                <w:sz w:val="18"/>
              </w:rPr>
              <w:t>Exclusions</w:t>
            </w:r>
          </w:p>
        </w:tc>
        <w:tc>
          <w:tcPr>
            <w:tcW w:type="dxa" w:w="7200"/>
          </w:tcPr>
          <w:p>
            <w:pPr>
              <w:spacing w:after="40"/>
            </w:pPr>
            <w:r>
              <w:rPr>
                <w:sz w:val="18"/>
              </w:rPr>
            </w:r>
            <w:r>
              <w:rPr>
                <w:sz w:val="18"/>
              </w:rPr>
              <w:t>No CSI to: sales, marketing, pricing or bid personnel for overlapping products; the Northwind bid team; senior executives with overall commercial authority (except counsel-cleared summaries).</w:t>
            </w:r>
          </w:p>
        </w:tc>
      </w:tr>
      <w:tr>
        <w:tc>
          <w:tcPr>
            <w:tcW w:type="dxa" w:w="2160"/>
          </w:tcPr>
          <w:p>
            <w:pPr>
              <w:spacing w:after="40"/>
            </w:pPr>
            <w:r>
              <w:rPr>
                <w:sz w:val="18"/>
              </w:rPr>
            </w:r>
            <w:r>
              <w:rPr>
                <w:sz w:val="18"/>
              </w:rPr>
              <w:t>Labeling and data room</w:t>
            </w:r>
          </w:p>
        </w:tc>
        <w:tc>
          <w:tcPr>
            <w:tcW w:type="dxa" w:w="7200"/>
          </w:tcPr>
          <w:p>
            <w:pPr>
              <w:spacing w:after="40"/>
            </w:pPr>
            <w:r>
              <w:rPr>
                <w:sz w:val="18"/>
              </w:rPr>
            </w:r>
            <w:r>
              <w:rPr>
                <w:sz w:val="18"/>
              </w:rPr>
              <w:t>CSI labeled “CLEAN TEAM ONLY” or “OUTSIDE COUNSEL ONLY”; hosted in a segregated virtual data room with user-level permissions, download/print restrictions and audit logs; no CSI by ordinary email.</w:t>
            </w:r>
          </w:p>
        </w:tc>
      </w:tr>
      <w:tr>
        <w:tc>
          <w:tcPr>
            <w:tcW w:type="dxa" w:w="2160"/>
          </w:tcPr>
          <w:p>
            <w:pPr>
              <w:spacing w:after="40"/>
            </w:pPr>
            <w:r>
              <w:rPr>
                <w:sz w:val="18"/>
              </w:rPr>
            </w:r>
            <w:r>
              <w:rPr>
                <w:sz w:val="18"/>
              </w:rPr>
              <w:t>Pre-screening</w:t>
            </w:r>
          </w:p>
        </w:tc>
        <w:tc>
          <w:tcPr>
            <w:tcW w:type="dxa" w:w="7200"/>
          </w:tcPr>
          <w:p>
            <w:pPr>
              <w:spacing w:after="40"/>
            </w:pPr>
            <w:r>
              <w:rPr>
                <w:sz w:val="18"/>
              </w:rPr>
            </w:r>
            <w:r>
              <w:rPr>
                <w:sz w:val="18"/>
              </w:rPr>
              <w:t>Producing party’s counsel reviews all CSI before production; redaction, aggregation (e.g., across at least several customers), anonymization and use of historical data (e.g., at least several months old) by default.</w:t>
            </w:r>
          </w:p>
        </w:tc>
      </w:tr>
      <w:tr>
        <w:tc>
          <w:tcPr>
            <w:tcW w:type="dxa" w:w="2160"/>
          </w:tcPr>
          <w:p>
            <w:pPr>
              <w:spacing w:after="40"/>
            </w:pPr>
            <w:r>
              <w:rPr>
                <w:sz w:val="18"/>
              </w:rPr>
            </w:r>
            <w:r>
              <w:rPr>
                <w:sz w:val="18"/>
              </w:rPr>
              <w:t>Outputs</w:t>
            </w:r>
          </w:p>
        </w:tc>
        <w:tc>
          <w:tcPr>
            <w:tcW w:type="dxa" w:w="7200"/>
          </w:tcPr>
          <w:p>
            <w:pPr>
              <w:spacing w:after="40"/>
            </w:pPr>
            <w:r>
              <w:rPr>
                <w:sz w:val="18"/>
              </w:rPr>
            </w:r>
            <w:r>
              <w:rPr>
                <w:sz w:val="18"/>
              </w:rPr>
              <w:t>Clean Team may share analyses with the broader team only if aggregated or sanitized so that no CSI can be discerned, and only after review by the producing party’s outside counsel.</w:t>
            </w:r>
          </w:p>
        </w:tc>
      </w:tr>
      <w:tr>
        <w:tc>
          <w:tcPr>
            <w:tcW w:type="dxa" w:w="2160"/>
          </w:tcPr>
          <w:p>
            <w:pPr>
              <w:spacing w:after="40"/>
            </w:pPr>
            <w:r>
              <w:rPr>
                <w:sz w:val="18"/>
              </w:rPr>
            </w:r>
            <w:r>
              <w:rPr>
                <w:sz w:val="18"/>
              </w:rPr>
              <w:t>Use</w:t>
            </w:r>
          </w:p>
        </w:tc>
        <w:tc>
          <w:tcPr>
            <w:tcW w:type="dxa" w:w="7200"/>
          </w:tcPr>
          <w:p>
            <w:pPr>
              <w:spacing w:after="40"/>
            </w:pPr>
            <w:r>
              <w:rPr>
                <w:sz w:val="18"/>
              </w:rPr>
            </w:r>
            <w:r>
              <w:rPr>
                <w:sz w:val="18"/>
              </w:rPr>
              <w:t>CSI used solely for the Permitted Purpose; never for pricing, bidding, marketing, customer or capacity decisions.</w:t>
            </w:r>
          </w:p>
        </w:tc>
      </w:tr>
      <w:tr>
        <w:tc>
          <w:tcPr>
            <w:tcW w:type="dxa" w:w="2160"/>
          </w:tcPr>
          <w:p>
            <w:pPr>
              <w:spacing w:after="40"/>
            </w:pPr>
            <w:r>
              <w:rPr>
                <w:sz w:val="18"/>
              </w:rPr>
            </w:r>
            <w:r>
              <w:rPr>
                <w:sz w:val="18"/>
              </w:rPr>
              <w:t>Post-access restrictions</w:t>
            </w:r>
          </w:p>
        </w:tc>
        <w:tc>
          <w:tcPr>
            <w:tcW w:type="dxa" w:w="7200"/>
          </w:tcPr>
          <w:p>
            <w:pPr>
              <w:spacing w:after="40"/>
            </w:pPr>
            <w:r>
              <w:rPr>
                <w:sz w:val="18"/>
              </w:rPr>
            </w:r>
            <w:r>
              <w:rPr>
                <w:sz w:val="18"/>
              </w:rPr>
              <w:t>Clean Team members agree not to use CSI in any later role; where practicable, a cooling-off period (6–12 months) before taking pricing/sales responsibility for overlapping products.</w:t>
            </w:r>
          </w:p>
        </w:tc>
      </w:tr>
      <w:tr>
        <w:tc>
          <w:tcPr>
            <w:tcW w:type="dxa" w:w="2160"/>
          </w:tcPr>
          <w:p>
            <w:pPr>
              <w:spacing w:after="40"/>
            </w:pPr>
            <w:r>
              <w:rPr>
                <w:sz w:val="18"/>
              </w:rPr>
            </w:r>
            <w:r>
              <w:rPr>
                <w:sz w:val="18"/>
              </w:rPr>
              <w:t>Return/destruction</w:t>
            </w:r>
          </w:p>
        </w:tc>
        <w:tc>
          <w:tcPr>
            <w:tcW w:type="dxa" w:w="7200"/>
          </w:tcPr>
          <w:p>
            <w:pPr>
              <w:spacing w:after="40"/>
            </w:pPr>
            <w:r>
              <w:rPr>
                <w:sz w:val="18"/>
              </w:rPr>
            </w:r>
            <w:r>
              <w:rPr>
                <w:sz w:val="18"/>
              </w:rPr>
              <w:t>On termination or request, destruction of CSI and Derivative Materials, certified by counsel; archival copy (if any) held only by outside counsel.</w:t>
            </w:r>
          </w:p>
        </w:tc>
      </w:tr>
      <w:tr>
        <w:tc>
          <w:tcPr>
            <w:tcW w:type="dxa" w:w="2160"/>
          </w:tcPr>
          <w:p>
            <w:pPr>
              <w:spacing w:after="40"/>
            </w:pPr>
            <w:r>
              <w:rPr>
                <w:sz w:val="18"/>
              </w:rPr>
            </w:r>
            <w:r>
              <w:rPr>
                <w:sz w:val="18"/>
              </w:rPr>
              <w:t>Compliance oversight</w:t>
            </w:r>
          </w:p>
        </w:tc>
        <w:tc>
          <w:tcPr>
            <w:tcW w:type="dxa" w:w="7200"/>
          </w:tcPr>
          <w:p>
            <w:pPr>
              <w:spacing w:after="40"/>
            </w:pPr>
            <w:r>
              <w:rPr>
                <w:sz w:val="18"/>
              </w:rPr>
            </w:r>
            <w:r>
              <w:rPr>
                <w:sz w:val="18"/>
              </w:rPr>
              <w:t>Access log (expanded § 4.3); periodic counsel audit; prompt notice and remediation of any inadvertent disclosure (including notification to the producing party and sequestration/destruction).</w:t>
            </w:r>
          </w:p>
        </w:tc>
      </w:tr>
      <w:tr>
        <w:tc>
          <w:tcPr>
            <w:tcW w:type="dxa" w:w="2160"/>
          </w:tcPr>
          <w:p>
            <w:pPr>
              <w:spacing w:after="40"/>
            </w:pPr>
            <w:r>
              <w:rPr>
                <w:sz w:val="18"/>
              </w:rPr>
            </w:r>
            <w:r>
              <w:rPr>
                <w:sz w:val="18"/>
              </w:rPr>
              <w:t>Precedence and survival</w:t>
            </w:r>
          </w:p>
        </w:tc>
        <w:tc>
          <w:tcPr>
            <w:tcW w:type="dxa" w:w="7200"/>
          </w:tcPr>
          <w:p>
            <w:pPr>
              <w:spacing w:after="40"/>
            </w:pPr>
            <w:r>
              <w:rPr>
                <w:sz w:val="18"/>
              </w:rPr>
            </w:r>
            <w:r>
              <w:rPr>
                <w:sz w:val="18"/>
              </w:rPr>
              <w:t>Prevails over NDA in case of conflict; survives termination for the NDA confidentiality period.</w:t>
            </w:r>
          </w:p>
        </w:tc>
      </w:tr>
    </w:tbl>
    <w:p/>
    <w:p>
      <w:pPr>
        <w:pStyle w:val="Heading2"/>
      </w:pPr>
      <w:r>
        <w:t>A-2. Antitrust Compliance Annex (Exhibit B to NDA)</w:t>
      </w:r>
    </w:p>
    <w:p>
      <w:pPr>
        <w:pStyle w:val="ListBullet"/>
      </w:pPr>
      <w:r>
        <w:rPr>
          <w:b/>
        </w:rPr>
        <w:t>Independence:</w:t>
      </w:r>
      <w:r>
        <w:t xml:space="preserve"> parties remain independent competitors; no agreement or understanding on prices, discounts, bids, customers, territories, output, capacity, suppliers, wages or hiring; each party sets its competitive conduct unilaterally.</w:t>
      </w:r>
    </w:p>
    <w:p>
      <w:pPr>
        <w:pStyle w:val="ListBullet"/>
      </w:pPr>
      <w:r>
        <w:rPr>
          <w:b/>
        </w:rPr>
        <w:t>Prohibited topics</w:t>
      </w:r>
      <w:r>
        <w:t xml:space="preserve"> in any communication: current or future prices/pricing strategies for existing products; discount and rebate terms; bids and RFQs (including Northwind); customer-specific information; capacity plans and output for existing products; employee compensation; any proposal to allocate customers or markets.</w:t>
      </w:r>
    </w:p>
    <w:p>
      <w:pPr>
        <w:pStyle w:val="ListBullet"/>
      </w:pPr>
      <w:r>
        <w:rPr>
          <w:b/>
        </w:rPr>
        <w:t>Bid blackout:</w:t>
      </w:r>
      <w:r>
        <w:t xml:space="preserve"> no information concerning Northwind or any other pending or anticipated procurement in which both parties participate; independent-bid confirmations.</w:t>
      </w:r>
    </w:p>
    <w:p>
      <w:pPr>
        <w:pStyle w:val="ListBullet"/>
      </w:pPr>
      <w:r>
        <w:rPr>
          <w:b/>
        </w:rPr>
        <w:t>Meetings:</w:t>
      </w:r>
      <w:r>
        <w:t xml:space="preserve"> written agenda; counsel review; counsel attendance where CSI may arise; minutes; right and obligation to stop improper discussions.</w:t>
      </w:r>
    </w:p>
    <w:p>
      <w:pPr>
        <w:pStyle w:val="ListBullet"/>
      </w:pPr>
      <w:r>
        <w:rPr>
          <w:b/>
        </w:rPr>
        <w:t>Integration planning limits:</w:t>
      </w:r>
      <w:r>
        <w:t xml:space="preserve"> planning only for the JV Business; no implementation, no joint customer contacts, no joint communications to customers or suppliers, and no exercise of influence over the other party’s business before closing and any required clearances.</w:t>
      </w:r>
    </w:p>
    <w:p>
      <w:pPr>
        <w:pStyle w:val="ListBullet"/>
      </w:pPr>
      <w:r>
        <w:rPr>
          <w:b/>
        </w:rPr>
        <w:t>Documents:</w:t>
      </w:r>
      <w:r>
        <w:t xml:space="preserve"> accurate, non-speculative language; no characterizations of market power or competitive effects without counsel input.</w:t>
      </w:r>
    </w:p>
    <w:p>
      <w:pPr>
        <w:pStyle w:val="ListBullet"/>
      </w:pPr>
      <w:r>
        <w:rPr>
          <w:b/>
        </w:rPr>
        <w:t>Training and certifications:</w:t>
      </w:r>
      <w:r>
        <w:t xml:space="preserve"> antitrust training for all evaluation team members before access; periodic compliance certifications.</w:t>
      </w:r>
    </w:p>
    <w:p>
      <w:pPr>
        <w:pStyle w:val="ListBullet"/>
      </w:pPr>
      <w:r>
        <w:rPr>
          <w:b/>
        </w:rPr>
        <w:t>Reporting:</w:t>
      </w:r>
      <w:r>
        <w:t xml:space="preserve"> any suspected violation reported promptly to the party’s General Counsel and antitrust counsel.</w:t>
      </w:r>
    </w:p>
    <w:p>
      <w:pPr>
        <w:pStyle w:val="ListBullet"/>
      </w:pPr>
      <w:r>
        <w:rPr>
          <w:b/>
        </w:rPr>
        <w:t>Antitrust override:</w:t>
      </w:r>
      <w:r>
        <w:t xml:space="preserve"> either party may refuse or limit any disclosure, or terminate any discussion, on the advice of counsel, without breach.</w:t>
      </w:r>
    </w:p>
    <w:p>
      <w:pPr>
        <w:pStyle w:val="Heading1"/>
      </w:pPr>
      <w:r>
        <w:t>Appendix B — Proposed Rider Language for the NDA</w:t>
      </w:r>
    </w:p>
    <w:p>
      <w:pPr>
        <w:jc w:val="both"/>
      </w:pPr>
      <w:r>
        <w:t>The following provisions should be inserted or substituted (in addition to the replacement language for §§ 1.8/3.1, 4.1, 6.1, 6.3 and 7.1 set out in Section V).</w:t>
      </w:r>
    </w:p>
    <w:p>
      <w:r>
        <w:rPr>
          <w:b/>
        </w:rPr>
        <w:t>New § 2.4 — Competitively Sensitive Information.</w:t>
      </w:r>
    </w:p>
    <w:p>
      <w:pPr>
        <w:ind w:left="720" w:right="576"/>
      </w:pPr>
      <w:r>
        <w:rPr>
          <w:sz w:val="21"/>
        </w:rPr>
        <w:t>“‘Competitively Sensitive Information’ means Confidential Information that is not publicly available and that relates to a Party’s current or future prices, pricing methodologies, discounts, rebates or other terms of sale; customer identities in combination with revenue, volume, pricing or contract terms; bids or tenders; costs at a level of detail that would reveal margins or pricing; production capacity, output, capacity utilization or expansion plans; marketing, sales or strategic plans for products that compete with the products of the other Party; supplier terms; employee compensation or terms of employment; or any other information the disclosure of which to a competitor could reasonably be expected to affect competition between the Parties. The inclusion of any category of information in Section 2.1 or this Section 2.4 shall not be construed as an agreement or expectation that such information will be disclosed.”</w:t>
      </w:r>
    </w:p>
    <w:p>
      <w:r>
        <w:rPr>
          <w:b/>
        </w:rPr>
        <w:t>Revised § 5.2 — Exclusions</w:t>
      </w:r>
      <w:r>
        <w:t xml:space="preserve"> (add):</w:t>
      </w:r>
    </w:p>
    <w:p>
      <w:pPr>
        <w:ind w:left="720" w:right="576"/>
      </w:pPr>
      <w:r>
        <w:rPr>
          <w:sz w:val="21"/>
        </w:rPr>
        <w:t>“(c) is or becomes available to the Receiving Party on a non-confidential basis from a source other than the Disclosing Party or its Representatives, provided that such source is not known by the Receiving Party to be bound by an obligation of confidentiality with respect to such information; or (d) is independently developed by or for the Receiving Party without use of or reference to the Disclosing Party’s Confidential Information, as shown by competent evidence.”</w:t>
      </w:r>
    </w:p>
    <w:p>
      <w:r>
        <w:rPr>
          <w:b/>
        </w:rPr>
        <w:t>New § 5.4 — Legally Required and Regulatory Disclosure.</w:t>
      </w:r>
    </w:p>
    <w:p>
      <w:pPr>
        <w:ind w:left="720" w:right="576"/>
      </w:pPr>
      <w:r>
        <w:rPr>
          <w:sz w:val="21"/>
        </w:rPr>
        <w:t>“Nothing in this Agreement shall prevent a Party from disclosing Confidential Information to the extent required by applicable law, regulation, stock exchange rule or legal process, or requested by any governmental or regulatory authority (including the U.S. Department of Justice, the Federal Trade Commission, any state attorney general or any non-U.S. competition authority), including in connection with any premerger notification or investigation, provided that, to the extent legally permitted and practicable (and except in the case of a confidential inquiry by a governmental authority not directed at the Disclosing Party), the Receiving Party gives the Disclosing Party prompt notice and reasonably cooperates, at the Disclosing Party’s expense, in seeking confidential treatment.”</w:t>
      </w:r>
    </w:p>
    <w:p>
      <w:r>
        <w:rPr>
          <w:b/>
        </w:rPr>
        <w:t>New § 12.11 — Antitrust Compliance; Independent Conduct.</w:t>
      </w:r>
    </w:p>
    <w:p>
      <w:pPr>
        <w:ind w:left="720" w:right="576"/>
      </w:pPr>
      <w:r>
        <w:rPr>
          <w:sz w:val="21"/>
        </w:rPr>
        <w:t>“The Parties acknowledge that they are, and until the consummation of any Transaction will remain, independent competitors. Nothing in this Agreement shall be construed to require or permit any agreement or understanding between the Parties concerning prices, terms of sale, bids, customers, suppliers, territories, output, capacity, employee compensation or hiring, or any other competitive matter, and each Party shall continue to determine its business conduct unilaterally. Each Party shall conduct all activities under this Agreement in compliance with applicable antitrust and competition laws and with the Clean Team Agreement and Antitrust Compliance Annex attached as Exhibits A and B, which are incorporated herein and shall prevail in the event of any conflict with this Agreement. Notwithstanding any other provision of this Agreement, neither Party shall be required to disclose any information, or to participate in any discussion, that it or its counsel determines in good faith may be inappropriate under applicable antitrust or competition laws.”</w:t>
      </w:r>
    </w:p>
    <w:p>
      <w:r>
        <w:rPr>
          <w:b/>
        </w:rPr>
        <w:t>New § 6.4 — Bid Blackout.</w:t>
      </w:r>
    </w:p>
    <w:p>
      <w:pPr>
        <w:ind w:left="720" w:right="576"/>
      </w:pPr>
      <w:r>
        <w:rPr>
          <w:sz w:val="21"/>
        </w:rPr>
        <w:t>“Notwithstanding anything to the contrary herein, neither Party shall request, disclose, exchange or discuss, and each Party shall cause its Representatives not to request, disclose, exchange or discuss, any information relating to any pending or anticipated bid, tender, request for proposal or request for quotation in which both Parties are or reasonably may be participants, including the pending Northwind Aerospace Corporation procurement. Each Party confirms that its participation in any such procurement has been and will be determined independently.”</w:t>
      </w:r>
    </w:p>
    <w:p>
      <w:r>
        <w:rPr>
          <w:b/>
        </w:rPr>
        <w:t>Deletions:</w:t>
      </w:r>
      <w:r>
        <w:t xml:space="preserve"> §§ 1.7, 5.3, 6.2, 8.3(ii) and 9.3 in their entirety; the automatic renewal sentence in § 8.1; “consummating” and “integration planning activities” in § 3.1 (replaced as in Issue 8); and conforming changes to § 1.4 (Evaluation Period).</w:t>
      </w:r>
    </w:p>
    <w:p>
      <w:pPr>
        <w:pStyle w:val="Heading1"/>
      </w:pPr>
      <w:r>
        <w:t>Appendix C — Do’s and Don’ts for the Project Meridian Evaluation Team (for distribution after the NDA is signed)</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
              <w:rPr>
                <w:b/>
                <w:sz w:val="19"/>
              </w:rPr>
              <w:t>Do</w:t>
            </w:r>
          </w:p>
        </w:tc>
        <w:tc>
          <w:tcPr>
            <w:tcW w:type="dxa" w:w="4680"/>
            <w:shd w:val="clear" w:color="auto" w:fill="D9E2F3"/>
          </w:tcPr>
          <w:p>
            <w:r/>
            <w:r>
              <w:rPr>
                <w:b/>
                <w:sz w:val="19"/>
              </w:rPr>
              <w:t>Don’t</w:t>
            </w:r>
          </w:p>
        </w:tc>
      </w:tr>
      <w:tr>
        <w:tc>
          <w:tcPr>
            <w:tcW w:type="dxa" w:w="4680"/>
          </w:tcPr>
          <w:p>
            <w:pPr>
              <w:spacing w:after="40"/>
            </w:pPr>
            <w:r>
              <w:rPr>
                <w:sz w:val="19"/>
              </w:rPr>
            </w:r>
            <w:r>
              <w:rPr>
                <w:sz w:val="19"/>
              </w:rPr>
              <w:t>Route every information request and disclosure through David Yoon and outside counsel</w:t>
            </w:r>
          </w:p>
        </w:tc>
        <w:tc>
          <w:tcPr>
            <w:tcW w:type="dxa" w:w="4680"/>
          </w:tcPr>
          <w:p>
            <w:pPr>
              <w:spacing w:after="40"/>
            </w:pPr>
            <w:r>
              <w:rPr>
                <w:sz w:val="19"/>
              </w:rPr>
            </w:r>
            <w:r>
              <w:rPr>
                <w:sz w:val="19"/>
              </w:rPr>
              <w:t>Discuss current or future prices, discounts, rebates, margins or terms of sale for existing products</w:t>
            </w:r>
          </w:p>
        </w:tc>
      </w:tr>
      <w:tr>
        <w:tc>
          <w:tcPr>
            <w:tcW w:type="dxa" w:w="4680"/>
          </w:tcPr>
          <w:p>
            <w:pPr>
              <w:spacing w:after="40"/>
            </w:pPr>
            <w:r>
              <w:rPr>
                <w:sz w:val="19"/>
              </w:rPr>
            </w:r>
            <w:r>
              <w:rPr>
                <w:sz w:val="19"/>
              </w:rPr>
              <w:t>Keep discussions focused on the rCF JV — technology, feedstock, capital, siting, governance</w:t>
            </w:r>
          </w:p>
        </w:tc>
        <w:tc>
          <w:tcPr>
            <w:tcW w:type="dxa" w:w="4680"/>
          </w:tcPr>
          <w:p>
            <w:pPr>
              <w:spacing w:after="40"/>
            </w:pPr>
            <w:r>
              <w:rPr>
                <w:sz w:val="19"/>
              </w:rPr>
            </w:r>
            <w:r>
              <w:rPr>
                <w:sz w:val="19"/>
              </w:rPr>
              <w:t>Discuss Northwind or any other bid, customer, RFQ or account</w:t>
            </w:r>
          </w:p>
        </w:tc>
      </w:tr>
      <w:tr>
        <w:tc>
          <w:tcPr>
            <w:tcW w:type="dxa" w:w="4680"/>
          </w:tcPr>
          <w:p>
            <w:pPr>
              <w:spacing w:after="40"/>
            </w:pPr>
            <w:r>
              <w:rPr>
                <w:sz w:val="19"/>
              </w:rPr>
            </w:r>
            <w:r>
              <w:rPr>
                <w:sz w:val="19"/>
              </w:rPr>
              <w:t>Use the data room; respect “CLEAN TEAM ONLY” labels</w:t>
            </w:r>
          </w:p>
        </w:tc>
        <w:tc>
          <w:tcPr>
            <w:tcW w:type="dxa" w:w="4680"/>
          </w:tcPr>
          <w:p>
            <w:pPr>
              <w:spacing w:after="40"/>
            </w:pPr>
            <w:r>
              <w:rPr>
                <w:sz w:val="19"/>
              </w:rPr>
            </w:r>
            <w:r>
              <w:rPr>
                <w:sz w:val="19"/>
              </w:rPr>
              <w:t>Forward Lakeshore materials by email or save them outside the secure environment</w:t>
            </w:r>
          </w:p>
        </w:tc>
      </w:tr>
      <w:tr>
        <w:tc>
          <w:tcPr>
            <w:tcW w:type="dxa" w:w="4680"/>
          </w:tcPr>
          <w:p>
            <w:pPr>
              <w:spacing w:after="40"/>
            </w:pPr>
            <w:r>
              <w:rPr>
                <w:sz w:val="19"/>
              </w:rPr>
            </w:r>
            <w:r>
              <w:rPr>
                <w:sz w:val="19"/>
              </w:rPr>
              <w:t>Attend meetings only with an agenda; ensure counsel is present where required; leave and report if improper topics arise</w:t>
            </w:r>
          </w:p>
        </w:tc>
        <w:tc>
          <w:tcPr>
            <w:tcW w:type="dxa" w:w="4680"/>
          </w:tcPr>
          <w:p>
            <w:pPr>
              <w:spacing w:after="40"/>
            </w:pPr>
            <w:r>
              <w:rPr>
                <w:sz w:val="19"/>
              </w:rPr>
            </w:r>
            <w:r>
              <w:rPr>
                <w:sz w:val="19"/>
              </w:rPr>
              <w:t>Discuss capacity, output or expansion plans for existing lines, or wages/hiring of employees</w:t>
            </w:r>
          </w:p>
        </w:tc>
      </w:tr>
      <w:tr>
        <w:tc>
          <w:tcPr>
            <w:tcW w:type="dxa" w:w="4680"/>
          </w:tcPr>
          <w:p>
            <w:pPr>
              <w:spacing w:after="40"/>
            </w:pPr>
            <w:r>
              <w:rPr>
                <w:sz w:val="19"/>
              </w:rPr>
            </w:r>
            <w:r>
              <w:rPr>
                <w:sz w:val="19"/>
              </w:rPr>
              <w:t>Write accurately and factually; assume documents will be read by regulators</w:t>
            </w:r>
          </w:p>
        </w:tc>
        <w:tc>
          <w:tcPr>
            <w:tcW w:type="dxa" w:w="4680"/>
          </w:tcPr>
          <w:p>
            <w:pPr>
              <w:spacing w:after="40"/>
            </w:pPr>
            <w:r>
              <w:rPr>
                <w:sz w:val="19"/>
              </w:rPr>
            </w:r>
            <w:r>
              <w:rPr>
                <w:sz w:val="19"/>
              </w:rPr>
              <w:t>Speculate in writing about market power, pricing effects, or “eliminating” competition</w:t>
            </w:r>
          </w:p>
        </w:tc>
      </w:tr>
      <w:tr>
        <w:tc>
          <w:tcPr>
            <w:tcW w:type="dxa" w:w="4680"/>
          </w:tcPr>
          <w:p>
            <w:pPr>
              <w:spacing w:after="40"/>
            </w:pPr>
            <w:r>
              <w:rPr>
                <w:sz w:val="19"/>
              </w:rPr>
            </w:r>
            <w:r>
              <w:rPr>
                <w:sz w:val="19"/>
              </w:rPr>
              <w:t>Continue to compete vigorously and independently against Lakeshore</w:t>
            </w:r>
          </w:p>
        </w:tc>
        <w:tc>
          <w:tcPr>
            <w:tcW w:type="dxa" w:w="4680"/>
          </w:tcPr>
          <w:p>
            <w:pPr>
              <w:spacing w:after="40"/>
            </w:pPr>
            <w:r>
              <w:rPr>
                <w:sz w:val="19"/>
              </w:rPr>
            </w:r>
            <w:r>
              <w:rPr>
                <w:sz w:val="19"/>
              </w:rPr>
              <w:t>Agree, suggest or imply any coordination with Lakeshore outside the JV</w:t>
            </w:r>
          </w:p>
        </w:tc>
      </w:tr>
    </w:tbl>
    <w:p/>
    <w:p/>
    <w:p>
      <w:r>
        <w:rPr>
          <w:i/>
          <w:sz w:val="20"/>
        </w:rPr>
        <w:t>This memorandum is based on the documents identified in Section II and the assumptions stated there, and on U.S. federal antitrust law and agency guidance as of its date. It is provided to Pinnacle Fiber Technologies, Inc. for the purpose of legal advice and should not be distributed outside Pinnacle’s legal function, senior management and Board without consulting us, to preserve privilege. The Executive Summary in Section I has been prepared so that it may be shared with the CEO and the Board.</w:t>
      </w:r>
    </w:p>
    <w:p>
      <w:r>
        <w:rPr>
          <w:sz w:val="20"/>
        </w:rPr>
        <w:t>W&amp;C — KE/JO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1F2A44"/>
      <w:sz w:val="2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1F2A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