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HARGROVE, STERN &amp; WHITFIELD LLP</w:t>
      </w:r>
    </w:p>
    <w:p>
      <w:pPr>
        <w:spacing w:after="120"/>
        <w:jc w:val="center"/>
      </w:pPr>
      <w:r>
        <w:rPr>
          <w:b w:val="0"/>
          <w:i w:val="0"/>
          <w:sz w:val="20"/>
        </w:rPr>
        <w:t>1700 K Street NW, Suite 1200 · Washington, DC 20006</w:t>
      </w:r>
    </w:p>
    <w:p>
      <w:pPr>
        <w:spacing w:after="120"/>
        <w:jc w:val="center"/>
      </w:pPr>
      <w:r>
        <w:rPr>
          <w:b/>
          <w:i w:val="0"/>
          <w:sz w:val="24"/>
        </w:rPr>
        <w:t>MEMORANDUM</w:t>
      </w:r>
    </w:p>
    <w:p>
      <w:pPr>
        <w:spacing w:after="120"/>
        <w:jc w:val="center"/>
      </w:pPr>
      <w:r>
        <w:rPr>
          <w:b/>
          <w:i w:val="0"/>
          <w:sz w:val="20"/>
        </w:rPr>
        <w:t>PRIVILEGED AND CONFIDENTIAL — ATTORNEY-CLIENT COMMUNICATION / ATTORNEY WORK PRODUCT</w:t>
      </w:r>
    </w:p>
    <w:tbl>
      <w:tblPr>
        <w:tblW w:type="auto" w:w="0"/>
        <w:tblLook w:firstColumn="1" w:firstRow="1" w:lastColumn="0" w:lastRow="0" w:noHBand="0" w:noVBand="1" w:val="04A0"/>
      </w:tblPr>
      <w:tblGrid>
        <w:gridCol w:w="4680"/>
        <w:gridCol w:w="4680"/>
      </w:tblGrid>
      <w:tr>
        <w:tc>
          <w:tcPr>
            <w:tcW w:type="dxa" w:w="1152"/>
          </w:tcPr>
          <w:p>
            <w:r/>
            <w:r>
              <w:rPr>
                <w:b/>
              </w:rPr>
              <w:t>TO:</w:t>
            </w:r>
          </w:p>
        </w:tc>
        <w:tc>
          <w:tcPr>
            <w:tcW w:type="dxa" w:w="8208"/>
          </w:tcPr>
          <w:p>
            <w:r>
              <w:t>Catherine "Kate" Ashford, Partner</w:t>
            </w:r>
          </w:p>
        </w:tc>
      </w:tr>
      <w:tr>
        <w:tc>
          <w:tcPr>
            <w:tcW w:type="dxa" w:w="1152"/>
          </w:tcPr>
          <w:p>
            <w:r/>
            <w:r>
              <w:rPr>
                <w:b/>
              </w:rPr>
              <w:t>CC:</w:t>
            </w:r>
          </w:p>
        </w:tc>
        <w:tc>
          <w:tcPr>
            <w:tcW w:type="dxa" w:w="8208"/>
          </w:tcPr>
          <w:p>
            <w:r>
              <w:t>Benjamin Torres, Senior Associate</w:t>
            </w:r>
          </w:p>
        </w:tc>
      </w:tr>
      <w:tr>
        <w:tc>
          <w:tcPr>
            <w:tcW w:type="dxa" w:w="1152"/>
          </w:tcPr>
          <w:p>
            <w:r/>
            <w:r>
              <w:rPr>
                <w:b/>
              </w:rPr>
              <w:t>FROM:</w:t>
            </w:r>
          </w:p>
        </w:tc>
        <w:tc>
          <w:tcPr>
            <w:tcW w:type="dxa" w:w="8208"/>
          </w:tcPr>
          <w:p>
            <w:r>
              <w:t>Antitrust Associate Team</w:t>
            </w:r>
          </w:p>
        </w:tc>
      </w:tr>
      <w:tr>
        <w:tc>
          <w:tcPr>
            <w:tcW w:type="dxa" w:w="1152"/>
          </w:tcPr>
          <w:p>
            <w:r/>
            <w:r>
              <w:rPr>
                <w:b/>
              </w:rPr>
              <w:t>DATE:</w:t>
            </w:r>
          </w:p>
        </w:tc>
        <w:tc>
          <w:tcPr>
            <w:tcW w:type="dxa" w:w="8208"/>
          </w:tcPr>
          <w:p>
            <w:r>
              <w:t>April 14, 2025</w:t>
            </w:r>
          </w:p>
        </w:tc>
      </w:tr>
      <w:tr>
        <w:tc>
          <w:tcPr>
            <w:tcW w:type="dxa" w:w="1152"/>
          </w:tcPr>
          <w:p>
            <w:r/>
            <w:r>
              <w:rPr>
                <w:b/>
              </w:rPr>
              <w:t>RE:</w:t>
            </w:r>
          </w:p>
        </w:tc>
        <w:tc>
          <w:tcPr>
            <w:tcW w:type="dxa" w:w="8208"/>
          </w:tcPr>
          <w:p>
            <w:r>
              <w:t>Whitmore Logistics Holdings, Inc. / Cascade Regional Freight, Inc. (FTC File No. 241-0187) — Cover Memo to HSW Markup of FTC Proposed Protective Order (circulated April 2, 2025): Key Changes and Negotiation Strategy</w:t>
            </w:r>
          </w:p>
        </w:tc>
      </w:tr>
    </w:tbl>
    <w:p>
      <w:pPr>
        <w:spacing w:after="120"/>
      </w:pPr>
      <w:r>
        <w:rPr>
          <w:b w:val="0"/>
          <w:i w:val="0"/>
        </w:rPr>
        <w:t>______________________________________________________________________________</w:t>
      </w:r>
    </w:p>
    <w:p>
      <w:pPr>
        <w:pStyle w:val="Heading1"/>
      </w:pPr>
      <w:r>
        <w:t>I. Executive Summary</w:t>
      </w:r>
    </w:p>
    <w:p>
      <w:pPr>
        <w:spacing w:after="120"/>
      </w:pPr>
      <w:r>
        <w:rPr>
          <w:b w:val="0"/>
          <w:i w:val="0"/>
        </w:rPr>
        <w:t>Enclosed is our tracked-changes markup of the FTC's April 2 proposed protective order (protective-order-markup.docx). It implements David Pratt's April 9 priorities, the positions Staff signaled on the April 8 joint call, the precedent analysis in Benjamin's April 11 memo, and the requests in Robert Tanaka's April 10 letter on behalf of Ridgeline Capital Partners — filtered for what is achievable and what actually serves Whitmore. The markup carries internal margin notes explaining each change; those notes must be stripped before the draft goes to Pemberton &amp; Locke or Staff.</w:t>
      </w:r>
    </w:p>
    <w:p>
      <w:pPr>
        <w:spacing w:after="40"/>
      </w:pPr>
      <w:r>
        <w:rPr>
          <w:b/>
          <w:i w:val="0"/>
        </w:rPr>
        <w:t>Bottom line:</w:t>
      </w:r>
    </w:p>
    <w:p>
      <w:pPr>
        <w:pStyle w:val="ListBullet"/>
        <w:spacing w:after="60"/>
      </w:pPr>
      <w:r>
        <w:rPr>
          <w:b/>
        </w:rPr>
        <w:t>Bank the easy wins early.</w:t>
      </w:r>
      <w:r>
        <w:t xml:space="preserve"> Lock in the items Staff already signaled it would accept — structured-data clarification (Para. 3(b)/2(n)), a definition of "Conclusion of the Investigation" (2(j)), a 20-business-day challenge period with designations remaining in force (18(c), 18(f)), and a bridge provision for any Part 3 or Section 13(b) proceeding (new Para. 23).</w:t>
      </w:r>
    </w:p>
    <w:p>
      <w:pPr>
        <w:pStyle w:val="ListBullet"/>
        <w:spacing w:after="60"/>
      </w:pPr>
      <w:r>
        <w:rPr>
          <w:b/>
        </w:rPr>
        <w:t>Lead with the third tier.</w:t>
      </w:r>
      <w:r>
        <w:t xml:space="preserve"> The third tier ("Restricted Highly Confidential — Attorneys' Eyes Only"; Paras. 3(c), 9A) is our most important ask and has direct Mergers IV support (Crestline/Durango). We frame it as a party-to-party protection that leaves Staff's access completely untouched.</w:t>
      </w:r>
    </w:p>
    <w:p>
      <w:pPr>
        <w:pStyle w:val="ListBullet"/>
        <w:spacing w:after="60"/>
      </w:pPr>
      <w:r>
        <w:rPr>
          <w:b/>
        </w:rPr>
        <w:t>Present inter-party provisions jointly with Cascade.</w:t>
      </w:r>
      <w:r>
        <w:t xml:space="preserve"> In-house counsel designation/objection/competitive wall (Para. 7), expert conflicts screening (8(d)–(g)), derivative materials (24) and the Ridgeline provisions (25) are matters Heller described as "between the parties" or on which he has "no strong view." Agree them with Alan Hsiao first and present them to Staff as a joint position.</w:t>
      </w:r>
    </w:p>
    <w:p>
      <w:pPr>
        <w:pStyle w:val="ListBullet"/>
        <w:spacing w:after="60"/>
      </w:pPr>
      <w:r>
        <w:rPr>
          <w:b/>
        </w:rPr>
        <w:t>Treat Para. 14 and FTC staff-rotation asks as trading stock.</w:t>
      </w:r>
      <w:r>
        <w:t xml:space="preserve"> Heller called Para. 14 "non-negotiable" as to prior notice. We do not re-propose a 10-day prior-notice requirement. Instead we ask for a written agreement from receiving agencies (formalizing Staff's stated practice), anchor sharing to 15 U.S.C. § 18a(h), and offer bracketed notice alternatives that can be traded away. Staff-rotation protections (2(f), 12(c)–(d)) are likewise drafted with fallbacks; departure notification is the piece worth pressing.</w:t>
      </w:r>
    </w:p>
    <w:p>
      <w:pPr>
        <w:pStyle w:val="ListBullet"/>
        <w:spacing w:after="60"/>
      </w:pPr>
      <w:r>
        <w:rPr>
          <w:b/>
        </w:rPr>
        <w:t>Client decisions required.</w:t>
      </w:r>
      <w:r>
        <w:t xml:space="preserve"> Several decisions need David's sign-off before circulation (Section V), most importantly that the third tier is reciprocal and will keep Northbridge from seeing Cascade's customer-level profitability data without consent, and that the in-house "competitive wall" may apply to David himself.</w:t>
      </w:r>
    </w:p>
    <w:p>
      <w:pPr>
        <w:pStyle w:val="ListBullet"/>
        <w:spacing w:after="60"/>
      </w:pPr>
      <w:r>
        <w:rPr>
          <w:b/>
        </w:rPr>
        <w:t>Timeline.</w:t>
      </w:r>
      <w:r>
        <w:t xml:space="preserve"> Kate review today (April 14); client sign-off April 15; to Alan Hsiao April 15–16; circulate to Staff by April 18 (as Kate committed on the April 8 call); follow-up call with Heller week of April 21; joint submission (or competing proposals with a cover letter) April 25.</w:t>
      </w:r>
    </w:p>
    <w:p>
      <w:pPr>
        <w:pStyle w:val="Heading1"/>
      </w:pPr>
      <w:r>
        <w:t>II. How the Markup Is Organized</w:t>
      </w:r>
    </w:p>
    <w:p>
      <w:pPr>
        <w:pStyle w:val="ListBullet"/>
        <w:spacing w:after="60"/>
      </w:pPr>
      <w:r>
        <w:rPr>
          <w:b/>
        </w:rPr>
        <w:t>Tracked changes and notes.</w:t>
      </w:r>
      <w:r>
        <w:t xml:space="preserve"> All revisions appear as Word tracked changes against the FTC's text (author: Hargrove, Stern &amp; Whitfield LLP). Margin comments are internal HSW notes keyed to the source of each change and Staff's anticipated position.</w:t>
      </w:r>
    </w:p>
    <w:p>
      <w:pPr>
        <w:pStyle w:val="ListBullet"/>
        <w:spacing w:after="60"/>
      </w:pPr>
      <w:r>
        <w:rPr>
          <w:b/>
        </w:rPr>
        <w:t>Numbering.</w:t>
      </w:r>
      <w:r>
        <w:t xml:space="preserve"> New provisions are numbered 9A and 23–25 (new Section XII), and new subparagraphs are added at the end of existing paragraphs (e.g., 2(i)–(o), 4(e)–(f), 7(d)–(g), 8(d)–(g)), so that Staff's 22-paragraph structure and internal cross-references remain intact. This makes the markup easier for Staff to review and signals that we are working within its template, consistent with the "strong institutional preference" Heller and Muñoz expressed.</w:t>
      </w:r>
    </w:p>
    <w:p>
      <w:pPr>
        <w:pStyle w:val="ListBullet"/>
        <w:spacing w:after="60"/>
      </w:pPr>
      <w:r>
        <w:rPr>
          <w:b/>
        </w:rPr>
        <w:t>Brackets.</w:t>
      </w:r>
      <w:r>
        <w:t xml:space="preserve"> Bracketed text marks provisions that are alternatives, client decisions, or likely trade items: Project Atlas reference in 3(c)(i); 2(f) post-separation sentence; 7(d) fallback; 12(c) and 12(d); 14(d) Alternatives A/B; the 60-day refile window in 2(j).</w:t>
      </w:r>
    </w:p>
    <w:p>
      <w:pPr>
        <w:pStyle w:val="ListBullet"/>
        <w:spacing w:after="60"/>
      </w:pPr>
      <w:r>
        <w:rPr>
          <w:b/>
        </w:rPr>
        <w:t>Interpretive rule.</w:t>
      </w:r>
      <w:r>
        <w:t xml:space="preserve"> A new Para. 3(d) provides that references to "Highly Confidential Information" include the new third tier, which avoids having to amend dozens of cross-references.</w:t>
      </w:r>
    </w:p>
    <w:p>
      <w:pPr>
        <w:pStyle w:val="Heading1"/>
      </w:pPr>
      <w:r>
        <w:t>III. Key Changes by Provision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60"/>
            <w:shd w:val="clear" w:color="auto" w:fill="D9D9D9"/>
          </w:tcPr>
          <w:p>
            <w:r/>
            <w:r>
              <w:rPr>
                <w:b/>
                <w:sz w:val="18"/>
              </w:rPr>
              <w:t>#</w:t>
            </w:r>
          </w:p>
        </w:tc>
        <w:tc>
          <w:tcPr>
            <w:tcW w:type="dxa" w:w="1152"/>
            <w:shd w:val="clear" w:color="auto" w:fill="D9D9D9"/>
          </w:tcPr>
          <w:p>
            <w:r/>
            <w:r>
              <w:rPr>
                <w:b/>
                <w:sz w:val="18"/>
              </w:rPr>
              <w:t>Para(s).</w:t>
            </w:r>
          </w:p>
        </w:tc>
        <w:tc>
          <w:tcPr>
            <w:tcW w:type="dxa" w:w="3384"/>
            <w:shd w:val="clear" w:color="auto" w:fill="D9D9D9"/>
          </w:tcPr>
          <w:p>
            <w:r/>
            <w:r>
              <w:rPr>
                <w:b/>
                <w:sz w:val="18"/>
              </w:rPr>
              <w:t>Change</w:t>
            </w:r>
          </w:p>
        </w:tc>
        <w:tc>
          <w:tcPr>
            <w:tcW w:type="dxa" w:w="1656"/>
            <w:shd w:val="clear" w:color="auto" w:fill="D9D9D9"/>
          </w:tcPr>
          <w:p>
            <w:r/>
            <w:r>
              <w:rPr>
                <w:b/>
                <w:sz w:val="18"/>
              </w:rPr>
              <w:t>Source / Support</w:t>
            </w:r>
          </w:p>
        </w:tc>
        <w:tc>
          <w:tcPr>
            <w:tcW w:type="dxa" w:w="1368"/>
            <w:shd w:val="clear" w:color="auto" w:fill="D9D9D9"/>
          </w:tcPr>
          <w:p>
            <w:r/>
            <w:r>
              <w:rPr>
                <w:b/>
                <w:sz w:val="18"/>
              </w:rPr>
              <w:t>Expected Staff Position</w:t>
            </w:r>
          </w:p>
        </w:tc>
        <w:tc>
          <w:tcPr>
            <w:tcW w:type="dxa" w:w="1440"/>
            <w:shd w:val="clear" w:color="auto" w:fill="D9D9D9"/>
          </w:tcPr>
          <w:p>
            <w:r/>
            <w:r>
              <w:rPr>
                <w:b/>
                <w:sz w:val="18"/>
              </w:rPr>
              <w:t>Priority / Fallback</w:t>
            </w:r>
          </w:p>
        </w:tc>
      </w:tr>
      <w:tr>
        <w:tc>
          <w:tcPr>
            <w:tcW w:type="dxa" w:w="360"/>
          </w:tcPr>
          <w:p>
            <w:r/>
            <w:r>
              <w:rPr>
                <w:sz w:val="18"/>
              </w:rPr>
              <w:t>1</w:t>
            </w:r>
          </w:p>
        </w:tc>
        <w:tc>
          <w:tcPr>
            <w:tcW w:type="dxa" w:w="1152"/>
          </w:tcPr>
          <w:p>
            <w:r/>
            <w:r>
              <w:rPr>
                <w:sz w:val="18"/>
              </w:rPr>
              <w:t>3(c), 9A, 4(c)–(d), 24 (new)</w:t>
            </w:r>
          </w:p>
        </w:tc>
        <w:tc>
          <w:tcPr>
            <w:tcW w:type="dxa" w:w="3384"/>
          </w:tcPr>
          <w:p>
            <w:r/>
            <w:r>
              <w:rPr>
                <w:sz w:val="18"/>
              </w:rPr>
              <w:t>Third tier — "Restricted Highly Confidential — Attorneys' Eyes Only." Heightened good-faith standard; illustrative categories (board-level strategy for the Overlap Markets incl. [Project Atlas]; customer-level profitability; pricing/bid strategy; fleet/route models; acquisition pipeline; PE fund-level data). Access: 3 named outside attorneys per side, Staff without limit; no experts absent producer consent or Commission order on a specific-purpose necessity showing; no bulk designation.</w:t>
            </w:r>
          </w:p>
        </w:tc>
        <w:tc>
          <w:tcPr>
            <w:tcW w:type="dxa" w:w="1656"/>
          </w:tcPr>
          <w:p>
            <w:r/>
            <w:r>
              <w:rPr>
                <w:sz w:val="18"/>
              </w:rPr>
              <w:t>Pratt #1; Torres memo Sec. VII; Crestline (Mergers IV), Thornfield (Mergers II)</w:t>
            </w:r>
          </w:p>
        </w:tc>
        <w:tc>
          <w:tcPr>
            <w:tcW w:type="dxa" w:w="1368"/>
          </w:tcPr>
          <w:p>
            <w:r/>
            <w:r>
              <w:rPr>
                <w:sz w:val="18"/>
              </w:rPr>
              <w:t>Medium. Sell as inter-party only; Staff access untouched.</w:t>
            </w:r>
          </w:p>
        </w:tc>
        <w:tc>
          <w:tcPr>
            <w:tcW w:type="dxa" w:w="1440"/>
          </w:tcPr>
          <w:p>
            <w:r/>
            <w:r>
              <w:rPr>
                <w:sz w:val="18"/>
              </w:rPr>
              <w:t>High. Fallbacks: 4 named attorneys; narrower category list; or invoke Para. 13(c) to seek a specific order for Project Atlas materials.</w:t>
            </w:r>
          </w:p>
        </w:tc>
      </w:tr>
      <w:tr>
        <w:tc>
          <w:tcPr>
            <w:tcW w:type="dxa" w:w="360"/>
          </w:tcPr>
          <w:p>
            <w:r/>
            <w:r>
              <w:rPr>
                <w:sz w:val="18"/>
              </w:rPr>
              <w:t>2</w:t>
            </w:r>
          </w:p>
        </w:tc>
        <w:tc>
          <w:tcPr>
            <w:tcW w:type="dxa" w:w="1152"/>
          </w:tcPr>
          <w:p>
            <w:r/>
            <w:r>
              <w:rPr>
                <w:sz w:val="18"/>
              </w:rPr>
              <w:t>2(n), 3(b), 4(a)</w:t>
            </w:r>
          </w:p>
        </w:tc>
        <w:tc>
          <w:tcPr>
            <w:tcW w:type="dxa" w:w="3384"/>
          </w:tcPr>
          <w:p>
            <w:r/>
            <w:r>
              <w:rPr>
                <w:sz w:val="18"/>
              </w:rPr>
              <w:t>Structured data expressly covered at HC tier (databases, route/lane-level cost data, customer-level profitability, financial models, spreadsheets); native-file designation mechanics.</w:t>
            </w:r>
          </w:p>
        </w:tc>
        <w:tc>
          <w:tcPr>
            <w:tcW w:type="dxa" w:w="1656"/>
          </w:tcPr>
          <w:p>
            <w:r/>
            <w:r>
              <w:rPr>
                <w:sz w:val="18"/>
              </w:rPr>
              <w:t>Pratt #4; April 8 call (Heller would "not oppose")</w:t>
            </w:r>
          </w:p>
        </w:tc>
        <w:tc>
          <w:tcPr>
            <w:tcW w:type="dxa" w:w="1368"/>
          </w:tcPr>
          <w:p>
            <w:r/>
            <w:r>
              <w:rPr>
                <w:sz w:val="18"/>
              </w:rPr>
              <w:t>High — easy win.</w:t>
            </w:r>
          </w:p>
        </w:tc>
        <w:tc>
          <w:tcPr>
            <w:tcW w:type="dxa" w:w="1440"/>
          </w:tcPr>
          <w:p>
            <w:r/>
            <w:r>
              <w:rPr>
                <w:sz w:val="18"/>
              </w:rPr>
              <w:t>High value / low cost.</w:t>
            </w:r>
          </w:p>
        </w:tc>
      </w:tr>
      <w:tr>
        <w:tc>
          <w:tcPr>
            <w:tcW w:type="dxa" w:w="360"/>
          </w:tcPr>
          <w:p>
            <w:r/>
            <w:r>
              <w:rPr>
                <w:sz w:val="18"/>
              </w:rPr>
              <w:t>3</w:t>
            </w:r>
          </w:p>
        </w:tc>
        <w:tc>
          <w:tcPr>
            <w:tcW w:type="dxa" w:w="1152"/>
          </w:tcPr>
          <w:p>
            <w:r/>
            <w:r>
              <w:rPr>
                <w:sz w:val="18"/>
              </w:rPr>
              <w:t>2(j), 19(a), 19(d)</w:t>
            </w:r>
          </w:p>
        </w:tc>
        <w:tc>
          <w:tcPr>
            <w:tcW w:type="dxa" w:w="3384"/>
          </w:tcPr>
          <w:p>
            <w:r/>
            <w:r>
              <w:rPr>
                <w:sz w:val="18"/>
              </w:rPr>
              <w:t>Defines "Conclusion of the Investigation" (Heller's 3-part test + outside date Oct. 31, 2025 / Jan. 29, 2026); HSR pull-and-refile does not trigger destruction; return/destruction suspended during any Subsequent Proceeding.</w:t>
            </w:r>
          </w:p>
        </w:tc>
        <w:tc>
          <w:tcPr>
            <w:tcW w:type="dxa" w:w="1656"/>
          </w:tcPr>
          <w:p>
            <w:r/>
            <w:r>
              <w:rPr>
                <w:sz w:val="18"/>
              </w:rPr>
              <w:t>April 8 call (Heller "fair point"; Muñoz carve-out; Hsiao outside date)</w:t>
            </w:r>
          </w:p>
        </w:tc>
        <w:tc>
          <w:tcPr>
            <w:tcW w:type="dxa" w:w="1368"/>
          </w:tcPr>
          <w:p>
            <w:r/>
            <w:r>
              <w:rPr>
                <w:sz w:val="18"/>
              </w:rPr>
              <w:t>High.</w:t>
            </w:r>
          </w:p>
        </w:tc>
        <w:tc>
          <w:tcPr>
            <w:tcW w:type="dxa" w:w="1440"/>
          </w:tcPr>
          <w:p>
            <w:r/>
            <w:r>
              <w:rPr>
                <w:sz w:val="18"/>
              </w:rPr>
              <w:t>High. Note: we deliberately did NOT adopt Hsiao's suggestion that HSR withdrawal alone triggers the clock.</w:t>
            </w:r>
          </w:p>
        </w:tc>
      </w:tr>
      <w:tr>
        <w:tc>
          <w:tcPr>
            <w:tcW w:type="dxa" w:w="360"/>
          </w:tcPr>
          <w:p>
            <w:r/>
            <w:r>
              <w:rPr>
                <w:sz w:val="18"/>
              </w:rPr>
              <w:t>4</w:t>
            </w:r>
          </w:p>
        </w:tc>
        <w:tc>
          <w:tcPr>
            <w:tcW w:type="dxa" w:w="1152"/>
          </w:tcPr>
          <w:p>
            <w:r/>
            <w:r>
              <w:rPr>
                <w:sz w:val="18"/>
              </w:rPr>
              <w:t>23 (new)</w:t>
            </w:r>
          </w:p>
        </w:tc>
        <w:tc>
          <w:tcPr>
            <w:tcW w:type="dxa" w:w="3384"/>
          </w:tcPr>
          <w:p>
            <w:r/>
            <w:r>
              <w:rPr>
                <w:sz w:val="18"/>
              </w:rPr>
              <w:t>Bridge provision: designations survive a Part 3 complaint or 13(b) action; 14-day meet-and-confer on supplemental order (incl. supplementing the ALJ's standard 16 C.F.R. § 3.31(d) order); this order governs in the interim; 7-business-day notice before any public filing/use so producer can seek in camera treatment (16 C.F.R. § 3.45) or sealing.</w:t>
            </w:r>
          </w:p>
        </w:tc>
        <w:tc>
          <w:tcPr>
            <w:tcW w:type="dxa" w:w="1656"/>
          </w:tcPr>
          <w:p>
            <w:r/>
            <w:r>
              <w:rPr>
                <w:sz w:val="18"/>
              </w:rPr>
              <w:t>Pratt "additional observations"; Torres memo Sec. V; Crestline Para. 21; Galveston</w:t>
            </w:r>
          </w:p>
        </w:tc>
        <w:tc>
          <w:tcPr>
            <w:tcW w:type="dxa" w:w="1368"/>
          </w:tcPr>
          <w:p>
            <w:r/>
            <w:r>
              <w:rPr>
                <w:sz w:val="18"/>
              </w:rPr>
              <w:t>Medium — Staff open to the "transition" issue.</w:t>
            </w:r>
          </w:p>
        </w:tc>
        <w:tc>
          <w:tcPr>
            <w:tcW w:type="dxa" w:w="1440"/>
          </w:tcPr>
          <w:p>
            <w:r/>
            <w:r>
              <w:rPr>
                <w:sz w:val="18"/>
              </w:rPr>
              <w:t>High. Public-filing notice is the critical piece for Project Atlas.</w:t>
            </w:r>
          </w:p>
        </w:tc>
      </w:tr>
      <w:tr>
        <w:tc>
          <w:tcPr>
            <w:tcW w:type="dxa" w:w="360"/>
          </w:tcPr>
          <w:p>
            <w:r/>
            <w:r>
              <w:rPr>
                <w:sz w:val="18"/>
              </w:rPr>
              <w:t>5</w:t>
            </w:r>
          </w:p>
        </w:tc>
        <w:tc>
          <w:tcPr>
            <w:tcW w:type="dxa" w:w="1152"/>
          </w:tcPr>
          <w:p>
            <w:r/>
            <w:r>
              <w:rPr>
                <w:sz w:val="18"/>
              </w:rPr>
              <w:t>16(a), 16(e)–(f)</w:t>
            </w:r>
          </w:p>
        </w:tc>
        <w:tc>
          <w:tcPr>
            <w:tcW w:type="dxa" w:w="3384"/>
          </w:tcPr>
          <w:p>
            <w:r/>
            <w:r>
              <w:rPr>
                <w:sz w:val="18"/>
              </w:rPr>
              <w:t>Clawback strengthened: non-waiver "whether inadvertent or otherwise," regardless of care taken (no FRE 502(b) inquiry); covers privileges of acquired predecessor entities; Rule 502 intent language plus commitment to jointly seek a 502(d) order in any 13(b) action and a parallel ALJ order in Part 3; Staff's rights preserved.</w:t>
            </w:r>
          </w:p>
        </w:tc>
        <w:tc>
          <w:tcPr>
            <w:tcW w:type="dxa" w:w="1656"/>
          </w:tcPr>
          <w:p>
            <w:r/>
            <w:r>
              <w:rPr>
                <w:sz w:val="18"/>
              </w:rPr>
              <w:t>Pratt question; Torres memo Sec. III; Crestline (Mergers IV), Thornfield</w:t>
            </w:r>
          </w:p>
        </w:tc>
        <w:tc>
          <w:tcPr>
            <w:tcW w:type="dxa" w:w="1368"/>
          </w:tcPr>
          <w:p>
            <w:r/>
            <w:r>
              <w:rPr>
                <w:sz w:val="18"/>
              </w:rPr>
              <w:t>Medium-High.</w:t>
            </w:r>
          </w:p>
        </w:tc>
        <w:tc>
          <w:tcPr>
            <w:tcW w:type="dxa" w:w="1440"/>
          </w:tcPr>
          <w:p>
            <w:r/>
            <w:r>
              <w:rPr>
                <w:sz w:val="18"/>
              </w:rPr>
              <w:t>High. Client should understand the Commission itself cannot enter a 502(d) order (Sec. VII below).</w:t>
            </w:r>
          </w:p>
        </w:tc>
      </w:tr>
      <w:tr>
        <w:tc>
          <w:tcPr>
            <w:tcW w:type="dxa" w:w="360"/>
          </w:tcPr>
          <w:p>
            <w:r/>
            <w:r>
              <w:rPr>
                <w:sz w:val="18"/>
              </w:rPr>
              <w:t>6</w:t>
            </w:r>
          </w:p>
        </w:tc>
        <w:tc>
          <w:tcPr>
            <w:tcW w:type="dxa" w:w="1152"/>
          </w:tcPr>
          <w:p>
            <w:r/>
            <w:r>
              <w:rPr>
                <w:sz w:val="18"/>
              </w:rPr>
              <w:t>18(b)–(c), 18(f)–(g)</w:t>
            </w:r>
          </w:p>
        </w:tc>
        <w:tc>
          <w:tcPr>
            <w:tcW w:type="dxa" w:w="3384"/>
          </w:tcPr>
          <w:p>
            <w:r/>
            <w:r>
              <w:rPr>
                <w:sz w:val="18"/>
              </w:rPr>
              <w:t>Motion deadline 10 → 20 business days; new 20-business-day response period for the designating party (none exists today); designations remain in force pending resolution; Originating Third Party notice/standing.</w:t>
            </w:r>
          </w:p>
        </w:tc>
        <w:tc>
          <w:tcPr>
            <w:tcW w:type="dxa" w:w="1656"/>
          </w:tcPr>
          <w:p>
            <w:r/>
            <w:r>
              <w:rPr>
                <w:sz w:val="18"/>
              </w:rPr>
              <w:t>Pratt; April 8 call (Heller: 15 or 20 workable if designations stay in effect); Thornfield, Galveston</w:t>
            </w:r>
          </w:p>
        </w:tc>
        <w:tc>
          <w:tcPr>
            <w:tcW w:type="dxa" w:w="1368"/>
          </w:tcPr>
          <w:p>
            <w:r/>
            <w:r>
              <w:rPr>
                <w:sz w:val="18"/>
              </w:rPr>
              <w:t>High — essentially agreed.</w:t>
            </w:r>
          </w:p>
        </w:tc>
        <w:tc>
          <w:tcPr>
            <w:tcW w:type="dxa" w:w="1440"/>
          </w:tcPr>
          <w:p>
            <w:r/>
            <w:r>
              <w:rPr>
                <w:sz w:val="18"/>
              </w:rPr>
              <w:t>Medium-High. Accept 15 if needed; 18(f) is the must-have.</w:t>
            </w:r>
          </w:p>
        </w:tc>
      </w:tr>
      <w:tr>
        <w:tc>
          <w:tcPr>
            <w:tcW w:type="dxa" w:w="360"/>
          </w:tcPr>
          <w:p>
            <w:r/>
            <w:r>
              <w:rPr>
                <w:sz w:val="18"/>
              </w:rPr>
              <w:t>7</w:t>
            </w:r>
          </w:p>
        </w:tc>
        <w:tc>
          <w:tcPr>
            <w:tcW w:type="dxa" w:w="1152"/>
          </w:tcPr>
          <w:p>
            <w:r/>
            <w:r>
              <w:rPr>
                <w:sz w:val="18"/>
              </w:rPr>
              <w:t>2(k), 7(b), 7(d)–(g), Ex. A ¶ 8</w:t>
            </w:r>
          </w:p>
        </w:tc>
        <w:tc>
          <w:tcPr>
            <w:tcW w:type="dxa" w:w="3384"/>
          </w:tcPr>
          <w:p>
            <w:r/>
            <w:r>
              <w:rPr>
                <w:sz w:val="18"/>
              </w:rPr>
              <w:t>In-house counsel: named designation (name, title, responsibilities) 5 business days before access; 5-business-day objection right; competitive-decision-making wall for the Overlap Markets; substitution; handling restrictions; certification in Exhibit A.</w:t>
            </w:r>
          </w:p>
        </w:tc>
        <w:tc>
          <w:tcPr>
            <w:tcW w:type="dxa" w:w="1656"/>
          </w:tcPr>
          <w:p>
            <w:r/>
            <w:r>
              <w:rPr>
                <w:sz w:val="18"/>
              </w:rPr>
              <w:t>Pratt #2; Hsiao raised on call; Heller: "between the parties"</w:t>
            </w:r>
          </w:p>
        </w:tc>
        <w:tc>
          <w:tcPr>
            <w:tcW w:type="dxa" w:w="1368"/>
          </w:tcPr>
          <w:p>
            <w:r/>
            <w:r>
              <w:rPr>
                <w:sz w:val="18"/>
              </w:rPr>
              <w:t>Neutral.</w:t>
            </w:r>
          </w:p>
        </w:tc>
        <w:tc>
          <w:tcPr>
            <w:tcW w:type="dxa" w:w="1440"/>
          </w:tcPr>
          <w:p>
            <w:r/>
            <w:r>
              <w:rPr>
                <w:sz w:val="18"/>
              </w:rPr>
              <w:t>High for client; must be agreed with P&amp;L first. Bracketed fallback if a side has no eligible lawyer.</w:t>
            </w:r>
          </w:p>
        </w:tc>
      </w:tr>
      <w:tr>
        <w:tc>
          <w:tcPr>
            <w:tcW w:type="dxa" w:w="360"/>
          </w:tcPr>
          <w:p>
            <w:r/>
            <w:r>
              <w:rPr>
                <w:sz w:val="18"/>
              </w:rPr>
              <w:t>8</w:t>
            </w:r>
          </w:p>
        </w:tc>
        <w:tc>
          <w:tcPr>
            <w:tcW w:type="dxa" w:w="1152"/>
          </w:tcPr>
          <w:p>
            <w:r/>
            <w:r>
              <w:rPr>
                <w:sz w:val="18"/>
              </w:rPr>
              <w:t>8(b), 8(d)–(g), 9(a)(ii), Ex. A ¶ 9</w:t>
            </w:r>
          </w:p>
        </w:tc>
        <w:tc>
          <w:tcPr>
            <w:tcW w:type="dxa" w:w="3384"/>
          </w:tcPr>
          <w:p>
            <w:r/>
            <w:r>
              <w:rPr>
                <w:sz w:val="18"/>
              </w:rPr>
              <w:t>Expert conflicts screen: 24-month lookback disclosure; 5-business-day objection; Staff informal resolution; 12-month forward restriction; carve-out for Commission's own experts; no need to identify experts who see only the retaining party's own data.</w:t>
            </w:r>
          </w:p>
        </w:tc>
        <w:tc>
          <w:tcPr>
            <w:tcW w:type="dxa" w:w="1656"/>
          </w:tcPr>
          <w:p>
            <w:r/>
            <w:r>
              <w:rPr>
                <w:sz w:val="18"/>
              </w:rPr>
              <w:t>Torres memo Sec. VI; Galveston, Thornfield; Heller "no strong view"</w:t>
            </w:r>
          </w:p>
        </w:tc>
        <w:tc>
          <w:tcPr>
            <w:tcW w:type="dxa" w:w="1368"/>
          </w:tcPr>
          <w:p>
            <w:r/>
            <w:r>
              <w:rPr>
                <w:sz w:val="18"/>
              </w:rPr>
              <w:t>High (if Staff's experts carved out).</w:t>
            </w:r>
          </w:p>
        </w:tc>
        <w:tc>
          <w:tcPr>
            <w:tcW w:type="dxa" w:w="1440"/>
          </w:tcPr>
          <w:p>
            <w:r/>
            <w:r>
              <w:rPr>
                <w:sz w:val="18"/>
              </w:rPr>
              <w:t>Medium. Confirm Northbridge can live with 12-month tail.</w:t>
            </w:r>
          </w:p>
        </w:tc>
      </w:tr>
      <w:tr>
        <w:tc>
          <w:tcPr>
            <w:tcW w:type="dxa" w:w="360"/>
          </w:tcPr>
          <w:p>
            <w:r/>
            <w:r>
              <w:rPr>
                <w:sz w:val="18"/>
              </w:rPr>
              <w:t>9</w:t>
            </w:r>
          </w:p>
        </w:tc>
        <w:tc>
          <w:tcPr>
            <w:tcW w:type="dxa" w:w="1152"/>
          </w:tcPr>
          <w:p>
            <w:r/>
            <w:r>
              <w:rPr>
                <w:sz w:val="18"/>
              </w:rPr>
              <w:t>2(f), 12(c)–(d)</w:t>
            </w:r>
          </w:p>
        </w:tc>
        <w:tc>
          <w:tcPr>
            <w:tcW w:type="dxa" w:w="3384"/>
          </w:tcPr>
          <w:p>
            <w:r/>
            <w:r>
              <w:rPr>
                <w:sz w:val="18"/>
              </w:rPr>
              <w:t>FTC staff rotation: contractor confidentiality; [post-separation restriction]; [individual Staff certification in a Staff-acceptable form acknowledging existing law]; [notice if a Staff member with HC access departs within 12 months].</w:t>
            </w:r>
          </w:p>
        </w:tc>
        <w:tc>
          <w:tcPr>
            <w:tcW w:type="dxa" w:w="1656"/>
          </w:tcPr>
          <w:p>
            <w:r/>
            <w:r>
              <w:rPr>
                <w:sz w:val="18"/>
              </w:rPr>
              <w:t>Pratt #3; April 8 call (Heller: must be "elevated"; Muñoz: ethics rules suffice)</w:t>
            </w:r>
          </w:p>
        </w:tc>
        <w:tc>
          <w:tcPr>
            <w:tcW w:type="dxa" w:w="1368"/>
          </w:tcPr>
          <w:p>
            <w:r/>
            <w:r>
              <w:rPr>
                <w:sz w:val="18"/>
              </w:rPr>
              <w:t>Low–Medium.</w:t>
            </w:r>
          </w:p>
        </w:tc>
        <w:tc>
          <w:tcPr>
            <w:tcW w:type="dxa" w:w="1440"/>
          </w:tcPr>
          <w:p>
            <w:r/>
            <w:r>
              <w:rPr>
                <w:sz w:val="18"/>
              </w:rPr>
              <w:t>Medium. Push departure notice; trade post-separation and certification language.</w:t>
            </w:r>
          </w:p>
        </w:tc>
      </w:tr>
      <w:tr>
        <w:tc>
          <w:tcPr>
            <w:tcW w:type="dxa" w:w="360"/>
          </w:tcPr>
          <w:p>
            <w:r/>
            <w:r>
              <w:rPr>
                <w:sz w:val="18"/>
              </w:rPr>
              <w:t>10</w:t>
            </w:r>
          </w:p>
        </w:tc>
        <w:tc>
          <w:tcPr>
            <w:tcW w:type="dxa" w:w="1152"/>
          </w:tcPr>
          <w:p>
            <w:r/>
            <w:r>
              <w:rPr>
                <w:sz w:val="18"/>
              </w:rPr>
              <w:t>14(a)–(b), 14(d)</w:t>
            </w:r>
          </w:p>
        </w:tc>
        <w:tc>
          <w:tcPr>
            <w:tcW w:type="dxa" w:w="3384"/>
          </w:tcPr>
          <w:p>
            <w:r/>
            <w:r>
              <w:rPr>
                <w:sz w:val="18"/>
              </w:rPr>
              <w:t>Sharing subject to 15 U.S.C. §§ 18a(h), 57b-2; state AG access to HSR materials only on producer consent or as permitted by law; receiving agency written agreement to honor the order's tiers; [Alt. A best-efforts prior notice] / [Alt. B notice within 5 business days after sharing].</w:t>
            </w:r>
          </w:p>
        </w:tc>
        <w:tc>
          <w:tcPr>
            <w:tcW w:type="dxa" w:w="1656"/>
          </w:tcPr>
          <w:p>
            <w:r/>
            <w:r>
              <w:rPr>
                <w:sz w:val="18"/>
              </w:rPr>
              <w:t>April 8 call; Hsiao state-AG concern; Ridgeline request #3</w:t>
            </w:r>
          </w:p>
        </w:tc>
        <w:tc>
          <w:tcPr>
            <w:tcW w:type="dxa" w:w="1368"/>
          </w:tcPr>
          <w:p>
            <w:r/>
            <w:r>
              <w:rPr>
                <w:sz w:val="18"/>
              </w:rPr>
              <w:t>Low on notice; Medium on written agreement.</w:t>
            </w:r>
          </w:p>
        </w:tc>
        <w:tc>
          <w:tcPr>
            <w:tcW w:type="dxa" w:w="1440"/>
          </w:tcPr>
          <w:p>
            <w:r/>
            <w:r>
              <w:rPr>
                <w:sz w:val="18"/>
              </w:rPr>
              <w:t>Medium. Trade 14(d) for 14(b).</w:t>
            </w:r>
          </w:p>
        </w:tc>
      </w:tr>
      <w:tr>
        <w:tc>
          <w:tcPr>
            <w:tcW w:type="dxa" w:w="360"/>
          </w:tcPr>
          <w:p>
            <w:r/>
            <w:r>
              <w:rPr>
                <w:sz w:val="18"/>
              </w:rPr>
              <w:t>11</w:t>
            </w:r>
          </w:p>
        </w:tc>
        <w:tc>
          <w:tcPr>
            <w:tcW w:type="dxa" w:w="1152"/>
          </w:tcPr>
          <w:p>
            <w:r/>
            <w:r>
              <w:rPr>
                <w:sz w:val="18"/>
              </w:rPr>
              <w:t>2(b), 2(l), 4(f), 17, 18, 19, 25 (new)</w:t>
            </w:r>
          </w:p>
        </w:tc>
        <w:tc>
          <w:tcPr>
            <w:tcW w:type="dxa" w:w="3384"/>
          </w:tcPr>
          <w:p>
            <w:r/>
            <w:r>
              <w:rPr>
                <w:sz w:val="18"/>
              </w:rPr>
              <w:t>Originating Third Party (e.g., Ridgeline) rights: independent designation; higher designation controls; Cascade identifies Ridgeline-originated material within 10 business days; notice/standing on challenges; notice of subpoenas, agency sharing (same as parties) and public use; direct return/destruction certification; express non-interference with Second Request compliance.</w:t>
            </w:r>
          </w:p>
        </w:tc>
        <w:tc>
          <w:tcPr>
            <w:tcW w:type="dxa" w:w="1656"/>
          </w:tcPr>
          <w:p>
            <w:r/>
            <w:r>
              <w:rPr>
                <w:sz w:val="18"/>
              </w:rPr>
              <w:t>Pratt #5; Tanaka letter; Heller "no objection in principle"</w:t>
            </w:r>
          </w:p>
        </w:tc>
        <w:tc>
          <w:tcPr>
            <w:tcW w:type="dxa" w:w="1368"/>
          </w:tcPr>
          <w:p>
            <w:r/>
            <w:r>
              <w:rPr>
                <w:sz w:val="18"/>
              </w:rPr>
              <w:t>Medium-High.</w:t>
            </w:r>
          </w:p>
        </w:tc>
        <w:tc>
          <w:tcPr>
            <w:tcW w:type="dxa" w:w="1440"/>
          </w:tcPr>
          <w:p>
            <w:r/>
            <w:r>
              <w:rPr>
                <w:sz w:val="18"/>
              </w:rPr>
              <w:t>Medium. Coordinate through P&amp;L.</w:t>
            </w:r>
          </w:p>
        </w:tc>
      </w:tr>
      <w:tr>
        <w:tc>
          <w:tcPr>
            <w:tcW w:type="dxa" w:w="360"/>
          </w:tcPr>
          <w:p>
            <w:r/>
            <w:r>
              <w:rPr>
                <w:sz w:val="18"/>
              </w:rPr>
              <w:t>12</w:t>
            </w:r>
          </w:p>
        </w:tc>
        <w:tc>
          <w:tcPr>
            <w:tcW w:type="dxa" w:w="1152"/>
          </w:tcPr>
          <w:p>
            <w:r/>
            <w:r>
              <w:rPr>
                <w:sz w:val="18"/>
              </w:rPr>
              <w:t>4(c), 4(b), 4(e)</w:t>
            </w:r>
          </w:p>
        </w:tc>
        <w:tc>
          <w:tcPr>
            <w:tcW w:type="dxa" w:w="3384"/>
          </w:tcPr>
          <w:p>
            <w:r/>
            <w:r>
              <w:rPr>
                <w:sz w:val="18"/>
              </w:rPr>
              <w:t>Fixes we identified independently: interim treatment of bulk-designated productions raised from Confidential to HC (otherwise Cascade in-house counsel could see un-upgraded Whitmore material); upgrade window 15 → 30 business days; transcripts treated at top tier during designation window; new inadvertent-failure-to-designate clause.</w:t>
            </w:r>
          </w:p>
        </w:tc>
        <w:tc>
          <w:tcPr>
            <w:tcW w:type="dxa" w:w="1656"/>
          </w:tcPr>
          <w:p>
            <w:r/>
            <w:r>
              <w:rPr>
                <w:sz w:val="18"/>
              </w:rPr>
              <w:t>HSW review</w:t>
            </w:r>
          </w:p>
        </w:tc>
        <w:tc>
          <w:tcPr>
            <w:tcW w:type="dxa" w:w="1368"/>
          </w:tcPr>
          <w:p>
            <w:r/>
            <w:r>
              <w:rPr>
                <w:sz w:val="18"/>
              </w:rPr>
              <w:t>Medium-High.</w:t>
            </w:r>
          </w:p>
        </w:tc>
        <w:tc>
          <w:tcPr>
            <w:tcW w:type="dxa" w:w="1440"/>
          </w:tcPr>
          <w:p>
            <w:r/>
            <w:r>
              <w:rPr>
                <w:sz w:val="18"/>
              </w:rPr>
              <w:t>High (low visibility, high value).</w:t>
            </w:r>
          </w:p>
        </w:tc>
      </w:tr>
      <w:tr>
        <w:tc>
          <w:tcPr>
            <w:tcW w:type="dxa" w:w="360"/>
          </w:tcPr>
          <w:p>
            <w:r/>
            <w:r>
              <w:rPr>
                <w:sz w:val="18"/>
              </w:rPr>
              <w:t>13</w:t>
            </w:r>
          </w:p>
        </w:tc>
        <w:tc>
          <w:tcPr>
            <w:tcW w:type="dxa" w:w="1152"/>
          </w:tcPr>
          <w:p>
            <w:r/>
            <w:r>
              <w:rPr>
                <w:sz w:val="18"/>
              </w:rPr>
              <w:t>2(i), 6(f), 10(d)–(e), 2(e), 15(d)</w:t>
            </w:r>
          </w:p>
        </w:tc>
        <w:tc>
          <w:tcPr>
            <w:tcW w:type="dxa" w:w="3384"/>
          </w:tcPr>
          <w:p>
            <w:r/>
            <w:r>
              <w:rPr>
                <w:sz w:val="18"/>
              </w:rPr>
              <w:t>Clean-up: defines "Confidential Discovery Material" (used but undefined); narrows 6(f) ("any individual identified on a document"); own-materials carve-out; no business use / gun-jumping safeguard; outside counsel excludes competitive decision-makers; advance notice before Commission makes a submission public.</w:t>
            </w:r>
          </w:p>
        </w:tc>
        <w:tc>
          <w:tcPr>
            <w:tcW w:type="dxa" w:w="1656"/>
          </w:tcPr>
          <w:p>
            <w:r/>
            <w:r>
              <w:rPr>
                <w:sz w:val="18"/>
              </w:rPr>
              <w:t>HSW review</w:t>
            </w:r>
          </w:p>
        </w:tc>
        <w:tc>
          <w:tcPr>
            <w:tcW w:type="dxa" w:w="1368"/>
          </w:tcPr>
          <w:p>
            <w:r/>
            <w:r>
              <w:rPr>
                <w:sz w:val="18"/>
              </w:rPr>
              <w:t>High.</w:t>
            </w:r>
          </w:p>
        </w:tc>
        <w:tc>
          <w:tcPr>
            <w:tcW w:type="dxa" w:w="1440"/>
          </w:tcPr>
          <w:p>
            <w:r/>
            <w:r>
              <w:rPr>
                <w:sz w:val="18"/>
              </w:rPr>
              <w:t>Medium.</w:t>
            </w:r>
          </w:p>
        </w:tc>
      </w:tr>
    </w:tbl>
    <w:p>
      <w:pPr>
        <w:spacing w:after="40"/>
      </w:pPr>
    </w:p>
    <w:p>
      <w:pPr>
        <w:pStyle w:val="Heading1"/>
      </w:pPr>
      <w:r>
        <w:t>IV. Negotiation Strategy</w:t>
      </w:r>
    </w:p>
    <w:p>
      <w:pPr>
        <w:pStyle w:val="Heading2"/>
      </w:pPr>
      <w:r>
        <w:t>A. Overall Posture</w:t>
      </w:r>
    </w:p>
    <w:p>
      <w:pPr>
        <w:spacing w:after="120"/>
      </w:pPr>
      <w:r>
        <w:rPr>
          <w:b w:val="0"/>
          <w:i w:val="0"/>
        </w:rPr>
        <w:t>We recommend presenting the revisions to Staff as one comprehensive, jointly sponsored package that works within the FTC template, consistent with Benjamin's recommendation and Staff's stated preference for a joint submission. Three themes should carry the presentation: (1) the parties are direct competitors with combined shares of approximately 34% (Sacramento) to 52% (Portland-Vancouver) in four overlap MSAs, so inter-party leakage risk is concrete; (2) nothing in the package limits Staff's access to or use of any material — every tier, including the new third tier, is fully available to Staff; and (3) the Mergers IV Division has itself accepted the core structures (third tier, 502 language, bridge provision) in Crestline/Durango, so consistency favors adoption here.</w:t>
      </w:r>
    </w:p>
    <w:p>
      <w:pPr>
        <w:pStyle w:val="Heading2"/>
      </w:pPr>
      <w:r>
        <w:t>B. Sequencing by Bucket</w:t>
      </w:r>
    </w:p>
    <w:p>
      <w:pPr>
        <w:pStyle w:val="ListBullet"/>
        <w:spacing w:after="60"/>
      </w:pPr>
      <w:r>
        <w:rPr>
          <w:b/>
        </w:rPr>
        <w:t>Bucket 1 — Staff has signaled acceptance</w:t>
      </w:r>
      <w:r>
        <w:t xml:space="preserve"> (structured data; conclusion definition; challenge period with designations in force; bridge provision; inadvertent-designation clause). Raise first and confirm in writing after the follow-up call so they are off the table.</w:t>
      </w:r>
    </w:p>
    <w:p>
      <w:pPr>
        <w:pStyle w:val="ListBullet"/>
        <w:spacing w:after="60"/>
      </w:pPr>
      <w:r>
        <w:rPr>
          <w:b/>
        </w:rPr>
        <w:t>Bucket 2 — Party-to-party; Staff neutral</w:t>
      </w:r>
      <w:r>
        <w:t xml:space="preserve"> (in-house counsel mechanics; expert conflicts; derivative materials; Ridgeline provisions; own-materials and no-business-use clauses). Agree the text with Alan Hsiao before anything goes to Staff, and present as a joint party position. Heller's stated test is only that these provisions not "impede Staff's ability to engage its own experts" or "over-proceduralize" Staff's access; the drafting carve-outs (8(g), 9A(a)(ii), 9A(e), 24(d), 25(e)) are designed to meet that test.</w:t>
      </w:r>
    </w:p>
    <w:p>
      <w:pPr>
        <w:pStyle w:val="ListBullet"/>
        <w:spacing w:after="60"/>
      </w:pPr>
      <w:r>
        <w:rPr>
          <w:b/>
        </w:rPr>
        <w:t>Bucket 3 — Requires Staff concession</w:t>
      </w:r>
      <w:r>
        <w:t xml:space="preserve"> (third tier; Para. 14; staff rotation). The third tier is the one we should hold firm on; Para. 14 and staff-rotation items should be sequenced as give-points to secure it.</w:t>
      </w:r>
    </w:p>
    <w:p>
      <w:pPr>
        <w:pStyle w:val="Heading2"/>
      </w:pPr>
      <w:r>
        <w:t>C. Concession 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D9D9"/>
          </w:tcPr>
          <w:p>
            <w:r/>
            <w:r>
              <w:rPr>
                <w:b/>
                <w:sz w:val="18"/>
              </w:rPr>
              <w:t>Issue</w:t>
            </w:r>
          </w:p>
        </w:tc>
        <w:tc>
          <w:tcPr>
            <w:tcW w:type="dxa" w:w="2592"/>
            <w:shd w:val="clear" w:color="auto" w:fill="D9D9D9"/>
          </w:tcPr>
          <w:p>
            <w:r/>
            <w:r>
              <w:rPr>
                <w:b/>
                <w:sz w:val="18"/>
              </w:rPr>
              <w:t>Opening position</w:t>
            </w:r>
          </w:p>
        </w:tc>
        <w:tc>
          <w:tcPr>
            <w:tcW w:type="dxa" w:w="2520"/>
            <w:shd w:val="clear" w:color="auto" w:fill="D9D9D9"/>
          </w:tcPr>
          <w:p>
            <w:r/>
            <w:r>
              <w:rPr>
                <w:b/>
                <w:sz w:val="18"/>
              </w:rPr>
              <w:t>First fallback</w:t>
            </w:r>
          </w:p>
        </w:tc>
        <w:tc>
          <w:tcPr>
            <w:tcW w:type="dxa" w:w="2520"/>
            <w:shd w:val="clear" w:color="auto" w:fill="D9D9D9"/>
          </w:tcPr>
          <w:p>
            <w:r/>
            <w:r>
              <w:rPr>
                <w:b/>
                <w:sz w:val="18"/>
              </w:rPr>
              <w:t>Floor / walk-away</w:t>
            </w:r>
          </w:p>
        </w:tc>
      </w:tr>
      <w:tr>
        <w:tc>
          <w:tcPr>
            <w:tcW w:type="dxa" w:w="1728"/>
          </w:tcPr>
          <w:p>
            <w:r/>
            <w:r>
              <w:rPr>
                <w:sz w:val="18"/>
              </w:rPr>
              <w:t>Third tier (3(c), 9A)</w:t>
            </w:r>
          </w:p>
        </w:tc>
        <w:tc>
          <w:tcPr>
            <w:tcW w:type="dxa" w:w="2592"/>
          </w:tcPr>
          <w:p>
            <w:r/>
            <w:r>
              <w:rPr>
                <w:sz w:val="18"/>
              </w:rPr>
              <w:t>Full structure; 3 named attorneys; no experts absent consent/order</w:t>
            </w:r>
          </w:p>
        </w:tc>
        <w:tc>
          <w:tcPr>
            <w:tcW w:type="dxa" w:w="2520"/>
          </w:tcPr>
          <w:p>
            <w:r/>
            <w:r>
              <w:rPr>
                <w:sz w:val="18"/>
              </w:rPr>
              <w:t>4 named attorneys (Thornfield); narrower illustrative list; allow named testifying experts on notice-and-objection</w:t>
            </w:r>
          </w:p>
        </w:tc>
        <w:tc>
          <w:tcPr>
            <w:tcW w:type="dxa" w:w="2520"/>
          </w:tcPr>
          <w:p>
            <w:r/>
            <w:r>
              <w:rPr>
                <w:sz w:val="18"/>
              </w:rPr>
              <w:t>If rejected outright: request a targeted order under existing Para. 13(c) for Project Atlas and Cascade customer-profitability data; otherwise submit competing proposal on this point</w:t>
            </w:r>
          </w:p>
        </w:tc>
      </w:tr>
      <w:tr>
        <w:tc>
          <w:tcPr>
            <w:tcW w:type="dxa" w:w="1728"/>
          </w:tcPr>
          <w:p>
            <w:r/>
            <w:r>
              <w:rPr>
                <w:sz w:val="18"/>
              </w:rPr>
              <w:t>Para. 14</w:t>
            </w:r>
          </w:p>
        </w:tc>
        <w:tc>
          <w:tcPr>
            <w:tcW w:type="dxa" w:w="2592"/>
          </w:tcPr>
          <w:p>
            <w:r/>
            <w:r>
              <w:rPr>
                <w:sz w:val="18"/>
              </w:rPr>
              <w:t>Alt. A best-efforts prior notice + 14(b) written agreement + § 18a(h) anchor</w:t>
            </w:r>
          </w:p>
        </w:tc>
        <w:tc>
          <w:tcPr>
            <w:tcW w:type="dxa" w:w="2520"/>
          </w:tcPr>
          <w:p>
            <w:r/>
            <w:r>
              <w:rPr>
                <w:sz w:val="18"/>
              </w:rPr>
              <w:t>Alt. B after-the-fact notice within 5 business days</w:t>
            </w:r>
          </w:p>
        </w:tc>
        <w:tc>
          <w:tcPr>
            <w:tcW w:type="dxa" w:w="2520"/>
          </w:tcPr>
          <w:p>
            <w:r/>
            <w:r>
              <w:rPr>
                <w:sz w:val="18"/>
              </w:rPr>
              <w:t>Drop 14(d) entirely; keep 14(b) written agreement (formalizes Staff's own practice)</w:t>
            </w:r>
          </w:p>
        </w:tc>
      </w:tr>
      <w:tr>
        <w:tc>
          <w:tcPr>
            <w:tcW w:type="dxa" w:w="1728"/>
          </w:tcPr>
          <w:p>
            <w:r/>
            <w:r>
              <w:rPr>
                <w:sz w:val="18"/>
              </w:rPr>
              <w:t>Staff rotation (2(f), 12(c)–(d))</w:t>
            </w:r>
          </w:p>
        </w:tc>
        <w:tc>
          <w:tcPr>
            <w:tcW w:type="dxa" w:w="2592"/>
          </w:tcPr>
          <w:p>
            <w:r/>
            <w:r>
              <w:rPr>
                <w:sz w:val="18"/>
              </w:rPr>
              <w:t>Certification + post-separation sentence + departure notice</w:t>
            </w:r>
          </w:p>
        </w:tc>
        <w:tc>
          <w:tcPr>
            <w:tcW w:type="dxa" w:w="2520"/>
          </w:tcPr>
          <w:p>
            <w:r/>
            <w:r>
              <w:rPr>
                <w:sz w:val="18"/>
              </w:rPr>
              <w:t>Departure notice without identity, or confirmation at Conclusion that departing Staff returned/destroyed material</w:t>
            </w:r>
          </w:p>
        </w:tc>
        <w:tc>
          <w:tcPr>
            <w:tcW w:type="dxa" w:w="2520"/>
          </w:tcPr>
          <w:p>
            <w:r/>
            <w:r>
              <w:rPr>
                <w:sz w:val="18"/>
              </w:rPr>
              <w:t>Drop 2(f) bracket and 12(c); preserve contractor confidentiality sentence</w:t>
            </w:r>
          </w:p>
        </w:tc>
      </w:tr>
      <w:tr>
        <w:tc>
          <w:tcPr>
            <w:tcW w:type="dxa" w:w="1728"/>
          </w:tcPr>
          <w:p>
            <w:r/>
            <w:r>
              <w:rPr>
                <w:sz w:val="18"/>
              </w:rPr>
              <w:t>Challenge period (18(c))</w:t>
            </w:r>
          </w:p>
        </w:tc>
        <w:tc>
          <w:tcPr>
            <w:tcW w:type="dxa" w:w="2592"/>
          </w:tcPr>
          <w:p>
            <w:r/>
            <w:r>
              <w:rPr>
                <w:sz w:val="18"/>
              </w:rPr>
              <w:t>20 business days + 20-day response</w:t>
            </w:r>
          </w:p>
        </w:tc>
        <w:tc>
          <w:tcPr>
            <w:tcW w:type="dxa" w:w="2520"/>
          </w:tcPr>
          <w:p>
            <w:r/>
            <w:r>
              <w:rPr>
                <w:sz w:val="18"/>
              </w:rPr>
              <w:t>15 business days (Heller's floor)</w:t>
            </w:r>
          </w:p>
        </w:tc>
        <w:tc>
          <w:tcPr>
            <w:tcW w:type="dxa" w:w="2520"/>
          </w:tcPr>
          <w:p>
            <w:r/>
            <w:r>
              <w:rPr>
                <w:sz w:val="18"/>
              </w:rPr>
              <w:t>Must keep 18(f) (designations remain in force)</w:t>
            </w:r>
          </w:p>
        </w:tc>
      </w:tr>
      <w:tr>
        <w:tc>
          <w:tcPr>
            <w:tcW w:type="dxa" w:w="1728"/>
          </w:tcPr>
          <w:p>
            <w:r/>
            <w:r>
              <w:rPr>
                <w:sz w:val="18"/>
              </w:rPr>
              <w:t>Upgrade window (4(c))</w:t>
            </w:r>
          </w:p>
        </w:tc>
        <w:tc>
          <w:tcPr>
            <w:tcW w:type="dxa" w:w="2592"/>
          </w:tcPr>
          <w:p>
            <w:r/>
            <w:r>
              <w:rPr>
                <w:sz w:val="18"/>
              </w:rPr>
              <w:t>30 business days; interim HC treatment</w:t>
            </w:r>
          </w:p>
        </w:tc>
        <w:tc>
          <w:tcPr>
            <w:tcW w:type="dxa" w:w="2520"/>
          </w:tcPr>
          <w:p>
            <w:r/>
            <w:r>
              <w:rPr>
                <w:sz w:val="18"/>
              </w:rPr>
              <w:t>20 business days</w:t>
            </w:r>
          </w:p>
        </w:tc>
        <w:tc>
          <w:tcPr>
            <w:tcW w:type="dxa" w:w="2520"/>
          </w:tcPr>
          <w:p>
            <w:r/>
            <w:r>
              <w:rPr>
                <w:sz w:val="18"/>
              </w:rPr>
              <w:t>Interim HC treatment is the must-have</w:t>
            </w:r>
          </w:p>
        </w:tc>
      </w:tr>
      <w:tr>
        <w:tc>
          <w:tcPr>
            <w:tcW w:type="dxa" w:w="1728"/>
          </w:tcPr>
          <w:p>
            <w:r/>
            <w:r>
              <w:rPr>
                <w:sz w:val="18"/>
              </w:rPr>
              <w:t>Ridgeline (25)</w:t>
            </w:r>
          </w:p>
        </w:tc>
        <w:tc>
          <w:tcPr>
            <w:tcW w:type="dxa" w:w="2592"/>
          </w:tcPr>
          <w:p>
            <w:r/>
            <w:r>
              <w:rPr>
                <w:sz w:val="18"/>
              </w:rPr>
              <w:t>Full Para. 25</w:t>
            </w:r>
          </w:p>
        </w:tc>
        <w:tc>
          <w:tcPr>
            <w:tcW w:type="dxa" w:w="2520"/>
          </w:tcPr>
          <w:p>
            <w:r/>
            <w:r>
              <w:rPr>
                <w:sz w:val="18"/>
              </w:rPr>
              <w:t>Drop agency-sharing notice to third parties (25(c)(iii))</w:t>
            </w:r>
          </w:p>
        </w:tc>
        <w:tc>
          <w:tcPr>
            <w:tcW w:type="dxa" w:w="2520"/>
          </w:tcPr>
          <w:p>
            <w:r/>
            <w:r>
              <w:rPr>
                <w:sz w:val="18"/>
              </w:rPr>
              <w:t>Keep designation rights, higher-designation rule, challenge notice/standing</w:t>
            </w:r>
          </w:p>
        </w:tc>
      </w:tr>
    </w:tbl>
    <w:p>
      <w:pPr>
        <w:spacing w:after="40"/>
      </w:pPr>
    </w:p>
    <w:p>
      <w:pPr>
        <w:pStyle w:val="Heading2"/>
      </w:pPr>
      <w:r>
        <w:t>D. Process and Timeline</w:t>
      </w:r>
    </w:p>
    <w:p>
      <w:pPr>
        <w:pStyle w:val="ListBullet"/>
        <w:spacing w:after="60"/>
      </w:pPr>
      <w:r>
        <w:rPr>
          <w:b/>
        </w:rPr>
        <w:t>April 14 (Mon.):</w:t>
      </w:r>
      <w:r>
        <w:t xml:space="preserve"> Kate review of markup and this memo.</w:t>
      </w:r>
    </w:p>
    <w:p>
      <w:pPr>
        <w:pStyle w:val="ListBullet"/>
        <w:spacing w:after="60"/>
      </w:pPr>
      <w:r>
        <w:rPr>
          <w:b/>
        </w:rPr>
        <w:t>April 15:</w:t>
      </w:r>
      <w:r>
        <w:t xml:space="preserve"> Send David Pratt the decision items in Section V (and the relevant markup excerpts — in-house access and staff rotation, per the April 8 action items); obtain sign-off.</w:t>
      </w:r>
    </w:p>
    <w:p>
      <w:pPr>
        <w:pStyle w:val="ListBullet"/>
        <w:spacing w:after="60"/>
      </w:pPr>
      <w:r>
        <w:rPr>
          <w:b/>
        </w:rPr>
        <w:t>April 15–16:</w:t>
      </w:r>
      <w:r>
        <w:t xml:space="preserve"> Circulate the markup (internal notes stripped) to Alan Hsiao for Cascade's input; confirm Cascade's position on the third tier, in-house wall and Ridgeline mechanics; ask P&amp;L to coordinate Ridgeline's comments through Grayson Mills.</w:t>
      </w:r>
    </w:p>
    <w:p>
      <w:pPr>
        <w:pStyle w:val="ListBullet"/>
        <w:spacing w:after="60"/>
      </w:pPr>
      <w:r>
        <w:rPr>
          <w:b/>
        </w:rPr>
        <w:t>April 17:</w:t>
      </w:r>
      <w:r>
        <w:t xml:space="preserve"> Incorporate Cascade comments; prepare clean and redline versions plus a short transmittal identifying precedent support (only after precedents are verified — Section VI).</w:t>
      </w:r>
    </w:p>
    <w:p>
      <w:pPr>
        <w:pStyle w:val="ListBullet"/>
        <w:spacing w:after="60"/>
      </w:pPr>
      <w:r>
        <w:rPr>
          <w:b/>
        </w:rPr>
        <w:t>April 18 (Fri.):</w:t>
      </w:r>
      <w:r>
        <w:t xml:space="preserve"> Circulate to Heller and Muñoz, consistent with Kate's April 8 commitment ("within the next 10 days").</w:t>
      </w:r>
    </w:p>
    <w:p>
      <w:pPr>
        <w:pStyle w:val="ListBullet"/>
        <w:spacing w:after="60"/>
      </w:pPr>
      <w:r>
        <w:rPr>
          <w:b/>
        </w:rPr>
        <w:t>Week of April 21:</w:t>
      </w:r>
      <w:r>
        <w:t xml:space="preserve"> Follow-up call Heller offered; confirm Bucket 1 items in writing; negotiate Bucket 3.</w:t>
      </w:r>
    </w:p>
    <w:p>
      <w:pPr>
        <w:pStyle w:val="ListBullet"/>
        <w:spacing w:after="60"/>
      </w:pPr>
      <w:r>
        <w:rPr>
          <w:b/>
        </w:rPr>
        <w:t>April 25 (Fri.):</w:t>
      </w:r>
      <w:r>
        <w:t xml:space="preserve"> Joint proposed order, or — per Muñoz — each side's proposed order with a brief cover letter identifying the areas of disagreement and the basis for each position. Begin drafting that cover letter on April 22 as insurance.</w:t>
      </w:r>
    </w:p>
    <w:p>
      <w:pPr>
        <w:pStyle w:val="Heading1"/>
      </w:pPr>
      <w:r>
        <w:t>V. Items Requiring Client Decision (David Pratt)</w:t>
      </w:r>
    </w:p>
    <w:p>
      <w:pPr>
        <w:pStyle w:val="ListNumber"/>
        <w:spacing w:after="60"/>
      </w:pPr>
      <w:r>
        <w:rPr>
          <w:b/>
        </w:rPr>
        <w:t>Third tier reciprocity and Northbridge access.</w:t>
      </w:r>
      <w:r>
        <w:t xml:space="preserve"> The third tier applies symmetrically. Cascade has told us (Hsiao on April 8; Karen Solberg to David) that its customer-level profitability data is its "crown jewel," and it will designate that data AEO. Northbridge Economics Group would then need Cascade's consent or a Commission order to use it — which could constrain our own economic advocacy on market definition and efficiencies. The markup mitigates this with a consent/necessity exception (9A(b)) and an aggregated-data mechanism (9A(b), 24(c)). David should confirm he accepts this trade-off; his email contemplates exactly this "specific analytical purpose" exception.</w:t>
      </w:r>
    </w:p>
    <w:p>
      <w:pPr>
        <w:pStyle w:val="ListNumber"/>
        <w:spacing w:after="60"/>
      </w:pPr>
      <w:r>
        <w:rPr>
          <w:b/>
        </w:rPr>
        <w:t>Naming Project Atlas in the order.</w:t>
      </w:r>
      <w:r>
        <w:t xml:space="preserve"> David asked that Project Atlas be referenced by name. Doing so reveals the document's title and subject to Cascade's counsel and to anyone who later sees the order (including in a public Subsequent Proceeding). The generic category in 3(c)(i) covers it fully. We recommend omitting the name in the version sent to Staff; it is bracketed pending David's decision.</w:t>
      </w:r>
    </w:p>
    <w:p>
      <w:pPr>
        <w:pStyle w:val="ListNumber"/>
        <w:spacing w:after="60"/>
      </w:pPr>
      <w:r>
        <w:rPr>
          <w:b/>
        </w:rPr>
        <w:t>Who will be Whitmore's Designated In-House Counsel?</w:t>
      </w:r>
      <w:r>
        <w:t xml:space="preserve"> The competitive wall is reciprocal, as David acknowledged. We need the names, titles and actual responsibilities of up to three Whitmore lawyers who can be certified under Exhibit A ¶ 8. If David has commercial or pricing oversight for the Pacific Northwest or Sacramento, he may not qualify; we should know before we propose the clause.</w:t>
      </w:r>
    </w:p>
    <w:p>
      <w:pPr>
        <w:pStyle w:val="ListNumber"/>
        <w:spacing w:after="60"/>
      </w:pPr>
      <w:r>
        <w:rPr>
          <w:b/>
        </w:rPr>
        <w:t>Northbridge consent to the expert restrictions.</w:t>
      </w:r>
      <w:r>
        <w:t xml:space="preserve"> The 24-month disclosure and 12-month forward restriction will bind Northbridge as to Cascade's data. We should confirm with Northbridge before circulation.</w:t>
      </w:r>
    </w:p>
    <w:p>
      <w:pPr>
        <w:pStyle w:val="ListNumber"/>
        <w:spacing w:after="60"/>
      </w:pPr>
      <w:r>
        <w:rPr>
          <w:b/>
        </w:rPr>
        <w:t>Staff-rotation objective.</w:t>
      </w:r>
      <w:r>
        <w:t xml:space="preserve"> Confirm David is comfortable that departure notification (12(d)) — not a post-separation use bar — is the realistic objective, as he anticipated in his email.</w:t>
      </w:r>
    </w:p>
    <w:p>
      <w:pPr>
        <w:pStyle w:val="ListNumber"/>
        <w:spacing w:after="60"/>
      </w:pPr>
      <w:r>
        <w:rPr>
          <w:b/>
        </w:rPr>
        <w:t>Whether to brief Meg Ellsworth.</w:t>
      </w:r>
      <w:r>
        <w:t xml:space="preserve"> Our recommendation: the protective order can be handled at the GC level for now; nothing in the package currently rises to a board- or CEO-level issue. We suggest a short heads-up to Ms. Ellsworth only if (a) Staff rejects the third tier and we must file competing proposals on April 25, (b) a dispute with Ridgeline begins to affect the deal relationship (David notes Ridgeline holds what he describes as a blocking stake), or (c) Staff's position on Para. 14 or staff rotation leaves Project Atlas exposure risk the business should formally accept. We should revisit after the week-of-April-21 call with Staff.</w:t>
      </w:r>
    </w:p>
    <w:p>
      <w:pPr>
        <w:pStyle w:val="Heading1"/>
      </w:pPr>
      <w:r>
        <w:t>VI. Ridgeline Capital Partners</w:t>
      </w:r>
    </w:p>
    <w:p>
      <w:pPr>
        <w:spacing w:after="120"/>
      </w:pPr>
      <w:r>
        <w:rPr>
          <w:b w:val="0"/>
          <w:i w:val="0"/>
        </w:rPr>
        <w:t>Ridgeline (approximately 38% minority holder of Cascade; the Nakamura family holds approximately 62%) asks for five protections. Our recommended response, reflected in new Para. 25 and conforming changes:</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D9D9D9"/>
          </w:tcPr>
          <w:p>
            <w:r/>
            <w:r>
              <w:rPr>
                <w:b/>
                <w:sz w:val="18"/>
              </w:rPr>
              <w:t>Ridgeline request</w:t>
            </w:r>
          </w:p>
        </w:tc>
        <w:tc>
          <w:tcPr>
            <w:tcW w:type="dxa" w:w="1872"/>
            <w:shd w:val="clear" w:color="auto" w:fill="D9D9D9"/>
          </w:tcPr>
          <w:p>
            <w:r/>
            <w:r>
              <w:rPr>
                <w:b/>
                <w:sz w:val="18"/>
              </w:rPr>
              <w:t>Recommendation</w:t>
            </w:r>
          </w:p>
        </w:tc>
        <w:tc>
          <w:tcPr>
            <w:tcW w:type="dxa" w:w="4464"/>
            <w:shd w:val="clear" w:color="auto" w:fill="D9D9D9"/>
          </w:tcPr>
          <w:p>
            <w:r/>
            <w:r>
              <w:rPr>
                <w:b/>
                <w:sz w:val="18"/>
              </w:rPr>
              <w:t>Comment</w:t>
            </w:r>
          </w:p>
        </w:tc>
      </w:tr>
      <w:tr>
        <w:tc>
          <w:tcPr>
            <w:tcW w:type="dxa" w:w="3024"/>
          </w:tcPr>
          <w:p>
            <w:r/>
            <w:r>
              <w:rPr>
                <w:sz w:val="18"/>
              </w:rPr>
              <w:t>1. Independent designation rights; higher designation controls</w:t>
            </w:r>
          </w:p>
        </w:tc>
        <w:tc>
          <w:tcPr>
            <w:tcW w:type="dxa" w:w="1872"/>
          </w:tcPr>
          <w:p>
            <w:r/>
            <w:r>
              <w:rPr>
                <w:sz w:val="18"/>
              </w:rPr>
              <w:t>Accept (25(a)–(b), 4(f))</w:t>
            </w:r>
          </w:p>
        </w:tc>
        <w:tc>
          <w:tcPr>
            <w:tcW w:type="dxa" w:w="4464"/>
          </w:tcPr>
          <w:p>
            <w:r/>
            <w:r>
              <w:rPr>
                <w:sz w:val="18"/>
              </w:rPr>
              <w:t>Cascade, as custodian, identifies Ridgeline-originated material within 10 business days; Ridgeline designates within 20 business days. Cascade must agree to bear this burden.</w:t>
            </w:r>
          </w:p>
        </w:tc>
      </w:tr>
      <w:tr>
        <w:tc>
          <w:tcPr>
            <w:tcW w:type="dxa" w:w="3024"/>
          </w:tcPr>
          <w:p>
            <w:r/>
            <w:r>
              <w:rPr>
                <w:sz w:val="18"/>
              </w:rPr>
              <w:t>2. 10 business days' notice BEFORE any challenge; standing</w:t>
            </w:r>
          </w:p>
        </w:tc>
        <w:tc>
          <w:tcPr>
            <w:tcW w:type="dxa" w:w="1872"/>
          </w:tcPr>
          <w:p>
            <w:r/>
            <w:r>
              <w:rPr>
                <w:sz w:val="18"/>
              </w:rPr>
              <w:t>Modify (18(b), 18(g))</w:t>
            </w:r>
          </w:p>
        </w:tc>
        <w:tc>
          <w:tcPr>
            <w:tcW w:type="dxa" w:w="4464"/>
          </w:tcPr>
          <w:p>
            <w:r/>
            <w:r>
              <w:rPr>
                <w:sz w:val="18"/>
              </w:rPr>
              <w:t>Concurrent notice, participation in a 10-day meet-and-confer, and standing to be heard — same practical protection without a pre-challenge delay Staff is likely to resist.</w:t>
            </w:r>
          </w:p>
        </w:tc>
      </w:tr>
      <w:tr>
        <w:tc>
          <w:tcPr>
            <w:tcW w:type="dxa" w:w="3024"/>
          </w:tcPr>
          <w:p>
            <w:r/>
            <w:r>
              <w:rPr>
                <w:sz w:val="18"/>
              </w:rPr>
              <w:t>3. Prior notice before FTC sharing with DOJ/state AGs</w:t>
            </w:r>
          </w:p>
        </w:tc>
        <w:tc>
          <w:tcPr>
            <w:tcW w:type="dxa" w:w="1872"/>
          </w:tcPr>
          <w:p>
            <w:r/>
            <w:r>
              <w:rPr>
                <w:sz w:val="18"/>
              </w:rPr>
              <w:t>Modify (14(d), 25(c)(iii))</w:t>
            </w:r>
          </w:p>
        </w:tc>
        <w:tc>
          <w:tcPr>
            <w:tcW w:type="dxa" w:w="4464"/>
          </w:tcPr>
          <w:p>
            <w:r/>
            <w:r>
              <w:rPr>
                <w:sz w:val="18"/>
              </w:rPr>
              <w:t>Staff has called prior notice non-negotiable. Ridgeline receives notice only to the same extent, if any, as the Producing Party.</w:t>
            </w:r>
          </w:p>
        </w:tc>
      </w:tr>
      <w:tr>
        <w:tc>
          <w:tcPr>
            <w:tcW w:type="dxa" w:w="3024"/>
          </w:tcPr>
          <w:p>
            <w:r/>
            <w:r>
              <w:rPr>
                <w:sz w:val="18"/>
              </w:rPr>
              <w:t>4. Special acknowledgment imposing highest-tier restrictions on all third-party-originated materials</w:t>
            </w:r>
          </w:p>
        </w:tc>
        <w:tc>
          <w:tcPr>
            <w:tcW w:type="dxa" w:w="1872"/>
          </w:tcPr>
          <w:p>
            <w:r/>
            <w:r>
              <w:rPr>
                <w:sz w:val="18"/>
              </w:rPr>
              <w:t>Decline</w:t>
            </w:r>
          </w:p>
        </w:tc>
        <w:tc>
          <w:tcPr>
            <w:tcW w:type="dxa" w:w="4464"/>
          </w:tcPr>
          <w:p>
            <w:r/>
            <w:r>
              <w:rPr>
                <w:sz w:val="18"/>
              </w:rPr>
              <w:t>Inconsistent with good-faith, tiered designation (and Staff will not sign party forms). Ridgeline's most sensitive materials (fund performance, LP communications, IC memoranda, valuation models) are listed as AEO-eligible in 3(c)(vi) instead.</w:t>
            </w:r>
          </w:p>
        </w:tc>
      </w:tr>
      <w:tr>
        <w:tc>
          <w:tcPr>
            <w:tcW w:type="dxa" w:w="3024"/>
          </w:tcPr>
          <w:p>
            <w:r/>
            <w:r>
              <w:rPr>
                <w:sz w:val="18"/>
              </w:rPr>
              <w:t>5. Direct certification of return/destruction</w:t>
            </w:r>
          </w:p>
        </w:tc>
        <w:tc>
          <w:tcPr>
            <w:tcW w:type="dxa" w:w="1872"/>
          </w:tcPr>
          <w:p>
            <w:r/>
            <w:r>
              <w:rPr>
                <w:sz w:val="18"/>
              </w:rPr>
              <w:t>Accept (19(a)(ii), 25(c)(v))</w:t>
            </w:r>
          </w:p>
        </w:tc>
        <w:tc>
          <w:tcPr>
            <w:tcW w:type="dxa" w:w="4464"/>
          </w:tcPr>
          <w:p>
            <w:r/>
            <w:r>
              <w:rPr>
                <w:sz w:val="18"/>
              </w:rPr>
              <w:t>Low cost.</w:t>
            </w:r>
          </w:p>
        </w:tc>
      </w:tr>
    </w:tbl>
    <w:p>
      <w:pPr>
        <w:spacing w:after="40"/>
      </w:pPr>
    </w:p>
    <w:p>
      <w:pPr>
        <w:pStyle w:val="ListBullet"/>
        <w:spacing w:after="60"/>
      </w:pPr>
      <w:r>
        <w:rPr>
          <w:b/>
        </w:rPr>
        <w:t>Representation and privilege.</w:t>
      </w:r>
      <w:r>
        <w:t xml:space="preserve"> HSW represents Whitmore, not Ridgeline. David asked us to coordinate directly with Robert Tanaka; we recommend routing substantive drafting through Pemberton &amp; Locke (Cascade's counsel, whose client actually holds and will produce the materials) and not sharing privileged drafts, this memo, or the internal notes with Grayson Mills absent a common-interest arrangement. A short acknowledgment of the April 10 letter, confirming that third-party designation provisions are being proposed, is appropriate.</w:t>
      </w:r>
    </w:p>
    <w:p>
      <w:pPr>
        <w:pStyle w:val="ListBullet"/>
        <w:spacing w:after="60"/>
      </w:pPr>
      <w:r>
        <w:rPr>
          <w:b/>
        </w:rPr>
        <w:t>Relevance.</w:t>
      </w:r>
      <w:r>
        <w:t xml:space="preserve"> Ridgeline's letter asserts that its materials "have no relevance" to the FTC's competitive analysis. That is overstated for board-level materials on Cascade's strategy and competitive positioning and for investment-committee market assessments, which Staff may well view as relevant. The order can protect confidentiality, but cannot be used to narrow what Cascade must produce under the Second Request — hence 25(e).</w:t>
      </w:r>
    </w:p>
    <w:p>
      <w:pPr>
        <w:pStyle w:val="ListBullet"/>
        <w:spacing w:after="60"/>
      </w:pPr>
      <w:r>
        <w:rPr>
          <w:b/>
        </w:rPr>
        <w:t>Ridgeline's reading of Para. 2(b).</w:t>
      </w:r>
      <w:r>
        <w:t xml:space="preserve"> The letter states the order limits designation rights to Whitmore and Cascade. In fact Para. 2(b) already makes any third party that itself produces a Producing Party; the gap is limited to Ridgeline material produced from Cascade's files, which is what Para. 25 addresses.</w:t>
      </w:r>
    </w:p>
    <w:p>
      <w:pPr>
        <w:pStyle w:val="ListBullet"/>
        <w:spacing w:after="60"/>
      </w:pPr>
      <w:r>
        <w:rPr>
          <w:b/>
        </w:rPr>
        <w:t>Timing risk.</w:t>
      </w:r>
      <w:r>
        <w:t xml:space="preserve"> Ridgeline reserves the right to petition the FTC directly. Accommodating its reasonable requests within the joint order reduces the risk of a separate submission that could complicate the April 25 timeline.</w:t>
      </w:r>
    </w:p>
    <w:p>
      <w:pPr>
        <w:pStyle w:val="Heading1"/>
      </w:pPr>
      <w:r>
        <w:t>VII. Legal Points to Note</w:t>
      </w:r>
    </w:p>
    <w:p>
      <w:pPr>
        <w:pStyle w:val="ListBullet"/>
        <w:spacing w:after="60"/>
      </w:pPr>
      <w:r>
        <w:rPr>
          <w:b/>
        </w:rPr>
        <w:t>FRE 502(d).</w:t>
      </w:r>
      <w:r>
        <w:t xml:space="preserve"> FRE 502(d) authorizes a "federal court" to order non-waiver binding in other proceedings. The Commission is not a federal court, so the protective order cannot itself be a 502(d) order. Our draft (16(a), 16(e)) eliminates the 502(b) reasonableness inquiry by agreement and commits all parties to jointly seek a true 502(d) order in any 13(b) action and an equivalent ALJ order in Part 3 (we cite 16 C.F.R. § 3.31(g); verify). Given the approximately 1.88 million documents and inherited privilege issues from Whitmore's 2022–2024 tuck-in acquisitions, this is worth pursuing.</w:t>
      </w:r>
    </w:p>
    <w:p>
      <w:pPr>
        <w:pStyle w:val="ListBullet"/>
        <w:spacing w:after="60"/>
      </w:pPr>
      <w:r>
        <w:rPr>
          <w:b/>
        </w:rPr>
        <w:t>Para. 14 and state AGs.</w:t>
      </w:r>
      <w:r>
        <w:t xml:space="preserve"> Under HSR Act § 7A(h), 15 U.S.C. § 18a(h), Second Request materials are exempt from FOIA and may not be made public except as relevant to an administrative or judicial proceeding; federal–state merger coordination practice generally conditions sharing of HSR materials with state AGs on the parties' waiver. Our 14(a) language rests on that framework rather than a new notice right. Confirm current agency practice before circulation.</w:t>
      </w:r>
    </w:p>
    <w:p>
      <w:pPr>
        <w:pStyle w:val="ListBullet"/>
        <w:spacing w:after="60"/>
      </w:pPr>
      <w:r>
        <w:rPr>
          <w:b/>
        </w:rPr>
        <w:t>In-house screen.</w:t>
      </w:r>
      <w:r>
        <w:t xml:space="preserve"> The functional "competitive decision-making" test (U.S. Steel Corp. v. United States, 730 F.2d 1465 (Fed. Cir. 1984); Brown Bag Software v. Symantec Corp., 960 F.2d 1465 (9th Cir. 1992)) is the established basis for restricting in-house access and is more defensible than a title- or "operational responsibility"-based bar. The wall also serves gun-jumping hygiene: until closing, Whitmore and Cascade remain independent competitors (Sherman Act § 1; HSR Act § 7A).</w:t>
      </w:r>
    </w:p>
    <w:p>
      <w:pPr>
        <w:pStyle w:val="ListBullet"/>
        <w:spacing w:after="60"/>
      </w:pPr>
      <w:r>
        <w:rPr>
          <w:b/>
        </w:rPr>
        <w:t>Staff rotation.</w:t>
      </w:r>
      <w:r>
        <w:t xml:space="preserve"> Muñoz pointed to 18 U.S.C. § 1905 and OGE rules. Those protect against unauthorized disclosure by government employees, but 5 C.F.R. § 2635.703 governs current employees and the post-employment statute (18 U.S.C. § 207) restricts representational activity rather than a former economist's later use of a private party's commercial data — which supports a narrow departure-notification provision.</w:t>
      </w:r>
    </w:p>
    <w:p>
      <w:pPr>
        <w:pStyle w:val="ListBullet"/>
        <w:spacing w:after="60"/>
      </w:pPr>
      <w:r>
        <w:rPr>
          <w:b/>
        </w:rPr>
        <w:t>Part 3 interaction.</w:t>
      </w:r>
      <w:r>
        <w:t xml:space="preserve"> In a Part 3 proceeding the ALJ enters the Commission's standard protective order under 16 C.F.R. § 3.31(d); in camera treatment is governed by 16 C.F.R. § 3.45. The bridge provision therefore commits the parties to seek supplementation rather than purporting to bind the ALJ (23(b), 23(e)).</w:t>
      </w:r>
    </w:p>
    <w:p>
      <w:pPr>
        <w:pStyle w:val="ListBullet"/>
        <w:spacing w:after="60"/>
      </w:pPr>
      <w:r>
        <w:rPr>
          <w:b/>
        </w:rPr>
        <w:t>Commission's own return obligations.</w:t>
      </w:r>
      <w:r>
        <w:t xml:space="preserve"> Return of materials by the Commission is also governed by 15 U.S.C. § 57b-2 and 16 C.F.R. § 4.12; we should calendar a written return request upon the Conclusion of the Investigation.</w:t>
      </w:r>
    </w:p>
    <w:p>
      <w:pPr>
        <w:pStyle w:val="Heading1"/>
      </w:pPr>
      <w:r>
        <w:t>VIII. Record Discrepancies and Verification Items</w:t>
      </w:r>
    </w:p>
    <w:p>
      <w:pPr>
        <w:spacing w:after="120"/>
      </w:pPr>
      <w:r>
        <w:rPr>
          <w:b w:val="0"/>
          <w:i w:val="0"/>
        </w:rPr>
        <w:t>Before anything is circulated externally, the following inconsistencies in our working papers should be corrected or confirmed:</w:t>
      </w:r>
    </w:p>
    <w:p>
      <w:pPr>
        <w:pStyle w:val="ListBullet"/>
        <w:spacing w:after="60"/>
      </w:pPr>
      <w:r>
        <w:rPr>
          <w:b/>
        </w:rPr>
        <w:t>Ridgeline's status.</w:t>
      </w:r>
      <w:r>
        <w:t xml:space="preserve"> The April 8 call notes describe Ridgeline as "Whitmore's majority equity sponsor," and the April 11 precedent memo describes it as "Cascade's majority shareholder." Both are wrong. Per the Tanaka letter and David's email, Ridgeline holds an approximately 38% minority interest in Cascade. The notes and memo should be corrected.</w:t>
      </w:r>
    </w:p>
    <w:p>
      <w:pPr>
        <w:pStyle w:val="ListBullet"/>
        <w:spacing w:after="60"/>
      </w:pPr>
      <w:r>
        <w:rPr>
          <w:b/>
        </w:rPr>
        <w:t>Burden of proof.</w:t>
      </w:r>
      <w:r>
        <w:t xml:space="preserve"> The precedent memo says the FTC draft does not expressly allocate the burden in designation challenges. It does (Paras. 5(c) and 18(d)); we should not present this as a concession we are seeking.</w:t>
      </w:r>
    </w:p>
    <w:p>
      <w:pPr>
        <w:pStyle w:val="ListBullet"/>
        <w:spacing w:after="60"/>
      </w:pPr>
      <w:r>
        <w:rPr>
          <w:b/>
        </w:rPr>
        <w:t>Exhibit reference.</w:t>
      </w:r>
      <w:r>
        <w:t xml:space="preserve"> The precedent memo refers to the acknowledgment form as "Exhibit B"; the FTC draft has only Exhibit A.</w:t>
      </w:r>
    </w:p>
    <w:p>
      <w:pPr>
        <w:pStyle w:val="ListBullet"/>
        <w:spacing w:after="60"/>
      </w:pPr>
      <w:r>
        <w:rPr>
          <w:b/>
        </w:rPr>
        <w:t>Defined terms.</w:t>
      </w:r>
      <w:r>
        <w:t xml:space="preserve"> David's email refers to "FTC Staff" in Para. 2(f); the defined term is "Commission Staff." The FTC draft also uses "Confidential Discovery Material" without defining it (fixed in 2(i)).</w:t>
      </w:r>
    </w:p>
    <w:p>
      <w:pPr>
        <w:pStyle w:val="ListBullet"/>
        <w:spacing w:after="60"/>
      </w:pPr>
      <w:r>
        <w:rPr>
          <w:b/>
        </w:rPr>
        <w:t>The "10-business-day challenge deadline."</w:t>
      </w:r>
      <w:r>
        <w:t xml:space="preserve"> This is the deadline for the challenger to file a motion after a 5-business-day meet-and-confer (Para. 18(c)); extending it mainly helps challengers. The producer-side protections are 18(f) and the new response period.</w:t>
      </w:r>
    </w:p>
    <w:p>
      <w:pPr>
        <w:pStyle w:val="ListBullet"/>
        <w:spacing w:after="60"/>
      </w:pPr>
      <w:r>
        <w:rPr>
          <w:b/>
        </w:rPr>
        <w:t>Call date and attendance.</w:t>
      </w:r>
      <w:r>
        <w:t xml:space="preserve"> David's email refers to "Monday's" joint call; the call was Tuesday, April 8, 2025. The precedent memo lists Sarah Leong (P&amp;L) as attending; the call notes list only Alan Hsiao for Cascade. Neither affects the markup, but the record should be consistent.</w:t>
      </w:r>
    </w:p>
    <w:p>
      <w:pPr>
        <w:pStyle w:val="ListBullet"/>
        <w:spacing w:after="60"/>
      </w:pPr>
      <w:r>
        <w:rPr>
          <w:b/>
        </w:rPr>
        <w:t>Precedent verification.</w:t>
      </w:r>
      <w:r>
        <w:t xml:space="preserve"> Before citing Thornfield/Beckett, Galveston/Meridian or Crestline/Durango to Staff, pull TPO-9412-A, TPO-9428-B and TPO-9435-C and confirm the provisions and Staff's acceptance. The "FTC Docket No." designations (9412, 9428, 9435) look like Part 3 adjudicative docket numbers, not investigation file numbers, and investigation-stage protective orders may be non-public or subject to other clients' confidentiality. Confirm we may reference them, and how. The memo's statement that a three-tier system is now the "prevailing approach," and the "colleagues" reports in David's email, should not be repeated to Staff without support.</w:t>
      </w:r>
    </w:p>
    <w:p>
      <w:pPr>
        <w:pStyle w:val="ListBullet"/>
        <w:spacing w:after="60"/>
      </w:pPr>
      <w:r>
        <w:rPr>
          <w:b/>
        </w:rPr>
        <w:t>Production figures.</w:t>
      </w:r>
      <w:r>
        <w:t xml:space="preserve"> The markup and transmittal rely on: Whitmore 47 custodians / approx. 1.2 million documents / 8.5 million pages; Cascade 29 custodians / approx. 680,000 documents / 4.1 million pages; combined 76 custodians / approx. 1.88 million documents / 12.6 million pages. These figures are consistent across our documents.</w:t>
      </w:r>
    </w:p>
    <w:p>
      <w:pPr>
        <w:pStyle w:val="ListBullet"/>
        <w:spacing w:after="60"/>
      </w:pPr>
      <w:r>
        <w:rPr>
          <w:b/>
        </w:rPr>
        <w:t>Citations.</w:t>
      </w:r>
      <w:r>
        <w:t xml:space="preserve"> Confirm 16 C.F.R. §§ 3.31(d), 3.31(g), 3.45, 4.12 and the case citations in Section VII before external use.</w:t>
      </w:r>
    </w:p>
    <w:p>
      <w:pPr>
        <w:pStyle w:val="Heading1"/>
      </w:pPr>
      <w:r>
        <w:t>IX. Recommended Next Steps</w:t>
      </w:r>
    </w:p>
    <w:p>
      <w:pPr>
        <w:pStyle w:val="ListNumber"/>
        <w:spacing w:after="60"/>
      </w:pPr>
      <w:r>
        <w:t xml:space="preserve"> Kate to review the markup and this memo; resolve bracketed items where possible.</w:t>
      </w:r>
    </w:p>
    <w:p>
      <w:pPr>
        <w:pStyle w:val="ListNumber"/>
        <w:spacing w:after="60"/>
      </w:pPr>
      <w:r>
        <w:t xml:space="preserve"> Send David the Section V decision items; obtain names of up to three Designated In-House Counsel and his decision on naming Project Atlas.</w:t>
      </w:r>
    </w:p>
    <w:p>
      <w:pPr>
        <w:pStyle w:val="ListNumber"/>
        <w:spacing w:after="60"/>
      </w:pPr>
      <w:r>
        <w:t xml:space="preserve"> Confirm with Northbridge that it can accept the expert disclosure and 12-month forward restriction.</w:t>
      </w:r>
    </w:p>
    <w:p>
      <w:pPr>
        <w:pStyle w:val="ListNumber"/>
        <w:spacing w:after="60"/>
      </w:pPr>
      <w:r>
        <w:t xml:space="preserve"> Benjamin to verify precedent orders (TPO-9412-A, -9428-B, -9435-C) and the regulatory citations; correct the Ridgeline description in the April 8 notes and April 11 memo.</w:t>
      </w:r>
    </w:p>
    <w:p>
      <w:pPr>
        <w:pStyle w:val="ListNumber"/>
        <w:spacing w:after="60"/>
      </w:pPr>
      <w:r>
        <w:t xml:space="preserve"> Strip internal notes; send the markup to Alan Hsiao with a request for Cascade comments by April 17, including P&amp;L's coordination with Grayson Mills on Para. 25.</w:t>
      </w:r>
    </w:p>
    <w:p>
      <w:pPr>
        <w:pStyle w:val="ListNumber"/>
        <w:spacing w:after="60"/>
      </w:pPr>
      <w:r>
        <w:t xml:space="preserve"> Acknowledge receipt of the Tanaka letter (non-substantive), noting that third-party designation provisions are being proposed.</w:t>
      </w:r>
    </w:p>
    <w:p>
      <w:pPr>
        <w:pStyle w:val="ListNumber"/>
        <w:spacing w:after="60"/>
      </w:pPr>
      <w:r>
        <w:t xml:space="preserve"> Circulate to Heller/Muñoz by April 18; schedule the week-of-April-21 follow-up call; begin the competing-proposal cover letter as a contingency on April 22.</w:t>
      </w:r>
    </w:p>
    <w:p>
      <w:pPr>
        <w:spacing w:after="120"/>
      </w:pPr>
      <w:r>
        <w:rPr>
          <w:b w:val="0"/>
          <w:i/>
        </w:rPr>
        <w:t>Attachment: protective-order-markup.docx (tracked changes against FTC draft circulated April 2, 2025, with internal HSW notes).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