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b/>
          <w:i w:val="0"/>
        </w:rPr>
        <w:t>UNITED STATES DISTRICT COURT</w:t>
      </w:r>
    </w:p>
    <w:p>
      <w:pPr>
        <w:spacing w:after="0" w:line="240" w:lineRule="auto"/>
        <w:jc w:val="center"/>
      </w:pPr>
      <w:r>
        <w:rPr>
          <w:b/>
          <w:i w:val="0"/>
        </w:rPr>
        <w:t>FOR THE EASTERN DISTRICT OF TENNESSEE</w:t>
      </w:r>
    </w:p>
    <w:p>
      <w:pPr>
        <w:spacing w:after="0" w:line="240" w:lineRule="auto"/>
        <w:jc w:val="center"/>
      </w:pPr>
      <w:r>
        <w:rPr>
          <w:b/>
          <w:i w:val="0"/>
        </w:rPr>
        <w:t>AT GREENEVILLE</w:t>
      </w:r>
    </w:p>
    <w:p>
      <w:pPr>
        <w:spacing w:after="0" w:line="240" w:lineRule="auto"/>
        <w:jc w:val="left"/>
      </w:pPr>
    </w:p>
    <w:tbl>
      <w:tblPr>
        <w:tblW w:type="dxa" w:w="9360"/>
        <w:tblLayout w:type="fixed"/>
        <w:tblLook w:firstColumn="1" w:firstRow="1" w:lastColumn="0" w:lastRow="0" w:noHBand="0" w:noVBand="1" w:val="04A0"/>
        <w:tblLayout w:type="fixed"/>
      </w:tblPr>
      <w:tblGrid>
        <w:gridCol w:w="5040"/>
        <w:gridCol w:w="4320"/>
      </w:tblGrid>
      <w:tr>
        <w:tc>
          <w:tcPr>
            <w:tcW w:type="dxa" w:w="5040"/>
            <w:tcBorders>
              <w:right w:val="single" w:sz="8" w:color="000000"/>
              <w:bottom w:val="single" w:sz="8" w:color="000000"/>
            </w:tcBorders>
          </w:tcPr>
          <w:p>
            <w:r>
              <w:t>DR. NATHAN J. VOGLER, M.D., et al., individually and on behalf of all similarly situated plaintiff orthopedic surgeons,</w:t>
            </w:r>
          </w:p>
          <w:p/>
          <w:p>
            <w:r>
              <w:t xml:space="preserve">                    Plaintiffs,</w:t>
            </w:r>
          </w:p>
          <w:p/>
          <w:p>
            <w:r>
              <w:t xml:space="preserve">          v.</w:t>
            </w:r>
          </w:p>
          <w:p/>
          <w:p>
            <w:r>
              <w:t>CRESTLINE HEALTH SYSTEMS, INC.,</w:t>
            </w:r>
          </w:p>
          <w:p/>
          <w:p>
            <w:r>
              <w:t xml:space="preserve">                    Defendant.</w:t>
            </w:r>
          </w:p>
        </w:tc>
        <w:tc>
          <w:tcPr>
            <w:tcW w:type="dxa" w:w="4320"/>
          </w:tcPr>
          <w:p>
            <w:pPr>
              <w:ind w:left="216"/>
            </w:pPr>
            <w:r/>
          </w:p>
          <w:p>
            <w:pPr>
              <w:ind w:left="216"/>
            </w:pPr>
          </w:p>
          <w:p>
            <w:pPr>
              <w:ind w:left="216"/>
            </w:pPr>
            <w:r>
              <w:t>Case No. 2:24-cv-00419-CTM</w:t>
            </w:r>
          </w:p>
          <w:p>
            <w:pPr>
              <w:ind w:left="216"/>
            </w:pPr>
          </w:p>
          <w:p>
            <w:pPr>
              <w:ind w:left="216"/>
            </w:pPr>
            <w:r>
              <w:t>JURY TRIAL DEMANDED</w:t>
            </w:r>
          </w:p>
          <w:p>
            <w:pPr>
              <w:ind w:left="216"/>
            </w:pPr>
          </w:p>
          <w:p>
            <w:pPr>
              <w:ind w:left="216"/>
            </w:pPr>
            <w:r>
              <w:t>ORAL ARGUMENT REQUESTED</w:t>
            </w:r>
          </w:p>
        </w:tc>
      </w:tr>
    </w:tbl>
    <w:p>
      <w:pPr>
        <w:spacing w:after="0" w:line="240" w:lineRule="auto"/>
        <w:jc w:val="left"/>
      </w:pPr>
    </w:p>
    <w:p>
      <w:pPr>
        <w:spacing w:after="240" w:line="240" w:lineRule="auto"/>
        <w:jc w:val="center"/>
      </w:pPr>
      <w:r>
        <w:rPr>
          <w:b/>
          <w:i w:val="0"/>
        </w:rPr>
        <w:t>MEMORANDUM OF LAW IN SUPPORT OF DEFENDANT CRESTLINE HEALTH SYSTEMS, INC.’S MOTION TO DISMISS THE VERIFIED COMPLAINT PURSUANT TO FEDERAL RULE OF CIVIL PROCEDURE 12(b)(6)</w:t>
      </w:r>
    </w:p>
    <w:p>
      <w:r>
        <w:br w:type="page"/>
      </w:r>
    </w:p>
    <w:p>
      <w:pPr>
        <w:spacing w:after="240" w:line="240" w:lineRule="auto"/>
        <w:jc w:val="center"/>
      </w:pPr>
      <w:r>
        <w:rPr>
          <w:b/>
          <w:i w:val="0"/>
        </w:rPr>
        <w:t>TABLE OF CONTENTS</w:t>
      </w:r>
    </w:p>
    <w:p>
      <w:pPr>
        <w:spacing w:after="120" w:line="240" w:lineRule="auto"/>
        <w:jc w:val="right"/>
      </w:pPr>
      <w:r>
        <w:rPr>
          <w:b/>
          <w:i w:val="0"/>
        </w:rPr>
        <w:t>Page</w:t>
      </w:r>
    </w:p>
    <w:p>
      <w:pPr>
        <w:tabs>
          <w:tab w:pos="9360" w:val="right" w:leader="dot"/>
        </w:tabs>
        <w:spacing w:after="120" w:line="240" w:lineRule="auto"/>
        <w:ind w:left="0" w:firstLine="0"/>
      </w:pPr>
      <w:r>
        <w:t>TABLE OF AUTHORITIES</w:t>
      </w:r>
      <w:r>
        <w:tab/>
        <w:t>iii</w:t>
      </w:r>
    </w:p>
    <w:p>
      <w:pPr>
        <w:tabs>
          <w:tab w:pos="9360" w:val="right" w:leader="dot"/>
        </w:tabs>
        <w:spacing w:after="120" w:line="240" w:lineRule="auto"/>
        <w:ind w:left="0" w:firstLine="0"/>
      </w:pPr>
      <w:r>
        <w:t>INTRODUCTION</w:t>
      </w:r>
      <w:r>
        <w:tab/>
        <w:t>1</w:t>
      </w:r>
    </w:p>
    <w:p>
      <w:pPr>
        <w:tabs>
          <w:tab w:pos="9360" w:val="right" w:leader="dot"/>
        </w:tabs>
        <w:spacing w:after="120" w:line="240" w:lineRule="auto"/>
        <w:ind w:left="0" w:firstLine="0"/>
      </w:pPr>
      <w:r>
        <w:t>STATEMENT OF THE ALLEGATIONS</w:t>
      </w:r>
      <w:r>
        <w:tab/>
        <w:t>2</w:t>
      </w:r>
    </w:p>
    <w:p>
      <w:pPr>
        <w:tabs>
          <w:tab w:pos="9360" w:val="right" w:leader="dot"/>
        </w:tabs>
        <w:spacing w:after="120" w:line="240" w:lineRule="auto"/>
        <w:ind w:left="576" w:firstLine="0"/>
      </w:pPr>
      <w:r>
        <w:t>A. The Parties</w:t>
      </w:r>
      <w:r>
        <w:tab/>
        <w:t>3</w:t>
      </w:r>
    </w:p>
    <w:p>
      <w:pPr>
        <w:tabs>
          <w:tab w:pos="9360" w:val="right" w:leader="dot"/>
        </w:tabs>
        <w:spacing w:after="120" w:line="240" w:lineRule="auto"/>
        <w:ind w:left="576" w:firstLine="0"/>
      </w:pPr>
      <w:r>
        <w:t>B. The Alleged Markets</w:t>
      </w:r>
      <w:r>
        <w:tab/>
        <w:t>3</w:t>
      </w:r>
    </w:p>
    <w:p>
      <w:pPr>
        <w:tabs>
          <w:tab w:pos="9360" w:val="right" w:leader="dot"/>
        </w:tabs>
        <w:spacing w:after="120" w:line="240" w:lineRule="auto"/>
        <w:ind w:left="576" w:firstLine="0"/>
      </w:pPr>
      <w:r>
        <w:t>C. The PPCAs</w:t>
      </w:r>
      <w:r>
        <w:tab/>
        <w:t>4</w:t>
      </w:r>
    </w:p>
    <w:p>
      <w:pPr>
        <w:tabs>
          <w:tab w:pos="9360" w:val="right" w:leader="dot"/>
        </w:tabs>
        <w:spacing w:after="120" w:line="240" w:lineRule="auto"/>
        <w:ind w:left="576" w:firstLine="0"/>
      </w:pPr>
      <w:r>
        <w:t>D. The Alleged Injury</w:t>
      </w:r>
      <w:r>
        <w:tab/>
        <w:t>6</w:t>
      </w:r>
    </w:p>
    <w:p>
      <w:pPr>
        <w:tabs>
          <w:tab w:pos="9360" w:val="right" w:leader="dot"/>
        </w:tabs>
        <w:spacing w:after="120" w:line="240" w:lineRule="auto"/>
        <w:ind w:left="0" w:firstLine="0"/>
      </w:pPr>
      <w:r>
        <w:t>LEGAL STANDARD</w:t>
      </w:r>
      <w:r>
        <w:tab/>
        <w:t>7</w:t>
      </w:r>
    </w:p>
    <w:p>
      <w:pPr>
        <w:tabs>
          <w:tab w:pos="9360" w:val="right" w:leader="dot"/>
        </w:tabs>
        <w:spacing w:after="120" w:line="240" w:lineRule="auto"/>
        <w:ind w:left="0" w:firstLine="0"/>
      </w:pPr>
      <w:r>
        <w:t>ARGUMENT</w:t>
      </w:r>
      <w:r>
        <w:tab/>
        <w:t>8</w:t>
      </w:r>
    </w:p>
    <w:p>
      <w:pPr>
        <w:tabs>
          <w:tab w:pos="9360" w:val="right" w:leader="dot"/>
        </w:tabs>
        <w:spacing w:after="120" w:line="240" w:lineRule="auto"/>
        <w:ind w:left="576" w:firstLine="0"/>
      </w:pPr>
      <w:r>
        <w:t>I. ALL THREE COUNTS FAIL BECAUSE THE COMPLAINT DOES NOT PLAUSIBLY ALLEGE ANTICOMPETITIVE CONDUCT.</w:t>
      </w:r>
      <w:r>
        <w:tab/>
        <w:t>8</w:t>
      </w:r>
    </w:p>
    <w:p>
      <w:pPr>
        <w:tabs>
          <w:tab w:pos="9360" w:val="right" w:leader="dot"/>
        </w:tabs>
        <w:spacing w:after="120" w:line="240" w:lineRule="auto"/>
        <w:ind w:left="1152" w:firstLine="0"/>
      </w:pPr>
      <w:r>
        <w:t>A. The PPCAs Are Non-Exclusive, and the Complaint Concedes It.</w:t>
      </w:r>
      <w:r>
        <w:tab/>
        <w:t>9</w:t>
      </w:r>
    </w:p>
    <w:p>
      <w:pPr>
        <w:tabs>
          <w:tab w:pos="9360" w:val="right" w:leader="dot"/>
        </w:tabs>
        <w:spacing w:after="120" w:line="240" w:lineRule="auto"/>
        <w:ind w:left="1152" w:firstLine="0"/>
      </w:pPr>
      <w:r>
        <w:t>B. Tiering and Care Navigation Are How the Price Cut Reaches Consumers, and the Complaint Alleges No Below-Cost Pricing.</w:t>
      </w:r>
      <w:r>
        <w:tab/>
        <w:t>11</w:t>
      </w:r>
    </w:p>
    <w:p>
      <w:pPr>
        <w:tabs>
          <w:tab w:pos="9360" w:val="right" w:leader="dot"/>
        </w:tabs>
        <w:spacing w:after="120" w:line="240" w:lineRule="auto"/>
        <w:ind w:left="1152" w:firstLine="0"/>
      </w:pPr>
      <w:r>
        <w:t>C. Even Under an Exclusive-Dealing Framework, the Complaint Does Not Plausibly Allege Substantial Foreclosure.</w:t>
      </w:r>
      <w:r>
        <w:tab/>
        <w:t>13</w:t>
      </w:r>
    </w:p>
    <w:p>
      <w:pPr>
        <w:tabs>
          <w:tab w:pos="9360" w:val="right" w:leader="dot"/>
        </w:tabs>
        <w:spacing w:after="120" w:line="240" w:lineRule="auto"/>
        <w:ind w:left="1152" w:firstLine="0"/>
      </w:pPr>
      <w:r>
        <w:t>D. The Insurers’ Removal of Five Plaintiffs Is Not Crestline’s Conduct.</w:t>
      </w:r>
      <w:r>
        <w:tab/>
        <w:t>15</w:t>
      </w:r>
    </w:p>
    <w:p>
      <w:pPr>
        <w:tabs>
          <w:tab w:pos="9360" w:val="right" w:leader="dot"/>
        </w:tabs>
        <w:spacing w:after="120" w:line="240" w:lineRule="auto"/>
        <w:ind w:left="576" w:firstLine="0"/>
      </w:pPr>
      <w:r>
        <w:t>II. THE COMPLAINT DOES NOT PLAUSIBLY ALLEGE A RELEVANT MARKET OR MONOPOLY POWER.</w:t>
      </w:r>
      <w:r>
        <w:tab/>
        <w:t>16</w:t>
      </w:r>
    </w:p>
    <w:p>
      <w:pPr>
        <w:tabs>
          <w:tab w:pos="9360" w:val="right" w:leader="dot"/>
        </w:tabs>
        <w:spacing w:after="120" w:line="240" w:lineRule="auto"/>
        <w:ind w:left="1152" w:firstLine="0"/>
      </w:pPr>
      <w:r>
        <w:t>A. The Complaint Pleads No Share of the Market It Defines.</w:t>
      </w:r>
      <w:r>
        <w:tab/>
        <w:t>17</w:t>
      </w:r>
    </w:p>
    <w:p>
      <w:pPr>
        <w:tabs>
          <w:tab w:pos="9360" w:val="right" w:leader="dot"/>
        </w:tabs>
        <w:spacing w:after="120" w:line="240" w:lineRule="auto"/>
        <w:ind w:left="1152" w:firstLine="0"/>
      </w:pPr>
      <w:r>
        <w:t>B. Plaintiffs’ Own Allegations Are Inconsistent with the Power to Control Prices or Exclude Competition.</w:t>
      </w:r>
      <w:r>
        <w:tab/>
        <w:t>18</w:t>
      </w:r>
    </w:p>
    <w:p>
      <w:pPr>
        <w:tabs>
          <w:tab w:pos="9360" w:val="right" w:leader="dot"/>
        </w:tabs>
        <w:spacing w:after="120" w:line="240" w:lineRule="auto"/>
        <w:ind w:left="1152" w:firstLine="0"/>
      </w:pPr>
      <w:r>
        <w:t>C. The Geographic Market Allegations Are Conclusory.</w:t>
      </w:r>
      <w:r>
        <w:tab/>
        <w:t>19</w:t>
      </w:r>
    </w:p>
    <w:p>
      <w:pPr>
        <w:tabs>
          <w:tab w:pos="9360" w:val="right" w:leader="dot"/>
        </w:tabs>
        <w:spacing w:after="120" w:line="240" w:lineRule="auto"/>
        <w:ind w:left="576" w:firstLine="0"/>
      </w:pPr>
      <w:r>
        <w:t>III. COUNT II FAILS FOR ADDITIONAL, INDEPENDENT REASONS.</w:t>
      </w:r>
      <w:r>
        <w:tab/>
        <w:t>20</w:t>
      </w:r>
    </w:p>
    <w:p>
      <w:pPr>
        <w:tabs>
          <w:tab w:pos="9360" w:val="right" w:leader="dot"/>
        </w:tabs>
        <w:spacing w:after="120" w:line="240" w:lineRule="auto"/>
        <w:ind w:left="576" w:firstLine="0"/>
      </w:pPr>
      <w:r>
        <w:t>IV. COUNT III FAILS BECAUSE THE COMPLAINT DOES NOT PLAUSIBLY ALLEGE AN UNREASONABLE RESTRAINT OF TRADE.</w:t>
      </w:r>
      <w:r>
        <w:tab/>
        <w:t>22</w:t>
      </w:r>
    </w:p>
    <w:p>
      <w:pPr>
        <w:tabs>
          <w:tab w:pos="9360" w:val="right" w:leader="dot"/>
        </w:tabs>
        <w:spacing w:after="120" w:line="240" w:lineRule="auto"/>
        <w:ind w:left="576" w:firstLine="0"/>
      </w:pPr>
      <w:r>
        <w:t>V. PLAINTIFFS DO NOT ALLEGE ANTITRUST INJURY.</w:t>
      </w:r>
      <w:r>
        <w:tab/>
        <w:t>23</w:t>
      </w:r>
    </w:p>
    <w:p>
      <w:pPr>
        <w:tabs>
          <w:tab w:pos="9360" w:val="right" w:leader="dot"/>
        </w:tabs>
        <w:spacing w:after="120" w:line="240" w:lineRule="auto"/>
        <w:ind w:left="576" w:firstLine="0"/>
      </w:pPr>
      <w:r>
        <w:t>VI. ALTERNATIVELY, PLAINTIFFS ARE NOT EFFICIENT ENFORCERS.</w:t>
      </w:r>
      <w:r>
        <w:tab/>
        <w:t>24</w:t>
      </w:r>
    </w:p>
    <w:p>
      <w:pPr>
        <w:tabs>
          <w:tab w:pos="9360" w:val="right" w:leader="dot"/>
        </w:tabs>
        <w:spacing w:after="120" w:line="240" w:lineRule="auto"/>
        <w:ind w:left="0" w:firstLine="0"/>
      </w:pPr>
      <w:r>
        <w:t>CONCLUSION</w:t>
      </w:r>
      <w:r>
        <w:tab/>
        <w:t>25</w:t>
      </w:r>
    </w:p>
    <w:p>
      <w:r>
        <w:br w:type="page"/>
      </w:r>
    </w:p>
    <w:p>
      <w:pPr>
        <w:keepNext/>
        <w:spacing w:after="240" w:line="240" w:lineRule="auto"/>
        <w:jc w:val="center"/>
      </w:pPr>
      <w:r>
        <w:rPr>
          <w:b/>
          <w:i w:val="0"/>
        </w:rPr>
        <w:t>TABLE OF AUTHORITIES</w:t>
      </w:r>
    </w:p>
    <w:p>
      <w:pPr>
        <w:spacing w:after="120" w:line="240" w:lineRule="auto"/>
        <w:jc w:val="right"/>
      </w:pPr>
      <w:r>
        <w:rPr>
          <w:b/>
          <w:i w:val="0"/>
        </w:rPr>
        <w:t>Page(s)</w:t>
      </w:r>
    </w:p>
    <w:p>
      <w:pPr>
        <w:spacing w:after="120" w:line="240" w:lineRule="auto"/>
        <w:jc w:val="left"/>
      </w:pPr>
      <w:r>
        <w:rPr>
          <w:b/>
          <w:i w:val="0"/>
        </w:rPr>
        <w:t>Cases</w:t>
      </w:r>
    </w:p>
    <w:p>
      <w:pPr>
        <w:tabs>
          <w:tab w:pos="9360" w:val="right" w:leader="dot"/>
        </w:tabs>
        <w:spacing w:after="120" w:line="240" w:lineRule="auto"/>
        <w:ind w:left="432" w:hanging="432" w:right="864"/>
      </w:pPr>
      <w:r>
        <w:rPr>
          <w:i/>
        </w:rPr>
        <w:t>Allied Orthopedic Appliances Inc. v. Tyco Health Care Grp. LP</w:t>
      </w:r>
      <w:r>
        <w:t>,</w:t>
        <w:br/>
        <w:t>592 F.3d 991 (9th Cir. 2010)</w:t>
        <w:tab/>
        <w:t>10, 15</w:t>
      </w:r>
    </w:p>
    <w:p>
      <w:pPr>
        <w:tabs>
          <w:tab w:pos="9360" w:val="right" w:leader="dot"/>
        </w:tabs>
        <w:spacing w:after="120" w:line="240" w:lineRule="auto"/>
        <w:ind w:left="432" w:hanging="432" w:right="864"/>
      </w:pPr>
      <w:r>
        <w:rPr>
          <w:i/>
        </w:rPr>
        <w:t>Ashcroft v. Iqbal</w:t>
      </w:r>
      <w:r>
        <w:t>,</w:t>
        <w:br/>
        <w:t>556 U.S. 662 (2009)</w:t>
        <w:tab/>
        <w:t>7, 16, 21</w:t>
      </w:r>
    </w:p>
    <w:p>
      <w:pPr>
        <w:tabs>
          <w:tab w:pos="9360" w:val="right" w:leader="dot"/>
        </w:tabs>
        <w:spacing w:after="120" w:line="240" w:lineRule="auto"/>
        <w:ind w:left="432" w:hanging="432" w:right="864"/>
      </w:pPr>
      <w:r>
        <w:rPr>
          <w:i/>
        </w:rPr>
        <w:t>Associated General Contractors of California, Inc. v. California State Council of Carpenters</w:t>
      </w:r>
      <w:r>
        <w:t>,</w:t>
        <w:br/>
        <w:t>459 U.S. 519 (1983)</w:t>
        <w:tab/>
        <w:t>24</w:t>
      </w:r>
    </w:p>
    <w:p>
      <w:pPr>
        <w:tabs>
          <w:tab w:pos="9360" w:val="right" w:leader="dot"/>
        </w:tabs>
        <w:spacing w:after="120" w:line="240" w:lineRule="auto"/>
        <w:ind w:left="432" w:hanging="432" w:right="864"/>
      </w:pPr>
      <w:r>
        <w:rPr>
          <w:i/>
        </w:rPr>
        <w:t>Atl. Richfield Co. v. USA Petroleum Co.</w:t>
      </w:r>
      <w:r>
        <w:t>,</w:t>
        <w:br/>
        <w:t>495 U.S. 328 (1990)</w:t>
        <w:tab/>
        <w:t>2, 11, 23</w:t>
      </w:r>
    </w:p>
    <w:p>
      <w:pPr>
        <w:tabs>
          <w:tab w:pos="9360" w:val="right" w:leader="dot"/>
        </w:tabs>
        <w:spacing w:after="120" w:line="240" w:lineRule="auto"/>
        <w:ind w:left="432" w:hanging="432" w:right="864"/>
      </w:pPr>
      <w:r>
        <w:rPr>
          <w:i/>
        </w:rPr>
        <w:t>Ball Mem’l Hosp., Inc. v. Mut. Hosp. Ins., Inc.</w:t>
      </w:r>
      <w:r>
        <w:t>,</w:t>
        <w:br/>
        <w:t>784 F.2d 1325 (7th Cir. 1986)</w:t>
        <w:tab/>
        <w:t>13</w:t>
      </w:r>
    </w:p>
    <w:p>
      <w:pPr>
        <w:tabs>
          <w:tab w:pos="9360" w:val="right" w:leader="dot"/>
        </w:tabs>
        <w:spacing w:after="120" w:line="240" w:lineRule="auto"/>
        <w:ind w:left="432" w:hanging="432" w:right="864"/>
      </w:pPr>
      <w:r>
        <w:rPr>
          <w:i/>
        </w:rPr>
        <w:t>Bassett v. NCAA</w:t>
      </w:r>
      <w:r>
        <w:t>,</w:t>
        <w:br/>
        <w:t>528 F.3d 426 (6th Cir. 2008)</w:t>
        <w:tab/>
        <w:t>8</w:t>
      </w:r>
    </w:p>
    <w:p>
      <w:pPr>
        <w:tabs>
          <w:tab w:pos="9360" w:val="right" w:leader="dot"/>
        </w:tabs>
        <w:spacing w:after="120" w:line="240" w:lineRule="auto"/>
        <w:ind w:left="432" w:hanging="432" w:right="864"/>
      </w:pPr>
      <w:r>
        <w:rPr>
          <w:i/>
        </w:rPr>
        <w:t>Bell Atl. Corp. v. Twombly</w:t>
      </w:r>
      <w:r>
        <w:t>,</w:t>
        <w:br/>
        <w:t>550 U.S. 544 (2007)</w:t>
        <w:tab/>
        <w:t>7, 8, 21</w:t>
      </w:r>
    </w:p>
    <w:p>
      <w:pPr>
        <w:tabs>
          <w:tab w:pos="9360" w:val="right" w:leader="dot"/>
        </w:tabs>
        <w:spacing w:after="120" w:line="240" w:lineRule="auto"/>
        <w:ind w:left="432" w:hanging="432" w:right="864"/>
      </w:pPr>
      <w:r>
        <w:rPr>
          <w:i/>
        </w:rPr>
        <w:t>Brooke Grp. Ltd. v. Brown &amp; Williamson Tobacco Corp.</w:t>
      </w:r>
      <w:r>
        <w:t>,</w:t>
        <w:br/>
        <w:t>509 U.S. 209 (1993)</w:t>
        <w:tab/>
        <w:t>11</w:t>
      </w:r>
    </w:p>
    <w:p>
      <w:pPr>
        <w:tabs>
          <w:tab w:pos="9360" w:val="right" w:leader="dot"/>
        </w:tabs>
        <w:spacing w:after="120" w:line="240" w:lineRule="auto"/>
        <w:ind w:left="432" w:hanging="432" w:right="864"/>
      </w:pPr>
      <w:r>
        <w:rPr>
          <w:i/>
        </w:rPr>
        <w:t>Brown Shoe Co. v. United States</w:t>
      </w:r>
      <w:r>
        <w:t>,</w:t>
        <w:br/>
        <w:t>370 U.S. 294 (1962)</w:t>
        <w:tab/>
        <w:t>19, 22, 23</w:t>
      </w:r>
    </w:p>
    <w:p>
      <w:pPr>
        <w:tabs>
          <w:tab w:pos="9360" w:val="right" w:leader="dot"/>
        </w:tabs>
        <w:spacing w:after="120" w:line="240" w:lineRule="auto"/>
        <w:ind w:left="432" w:hanging="432" w:right="864"/>
      </w:pPr>
      <w:r>
        <w:rPr>
          <w:i/>
        </w:rPr>
        <w:t>Brunswick Corp. v. Pueblo Bowl-O-Mat, Inc.</w:t>
      </w:r>
      <w:r>
        <w:t>,</w:t>
        <w:br/>
        <w:t>429 U.S. 477 (1977)</w:t>
        <w:tab/>
        <w:t>2, 23</w:t>
      </w:r>
    </w:p>
    <w:p>
      <w:pPr>
        <w:tabs>
          <w:tab w:pos="9360" w:val="right" w:leader="dot"/>
        </w:tabs>
        <w:spacing w:after="120" w:line="240" w:lineRule="auto"/>
        <w:ind w:left="432" w:hanging="432" w:right="864"/>
      </w:pPr>
      <w:r>
        <w:rPr>
          <w:i/>
        </w:rPr>
        <w:t>Care Heating &amp; Cooling, Inc. v. Am. Standard, Inc.</w:t>
      </w:r>
      <w:r>
        <w:t>,</w:t>
        <w:br/>
        <w:t>427 F.3d 1008 (6th Cir. 2005)</w:t>
        <w:tab/>
        <w:t>22</w:t>
      </w:r>
    </w:p>
    <w:p>
      <w:pPr>
        <w:tabs>
          <w:tab w:pos="9360" w:val="right" w:leader="dot"/>
        </w:tabs>
        <w:spacing w:after="120" w:line="240" w:lineRule="auto"/>
        <w:ind w:left="432" w:hanging="432" w:right="864"/>
      </w:pPr>
      <w:r>
        <w:rPr>
          <w:i/>
        </w:rPr>
        <w:t>Cargill, Inc. v. Monfort of Colo., Inc.</w:t>
      </w:r>
      <w:r>
        <w:t>,</w:t>
        <w:br/>
        <w:t>479 U.S. 104 (1986)</w:t>
        <w:tab/>
        <w:t>23</w:t>
      </w:r>
    </w:p>
    <w:p>
      <w:pPr>
        <w:tabs>
          <w:tab w:pos="9360" w:val="right" w:leader="dot"/>
        </w:tabs>
        <w:spacing w:after="120" w:line="240" w:lineRule="auto"/>
        <w:ind w:left="432" w:hanging="432" w:right="864"/>
      </w:pPr>
      <w:r>
        <w:rPr>
          <w:i/>
        </w:rPr>
        <w:t>Cascade Health Sols. v. PeaceHealth</w:t>
      </w:r>
      <w:r>
        <w:t>,</w:t>
        <w:br/>
        <w:t>515 F.3d 883 (9th Cir. 2008)</w:t>
        <w:tab/>
        <w:t>12</w:t>
      </w:r>
    </w:p>
    <w:p>
      <w:pPr>
        <w:tabs>
          <w:tab w:pos="9360" w:val="right" w:leader="dot"/>
        </w:tabs>
        <w:spacing w:after="120" w:line="240" w:lineRule="auto"/>
        <w:ind w:left="432" w:hanging="432" w:right="864"/>
      </w:pPr>
      <w:r>
        <w:rPr>
          <w:i/>
        </w:rPr>
        <w:t>Cates v. Crystal Clear Techs., LLC</w:t>
      </w:r>
      <w:r>
        <w:t>,</w:t>
        <w:br/>
        <w:t>874 F.3d 530 (6th Cir. 2017)</w:t>
        <w:tab/>
        <w:t>8, 13</w:t>
      </w:r>
    </w:p>
    <w:p>
      <w:pPr>
        <w:tabs>
          <w:tab w:pos="9360" w:val="right" w:leader="dot"/>
        </w:tabs>
        <w:spacing w:after="120" w:line="240" w:lineRule="auto"/>
        <w:ind w:left="432" w:hanging="432" w:right="864"/>
      </w:pPr>
      <w:r>
        <w:rPr>
          <w:i/>
        </w:rPr>
        <w:t>CDC Techs., Inc. v. IDEXX Labs., Inc.</w:t>
      </w:r>
      <w:r>
        <w:t>,</w:t>
        <w:br/>
        <w:t>186 F.3d 74 (2d Cir. 1999)</w:t>
        <w:tab/>
        <w:t>14</w:t>
      </w:r>
    </w:p>
    <w:p>
      <w:pPr>
        <w:tabs>
          <w:tab w:pos="9360" w:val="right" w:leader="dot"/>
        </w:tabs>
        <w:spacing w:after="120" w:line="240" w:lineRule="auto"/>
        <w:ind w:left="432" w:hanging="432" w:right="864"/>
      </w:pPr>
      <w:r>
        <w:rPr>
          <w:i/>
        </w:rPr>
        <w:t>Collins Inkjet Corp. v. Eastman Kodak Co.</w:t>
      </w:r>
      <w:r>
        <w:t>,</w:t>
        <w:br/>
        <w:t>781 F.3d 264 (6th Cir. 2015)</w:t>
        <w:tab/>
        <w:t>12</w:t>
      </w:r>
    </w:p>
    <w:p>
      <w:pPr>
        <w:tabs>
          <w:tab w:pos="9360" w:val="right" w:leader="dot"/>
        </w:tabs>
        <w:spacing w:after="120" w:line="240" w:lineRule="auto"/>
        <w:ind w:left="432" w:hanging="432" w:right="864"/>
      </w:pPr>
      <w:r>
        <w:rPr>
          <w:i/>
        </w:rPr>
        <w:t>Concord Boat Corp. v. Brunswick Corp.</w:t>
      </w:r>
      <w:r>
        <w:t>,</w:t>
        <w:br/>
        <w:t>207 F.3d 1039 (8th Cir. 2000)</w:t>
        <w:tab/>
        <w:t>10, 14, 15</w:t>
      </w:r>
    </w:p>
    <w:p>
      <w:pPr>
        <w:tabs>
          <w:tab w:pos="9360" w:val="right" w:leader="dot"/>
        </w:tabs>
        <w:spacing w:after="120" w:line="240" w:lineRule="auto"/>
        <w:ind w:left="432" w:hanging="432" w:right="864"/>
      </w:pPr>
      <w:r>
        <w:rPr>
          <w:i/>
        </w:rPr>
        <w:t>Conwood Co. v. U.S. Tobacco Co.</w:t>
      </w:r>
      <w:r>
        <w:t>,</w:t>
        <w:br/>
        <w:t>290 F.3d 768 (6th Cir. 2002)</w:t>
        <w:tab/>
        <w:t>20</w:t>
      </w:r>
    </w:p>
    <w:p>
      <w:pPr>
        <w:tabs>
          <w:tab w:pos="9360" w:val="right" w:leader="dot"/>
        </w:tabs>
        <w:spacing w:after="120" w:line="240" w:lineRule="auto"/>
        <w:ind w:left="432" w:hanging="432" w:right="864"/>
      </w:pPr>
      <w:r>
        <w:rPr>
          <w:i/>
        </w:rPr>
        <w:t>Eastman Kodak Co. v. Image Tech. Servs., Inc.</w:t>
      </w:r>
      <w:r>
        <w:t>,</w:t>
        <w:br/>
        <w:t>504 U.S. 451 (1992)</w:t>
        <w:tab/>
        <w:t>18</w:t>
      </w:r>
    </w:p>
    <w:p>
      <w:pPr>
        <w:tabs>
          <w:tab w:pos="9360" w:val="right" w:leader="dot"/>
        </w:tabs>
        <w:spacing w:after="120" w:line="240" w:lineRule="auto"/>
        <w:ind w:left="432" w:hanging="432" w:right="864"/>
      </w:pPr>
      <w:r>
        <w:rPr>
          <w:i/>
        </w:rPr>
        <w:t>Eisai Inc. v. Sanofi Aventis U.S., LLC</w:t>
      </w:r>
      <w:r>
        <w:t>,</w:t>
        <w:br/>
        <w:t>821 F.3d 394 (3d Cir. 2016)</w:t>
        <w:tab/>
        <w:t>10, 12</w:t>
      </w:r>
    </w:p>
    <w:p>
      <w:pPr>
        <w:tabs>
          <w:tab w:pos="9360" w:val="right" w:leader="dot"/>
        </w:tabs>
        <w:spacing w:after="120" w:line="240" w:lineRule="auto"/>
        <w:ind w:left="432" w:hanging="432" w:right="864"/>
      </w:pPr>
      <w:r>
        <w:rPr>
          <w:i/>
        </w:rPr>
        <w:t>Expert Masonry, Inc. v. Boone Cnty.</w:t>
      </w:r>
      <w:r>
        <w:t>,</w:t>
        <w:br/>
        <w:t>440 F.3d 336 (6th Cir. 2006)</w:t>
        <w:tab/>
        <w:t>22</w:t>
      </w:r>
    </w:p>
    <w:p>
      <w:pPr>
        <w:tabs>
          <w:tab w:pos="9360" w:val="right" w:leader="dot"/>
        </w:tabs>
        <w:spacing w:after="120" w:line="240" w:lineRule="auto"/>
        <w:ind w:left="432" w:hanging="432" w:right="864"/>
      </w:pPr>
      <w:r>
        <w:rPr>
          <w:i/>
        </w:rPr>
        <w:t>Found. for Interior Design Educ. Research v. Savannah Coll. of Art &amp; Design</w:t>
      </w:r>
      <w:r>
        <w:t>,</w:t>
        <w:br/>
        <w:t>244 F.3d 521 (6th Cir. 2001)</w:t>
        <w:tab/>
        <w:t>16</w:t>
      </w:r>
    </w:p>
    <w:p>
      <w:pPr>
        <w:tabs>
          <w:tab w:pos="9360" w:val="right" w:leader="dot"/>
        </w:tabs>
        <w:spacing w:after="120" w:line="240" w:lineRule="auto"/>
        <w:ind w:left="432" w:hanging="432" w:right="864"/>
      </w:pPr>
      <w:r>
        <w:rPr>
          <w:i/>
        </w:rPr>
        <w:t>Hobart-Mayfield, Inc. v. Nat’l Operating Comm. on Standards for Athletic Equip.</w:t>
      </w:r>
      <w:r>
        <w:t>,</w:t>
        <w:br/>
        <w:t>48 F.4th 656 (6th Cir. 2022)</w:t>
        <w:tab/>
        <w:t>23</w:t>
      </w:r>
    </w:p>
    <w:p>
      <w:pPr>
        <w:tabs>
          <w:tab w:pos="9360" w:val="right" w:leader="dot"/>
        </w:tabs>
        <w:spacing w:after="120" w:line="240" w:lineRule="auto"/>
        <w:ind w:left="432" w:hanging="432" w:right="864"/>
      </w:pPr>
      <w:r>
        <w:rPr>
          <w:i/>
        </w:rPr>
        <w:t>In re Travel Agent Comm’n Antitrust Litig.</w:t>
      </w:r>
      <w:r>
        <w:t>,</w:t>
        <w:br/>
        <w:t>583 F.3d 896 (6th Cir. 2009)</w:t>
        <w:tab/>
        <w:t>8</w:t>
      </w:r>
    </w:p>
    <w:p>
      <w:pPr>
        <w:tabs>
          <w:tab w:pos="9360" w:val="right" w:leader="dot"/>
        </w:tabs>
        <w:spacing w:after="120" w:line="240" w:lineRule="auto"/>
        <w:ind w:left="432" w:hanging="432" w:right="864"/>
      </w:pPr>
      <w:r>
        <w:rPr>
          <w:i/>
        </w:rPr>
        <w:t>Indeck Energy Servs., Inc. v. Consumers Energy Co.</w:t>
      </w:r>
      <w:r>
        <w:t>,</w:t>
        <w:br/>
        <w:t>250 F.3d 972 (6th Cir. 2000)</w:t>
        <w:tab/>
        <w:t>23</w:t>
      </w:r>
    </w:p>
    <w:p>
      <w:pPr>
        <w:tabs>
          <w:tab w:pos="9360" w:val="right" w:leader="dot"/>
        </w:tabs>
        <w:spacing w:after="120" w:line="240" w:lineRule="auto"/>
        <w:ind w:left="432" w:hanging="432" w:right="864"/>
      </w:pPr>
      <w:r>
        <w:rPr>
          <w:i/>
        </w:rPr>
        <w:t>Jefferson Parish Hosp. Dist. No. 2 v. Hyde</w:t>
      </w:r>
      <w:r>
        <w:t>,</w:t>
        <w:br/>
        <w:t>466 U.S. 2 (1984)</w:t>
        <w:tab/>
        <w:t>13</w:t>
      </w:r>
    </w:p>
    <w:p>
      <w:pPr>
        <w:tabs>
          <w:tab w:pos="9360" w:val="right" w:leader="dot"/>
        </w:tabs>
        <w:spacing w:after="120" w:line="240" w:lineRule="auto"/>
        <w:ind w:left="432" w:hanging="432" w:right="864"/>
      </w:pPr>
      <w:r>
        <w:rPr>
          <w:i/>
        </w:rPr>
        <w:t>La. Sch. Emps.’ Ret. Sys. v. Ernst &amp; Young, LLP</w:t>
      </w:r>
      <w:r>
        <w:t>,</w:t>
        <w:br/>
        <w:t>622 F.3d 471 (6th Cir. 2010)</w:t>
        <w:tab/>
        <w:t>25</w:t>
      </w:r>
    </w:p>
    <w:p>
      <w:pPr>
        <w:tabs>
          <w:tab w:pos="9360" w:val="right" w:leader="dot"/>
        </w:tabs>
        <w:spacing w:after="120" w:line="240" w:lineRule="auto"/>
        <w:ind w:left="432" w:hanging="432" w:right="864"/>
      </w:pPr>
      <w:r>
        <w:rPr>
          <w:i/>
        </w:rPr>
        <w:t>Leegin Creative Leather Prods., Inc. v. PSKS, Inc.</w:t>
      </w:r>
      <w:r>
        <w:t>,</w:t>
        <w:br/>
        <w:t>551 U.S. 877 (2007)</w:t>
        <w:tab/>
        <w:t>22</w:t>
      </w:r>
    </w:p>
    <w:p>
      <w:pPr>
        <w:tabs>
          <w:tab w:pos="9360" w:val="right" w:leader="dot"/>
        </w:tabs>
        <w:spacing w:after="120" w:line="240" w:lineRule="auto"/>
        <w:ind w:left="432" w:hanging="432" w:right="864"/>
      </w:pPr>
      <w:r>
        <w:rPr>
          <w:i/>
        </w:rPr>
        <w:t>Little Rock Cardiology Clinic PA v. Baptist Health</w:t>
      </w:r>
      <w:r>
        <w:t>,</w:t>
        <w:br/>
        <w:t>591 F.3d 591 (8th Cir. 2009)</w:t>
        <w:tab/>
        <w:t>20</w:t>
      </w:r>
    </w:p>
    <w:p>
      <w:pPr>
        <w:tabs>
          <w:tab w:pos="9360" w:val="right" w:leader="dot"/>
        </w:tabs>
        <w:spacing w:after="120" w:line="240" w:lineRule="auto"/>
        <w:ind w:left="432" w:hanging="432" w:right="864"/>
      </w:pPr>
      <w:r>
        <w:rPr>
          <w:i/>
        </w:rPr>
        <w:t>Matsushita Elec. Indus. Co. v. Zenith Radio Corp.</w:t>
      </w:r>
      <w:r>
        <w:t>,</w:t>
        <w:br/>
        <w:t>475 U.S. 574 (1986)</w:t>
        <w:tab/>
        <w:t>1</w:t>
      </w:r>
    </w:p>
    <w:p>
      <w:pPr>
        <w:tabs>
          <w:tab w:pos="9360" w:val="right" w:leader="dot"/>
        </w:tabs>
        <w:spacing w:after="120" w:line="240" w:lineRule="auto"/>
        <w:ind w:left="432" w:hanging="432" w:right="864"/>
      </w:pPr>
      <w:r>
        <w:rPr>
          <w:i/>
        </w:rPr>
        <w:t>Mich. Div.-Monument Builders of N. Am. v. Mich. Cemetery Ass’n</w:t>
      </w:r>
      <w:r>
        <w:t>,</w:t>
        <w:br/>
        <w:t>524 F.3d 726 (6th Cir. 2008)</w:t>
        <w:tab/>
        <w:t>16</w:t>
      </w:r>
    </w:p>
    <w:p>
      <w:pPr>
        <w:tabs>
          <w:tab w:pos="9360" w:val="right" w:leader="dot"/>
        </w:tabs>
        <w:spacing w:after="120" w:line="240" w:lineRule="auto"/>
        <w:ind w:left="432" w:hanging="432" w:right="864"/>
      </w:pPr>
      <w:r>
        <w:rPr>
          <w:i/>
        </w:rPr>
        <w:t>Monsanto Co. v. Spray-Rite Serv. Corp.</w:t>
      </w:r>
      <w:r>
        <w:t>,</w:t>
        <w:br/>
        <w:t>465 U.S. 752 (1984)</w:t>
        <w:tab/>
        <w:t>15</w:t>
      </w:r>
    </w:p>
    <w:p>
      <w:pPr>
        <w:tabs>
          <w:tab w:pos="9360" w:val="right" w:leader="dot"/>
        </w:tabs>
        <w:spacing w:after="120" w:line="240" w:lineRule="auto"/>
        <w:ind w:left="432" w:hanging="432" w:right="864"/>
      </w:pPr>
      <w:r>
        <w:rPr>
          <w:i/>
        </w:rPr>
        <w:t>NicSand, Inc. v. 3M Co.</w:t>
      </w:r>
      <w:r>
        <w:t>,</w:t>
        <w:br/>
        <w:t>507 F.3d 442 (6th Cir. 2007) (en banc)</w:t>
        <w:tab/>
        <w:t>2, 23, 24</w:t>
      </w:r>
    </w:p>
    <w:p>
      <w:pPr>
        <w:tabs>
          <w:tab w:pos="9360" w:val="right" w:leader="dot"/>
        </w:tabs>
        <w:spacing w:after="120" w:line="240" w:lineRule="auto"/>
        <w:ind w:left="432" w:hanging="432" w:right="864"/>
      </w:pPr>
      <w:r>
        <w:rPr>
          <w:i/>
        </w:rPr>
        <w:t>Ohio v. Am. Express Co.</w:t>
      </w:r>
      <w:r>
        <w:t>,</w:t>
        <w:br/>
        <w:t>585 U.S. 529 (2018)</w:t>
        <w:tab/>
        <w:t>9, 16, 22</w:t>
      </w:r>
    </w:p>
    <w:p>
      <w:pPr>
        <w:tabs>
          <w:tab w:pos="9360" w:val="right" w:leader="dot"/>
        </w:tabs>
        <w:spacing w:after="120" w:line="240" w:lineRule="auto"/>
        <w:ind w:left="432" w:hanging="432" w:right="864"/>
      </w:pPr>
      <w:r>
        <w:rPr>
          <w:i/>
        </w:rPr>
        <w:t>Omega Envtl., Inc. v. Gilbarco, Inc.</w:t>
      </w:r>
      <w:r>
        <w:t>,</w:t>
        <w:br/>
        <w:t>127 F.3d 1157 (9th Cir. 1997)</w:t>
        <w:tab/>
        <w:t>14</w:t>
      </w:r>
    </w:p>
    <w:p>
      <w:pPr>
        <w:tabs>
          <w:tab w:pos="9360" w:val="right" w:leader="dot"/>
        </w:tabs>
        <w:spacing w:after="120" w:line="240" w:lineRule="auto"/>
        <w:ind w:left="432" w:hanging="432" w:right="864"/>
      </w:pPr>
      <w:r>
        <w:rPr>
          <w:i/>
        </w:rPr>
        <w:t>Pac. Bell Tel. Co. v. linkLine Commc’ns, Inc.</w:t>
      </w:r>
      <w:r>
        <w:t>,</w:t>
        <w:br/>
        <w:t>555 U.S. 438 (2009)</w:t>
        <w:tab/>
        <w:t>11</w:t>
      </w:r>
    </w:p>
    <w:p>
      <w:pPr>
        <w:tabs>
          <w:tab w:pos="9360" w:val="right" w:leader="dot"/>
        </w:tabs>
        <w:spacing w:after="120" w:line="240" w:lineRule="auto"/>
        <w:ind w:left="432" w:hanging="432" w:right="864"/>
      </w:pPr>
      <w:r>
        <w:rPr>
          <w:i/>
        </w:rPr>
        <w:t>Paddock Publ’ns, Inc. v. Chi. Tribune Co.</w:t>
      </w:r>
      <w:r>
        <w:t>,</w:t>
        <w:br/>
        <w:t>103 F.3d 42 (7th Cir. 1996)</w:t>
        <w:tab/>
        <w:t>14</w:t>
      </w:r>
    </w:p>
    <w:p>
      <w:pPr>
        <w:tabs>
          <w:tab w:pos="9360" w:val="right" w:leader="dot"/>
        </w:tabs>
        <w:spacing w:after="120" w:line="240" w:lineRule="auto"/>
        <w:ind w:left="432" w:hanging="432" w:right="864"/>
      </w:pPr>
      <w:r>
        <w:rPr>
          <w:i/>
        </w:rPr>
        <w:t>Southaven Land Co. v. Malone &amp; Hyde, Inc.</w:t>
      </w:r>
      <w:r>
        <w:t>,</w:t>
        <w:br/>
        <w:t>715 F.2d 1079 (6th Cir. 1983)</w:t>
        <w:tab/>
        <w:t>24</w:t>
      </w:r>
    </w:p>
    <w:p>
      <w:pPr>
        <w:tabs>
          <w:tab w:pos="9360" w:val="right" w:leader="dot"/>
        </w:tabs>
        <w:spacing w:after="120" w:line="240" w:lineRule="auto"/>
        <w:ind w:left="432" w:hanging="432" w:right="864"/>
      </w:pPr>
      <w:r>
        <w:rPr>
          <w:i/>
        </w:rPr>
        <w:t>Spectrum Sports, Inc. v. McQuillan</w:t>
      </w:r>
      <w:r>
        <w:t>,</w:t>
        <w:br/>
        <w:t>506 U.S. 447 (1993)</w:t>
        <w:tab/>
        <w:t>9, 16, 20, 21</w:t>
      </w:r>
    </w:p>
    <w:p>
      <w:pPr>
        <w:tabs>
          <w:tab w:pos="9360" w:val="right" w:leader="dot"/>
        </w:tabs>
        <w:spacing w:after="120" w:line="240" w:lineRule="auto"/>
        <w:ind w:left="432" w:hanging="432" w:right="864"/>
      </w:pPr>
      <w:r>
        <w:rPr>
          <w:i/>
        </w:rPr>
        <w:t>Tampa Elec. Co. v. Nashville Coal Co.</w:t>
      </w:r>
      <w:r>
        <w:t>,</w:t>
        <w:br/>
        <w:t>365 U.S. 320 (1961)</w:t>
        <w:tab/>
        <w:t>9, 13, 19</w:t>
      </w:r>
    </w:p>
    <w:p>
      <w:pPr>
        <w:tabs>
          <w:tab w:pos="9360" w:val="right" w:leader="dot"/>
        </w:tabs>
        <w:spacing w:after="120" w:line="240" w:lineRule="auto"/>
        <w:ind w:left="432" w:hanging="432" w:right="864"/>
      </w:pPr>
      <w:r>
        <w:rPr>
          <w:i/>
        </w:rPr>
        <w:t>Total Benefits Planning Agency, Inc. v. Anthem Blue Cross &amp; Blue Shield</w:t>
      </w:r>
      <w:r>
        <w:t>,</w:t>
        <w:br/>
        <w:t>552 F.3d 430 (6th Cir. 2008)</w:t>
        <w:tab/>
        <w:t>8, 16</w:t>
      </w:r>
    </w:p>
    <w:p>
      <w:pPr>
        <w:tabs>
          <w:tab w:pos="9360" w:val="right" w:leader="dot"/>
        </w:tabs>
        <w:spacing w:after="120" w:line="240" w:lineRule="auto"/>
        <w:ind w:left="432" w:hanging="432" w:right="864"/>
      </w:pPr>
      <w:r>
        <w:rPr>
          <w:i/>
        </w:rPr>
        <w:t>United States v. E.I. du Pont de Nemours &amp; Co.</w:t>
      </w:r>
      <w:r>
        <w:t>,</w:t>
        <w:br/>
        <w:t>351 U.S. 377 (1956)</w:t>
        <w:tab/>
        <w:t>17, 18</w:t>
      </w:r>
    </w:p>
    <w:p>
      <w:pPr>
        <w:tabs>
          <w:tab w:pos="9360" w:val="right" w:leader="dot"/>
        </w:tabs>
        <w:spacing w:after="120" w:line="240" w:lineRule="auto"/>
        <w:ind w:left="432" w:hanging="432" w:right="864"/>
      </w:pPr>
      <w:r>
        <w:rPr>
          <w:i/>
        </w:rPr>
        <w:t>United States v. Grinnell Corp.</w:t>
      </w:r>
      <w:r>
        <w:t>,</w:t>
        <w:br/>
        <w:t>384 U.S. 563 (1966)</w:t>
        <w:tab/>
        <w:t>9, 16, 17</w:t>
      </w:r>
    </w:p>
    <w:p>
      <w:pPr>
        <w:tabs>
          <w:tab w:pos="9360" w:val="right" w:leader="dot"/>
        </w:tabs>
        <w:spacing w:after="120" w:line="240" w:lineRule="auto"/>
        <w:ind w:left="432" w:hanging="432" w:right="864"/>
      </w:pPr>
      <w:r>
        <w:rPr>
          <w:i/>
        </w:rPr>
        <w:t>United States v. Microsoft Corp.</w:t>
      </w:r>
      <w:r>
        <w:t>,</w:t>
        <w:br/>
        <w:t>253 F.3d 34 (D.C. Cir. 2001) (en banc)</w:t>
        <w:tab/>
        <w:t>13</w:t>
      </w:r>
    </w:p>
    <w:p>
      <w:pPr>
        <w:tabs>
          <w:tab w:pos="9360" w:val="right" w:leader="dot"/>
        </w:tabs>
        <w:spacing w:after="120" w:line="240" w:lineRule="auto"/>
        <w:ind w:left="432" w:hanging="432" w:right="864"/>
      </w:pPr>
      <w:r>
        <w:rPr>
          <w:i/>
        </w:rPr>
        <w:t>Weiner v. Klais &amp; Co.</w:t>
      </w:r>
      <w:r>
        <w:t>,</w:t>
        <w:br/>
        <w:t>108 F.3d 86 (6th Cir. 1997)</w:t>
        <w:tab/>
        <w:t>8</w:t>
      </w:r>
    </w:p>
    <w:p>
      <w:pPr>
        <w:tabs>
          <w:tab w:pos="9360" w:val="right" w:leader="dot"/>
        </w:tabs>
        <w:spacing w:after="120" w:line="240" w:lineRule="auto"/>
        <w:ind w:left="432" w:hanging="432" w:right="864"/>
      </w:pPr>
      <w:r>
        <w:rPr>
          <w:i/>
        </w:rPr>
        <w:t>ZF Meritor, LLC v. Eaton Corp.</w:t>
      </w:r>
      <w:r>
        <w:t>,</w:t>
        <w:br/>
        <w:t>696 F.3d 254 (3d Cir. 2012)</w:t>
        <w:tab/>
        <w:t>11</w:t>
      </w:r>
    </w:p>
    <w:p>
      <w:pPr>
        <w:spacing w:after="120" w:line="240" w:lineRule="auto"/>
        <w:jc w:val="left"/>
      </w:pPr>
      <w:r>
        <w:rPr>
          <w:b/>
          <w:i w:val="0"/>
        </w:rPr>
        <w:t>Statutes and Rules</w:t>
      </w:r>
    </w:p>
    <w:p>
      <w:pPr>
        <w:tabs>
          <w:tab w:pos="9360" w:val="right" w:leader="dot"/>
        </w:tabs>
        <w:spacing w:after="120" w:line="240" w:lineRule="auto"/>
      </w:pPr>
      <w:r>
        <w:t>15 U.S.C. § 1</w:t>
        <w:tab/>
        <w:t>2</w:t>
      </w:r>
    </w:p>
    <w:p>
      <w:pPr>
        <w:tabs>
          <w:tab w:pos="9360" w:val="right" w:leader="dot"/>
        </w:tabs>
        <w:spacing w:after="120" w:line="240" w:lineRule="auto"/>
      </w:pPr>
      <w:r>
        <w:t>15 U.S.C. § 2</w:t>
        <w:tab/>
        <w:t>2</w:t>
      </w:r>
    </w:p>
    <w:p>
      <w:pPr>
        <w:tabs>
          <w:tab w:pos="9360" w:val="right" w:leader="dot"/>
        </w:tabs>
        <w:spacing w:after="120" w:line="240" w:lineRule="auto"/>
      </w:pPr>
      <w:r>
        <w:t>Fed. R. Civ. P. 12(b)(6)</w:t>
        <w:tab/>
        <w:t>7, 23, 25</w:t>
      </w:r>
    </w:p>
    <w:p>
      <w:pPr>
        <w:tabs>
          <w:tab w:pos="9360" w:val="right" w:leader="dot"/>
        </w:tabs>
        <w:spacing w:after="120" w:line="240" w:lineRule="auto"/>
      </w:pPr>
      <w:r>
        <w:t>E.D. Tenn. L.R. 26.2</w:t>
        <w:tab/>
        <w:t>5</w:t>
      </w:r>
    </w:p>
    <w:p>
      <w:pPr>
        <w:sectPr>
          <w:footerReference w:type="default" r:id="rId9"/>
          <w:pgSz w:w="12240" w:h="15840"/>
          <w:pgMar w:top="1440" w:right="1440" w:bottom="1440" w:left="1440" w:header="720" w:footer="720" w:gutter="0"/>
          <w:cols w:space="720"/>
          <w:docGrid w:linePitch="360"/>
          <w:pgNumType w:fmt="lowerRoman" w:start="1"/>
        </w:sectPr>
      </w:pPr>
    </w:p>
    <w:p>
      <w:pPr>
        <w:pStyle w:val="Heading1"/>
        <w:jc w:val="center"/>
      </w:pPr>
      <w:r>
        <w:rPr>
          <w:b/>
          <w:i w:val="0"/>
        </w:rPr>
        <w:t>INTRODUCTION</w:t>
      </w:r>
    </w:p>
    <w:p>
      <w:pPr>
        <w:spacing w:line="480" w:lineRule="auto" w:after="0"/>
        <w:ind w:firstLine="720"/>
        <w:jc w:val="both"/>
      </w:pPr>
      <w:r>
        <w:rPr>
          <w:b w:val="0"/>
          <w:i w:val="0"/>
        </w:rPr>
        <w:t>Plaintiffs are twelve orthopedic surgeons who lost commercially insured patients after a competing hospital system, Defendant Crestline Health Systems, Inc. ("Crestline"), cut its prices. That is the whole of the Verified Complaint (the "Complaint"). Read past its labels, the Complaint describes three non-exclusive agreements, the Preferred Provider Collaboration Agreements ("PPCAs"), under which Crestline gave three commercial health insurers a 22% discount off its standard rates for orthopedic services. In exchange, the insurers designated Crestline facilities as "Tier 1 Preferred," passed the savings on to their members through lower cost-sharing, and told members that the lower-cost option was available. (Compl. ¶¶ 69-72.) Plaintiffs concede that the PPCAs "do not expressly prohibit the insurers from contracting with non-Crestline providers." (</w:t>
      </w:r>
      <w:r>
        <w:rPr>
          <w:b w:val="0"/>
          <w:i/>
        </w:rPr>
        <w:t>Id.</w:t>
      </w:r>
      <w:r>
        <w:rPr>
          <w:b w:val="0"/>
          <w:i w:val="0"/>
        </w:rPr>
        <w:t xml:space="preserve"> ¶ 75.) The Blue Ridgeway PPCA, which the Complaint relies on throughout and calls the "template" for the other two (</w:t>
      </w:r>
      <w:r>
        <w:rPr>
          <w:b w:val="0"/>
          <w:i/>
        </w:rPr>
        <w:t>id.</w:t>
      </w:r>
      <w:r>
        <w:rPr>
          <w:b w:val="0"/>
          <w:i w:val="0"/>
        </w:rPr>
        <w:t xml:space="preserve"> ¶ 66), confirms this in plain terms. It is "a non-exclusive preferred provider arrangement." It allows the insurer to give any other provider Tier 1 status. And either party may terminate it at any time on 180 days’ notice. (Ex. A, PPCA §§ 2.2, 2.3, 8.3.)</w:t>
      </w:r>
    </w:p>
    <w:p>
      <w:pPr>
        <w:spacing w:line="480" w:lineRule="auto" w:after="0"/>
        <w:ind w:firstLine="720"/>
        <w:jc w:val="both"/>
      </w:pPr>
      <w:r>
        <w:rPr>
          <w:b w:val="0"/>
          <w:i w:val="0"/>
        </w:rPr>
        <w:t xml:space="preserve">The antitrust laws do not condemn a seller for offering buyers a lower price in exchange for preferred placement, and they do not entitle a rival to share in business it lost because it did not offer the same price. "[C]utting prices in order to increase business often is the very essence of competition." </w:t>
      </w:r>
      <w:r>
        <w:rPr>
          <w:b w:val="0"/>
          <w:i/>
        </w:rPr>
        <w:t>Matsushita Elec. Indus. Co. v. Zenith Radio Corp.</w:t>
      </w:r>
      <w:r>
        <w:rPr>
          <w:b w:val="0"/>
          <w:i w:val="0"/>
        </w:rPr>
        <w:t>, 475 U.S. 574, 594 (1986). Each of Plaintiffs’ three claims (monopolization (Count I) and attempted monopolization (Count II) under Section 2 of the Sherman Act, 15 U.S.C. § 2, and unreasonable restraint of trade (Count III) under Section 1, 15 U.S.C. § 1) fails for several independent reasons:</w:t>
      </w:r>
    </w:p>
    <w:p>
      <w:pPr>
        <w:tabs>
          <w:tab w:pos="1440" w:val="left"/>
        </w:tabs>
        <w:spacing w:line="240" w:lineRule="auto" w:after="240"/>
        <w:ind w:left="1440" w:hanging="360"/>
        <w:jc w:val="both"/>
      </w:pPr>
      <w:r>
        <w:t xml:space="preserve">•  </w:t>
      </w:r>
      <w:r>
        <w:rPr>
          <w:b/>
          <w:i w:val="0"/>
        </w:rPr>
        <w:t>First,</w:t>
      </w:r>
      <w:r>
        <w:rPr>
          <w:b w:val="0"/>
          <w:i w:val="0"/>
        </w:rPr>
        <w:t xml:space="preserve"> the Complaint does not plausibly allege anticompetitive conduct. The PPCAs are non-exclusive, above-cost, short-term discount agreements that buyers may end at will. That is not exclusive dealing, de facto or otherwise, and it is not exclusionary conduct under Section 2.</w:t>
      </w:r>
    </w:p>
    <w:p>
      <w:pPr>
        <w:tabs>
          <w:tab w:pos="1440" w:val="left"/>
        </w:tabs>
        <w:spacing w:line="240" w:lineRule="auto" w:after="240"/>
        <w:ind w:left="1440" w:hanging="360"/>
        <w:jc w:val="both"/>
      </w:pPr>
      <w:r>
        <w:t xml:space="preserve">•  </w:t>
      </w:r>
      <w:r>
        <w:rPr>
          <w:b/>
          <w:i w:val="0"/>
        </w:rPr>
        <w:t>Second,</w:t>
      </w:r>
      <w:r>
        <w:rPr>
          <w:b w:val="0"/>
          <w:i w:val="0"/>
        </w:rPr>
        <w:t xml:space="preserve"> the Complaint does not plausibly allege a relevant market or monopoly power. Plaintiffs define a market limited to services sold to commercial insurers and then plead a market share ("approximately 70% of all orthopedic surgeries") that by its own terms measures something else. They plead no share at all for their second, "surgeon services" market. And their own allegations, including that Crestline lowered its prices by 22% and capped future increases, are inconsistent with the power to control prices.</w:t>
      </w:r>
    </w:p>
    <w:p>
      <w:pPr>
        <w:tabs>
          <w:tab w:pos="1440" w:val="left"/>
        </w:tabs>
        <w:spacing w:line="240" w:lineRule="auto" w:after="240"/>
        <w:ind w:left="1440" w:hanging="360"/>
        <w:jc w:val="both"/>
      </w:pPr>
      <w:r>
        <w:t xml:space="preserve">•  </w:t>
      </w:r>
      <w:r>
        <w:rPr>
          <w:b/>
          <w:i w:val="0"/>
        </w:rPr>
        <w:t>Third,</w:t>
      </w:r>
      <w:r>
        <w:rPr>
          <w:b w:val="0"/>
          <w:i w:val="0"/>
        </w:rPr>
        <w:t xml:space="preserve"> Count II fails for lack of any non-conclusory allegation of specific intent or dangerous probability. Count III fails because Plaintiffs do not plausibly allege that the vertical PPCAs harmed competition, as opposed to Plaintiffs.</w:t>
      </w:r>
    </w:p>
    <w:p>
      <w:pPr>
        <w:tabs>
          <w:tab w:pos="1440" w:val="left"/>
        </w:tabs>
        <w:spacing w:line="240" w:lineRule="auto" w:after="240"/>
        <w:ind w:left="1440" w:hanging="360"/>
        <w:jc w:val="both"/>
      </w:pPr>
      <w:r>
        <w:t xml:space="preserve">•  </w:t>
      </w:r>
      <w:r>
        <w:rPr>
          <w:b/>
          <w:i w:val="0"/>
        </w:rPr>
        <w:t>Fourth,</w:t>
      </w:r>
      <w:r>
        <w:rPr>
          <w:b w:val="0"/>
          <w:i w:val="0"/>
        </w:rPr>
        <w:t xml:space="preserve"> Plaintiffs do not allege antitrust injury. Their only injury is revenue lost when patients moved to a lower-priced competitor. Under </w:t>
      </w:r>
      <w:r>
        <w:rPr>
          <w:b w:val="0"/>
          <w:i/>
        </w:rPr>
        <w:t>Brunswick</w:t>
      </w:r>
      <w:r>
        <w:rPr>
          <w:b w:val="0"/>
          <w:i w:val="0"/>
        </w:rPr>
        <w:t xml:space="preserve">, </w:t>
      </w:r>
      <w:r>
        <w:rPr>
          <w:b w:val="0"/>
          <w:i/>
        </w:rPr>
        <w:t>Atlantic Richfield</w:t>
      </w:r>
      <w:r>
        <w:rPr>
          <w:b w:val="0"/>
          <w:i w:val="0"/>
        </w:rPr>
        <w:t xml:space="preserve">, and the Sixth Circuit’s en banc decision in </w:t>
      </w:r>
      <w:r>
        <w:rPr>
          <w:b w:val="0"/>
          <w:i/>
        </w:rPr>
        <w:t>NicSand</w:t>
      </w:r>
      <w:r>
        <w:rPr>
          <w:b w:val="0"/>
          <w:i w:val="0"/>
        </w:rPr>
        <w:t>, that is not injury of the type the antitrust laws were designed to prevent. Nor are Plaintiffs efficient enforcers.</w:t>
      </w:r>
    </w:p>
    <w:p>
      <w:pPr>
        <w:pStyle w:val="Heading1"/>
        <w:jc w:val="center"/>
      </w:pPr>
      <w:r>
        <w:rPr>
          <w:b/>
          <w:i w:val="0"/>
        </w:rPr>
        <w:t>STATEMENT OF THE ALLEGATIONS</w:t>
      </w:r>
    </w:p>
    <w:p>
      <w:pPr>
        <w:spacing w:line="480" w:lineRule="auto" w:after="0"/>
        <w:ind w:firstLine="720"/>
        <w:jc w:val="both"/>
      </w:pPr>
      <w:r>
        <w:rPr>
          <w:b w:val="0"/>
          <w:i w:val="0"/>
        </w:rPr>
        <w:t>For purposes of this motion only, Crestline accepts the Complaint’s well-pleaded factual allegations as true.</w:t>
      </w:r>
    </w:p>
    <w:p>
      <w:pPr>
        <w:pStyle w:val="Heading2"/>
        <w:ind w:left="720" w:hanging="720"/>
      </w:pPr>
      <w:r>
        <w:rPr>
          <w:b/>
          <w:i w:val="0"/>
        </w:rPr>
        <w:t>A. The Parties</w:t>
      </w:r>
    </w:p>
    <w:p>
      <w:pPr>
        <w:spacing w:line="480" w:lineRule="auto" w:after="0"/>
        <w:ind w:firstLine="720"/>
        <w:jc w:val="both"/>
      </w:pPr>
      <w:r>
        <w:rPr>
          <w:b w:val="0"/>
          <w:i w:val="0"/>
        </w:rPr>
        <w:t>Plaintiffs are twelve board-certified orthopedic surgeons who practice as independent contractors affiliated with Appalachian Medical Partners, LLC ("AMP"), operating primarily out of AMP’s Ridge Surgical Center in Johnson City, Tennessee. (Compl. ¶¶ 2, 14-25.) AMP is not a party. Crestline operates four acute-care hospitals and thirty-one outpatient clinics in Sullivan, Washington, and Carter Counties, Tennessee (the "Tri-County Area"). (</w:t>
      </w:r>
      <w:r>
        <w:rPr>
          <w:b w:val="0"/>
          <w:i/>
        </w:rPr>
        <w:t>Id.</w:t>
      </w:r>
      <w:r>
        <w:rPr>
          <w:b w:val="0"/>
          <w:i w:val="0"/>
        </w:rPr>
        <w:t xml:space="preserve"> ¶¶ 3, 28-29.) The Complaint alleges that the Tri-County Area has forty-seven practicing orthopedic surgeons: twenty-eight employed by or exclusively affiliated with Crestline, the twelve Plaintiffs, and seven independent surgeons affiliated with neither. (</w:t>
      </w:r>
      <w:r>
        <w:rPr>
          <w:b w:val="0"/>
          <w:i/>
        </w:rPr>
        <w:t>Id.</w:t>
      </w:r>
      <w:r>
        <w:rPr>
          <w:b w:val="0"/>
          <w:i w:val="0"/>
        </w:rPr>
        <w:t xml:space="preserve"> ¶ 40.)</w:t>
      </w:r>
    </w:p>
    <w:p>
      <w:pPr>
        <w:pStyle w:val="Heading2"/>
        <w:ind w:left="720" w:hanging="720"/>
      </w:pPr>
      <w:r>
        <w:rPr>
          <w:b/>
          <w:i w:val="0"/>
        </w:rPr>
        <w:t>B. The Alleged Markets</w:t>
      </w:r>
    </w:p>
    <w:p>
      <w:pPr>
        <w:spacing w:line="480" w:lineRule="auto" w:after="0"/>
        <w:ind w:firstLine="720"/>
        <w:jc w:val="both"/>
      </w:pPr>
      <w:r>
        <w:rPr>
          <w:b w:val="0"/>
          <w:i w:val="0"/>
        </w:rPr>
        <w:t>The Complaint alleges a product market of "inpatient and outpatient orthopedic surgical services sold to commercial health insurers for inclusion in provider networks" (the "Orthopedic Services Market"). (</w:t>
      </w:r>
      <w:r>
        <w:rPr>
          <w:b w:val="0"/>
          <w:i/>
        </w:rPr>
        <w:t>Id.</w:t>
      </w:r>
      <w:r>
        <w:rPr>
          <w:b w:val="0"/>
          <w:i w:val="0"/>
        </w:rPr>
        <w:t xml:space="preserve"> ¶ 33.) It expressly excludes Medicare and Medicaid, alleging that including government-payer volumes "would distort the analysis." (</w:t>
      </w:r>
      <w:r>
        <w:rPr>
          <w:b w:val="0"/>
          <w:i/>
        </w:rPr>
        <w:t>Id.</w:t>
      </w:r>
      <w:r>
        <w:rPr>
          <w:b w:val="0"/>
          <w:i w:val="0"/>
        </w:rPr>
        <w:t xml:space="preserve"> ¶ 41.) It also alleges a second, "overlapping" market for "orthopedic surgeon services sold to commercial health insurers" (the "Orthopedic Surgeon Services Market"). (</w:t>
      </w:r>
      <w:r>
        <w:rPr>
          <w:b w:val="0"/>
          <w:i/>
        </w:rPr>
        <w:t>Id.</w:t>
      </w:r>
      <w:r>
        <w:rPr>
          <w:b w:val="0"/>
          <w:i w:val="0"/>
        </w:rPr>
        <w:t xml:space="preserve"> ¶ 38.) The alleged geographic market is the Tri-County Area. (</w:t>
      </w:r>
      <w:r>
        <w:rPr>
          <w:b w:val="0"/>
          <w:i/>
        </w:rPr>
        <w:t>Id.</w:t>
      </w:r>
      <w:r>
        <w:rPr>
          <w:b w:val="0"/>
          <w:i w:val="0"/>
        </w:rPr>
        <w:t xml:space="preserve"> ¶ 42.)</w:t>
      </w:r>
    </w:p>
    <w:p>
      <w:pPr>
        <w:spacing w:line="480" w:lineRule="auto" w:after="0"/>
        <w:ind w:firstLine="720"/>
        <w:jc w:val="both"/>
      </w:pPr>
      <w:r>
        <w:rPr>
          <w:b w:val="0"/>
          <w:i w:val="0"/>
        </w:rPr>
        <w:t>To support monopoly power, the Complaint alleges that "Crestline performs approximately 70% of all orthopedic surgeries in the Tri-County Area." (</w:t>
      </w:r>
      <w:r>
        <w:rPr>
          <w:b w:val="0"/>
          <w:i/>
        </w:rPr>
        <w:t>Id.</w:t>
      </w:r>
      <w:r>
        <w:rPr>
          <w:b w:val="0"/>
          <w:i w:val="0"/>
        </w:rPr>
        <w:t xml:space="preserve"> ¶ 47.) Elsewhere it alleges that the "[t]otal orthopedic surgical volume in the Tri-County Area" was approximately 7,103 procedures, "encompassing all inpatient and outpatient orthopedic surgical cases." (</w:t>
      </w:r>
      <w:r>
        <w:rPr>
          <w:b w:val="0"/>
          <w:i/>
        </w:rPr>
        <w:t>Id.</w:t>
      </w:r>
      <w:r>
        <w:rPr>
          <w:b w:val="0"/>
          <w:i w:val="0"/>
        </w:rPr>
        <w:t xml:space="preserve"> ¶ 39.) Later it alleges that, "[a]s a direct result" of the challenged conduct, Crestline "now controls over 60% of orthopedic surgical revenue in the Tri-County Area." (</w:t>
      </w:r>
      <w:r>
        <w:rPr>
          <w:b w:val="0"/>
          <w:i/>
        </w:rPr>
        <w:t>Id.</w:t>
      </w:r>
      <w:r>
        <w:rPr>
          <w:b w:val="0"/>
          <w:i w:val="0"/>
        </w:rPr>
        <w:t xml:space="preserve"> ¶ 83.) The Complaint does not allege Crestline’s share of the Orthopedic Surgeon Services Market.</w:t>
      </w:r>
    </w:p>
    <w:p>
      <w:pPr>
        <w:spacing w:line="480" w:lineRule="auto" w:after="0"/>
        <w:ind w:firstLine="720"/>
        <w:jc w:val="both"/>
      </w:pPr>
      <w:r>
        <w:rPr>
          <w:b w:val="0"/>
          <w:i w:val="0"/>
        </w:rPr>
        <w:t>The Complaint describes the three insurers as the "gatekeepers" of the commercial market, with "outsized influence" over competitive conditions and "substantial power to direct patient volume." (</w:t>
      </w:r>
      <w:r>
        <w:rPr>
          <w:b w:val="0"/>
          <w:i/>
        </w:rPr>
        <w:t>Id.</w:t>
      </w:r>
      <w:r>
        <w:rPr>
          <w:b w:val="0"/>
          <w:i w:val="0"/>
        </w:rPr>
        <w:t xml:space="preserve"> ¶¶ 56, 60, 63.) Blue Ridgeway Health Plan, Inc. ("Blue Ridgeway") covers about 38.2% of commercially insured lives in the Tri-County Area, Volunteer Benefits Corp. ("Volunteer Benefits") about 26.3%, and Pinnacle Select Insurance Co. ("Pinnacle Select") about 18.0%. The remaining 17.5% are spread among smaller insurers and self-insured employer plans. (</w:t>
      </w:r>
      <w:r>
        <w:rPr>
          <w:b w:val="0"/>
          <w:i/>
        </w:rPr>
        <w:t>Id.</w:t>
      </w:r>
      <w:r>
        <w:rPr>
          <w:b w:val="0"/>
          <w:i w:val="0"/>
        </w:rPr>
        <w:t xml:space="preserve"> ¶¶ 57-61.)</w:t>
      </w:r>
    </w:p>
    <w:p>
      <w:pPr>
        <w:pStyle w:val="Heading2"/>
        <w:ind w:left="720" w:hanging="720"/>
      </w:pPr>
      <w:r>
        <w:rPr>
          <w:b/>
          <w:i w:val="0"/>
        </w:rPr>
        <w:t>C. The PPCAs</w:t>
      </w:r>
    </w:p>
    <w:p>
      <w:pPr>
        <w:spacing w:line="480" w:lineRule="auto" w:after="0"/>
        <w:ind w:firstLine="720"/>
        <w:jc w:val="both"/>
      </w:pPr>
      <w:r>
        <w:rPr>
          <w:b w:val="0"/>
          <w:i w:val="0"/>
        </w:rPr>
        <w:t>Crestline entered into a PPCA with Blue Ridgeway on January 4, 2021, with Volunteer Benefits on March 12, 2021, and with Pinnacle Select on June 1, 2021. (</w:t>
      </w:r>
      <w:r>
        <w:rPr>
          <w:b w:val="0"/>
          <w:i/>
        </w:rPr>
        <w:t>Id.</w:t>
      </w:r>
      <w:r>
        <w:rPr>
          <w:b w:val="0"/>
          <w:i w:val="0"/>
        </w:rPr>
        <w:t xml:space="preserve"> ¶¶ 66-68.) The Blue Ridgeway PPCA "established the template," and the other two are "substantially similar." (</w:t>
      </w:r>
      <w:r>
        <w:rPr>
          <w:b w:val="0"/>
          <w:i/>
        </w:rPr>
        <w:t>Id.</w:t>
      </w:r>
      <w:r>
        <w:rPr>
          <w:b w:val="0"/>
          <w:i w:val="0"/>
        </w:rPr>
        <w:t xml:space="preserve"> ¶¶ 66-67.) Under each PPCA, the insurer designates Crestline as "Tier 1 Preferred," members pay less to use Tier 1 providers, and the insurer runs a "care navigation" program. Crestline, in turn, gives the insurer a 22% discount off its standard commercial rates, which may step down to 15% if combined Crestline volume for the three insurers’ members falls below 3,500 procedures in a year. (</w:t>
      </w:r>
      <w:r>
        <w:rPr>
          <w:b w:val="0"/>
          <w:i/>
        </w:rPr>
        <w:t>Id.</w:t>
      </w:r>
      <w:r>
        <w:rPr>
          <w:b w:val="0"/>
          <w:i w:val="0"/>
        </w:rPr>
        <w:t xml:space="preserve"> ¶¶ 69-73.) Each PPCA has a three-year initial term with automatic one-year renewals, and the Complaint alleges that either party may terminate it on 180 days’ notice. (</w:t>
      </w:r>
      <w:r>
        <w:rPr>
          <w:b w:val="0"/>
          <w:i/>
        </w:rPr>
        <w:t>Id.</w:t>
      </w:r>
      <w:r>
        <w:rPr>
          <w:b w:val="0"/>
          <w:i w:val="0"/>
        </w:rPr>
        <w:t xml:space="preserve"> ¶ 74.) The Complaint concedes that "the PPCAs do not expressly prohibit the insurers from contracting with non-Crestline providers." (</w:t>
      </w:r>
      <w:r>
        <w:rPr>
          <w:b w:val="0"/>
          <w:i/>
        </w:rPr>
        <w:t>Id.</w:t>
      </w:r>
      <w:r>
        <w:rPr>
          <w:b w:val="0"/>
          <w:i w:val="0"/>
        </w:rPr>
        <w:t xml:space="preserve"> ¶ 75.)</w:t>
      </w:r>
    </w:p>
    <w:p>
      <w:pPr>
        <w:spacing w:line="480" w:lineRule="auto" w:after="0"/>
        <w:ind w:firstLine="720"/>
        <w:jc w:val="both"/>
      </w:pPr>
      <w:r>
        <w:rPr>
          <w:b w:val="0"/>
          <w:i w:val="0"/>
        </w:rPr>
        <w:t>The Blue Ridgeway PPCA (Ex. A) confirms and adds to these allegations. Because the Complaint alleges that the Volunteer Benefits and Pinnacle Select PPCAs are "substantially similar" to it (Compl. ¶ 67), this memorandum cites the Blue Ridgeway PPCA as representative. [DRAFTING NOTE: Attach the Volunteer Benefits and Pinnacle Select PPCAs as Exhibits B and C after confirming that Sections 2.2, 2.3, 3.5, 5.2, and 8.3 are materially identical. Section 7.1 of each PPCA makes its terms confidential; file the exhibits under seal or in redacted form under E.D. Tenn. L.R. 26.2, or with the insurers’ consent.] Its terms include:</w:t>
      </w:r>
    </w:p>
    <w:p>
      <w:pPr>
        <w:tabs>
          <w:tab w:pos="1440" w:val="left"/>
        </w:tabs>
        <w:spacing w:line="240" w:lineRule="auto" w:after="240"/>
        <w:ind w:left="1440" w:hanging="360"/>
        <w:jc w:val="both"/>
      </w:pPr>
      <w:r>
        <w:t xml:space="preserve">•  </w:t>
      </w:r>
      <w:r>
        <w:rPr>
          <w:b/>
          <w:i w:val="0"/>
        </w:rPr>
        <w:t>Non-exclusivity.</w:t>
      </w:r>
      <w:r>
        <w:rPr>
          <w:b w:val="0"/>
          <w:i w:val="0"/>
        </w:rPr>
        <w:t xml:space="preserve"> "Nothing in this Agreement shall be construed to prohibit, restrict, or otherwise limit Blue Ridgeway’s right to" contract with any non-Crestline provider, "designate any Non-Crestline Provider as a Tier 1 Preferred Provider," or negotiate independently with any such provider. Blue Ridgeway "retains absolute and unfettered discretion over the composition, structure, and tiering of its provider networks." Crestline has no "right of exclusivity," no right to veto other providers, and no right to be consulted on network design. (Ex. A § 2.2; </w:t>
      </w:r>
      <w:r>
        <w:rPr>
          <w:b w:val="0"/>
          <w:i/>
        </w:rPr>
        <w:t>see also</w:t>
      </w:r>
      <w:r>
        <w:rPr>
          <w:b w:val="0"/>
          <w:i w:val="0"/>
        </w:rPr>
        <w:t xml:space="preserve"> </w:t>
      </w:r>
      <w:r>
        <w:rPr>
          <w:b w:val="0"/>
          <w:i/>
        </w:rPr>
        <w:t>id.</w:t>
      </w:r>
      <w:r>
        <w:rPr>
          <w:b w:val="0"/>
          <w:i w:val="0"/>
        </w:rPr>
        <w:t>, Recitals.)</w:t>
      </w:r>
    </w:p>
    <w:p>
      <w:pPr>
        <w:tabs>
          <w:tab w:pos="1440" w:val="left"/>
        </w:tabs>
        <w:spacing w:line="240" w:lineRule="auto" w:after="240"/>
        <w:ind w:left="1440" w:hanging="360"/>
        <w:jc w:val="both"/>
      </w:pPr>
      <w:r>
        <w:t xml:space="preserve">•  </w:t>
      </w:r>
      <w:r>
        <w:rPr>
          <w:b/>
          <w:i w:val="0"/>
        </w:rPr>
        <w:t>Tier 1 status is open to rivals.</w:t>
      </w:r>
      <w:r>
        <w:rPr>
          <w:b w:val="0"/>
          <w:i w:val="0"/>
        </w:rPr>
        <w:t xml:space="preserve"> Non-Crestline providers are Tier 2 only "[u]nless [they have] separately negotiated a Tier 1 designation with Blue Ridgeway," and Blue Ridgeway "may, at any time and in its sole discretion, elevate any Non-Crestline Provider from Tier 2 to Tier 1 status without the consent of Crestline." (</w:t>
      </w:r>
      <w:r>
        <w:rPr>
          <w:b w:val="0"/>
          <w:i/>
        </w:rPr>
        <w:t>Id.</w:t>
      </w:r>
      <w:r>
        <w:rPr>
          <w:b w:val="0"/>
          <w:i w:val="0"/>
        </w:rPr>
        <w:t xml:space="preserve"> § 2.3.)</w:t>
      </w:r>
    </w:p>
    <w:p>
      <w:pPr>
        <w:tabs>
          <w:tab w:pos="1440" w:val="left"/>
        </w:tabs>
        <w:spacing w:line="240" w:lineRule="auto" w:after="240"/>
        <w:ind w:left="1440" w:hanging="360"/>
        <w:jc w:val="both"/>
      </w:pPr>
      <w:r>
        <w:t xml:space="preserve">•  </w:t>
      </w:r>
      <w:r>
        <w:rPr>
          <w:b/>
          <w:i w:val="0"/>
        </w:rPr>
        <w:t>Tier 2 is the standard benefit, and Tier 2 providers stay in-network.</w:t>
      </w:r>
      <w:r>
        <w:rPr>
          <w:b w:val="0"/>
          <w:i w:val="0"/>
        </w:rPr>
        <w:t xml:space="preserve"> For Blue Ridgeway’s standard PPO product, Tier 1 members pay a $25 office-visit copayment and 15% surgical coinsurance, and Tier 2 members pay $75 and 30%. (</w:t>
      </w:r>
      <w:r>
        <w:rPr>
          <w:b w:val="0"/>
          <w:i/>
        </w:rPr>
        <w:t>Id.</w:t>
      </w:r>
      <w:r>
        <w:rPr>
          <w:b w:val="0"/>
          <w:i w:val="0"/>
        </w:rPr>
        <w:t xml:space="preserve"> §§ 3.1-3.2, 3.4.) The Tier 2 amounts "reflect Blue Ridgeway’s standard in-network cost-sharing structure." The Tier 1 amounts are "the reduced cost-sharing available to Members as a result of" the Tier 1 designation and Crestline’s discount. (</w:t>
      </w:r>
      <w:r>
        <w:rPr>
          <w:b w:val="0"/>
          <w:i/>
        </w:rPr>
        <w:t>Id.</w:t>
      </w:r>
      <w:r>
        <w:rPr>
          <w:b w:val="0"/>
          <w:i w:val="0"/>
        </w:rPr>
        <w:t xml:space="preserve"> §§ 3.1-3.2.) Tier 2 providers are "fully credentialed, in-network providers" (</w:t>
      </w:r>
      <w:r>
        <w:rPr>
          <w:b w:val="0"/>
          <w:i/>
        </w:rPr>
        <w:t>id.</w:t>
      </w:r>
      <w:r>
        <w:rPr>
          <w:b w:val="0"/>
          <w:i w:val="0"/>
        </w:rPr>
        <w:t xml:space="preserve"> § 1.13). Blue Ridgeway may not classify any credentialed non-Crestline provider as out-of-network "solely by reason of this Agreement" (</w:t>
      </w:r>
      <w:r>
        <w:rPr>
          <w:b w:val="0"/>
          <w:i/>
        </w:rPr>
        <w:t>id.</w:t>
      </w:r>
      <w:r>
        <w:rPr>
          <w:b w:val="0"/>
          <w:i w:val="0"/>
        </w:rPr>
        <w:t xml:space="preserve"> § 3.5).</w:t>
      </w:r>
    </w:p>
    <w:p>
      <w:pPr>
        <w:tabs>
          <w:tab w:pos="1440" w:val="left"/>
        </w:tabs>
        <w:spacing w:line="240" w:lineRule="auto" w:after="240"/>
        <w:ind w:left="1440" w:hanging="360"/>
        <w:jc w:val="both"/>
      </w:pPr>
      <w:r>
        <w:t xml:space="preserve">•  </w:t>
      </w:r>
      <w:r>
        <w:rPr>
          <w:b/>
          <w:i w:val="0"/>
        </w:rPr>
        <w:t>Member choice is preserved.</w:t>
      </w:r>
      <w:r>
        <w:rPr>
          <w:b w:val="0"/>
          <w:i w:val="0"/>
        </w:rPr>
        <w:t xml:space="preserve"> Members "retain full freedom of choice among all in-network providers." The care navigation program is "informational and advisory in nature only," and Blue Ridgeway may not "deny coverage, refuse pre-authorization, or impose any administrative barrier to a Member’s selection of a Tier 2 Provider." (</w:t>
      </w:r>
      <w:r>
        <w:rPr>
          <w:b w:val="0"/>
          <w:i/>
        </w:rPr>
        <w:t>Id.</w:t>
      </w:r>
      <w:r>
        <w:rPr>
          <w:b w:val="0"/>
          <w:i w:val="0"/>
        </w:rPr>
        <w:t xml:space="preserve"> §§ 3.3, 5.1-5.2.)</w:t>
      </w:r>
    </w:p>
    <w:p>
      <w:pPr>
        <w:tabs>
          <w:tab w:pos="1440" w:val="left"/>
        </w:tabs>
        <w:spacing w:line="240" w:lineRule="auto" w:after="240"/>
        <w:ind w:left="1440" w:hanging="360"/>
        <w:jc w:val="both"/>
      </w:pPr>
      <w:r>
        <w:t xml:space="preserve">•  </w:t>
      </w:r>
      <w:r>
        <w:rPr>
          <w:b/>
          <w:i w:val="0"/>
        </w:rPr>
        <w:t>Above-cost pricing and price caps.</w:t>
      </w:r>
      <w:r>
        <w:rPr>
          <w:b w:val="0"/>
          <w:i w:val="0"/>
        </w:rPr>
        <w:t xml:space="preserve"> "In no event shall the application of the Preferred Discount result in a reimbursement amount below Crestline’s cost." Annual increases to Crestline’s standard rates are capped at the lesser of 5% or CPI-Medical plus 2%. (</w:t>
      </w:r>
      <w:r>
        <w:rPr>
          <w:b w:val="0"/>
          <w:i/>
        </w:rPr>
        <w:t>Id.</w:t>
      </w:r>
      <w:r>
        <w:rPr>
          <w:b w:val="0"/>
          <w:i w:val="0"/>
        </w:rPr>
        <w:t xml:space="preserve"> §§ 4.2-4.3.)</w:t>
      </w:r>
    </w:p>
    <w:p>
      <w:pPr>
        <w:tabs>
          <w:tab w:pos="1440" w:val="left"/>
        </w:tabs>
        <w:spacing w:line="240" w:lineRule="auto" w:after="240"/>
        <w:ind w:left="1440" w:hanging="360"/>
        <w:jc w:val="both"/>
      </w:pPr>
      <w:r>
        <w:t xml:space="preserve">•  </w:t>
      </w:r>
      <w:r>
        <w:rPr>
          <w:b/>
          <w:i w:val="0"/>
        </w:rPr>
        <w:t>Terminable at will.</w:t>
      </w:r>
      <w:r>
        <w:rPr>
          <w:b w:val="0"/>
          <w:i w:val="0"/>
        </w:rPr>
        <w:t xml:space="preserve"> "Either Party may terminate this Agreement at any time ... with or without cause, upon not less than one hundred eighty (180) days’ prior written notice," without penalty. (</w:t>
      </w:r>
      <w:r>
        <w:rPr>
          <w:b w:val="0"/>
          <w:i/>
        </w:rPr>
        <w:t>Id.</w:t>
      </w:r>
      <w:r>
        <w:rPr>
          <w:b w:val="0"/>
          <w:i w:val="0"/>
        </w:rPr>
        <w:t xml:space="preserve"> § 8.3; </w:t>
      </w:r>
      <w:r>
        <w:rPr>
          <w:b w:val="0"/>
          <w:i/>
        </w:rPr>
        <w:t>see also</w:t>
      </w:r>
      <w:r>
        <w:rPr>
          <w:b w:val="0"/>
          <w:i w:val="0"/>
        </w:rPr>
        <w:t xml:space="preserve"> </w:t>
      </w:r>
      <w:r>
        <w:rPr>
          <w:b w:val="0"/>
          <w:i/>
        </w:rPr>
        <w:t>id.</w:t>
      </w:r>
      <w:r>
        <w:rPr>
          <w:b w:val="0"/>
          <w:i w:val="0"/>
        </w:rPr>
        <w:t xml:space="preserve"> § 8.2.)</w:t>
      </w:r>
    </w:p>
    <w:p>
      <w:pPr>
        <w:pStyle w:val="Heading2"/>
        <w:ind w:left="720" w:hanging="720"/>
      </w:pPr>
      <w:r>
        <w:rPr>
          <w:b/>
          <w:i w:val="0"/>
        </w:rPr>
        <w:t>D. The Alleged Injury</w:t>
      </w:r>
    </w:p>
    <w:p>
      <w:pPr>
        <w:spacing w:line="480" w:lineRule="auto" w:after="0"/>
        <w:ind w:firstLine="720"/>
        <w:jc w:val="both"/>
      </w:pPr>
      <w:r>
        <w:rPr>
          <w:b w:val="0"/>
          <w:i w:val="0"/>
        </w:rPr>
        <w:t>Plaintiffs allege that commercially insured patients, "faced with a choice between a $25 co-pay at a Crestline facility and a $75 co-pay at Ridge Surgical Center, overwhelmingly choose the lower-cost option." (Compl. ¶ 76.) As a result, Plaintiffs’ combined revenues fell from about $18.2 million in 2020 to about $7.9 million in 2023. (</w:t>
      </w:r>
      <w:r>
        <w:rPr>
          <w:b w:val="0"/>
          <w:i/>
        </w:rPr>
        <w:t>Id.</w:t>
      </w:r>
      <w:r>
        <w:rPr>
          <w:b w:val="0"/>
          <w:i w:val="0"/>
        </w:rPr>
        <w:t xml:space="preserve"> ¶¶ 5, 26, 84-86.) On or about July 1, 2022, Volunteer Benefits and Pinnacle Select removed five Plaintiffs from their networks, sending form letters that cited "network adequacy optimization." (</w:t>
      </w:r>
      <w:r>
        <w:rPr>
          <w:b w:val="0"/>
          <w:i/>
        </w:rPr>
        <w:t>Id.</w:t>
      </w:r>
      <w:r>
        <w:rPr>
          <w:b w:val="0"/>
          <w:i w:val="0"/>
        </w:rPr>
        <w:t xml:space="preserve"> ¶ 78.) The Complaint does not allege that Crestline asked for, required, or had any role in those removals. No Plaintiff is alleged to have been removed from the network of Blue Ridgeway, the largest insurer. The five Plaintiffs removed by Volunteer Benefits and Pinnacle Select remain Tier 2 providers in Blue Ridgeway’s network (</w:t>
      </w:r>
      <w:r>
        <w:rPr>
          <w:b w:val="0"/>
          <w:i/>
        </w:rPr>
        <w:t>id.</w:t>
      </w:r>
      <w:r>
        <w:rPr>
          <w:b w:val="0"/>
          <w:i w:val="0"/>
        </w:rPr>
        <w:t xml:space="preserve"> ¶ 87), and the other seven remain in-network with at least one of the three major insurers (</w:t>
      </w:r>
      <w:r>
        <w:rPr>
          <w:b w:val="0"/>
          <w:i/>
        </w:rPr>
        <w:t>id.</w:t>
      </w:r>
      <w:r>
        <w:rPr>
          <w:b w:val="0"/>
          <w:i w:val="0"/>
        </w:rPr>
        <w:t xml:space="preserve"> ¶ 79). The Complaint alleges that "the demand for orthopedic surgical services has not materially declined." (</w:t>
      </w:r>
      <w:r>
        <w:rPr>
          <w:b w:val="0"/>
          <w:i/>
        </w:rPr>
        <w:t>Id.</w:t>
      </w:r>
      <w:r>
        <w:rPr>
          <w:b w:val="0"/>
          <w:i w:val="0"/>
        </w:rPr>
        <w:t xml:space="preserve"> ¶ 90.) It does not allege that any price paid by any insurer or patient for orthopedic services rose, that output fell, or that quality declined. And it does not allege that Plaintiffs, or AMP, ever offered any insurer a discount or other terms in exchange for Tier 1 status.</w:t>
      </w:r>
    </w:p>
    <w:p>
      <w:pPr>
        <w:pStyle w:val="Heading1"/>
        <w:jc w:val="center"/>
      </w:pPr>
      <w:r>
        <w:rPr>
          <w:b/>
          <w:i w:val="0"/>
        </w:rPr>
        <w:t>LEGAL STANDARD</w:t>
      </w:r>
    </w:p>
    <w:p>
      <w:pPr>
        <w:spacing w:line="480" w:lineRule="auto" w:after="0"/>
        <w:ind w:firstLine="720"/>
        <w:jc w:val="both"/>
      </w:pPr>
      <w:r>
        <w:rPr>
          <w:b w:val="0"/>
          <w:i w:val="0"/>
        </w:rPr>
        <w:t xml:space="preserve">To survive a Rule 12(b)(6) motion, a complaint must contain "enough facts to state a claim to relief that is plausible on its face." </w:t>
      </w:r>
      <w:r>
        <w:rPr>
          <w:b w:val="0"/>
          <w:i/>
        </w:rPr>
        <w:t>Bell Atl. Corp. v. Twombly</w:t>
      </w:r>
      <w:r>
        <w:rPr>
          <w:b w:val="0"/>
          <w:i w:val="0"/>
        </w:rPr>
        <w:t xml:space="preserve">, 550 U.S. 544, 570 (2007). "Threadbare recitals of the elements of a cause of action, supported by mere conclusory statements, do not suffice," and courts "are not bound to accept as true a legal conclusion couched as a factual allegation." </w:t>
      </w:r>
      <w:r>
        <w:rPr>
          <w:b w:val="0"/>
          <w:i/>
        </w:rPr>
        <w:t>Ashcroft v. Iqbal</w:t>
      </w:r>
      <w:r>
        <w:rPr>
          <w:b w:val="0"/>
          <w:i w:val="0"/>
        </w:rPr>
        <w:t xml:space="preserve">, 556 U.S. 662, 678 (2009) (quoting </w:t>
      </w:r>
      <w:r>
        <w:rPr>
          <w:b w:val="0"/>
          <w:i/>
        </w:rPr>
        <w:t>Twombly</w:t>
      </w:r>
      <w:r>
        <w:rPr>
          <w:b w:val="0"/>
          <w:i w:val="0"/>
        </w:rPr>
        <w:t xml:space="preserve">, 550 U.S. at 555). Where the well-pleaded facts "do not permit the court to infer more than the mere possibility of misconduct," the complaint must be dismissed. </w:t>
      </w:r>
      <w:r>
        <w:rPr>
          <w:b w:val="0"/>
          <w:i/>
        </w:rPr>
        <w:t>Id.</w:t>
      </w:r>
      <w:r>
        <w:rPr>
          <w:b w:val="0"/>
          <w:i w:val="0"/>
        </w:rPr>
        <w:t xml:space="preserve"> at 679. That screening function is especially important in antitrust cases, given the "potentially enormous expense of discovery." </w:t>
      </w:r>
      <w:r>
        <w:rPr>
          <w:b w:val="0"/>
          <w:i/>
        </w:rPr>
        <w:t>Twombly</w:t>
      </w:r>
      <w:r>
        <w:rPr>
          <w:b w:val="0"/>
          <w:i w:val="0"/>
        </w:rPr>
        <w:t xml:space="preserve">, 550 U.S. at 559. The Sixth Circuit applies these principles with full force to antitrust complaints. </w:t>
      </w:r>
      <w:r>
        <w:rPr>
          <w:b w:val="0"/>
          <w:i/>
        </w:rPr>
        <w:t>See, e.g.,</w:t>
      </w:r>
      <w:r>
        <w:rPr>
          <w:b w:val="0"/>
          <w:i w:val="0"/>
        </w:rPr>
        <w:t xml:space="preserve"> </w:t>
      </w:r>
      <w:r>
        <w:rPr>
          <w:b w:val="0"/>
          <w:i/>
        </w:rPr>
        <w:t>In re Travel Agent Comm’n Antitrust Litig.</w:t>
      </w:r>
      <w:r>
        <w:rPr>
          <w:b w:val="0"/>
          <w:i w:val="0"/>
        </w:rPr>
        <w:t xml:space="preserve">, 583 F.3d 896, 903-04 (6th Cir. 2009); </w:t>
      </w:r>
      <w:r>
        <w:rPr>
          <w:b w:val="0"/>
          <w:i/>
        </w:rPr>
        <w:t>Total Benefits Planning Agency, Inc. v. Anthem Blue Cross &amp; Blue Shield</w:t>
      </w:r>
      <w:r>
        <w:rPr>
          <w:b w:val="0"/>
          <w:i w:val="0"/>
        </w:rPr>
        <w:t>, 552 F.3d 430, 434-37 (6th Cir. 2008).</w:t>
      </w:r>
    </w:p>
    <w:p>
      <w:pPr>
        <w:spacing w:line="480" w:lineRule="auto" w:after="0"/>
        <w:ind w:firstLine="720"/>
        <w:jc w:val="both"/>
      </w:pPr>
      <w:r>
        <w:rPr>
          <w:b w:val="0"/>
          <w:i w:val="0"/>
        </w:rPr>
        <w:t xml:space="preserve">In deciding this motion, the Court may consider documents that are referred to in the complaint and central to the claims without converting the motion into one for summary judgment. </w:t>
      </w:r>
      <w:r>
        <w:rPr>
          <w:b w:val="0"/>
          <w:i/>
        </w:rPr>
        <w:t>Bassett v. NCAA</w:t>
      </w:r>
      <w:r>
        <w:rPr>
          <w:b w:val="0"/>
          <w:i w:val="0"/>
        </w:rPr>
        <w:t xml:space="preserve">, 528 F.3d 426, 430 (6th Cir. 2008); </w:t>
      </w:r>
      <w:r>
        <w:rPr>
          <w:b w:val="0"/>
          <w:i/>
        </w:rPr>
        <w:t>Weiner v. Klais &amp; Co.</w:t>
      </w:r>
      <w:r>
        <w:rPr>
          <w:b w:val="0"/>
          <w:i w:val="0"/>
        </w:rPr>
        <w:t>, 108 F.3d 86, 89 (6th Cir. 1997). The PPCAs are the conduct challenged in all three Counts and are described throughout the Complaint. (</w:t>
      </w:r>
      <w:r>
        <w:rPr>
          <w:b w:val="0"/>
          <w:i/>
        </w:rPr>
        <w:t>See</w:t>
      </w:r>
      <w:r>
        <w:rPr>
          <w:b w:val="0"/>
          <w:i w:val="0"/>
        </w:rPr>
        <w:t xml:space="preserve"> Compl. ¶¶ 4, 65-81, 94, 102-03, 107-09.) When a document properly before the Court contradicts the complaint’s characterization of it, "the exhibit trumps the allegations." </w:t>
      </w:r>
      <w:r>
        <w:rPr>
          <w:b w:val="0"/>
          <w:i/>
        </w:rPr>
        <w:t>Cates v. Crystal Clear Techs., LLC</w:t>
      </w:r>
      <w:r>
        <w:rPr>
          <w:b w:val="0"/>
          <w:i w:val="0"/>
        </w:rPr>
        <w:t>, 874 F.3d 530, 536 (6th Cir. 2017) (citation omitted).</w:t>
      </w:r>
    </w:p>
    <w:p>
      <w:pPr>
        <w:pStyle w:val="Heading1"/>
        <w:jc w:val="center"/>
      </w:pPr>
      <w:r>
        <w:rPr>
          <w:b/>
          <w:i w:val="0"/>
        </w:rPr>
        <w:t>ARGUMENT</w:t>
      </w:r>
    </w:p>
    <w:p>
      <w:pPr>
        <w:pStyle w:val="Heading2"/>
        <w:ind w:left="720" w:hanging="720"/>
      </w:pPr>
      <w:r>
        <w:rPr>
          <w:b/>
          <w:i w:val="0"/>
        </w:rPr>
        <w:t>I. ALL THREE COUNTS FAIL BECAUSE THE COMPLAINT DOES NOT PLAUSIBLY ALLEGE ANTICOMPETITIVE CONDUCT.</w:t>
      </w:r>
    </w:p>
    <w:p>
      <w:pPr>
        <w:spacing w:line="480" w:lineRule="auto" w:after="0"/>
        <w:ind w:firstLine="720"/>
        <w:jc w:val="both"/>
      </w:pPr>
      <w:r>
        <w:rPr>
          <w:b w:val="0"/>
          <w:i w:val="0"/>
        </w:rPr>
        <w:t xml:space="preserve">Each Count rests on one theory: that the PPCAs are "exclusive dealing arrangements" that foreclose rivals from commercially insured patients. (Compl. ¶¶ 75, 94, 102, 108.) Monopolization requires "the willful acquisition or maintenance of [monopoly] power as distinguished from growth or development as a consequence of a superior product, business acumen, or historic accident." </w:t>
      </w:r>
      <w:r>
        <w:rPr>
          <w:b w:val="0"/>
          <w:i/>
        </w:rPr>
        <w:t>United States v. Grinnell Corp.</w:t>
      </w:r>
      <w:r>
        <w:rPr>
          <w:b w:val="0"/>
          <w:i w:val="0"/>
        </w:rPr>
        <w:t xml:space="preserve">, 384 U.S. 563, 570-71 (1966). Attempted monopolization requires "predatory or anticompetitive conduct." </w:t>
      </w:r>
      <w:r>
        <w:rPr>
          <w:b w:val="0"/>
          <w:i/>
        </w:rPr>
        <w:t>Spectrum Sports, Inc. v. McQuillan</w:t>
      </w:r>
      <w:r>
        <w:rPr>
          <w:b w:val="0"/>
          <w:i w:val="0"/>
        </w:rPr>
        <w:t xml:space="preserve">, 506 U.S. 447, 456 (1993). A Section 1 claim requires an agreement that unreasonably restrains trade. </w:t>
      </w:r>
      <w:r>
        <w:rPr>
          <w:b w:val="0"/>
          <w:i/>
        </w:rPr>
        <w:t>Ohio v. Am. Express Co.</w:t>
      </w:r>
      <w:r>
        <w:rPr>
          <w:b w:val="0"/>
          <w:i w:val="0"/>
        </w:rPr>
        <w:t>, 585 U.S. 529, 540-41 (2018). Because the PPCAs are not plausibly anticompetitive, all three Counts fail.</w:t>
      </w:r>
    </w:p>
    <w:p>
      <w:pPr>
        <w:pStyle w:val="Heading3"/>
        <w:ind w:left="1440" w:hanging="720"/>
      </w:pPr>
      <w:r>
        <w:rPr>
          <w:b/>
          <w:i w:val="0"/>
        </w:rPr>
        <w:t>A. The PPCAs Are Non-Exclusive, and the Complaint Concedes It.</w:t>
      </w:r>
    </w:p>
    <w:p>
      <w:pPr>
        <w:spacing w:line="480" w:lineRule="auto" w:after="0"/>
        <w:ind w:firstLine="720"/>
        <w:jc w:val="both"/>
      </w:pPr>
      <w:r>
        <w:rPr>
          <w:b w:val="0"/>
          <w:i w:val="0"/>
        </w:rPr>
        <w:t xml:space="preserve">Exclusive dealing is an agreement in which a buyer commits to buy, or a seller to sell, only from or to one trading partner, so that rivals are shut out of "a substantial share of the line of commerce affected." </w:t>
      </w:r>
      <w:r>
        <w:rPr>
          <w:b w:val="0"/>
          <w:i/>
        </w:rPr>
        <w:t>Tampa Elec. Co. v. Nashville Coal Co.</w:t>
      </w:r>
      <w:r>
        <w:rPr>
          <w:b w:val="0"/>
          <w:i w:val="0"/>
        </w:rPr>
        <w:t>, 365 U.S. 320, 327 (1961). The PPCAs impose no such commitment on the insurers. Plaintiffs admit that the PPCAs "do not expressly prohibit the insurers from contracting with non-Crestline providers." (Compl. ¶ 75.) The Blue Ridgeway PPCA goes much further. It calls itself "a non-exclusive preferred provider arrangement." It disclaims any "right of exclusivity" and any right to "veto or approve the inclusion of other providers." It expressly keeps Blue Ridgeway’s right to "designate any Non-Crestline Provider as a Tier 1 Preferred Provider." (Ex. A §§ 2.2-2.3.) It bars Blue Ridgeway from classifying any credentialed rival as out-of-network because of the agreement. (</w:t>
      </w:r>
      <w:r>
        <w:rPr>
          <w:b w:val="0"/>
          <w:i/>
        </w:rPr>
        <w:t>Id.</w:t>
      </w:r>
      <w:r>
        <w:rPr>
          <w:b w:val="0"/>
          <w:i w:val="0"/>
        </w:rPr>
        <w:t xml:space="preserve"> § 3.5.) And it guarantees members’ "full freedom of choice among all in-network providers." (</w:t>
      </w:r>
      <w:r>
        <w:rPr>
          <w:b w:val="0"/>
          <w:i/>
        </w:rPr>
        <w:t>Id.</w:t>
      </w:r>
      <w:r>
        <w:rPr>
          <w:b w:val="0"/>
          <w:i w:val="0"/>
        </w:rPr>
        <w:t xml:space="preserve"> § 3.3.)</w:t>
      </w:r>
    </w:p>
    <w:p>
      <w:pPr>
        <w:spacing w:line="480" w:lineRule="auto" w:after="0"/>
        <w:ind w:firstLine="720"/>
        <w:jc w:val="both"/>
      </w:pPr>
      <w:r>
        <w:rPr>
          <w:b w:val="0"/>
          <w:i w:val="0"/>
        </w:rPr>
        <w:t>Plaintiffs’ own circumstances bear this out. They were not shut out of the market. They were placed in the insurers’ standard benefit tier, competing against a rival that had agreed to accept lower prices. (Ex. A § 3.2; Compl. ¶¶ 79, 85, 87.)</w:t>
      </w:r>
    </w:p>
    <w:p>
      <w:pPr>
        <w:spacing w:line="480" w:lineRule="auto" w:after="0"/>
        <w:ind w:firstLine="720"/>
        <w:jc w:val="both"/>
      </w:pPr>
      <w:r>
        <w:rPr>
          <w:b w:val="0"/>
          <w:i w:val="0"/>
        </w:rPr>
        <w:t xml:space="preserve">Plaintiffs try to avoid their concession by calling the PPCAs "de facto" exclusive, pointing to the "combined impact" of the tier designation, the cost-sharing differential, care navigation, and the volume-threshold provision. (Compl. ¶ 75.) But none of those features requires an insurer, a physician, or a patient to deal only with Crestline. Courts consistently reject de facto exclusive-dealing theories where buyers remain free to purchase from rivals and simply find the defendant’s offer more attractive. </w:t>
      </w:r>
      <w:r>
        <w:rPr>
          <w:b w:val="0"/>
          <w:i/>
        </w:rPr>
        <w:t>See</w:t>
      </w:r>
      <w:r>
        <w:rPr>
          <w:b w:val="0"/>
          <w:i w:val="0"/>
        </w:rPr>
        <w:t xml:space="preserve"> </w:t>
      </w:r>
      <w:r>
        <w:rPr>
          <w:b w:val="0"/>
          <w:i/>
        </w:rPr>
        <w:t>Allied Orthopedic Appliances Inc. v. Tyco Health Care Grp. LP</w:t>
      </w:r>
      <w:r>
        <w:rPr>
          <w:b w:val="0"/>
          <w:i w:val="0"/>
        </w:rPr>
        <w:t xml:space="preserve">, 592 F.3d 991, 996-97 (9th Cir. 2010) (no substantial foreclosure from market-share discount agreements where customers remained free to buy rivals’ products and forgo the discount); </w:t>
      </w:r>
      <w:r>
        <w:rPr>
          <w:b w:val="0"/>
          <w:i/>
        </w:rPr>
        <w:t>Eisai Inc. v. Sanofi Aventis U.S., LLC</w:t>
      </w:r>
      <w:r>
        <w:rPr>
          <w:b w:val="0"/>
          <w:i w:val="0"/>
        </w:rPr>
        <w:t xml:space="preserve">, 821 F.3d 394, 403-09 (3d Cir. 2016) (rejecting a challenge to discounts conditioned on hospitals’ purchase volume and formulary placement where hospitals remained free to buy competing products); </w:t>
      </w:r>
      <w:r>
        <w:rPr>
          <w:b w:val="0"/>
          <w:i/>
        </w:rPr>
        <w:t>Concord Boat Corp. v. Brunswick Corp.</w:t>
      </w:r>
      <w:r>
        <w:rPr>
          <w:b w:val="0"/>
          <w:i w:val="0"/>
        </w:rPr>
        <w:t>, 207 F.3d 1039, 1059-63 (8th Cir. 2000) (rejecting a challenge to market-share discounts where buyers could and did switch). A rival’s complaint that buyers chose the defendant because it offered them a better deal describes competition, not exclusion.</w:t>
      </w:r>
    </w:p>
    <w:p>
      <w:pPr>
        <w:pStyle w:val="Heading3"/>
        <w:ind w:left="1440" w:hanging="720"/>
      </w:pPr>
      <w:r>
        <w:rPr>
          <w:b/>
          <w:i w:val="0"/>
        </w:rPr>
        <w:t>B. Tiering and Care Navigation Are How the Price Cut Reaches Consumers, and the Complaint Alleges No Below-Cost Pricing.</w:t>
      </w:r>
    </w:p>
    <w:p>
      <w:pPr>
        <w:spacing w:line="480" w:lineRule="auto" w:after="0"/>
        <w:ind w:firstLine="720"/>
        <w:jc w:val="both"/>
      </w:pPr>
      <w:r>
        <w:rPr>
          <w:b w:val="0"/>
          <w:i w:val="0"/>
        </w:rPr>
        <w:t>What the Complaint actually challenges is a price cut. Crestline lowered its prices to the insurers by 22%. (Compl. ¶ 72.) The insurers passed the savings on to their members as lower cost-sharing at Crestline facilities. (</w:t>
      </w:r>
      <w:r>
        <w:rPr>
          <w:b w:val="0"/>
          <w:i/>
        </w:rPr>
        <w:t>Id.</w:t>
      </w:r>
      <w:r>
        <w:rPr>
          <w:b w:val="0"/>
          <w:i w:val="0"/>
        </w:rPr>
        <w:t xml:space="preserve"> ¶¶ 69-70.) They then told members about the lower-cost option. (</w:t>
      </w:r>
      <w:r>
        <w:rPr>
          <w:b w:val="0"/>
          <w:i/>
        </w:rPr>
        <w:t>Id.</w:t>
      </w:r>
      <w:r>
        <w:rPr>
          <w:b w:val="0"/>
          <w:i w:val="0"/>
        </w:rPr>
        <w:t xml:space="preserve"> ¶ 71.) Plaintiffs say the PPCAs "tripled the out-of-pocket costs for patients seeking to use Plaintiffs’ services." (</w:t>
      </w:r>
      <w:r>
        <w:rPr>
          <w:b w:val="0"/>
          <w:i/>
        </w:rPr>
        <w:t>Id.</w:t>
      </w:r>
      <w:r>
        <w:rPr>
          <w:b w:val="0"/>
          <w:i w:val="0"/>
        </w:rPr>
        <w:t xml:space="preserve"> ¶ 76.) The agreement shows otherwise. Tier 2 cost-sharing is "Blue Ridgeway’s standard in-network cost-sharing structure." Tier 1 cost-sharing is a reduction made possible by Crestline’s discount. (Ex. A §§ 3.1-3.2.) The PPCAs did not raise anyone’s costs; they lowered costs for members who chose Crestline.</w:t>
      </w:r>
    </w:p>
    <w:p>
      <w:pPr>
        <w:spacing w:line="480" w:lineRule="auto" w:after="0"/>
        <w:ind w:firstLine="720"/>
        <w:jc w:val="both"/>
      </w:pPr>
      <w:r>
        <w:rPr>
          <w:b w:val="0"/>
          <w:i w:val="0"/>
        </w:rPr>
        <w:t xml:space="preserve">The Supreme Court has repeatedly held that price cuts are not exclusionary unless they are predatory, meaning below an appropriate measure of the defendant’s cost. </w:t>
      </w:r>
      <w:r>
        <w:rPr>
          <w:b w:val="0"/>
          <w:i/>
        </w:rPr>
        <w:t>Brooke Grp. Ltd. v. Brown &amp; Williamson Tobacco Corp.</w:t>
      </w:r>
      <w:r>
        <w:rPr>
          <w:b w:val="0"/>
          <w:i w:val="0"/>
        </w:rPr>
        <w:t xml:space="preserve">, 509 U.S. 209, 222-24 (1993); </w:t>
      </w:r>
      <w:r>
        <w:rPr>
          <w:b w:val="0"/>
          <w:i/>
        </w:rPr>
        <w:t>Pac. Bell Tel. Co. v. linkLine Commc’ns, Inc.</w:t>
      </w:r>
      <w:r>
        <w:rPr>
          <w:b w:val="0"/>
          <w:i w:val="0"/>
        </w:rPr>
        <w:t xml:space="preserve">, 555 U.S. 438, 451 (2009). "Low prices benefit consumers regardless of how those prices are set, and so long as they are above predatory levels, they do not threaten competition." </w:t>
      </w:r>
      <w:r>
        <w:rPr>
          <w:b w:val="0"/>
          <w:i/>
        </w:rPr>
        <w:t>Atl. Richfield Co. v. USA Petroleum Co.</w:t>
      </w:r>
      <w:r>
        <w:rPr>
          <w:b w:val="0"/>
          <w:i w:val="0"/>
        </w:rPr>
        <w:t xml:space="preserve">, 495 U.S. 328, 340 (1990). Courts apply the same principle to discounts conditioned on preferred status or volume. Where price is the clearly predominant means of the alleged exclusion, the challenged pricing must be measured against cost. </w:t>
      </w:r>
      <w:r>
        <w:rPr>
          <w:b w:val="0"/>
          <w:i/>
        </w:rPr>
        <w:t>See</w:t>
      </w:r>
      <w:r>
        <w:rPr>
          <w:b w:val="0"/>
          <w:i w:val="0"/>
        </w:rPr>
        <w:t xml:space="preserve"> </w:t>
      </w:r>
      <w:r>
        <w:rPr>
          <w:b w:val="0"/>
          <w:i/>
        </w:rPr>
        <w:t>ZF Meritor, LLC v. Eaton Corp.</w:t>
      </w:r>
      <w:r>
        <w:rPr>
          <w:b w:val="0"/>
          <w:i w:val="0"/>
        </w:rPr>
        <w:t xml:space="preserve">, 696 F.3d 254, 273-78 (3d Cir. 2012); </w:t>
      </w:r>
      <w:r>
        <w:rPr>
          <w:b w:val="0"/>
          <w:i/>
        </w:rPr>
        <w:t>Eisai</w:t>
      </w:r>
      <w:r>
        <w:rPr>
          <w:b w:val="0"/>
          <w:i w:val="0"/>
        </w:rPr>
        <w:t xml:space="preserve">, 821 F.3d at 409; </w:t>
      </w:r>
      <w:r>
        <w:rPr>
          <w:b w:val="0"/>
          <w:i/>
        </w:rPr>
        <w:t>Cascade Health Sols. v. PeaceHealth</w:t>
      </w:r>
      <w:r>
        <w:rPr>
          <w:b w:val="0"/>
          <w:i w:val="0"/>
        </w:rPr>
        <w:t xml:space="preserve">, 515 F.3d 883, 903-10 (9th Cir. 2008) (applying a cost-based test to a hospital system’s discounts to insurers in exchange for preferred-provider status). The Sixth Circuit has likewise insisted on a cost-based analysis before condemning differential pricing as exclusionary. </w:t>
      </w:r>
      <w:r>
        <w:rPr>
          <w:b w:val="0"/>
          <w:i/>
        </w:rPr>
        <w:t>Collins Inkjet Corp. v. Eastman Kodak Co.</w:t>
      </w:r>
      <w:r>
        <w:rPr>
          <w:b w:val="0"/>
          <w:i w:val="0"/>
        </w:rPr>
        <w:t>, 781 F.3d 264, 270-74 (6th Cir. 2015).</w:t>
      </w:r>
    </w:p>
    <w:p>
      <w:pPr>
        <w:spacing w:line="480" w:lineRule="auto" w:after="0"/>
        <w:ind w:firstLine="720"/>
        <w:jc w:val="both"/>
      </w:pPr>
      <w:r>
        <w:rPr>
          <w:b w:val="0"/>
          <w:i w:val="0"/>
        </w:rPr>
        <w:t xml:space="preserve">The mechanism here is price. Crestline won preferred status by offering a lower price, and the alleged "foreclosure" is simply patients responding to that lower price. (Compl. ¶¶ 72, 76.) The Complaint does not allege that Crestline’s discounted rates are below any measure of its cost, and the PPCA forbids exactly that. (Ex. A § 4.2.) The discount covers a single line of services, so there is no bundle that could exclude an equally efficient rival, cf. </w:t>
      </w:r>
      <w:r>
        <w:rPr>
          <w:b w:val="0"/>
          <w:i/>
        </w:rPr>
        <w:t>Cascade Health</w:t>
      </w:r>
      <w:r>
        <w:rPr>
          <w:b w:val="0"/>
          <w:i w:val="0"/>
        </w:rPr>
        <w:t>, 515 F.3d at 906-10, and Section 2.3 expressly contemplates that rivals may compete for the same preferred status.</w:t>
      </w:r>
    </w:p>
    <w:p>
      <w:pPr>
        <w:spacing w:line="480" w:lineRule="auto" w:after="0"/>
        <w:ind w:firstLine="720"/>
        <w:jc w:val="both"/>
      </w:pPr>
      <w:r>
        <w:rPr>
          <w:b w:val="0"/>
          <w:i w:val="0"/>
        </w:rPr>
        <w:t xml:space="preserve">Care navigation does not change the analysis. As the PPCA describes it, care navigation means giving members "informational materials," cost-estimator tools, and outreach "informing such Members of the availability of Tier 1 Preferred Provider options." It is "informational and advisory in nature only," and it forbids any coverage denial or "administrative barrier" to choosing a Tier 2 provider. (Ex. A §§ 5.1-5.2.) The Complaint’s assertion that the program was designed to "preferentially steer" members (Compl. ¶ 71) is a characterization that the agreement does not support. </w:t>
      </w:r>
      <w:r>
        <w:rPr>
          <w:b w:val="0"/>
          <w:i/>
        </w:rPr>
        <w:t>See</w:t>
      </w:r>
      <w:r>
        <w:rPr>
          <w:b w:val="0"/>
          <w:i w:val="0"/>
        </w:rPr>
        <w:t xml:space="preserve"> </w:t>
      </w:r>
      <w:r>
        <w:rPr>
          <w:b w:val="0"/>
          <w:i/>
        </w:rPr>
        <w:t>Cates</w:t>
      </w:r>
      <w:r>
        <w:rPr>
          <w:b w:val="0"/>
          <w:i w:val="0"/>
        </w:rPr>
        <w:t xml:space="preserve">, 874 F.3d at 536. In any event, telling consumers truthfully where they can get the same service for less is procompetitive. </w:t>
      </w:r>
      <w:r>
        <w:rPr>
          <w:b w:val="0"/>
          <w:i/>
        </w:rPr>
        <w:t>See</w:t>
      </w:r>
      <w:r>
        <w:rPr>
          <w:b w:val="0"/>
          <w:i w:val="0"/>
        </w:rPr>
        <w:t xml:space="preserve"> </w:t>
      </w:r>
      <w:r>
        <w:rPr>
          <w:b w:val="0"/>
          <w:i/>
        </w:rPr>
        <w:t>Ball Mem’l Hosp., Inc. v. Mut. Hosp. Ins., Inc.</w:t>
      </w:r>
      <w:r>
        <w:rPr>
          <w:b w:val="0"/>
          <w:i w:val="0"/>
        </w:rPr>
        <w:t>, 784 F.2d 1325, 1338-40 (7th Cir. 1986) (insurer’s preferred-provider program that rewarded hospitals offering lower prices was procompetitive).</w:t>
      </w:r>
    </w:p>
    <w:p>
      <w:pPr>
        <w:pStyle w:val="Heading3"/>
        <w:ind w:left="1440" w:hanging="720"/>
      </w:pPr>
      <w:r>
        <w:rPr>
          <w:b/>
          <w:i w:val="0"/>
        </w:rPr>
        <w:t>C. Even Under an Exclusive-Dealing Framework, the Complaint Does Not Plausibly Allege Substantial Foreclosure.</w:t>
      </w:r>
    </w:p>
    <w:p>
      <w:pPr>
        <w:spacing w:line="480" w:lineRule="auto" w:after="0"/>
        <w:ind w:firstLine="720"/>
        <w:jc w:val="both"/>
      </w:pPr>
      <w:r>
        <w:rPr>
          <w:b w:val="0"/>
          <w:i w:val="0"/>
        </w:rPr>
        <w:t xml:space="preserve">Even if the PPCAs could be treated as exclusive dealing, Plaintiffs would have to plead facts showing that the agreements foreclose competition in a substantial share of a properly defined market, considering how long the agreements last, how easily they can be ended, and what the market realities are. </w:t>
      </w:r>
      <w:r>
        <w:rPr>
          <w:b w:val="0"/>
          <w:i/>
        </w:rPr>
        <w:t>Tampa Elec.</w:t>
      </w:r>
      <w:r>
        <w:rPr>
          <w:b w:val="0"/>
          <w:i w:val="0"/>
        </w:rPr>
        <w:t xml:space="preserve">, 365 U.S. at 327-29; </w:t>
      </w:r>
      <w:r>
        <w:rPr>
          <w:b w:val="0"/>
          <w:i/>
        </w:rPr>
        <w:t>Jefferson Parish Hosp. Dist. No. 2 v. Hyde</w:t>
      </w:r>
      <w:r>
        <w:rPr>
          <w:b w:val="0"/>
          <w:i w:val="0"/>
        </w:rPr>
        <w:t xml:space="preserve">, 466 U.S. 2, 45-46 (1984) (O’Connor, J., concurring); </w:t>
      </w:r>
      <w:r>
        <w:rPr>
          <w:b w:val="0"/>
          <w:i/>
        </w:rPr>
        <w:t>United States v. Microsoft Corp.</w:t>
      </w:r>
      <w:r>
        <w:rPr>
          <w:b w:val="0"/>
          <w:i w:val="0"/>
        </w:rPr>
        <w:t>, 253 F.3d 34, 69-70 (D.C. Cir. 2001) (en banc). The Complaint fails on each point.</w:t>
      </w:r>
    </w:p>
    <w:p>
      <w:pPr>
        <w:spacing w:line="480" w:lineRule="auto" w:after="0"/>
        <w:ind w:firstLine="720"/>
        <w:jc w:val="both"/>
      </w:pPr>
      <w:r>
        <w:rPr>
          <w:b w:val="0"/>
          <w:i w:val="0"/>
        </w:rPr>
        <w:t>1. The Complaint mistakes covered lives for foreclosure. Plaintiffs’ foreclosure figure (82.5%) is just the three insurers’ share of commercially insured lives. (Compl. ¶¶ 60, 108.) Foreclosure measures the share of the market that rivals are actually prevented from reaching. Here, the insurers remain free to contract with and grant Tier 1 status to any rival (Ex. A §§ 2.2-2.3), and their members remain free to choose any in-network provider (</w:t>
      </w:r>
      <w:r>
        <w:rPr>
          <w:b w:val="0"/>
          <w:i/>
        </w:rPr>
        <w:t>id.</w:t>
      </w:r>
      <w:r>
        <w:rPr>
          <w:b w:val="0"/>
          <w:i w:val="0"/>
        </w:rPr>
        <w:t xml:space="preserve"> §§ 3.3, 5.2). The Complaint’s own allegations show that Plaintiffs continue to reach those members. No Plaintiff has been removed from Blue Ridgeway’s network, every Plaintiff remains in-network with at least one major insurer, and Plaintiffs still earn millions of dollars a year in orthopedic revenue. (Compl. ¶¶ 79, 85, 87.) A complaint that equates a buyer’s agreement to favor one seller with a buyer’s refusal to deal with all others does not plausibly allege substantial foreclosure.</w:t>
      </w:r>
    </w:p>
    <w:p>
      <w:pPr>
        <w:spacing w:line="480" w:lineRule="auto" w:after="0"/>
        <w:ind w:firstLine="720"/>
        <w:jc w:val="both"/>
      </w:pPr>
      <w:r>
        <w:rPr>
          <w:b w:val="0"/>
          <w:i w:val="0"/>
        </w:rPr>
        <w:t xml:space="preserve">2. The PPCAs are short-term and terminable at will. "[T]he short duration and easy terminability" of exclusive agreements "negate substantially their potential to foreclose competition." </w:t>
      </w:r>
      <w:r>
        <w:rPr>
          <w:b w:val="0"/>
          <w:i/>
        </w:rPr>
        <w:t>Omega Envtl., Inc. v. Gilbarco, Inc.</w:t>
      </w:r>
      <w:r>
        <w:rPr>
          <w:b w:val="0"/>
          <w:i w:val="0"/>
        </w:rPr>
        <w:t xml:space="preserve">, 127 F.3d 1157, 1163-64 (9th Cir. 1997); </w:t>
      </w:r>
      <w:r>
        <w:rPr>
          <w:b w:val="0"/>
          <w:i/>
        </w:rPr>
        <w:t>accord</w:t>
      </w:r>
      <w:r>
        <w:rPr>
          <w:b w:val="0"/>
          <w:i w:val="0"/>
        </w:rPr>
        <w:t xml:space="preserve"> </w:t>
      </w:r>
      <w:r>
        <w:rPr>
          <w:b w:val="0"/>
          <w:i/>
        </w:rPr>
        <w:t>CDC Techs., Inc. v. IDEXX Labs., Inc.</w:t>
      </w:r>
      <w:r>
        <w:rPr>
          <w:b w:val="0"/>
          <w:i w:val="0"/>
        </w:rPr>
        <w:t xml:space="preserve">, 186 F.3d 74, 80-81 (2d Cir. 1999); </w:t>
      </w:r>
      <w:r>
        <w:rPr>
          <w:b w:val="0"/>
          <w:i/>
        </w:rPr>
        <w:t>Concord Boat</w:t>
      </w:r>
      <w:r>
        <w:rPr>
          <w:b w:val="0"/>
          <w:i w:val="0"/>
        </w:rPr>
        <w:t>, 207 F.3d at 1059. Each PPCA renews only year to year after its initial term (Compl. ¶ 74), and either party may terminate "at any time ... with or without cause" on 180 days’ notice and without penalty (Ex. A § 8.3). If a rival offers an insurer a better deal, the insurer can take it within six months, or immediately by granting the rival Tier 1 status alongside Crestline, which requires no termination at all (</w:t>
      </w:r>
      <w:r>
        <w:rPr>
          <w:b w:val="0"/>
          <w:i/>
        </w:rPr>
        <w:t>id.</w:t>
      </w:r>
      <w:r>
        <w:rPr>
          <w:b w:val="0"/>
          <w:i w:val="0"/>
        </w:rPr>
        <w:t xml:space="preserve"> § 2.3). Agreements like these are open to "competition-for-the-contract," which "is a form of competition that antitrust laws protect rather than proscribe." </w:t>
      </w:r>
      <w:r>
        <w:rPr>
          <w:b w:val="0"/>
          <w:i/>
        </w:rPr>
        <w:t>Paddock Publ’ns, Inc. v. Chi. Tribune Co.</w:t>
      </w:r>
      <w:r>
        <w:rPr>
          <w:b w:val="0"/>
          <w:i w:val="0"/>
        </w:rPr>
        <w:t>, 103 F.3d 42, 45 (7th Cir. 1996). Notably, the Complaint never alleges that Plaintiffs or AMP sought Tier 1 status, offered any insurer a competing discount, or were turned down by any insurer on any terms.</w:t>
      </w:r>
    </w:p>
    <w:p>
      <w:pPr>
        <w:spacing w:line="480" w:lineRule="auto" w:after="0"/>
        <w:ind w:firstLine="720"/>
        <w:jc w:val="both"/>
      </w:pPr>
      <w:r>
        <w:rPr>
          <w:b w:val="0"/>
          <w:i w:val="0"/>
        </w:rPr>
        <w:t xml:space="preserve">3. The volume-threshold provision is an ordinary volume discount. Plaintiffs describe the step-down from a 22% to a 15% discount if combined volume falls below 3,500 procedures as a "loyalty rebate" and a "penalty." (Compl. ¶ 73.) It is neither. Even if the threshold is missed, the insurer keeps a 15% discount off Crestline’s standard rates, keeps its unrestricted right to contract with and prefer rivals, and keeps its right to terminate. (Ex. A §§ 2.2-2.3, 4.4, 8.3.) The insurer bears no exit penalty, no exclusivity requirement, and no minimum-purchase obligation. Volume-based discounts that buyers may forgo at will are a standard and lawful form of price competition. </w:t>
      </w:r>
      <w:r>
        <w:rPr>
          <w:b w:val="0"/>
          <w:i/>
        </w:rPr>
        <w:t>Concord Boat</w:t>
      </w:r>
      <w:r>
        <w:rPr>
          <w:b w:val="0"/>
          <w:i w:val="0"/>
        </w:rPr>
        <w:t xml:space="preserve">, 207 F.3d at 1062-63; </w:t>
      </w:r>
      <w:r>
        <w:rPr>
          <w:b w:val="0"/>
          <w:i/>
        </w:rPr>
        <w:t>Allied Orthopedic</w:t>
      </w:r>
      <w:r>
        <w:rPr>
          <w:b w:val="0"/>
          <w:i w:val="0"/>
        </w:rPr>
        <w:t>, 592 F.3d at 996-97.</w:t>
      </w:r>
    </w:p>
    <w:p>
      <w:pPr>
        <w:pStyle w:val="Heading3"/>
        <w:ind w:left="1440" w:hanging="720"/>
      </w:pPr>
      <w:r>
        <w:rPr>
          <w:b/>
          <w:i w:val="0"/>
        </w:rPr>
        <w:t>D. The Insurers’ Removal of Five Plaintiffs Is Not Crestline’s Conduct.</w:t>
      </w:r>
    </w:p>
    <w:p>
      <w:pPr>
        <w:spacing w:line="480" w:lineRule="auto" w:after="0"/>
        <w:ind w:firstLine="720"/>
        <w:jc w:val="both"/>
      </w:pPr>
      <w:r>
        <w:rPr>
          <w:b w:val="0"/>
          <w:i w:val="0"/>
        </w:rPr>
        <w:t xml:space="preserve">The Complaint’s most severe alleged harm, the July 2022 removal of five Plaintiffs from the Volunteer Benefits and Pinnacle Select networks, was by the Complaint’s own account the act of those insurers. The insurers sent form letters citing "network adequacy optimization." (Compl. ¶ 78.) The Complaint does not allege that Crestline asked for, required, or induced the removals, or identify any PPCA term that calls for them, and the template agreement forbids out-of-network classification "solely by reason of this Agreement" (Ex. A § 3.5). Section 2 reaches only the defendant’s own exclusionary conduct, and Section 1 does not reach "independent action." </w:t>
      </w:r>
      <w:r>
        <w:rPr>
          <w:b w:val="0"/>
          <w:i/>
        </w:rPr>
        <w:t>Monsanto Co. v. Spray-Rite Serv. Corp.</w:t>
      </w:r>
      <w:r>
        <w:rPr>
          <w:b w:val="0"/>
          <w:i w:val="0"/>
        </w:rPr>
        <w:t xml:space="preserve">, 465 U.S. 752, 761 (1984). Saying that the removals show that "the anticompetitive effects of the PPCAs escalated" (Compl. ¶ 78) does not supply facts tying them to Crestline. </w:t>
      </w:r>
      <w:r>
        <w:rPr>
          <w:b w:val="0"/>
          <w:i/>
        </w:rPr>
        <w:t>See</w:t>
      </w:r>
      <w:r>
        <w:rPr>
          <w:b w:val="0"/>
          <w:i w:val="0"/>
        </w:rPr>
        <w:t xml:space="preserve"> </w:t>
      </w:r>
      <w:r>
        <w:rPr>
          <w:b w:val="0"/>
          <w:i/>
        </w:rPr>
        <w:t>Iqbal</w:t>
      </w:r>
      <w:r>
        <w:rPr>
          <w:b w:val="0"/>
          <w:i w:val="0"/>
        </w:rPr>
        <w:t>, 556 U.S. at 678. Indeed, Blue Ridgeway, the largest insurer and the counterparty to the "template" PPCA, is not alleged to have removed anyone. (Compl. ¶¶ 78, 87.)</w:t>
      </w:r>
    </w:p>
    <w:p>
      <w:pPr>
        <w:pStyle w:val="Heading2"/>
        <w:ind w:left="720" w:hanging="720"/>
      </w:pPr>
      <w:r>
        <w:rPr>
          <w:b/>
          <w:i w:val="0"/>
        </w:rPr>
        <w:t>II. THE COMPLAINT DOES NOT PLAUSIBLY ALLEGE A RELEVANT MARKET OR MONOPOLY POWER.</w:t>
      </w:r>
    </w:p>
    <w:p>
      <w:pPr>
        <w:spacing w:line="480" w:lineRule="auto" w:after="0"/>
        <w:ind w:firstLine="720"/>
        <w:jc w:val="both"/>
      </w:pPr>
      <w:r>
        <w:rPr>
          <w:b w:val="0"/>
          <w:i w:val="0"/>
        </w:rPr>
        <w:t xml:space="preserve">All three Counts depend on a properly defined relevant market and on Crestline’s power within it. Monopolization requires monopoly power in the relevant market. </w:t>
      </w:r>
      <w:r>
        <w:rPr>
          <w:b w:val="0"/>
          <w:i/>
        </w:rPr>
        <w:t>Grinnell</w:t>
      </w:r>
      <w:r>
        <w:rPr>
          <w:b w:val="0"/>
          <w:i w:val="0"/>
        </w:rPr>
        <w:t xml:space="preserve">, 384 U.S. at 570-71. Attempted monopolization requires a dangerous probability of achieving that power, which in turn requires a market in which the probability can be measured: "[w]ithout a definition of that market there is no way to measure [the defendant’s] ability to lessen or destroy competition." </w:t>
      </w:r>
      <w:r>
        <w:rPr>
          <w:b w:val="0"/>
          <w:i/>
        </w:rPr>
        <w:t>Spectrum Sports</w:t>
      </w:r>
      <w:r>
        <w:rPr>
          <w:b w:val="0"/>
          <w:i w:val="0"/>
        </w:rPr>
        <w:t xml:space="preserve">, 506 U.S. at 455 (citation omitted). And a rule-of-reason claim under Section 1 requires anticompetitive effects in a defined market. </w:t>
      </w:r>
      <w:r>
        <w:rPr>
          <w:b w:val="0"/>
          <w:i/>
        </w:rPr>
        <w:t>Am. Express</w:t>
      </w:r>
      <w:r>
        <w:rPr>
          <w:b w:val="0"/>
          <w:i w:val="0"/>
        </w:rPr>
        <w:t xml:space="preserve">, 585 U.S. at 542-43. Although market definition often involves factual questions, the Sixth Circuit affirms dismissal where the complaint does not plausibly allege a market. </w:t>
      </w:r>
      <w:r>
        <w:rPr>
          <w:b w:val="0"/>
          <w:i/>
        </w:rPr>
        <w:t>See</w:t>
      </w:r>
      <w:r>
        <w:rPr>
          <w:b w:val="0"/>
          <w:i w:val="0"/>
        </w:rPr>
        <w:t xml:space="preserve"> </w:t>
      </w:r>
      <w:r>
        <w:rPr>
          <w:b w:val="0"/>
          <w:i/>
        </w:rPr>
        <w:t>Mich. Div.-Monument Builders of N. Am. v. Mich. Cemetery Ass’n</w:t>
      </w:r>
      <w:r>
        <w:rPr>
          <w:b w:val="0"/>
          <w:i w:val="0"/>
        </w:rPr>
        <w:t xml:space="preserve">, 524 F.3d 726, 733-34 (6th Cir. 2008); </w:t>
      </w:r>
      <w:r>
        <w:rPr>
          <w:b w:val="0"/>
          <w:i/>
        </w:rPr>
        <w:t>Found. for Interior Design Educ. Research v. Savannah Coll. of Art &amp; Design</w:t>
      </w:r>
      <w:r>
        <w:rPr>
          <w:b w:val="0"/>
          <w:i w:val="0"/>
        </w:rPr>
        <w:t xml:space="preserve">, 244 F.3d 521, 531-32 (6th Cir. 2001); </w:t>
      </w:r>
      <w:r>
        <w:rPr>
          <w:b w:val="0"/>
          <w:i/>
        </w:rPr>
        <w:t>Total Benefits</w:t>
      </w:r>
      <w:r>
        <w:rPr>
          <w:b w:val="0"/>
          <w:i w:val="0"/>
        </w:rPr>
        <w:t>, 552 F.3d at 436-37.</w:t>
      </w:r>
    </w:p>
    <w:p>
      <w:pPr>
        <w:pStyle w:val="Heading3"/>
        <w:ind w:left="1440" w:hanging="720"/>
      </w:pPr>
      <w:r>
        <w:rPr>
          <w:b/>
          <w:i w:val="0"/>
        </w:rPr>
        <w:t>A. The Complaint Pleads No Share of the Market It Defines.</w:t>
      </w:r>
    </w:p>
    <w:p>
      <w:pPr>
        <w:spacing w:line="480" w:lineRule="auto" w:after="0"/>
        <w:ind w:firstLine="720"/>
        <w:jc w:val="both"/>
      </w:pPr>
      <w:r>
        <w:rPr>
          <w:b w:val="0"/>
          <w:i w:val="0"/>
        </w:rPr>
        <w:t xml:space="preserve">Plaintiffs define the Orthopedic Services Market as services "sold to commercial health insurers" and insist that government-payer volume is not part of it. (Compl. ¶¶ 33, 36, 41.) Yet the only market share they offer for monopoly power is that Crestline "performs approximately 70% of </w:t>
      </w:r>
      <w:r>
        <w:rPr>
          <w:b w:val="0"/>
          <w:i/>
        </w:rPr>
        <w:t>all</w:t>
      </w:r>
      <w:r>
        <w:rPr>
          <w:b w:val="0"/>
          <w:i w:val="0"/>
        </w:rPr>
        <w:t xml:space="preserve"> orthopedic surgeries in the Tri-County Area." (</w:t>
      </w:r>
      <w:r>
        <w:rPr>
          <w:b w:val="0"/>
          <w:i/>
        </w:rPr>
        <w:t>Id.</w:t>
      </w:r>
      <w:r>
        <w:rPr>
          <w:b w:val="0"/>
          <w:i w:val="0"/>
        </w:rPr>
        <w:t xml:space="preserve"> ¶ 47 (emphasis added).) "All orthopedic surgeries" is, by Plaintiffs’ own usage, an all-payer figure. The Complaint uses the same phrasing to describe the 7,103 total procedures, "encompassing all inpatient and outpatient orthopedic surgical cases." (</w:t>
      </w:r>
      <w:r>
        <w:rPr>
          <w:b w:val="0"/>
          <w:i/>
        </w:rPr>
        <w:t>Id.</w:t>
      </w:r>
      <w:r>
        <w:rPr>
          <w:b w:val="0"/>
          <w:i w:val="0"/>
        </w:rPr>
        <w:t xml:space="preserve"> ¶ 39.) And it concedes that Medicare and Medicaid "also reimburse orthopedic surgical procedures performed in the Tri-County Area." (</w:t>
      </w:r>
      <w:r>
        <w:rPr>
          <w:b w:val="0"/>
          <w:i/>
        </w:rPr>
        <w:t>Id.</w:t>
      </w:r>
      <w:r>
        <w:rPr>
          <w:b w:val="0"/>
          <w:i w:val="0"/>
        </w:rPr>
        <w:t xml:space="preserve"> ¶ 41.) The Complaint thus measures Crestline’s share in a market that Plaintiffs themselves say is not the relevant one, and it never alleges Crestline’s share of commercial-insurer sales. A share untethered to the defined market cannot support an inference of monopoly power, because that power must be measured within the relevant market. </w:t>
      </w:r>
      <w:r>
        <w:rPr>
          <w:b w:val="0"/>
          <w:i/>
        </w:rPr>
        <w:t>See</w:t>
      </w:r>
      <w:r>
        <w:rPr>
          <w:b w:val="0"/>
          <w:i w:val="0"/>
        </w:rPr>
        <w:t xml:space="preserve"> </w:t>
      </w:r>
      <w:r>
        <w:rPr>
          <w:b w:val="0"/>
          <w:i/>
        </w:rPr>
        <w:t>Grinnell</w:t>
      </w:r>
      <w:r>
        <w:rPr>
          <w:b w:val="0"/>
          <w:i w:val="0"/>
        </w:rPr>
        <w:t xml:space="preserve">, 384 U.S. at 571; </w:t>
      </w:r>
      <w:r>
        <w:rPr>
          <w:b w:val="0"/>
          <w:i/>
        </w:rPr>
        <w:t>United States v. E.I. du Pont de Nemours &amp; Co.</w:t>
      </w:r>
      <w:r>
        <w:rPr>
          <w:b w:val="0"/>
          <w:i w:val="0"/>
        </w:rPr>
        <w:t>, 351 U.S. 377, 391-95 (1956).</w:t>
      </w:r>
    </w:p>
    <w:p>
      <w:pPr>
        <w:spacing w:line="480" w:lineRule="auto" w:after="0"/>
        <w:ind w:firstLine="720"/>
        <w:jc w:val="both"/>
      </w:pPr>
      <w:r>
        <w:rPr>
          <w:b w:val="0"/>
          <w:i w:val="0"/>
        </w:rPr>
        <w:t>The Complaint’s other figures do not fill the gap. Its allegation that Crestline "now controls over 60% of orthopedic surgical revenue in the Tri-County Area" (Compl. ¶ 83) does not say whether that revenue is commercial-only. It describes Crestline’s position after, and allegedly "[a]s a direct result" of, the challenged conduct. And it cannot be squared with the "approximately 70%" figure, which the Complaint never attempts to do. Plaintiffs offer two different numbers measuring two undefined quantities, and neither is a share of the alleged market. The allegation that twenty-eight of forty-seven local orthopedic surgeons (59.6%) are affiliated with Crestline (</w:t>
      </w:r>
      <w:r>
        <w:rPr>
          <w:b w:val="0"/>
          <w:i/>
        </w:rPr>
        <w:t>id.</w:t>
      </w:r>
      <w:r>
        <w:rPr>
          <w:b w:val="0"/>
          <w:i w:val="0"/>
        </w:rPr>
        <w:t xml:space="preserve"> ¶ 49) is a headcount, not a share of sales to commercial insurers. And for the second alleged market, the Orthopedic Surgeon Services Market (</w:t>
      </w:r>
      <w:r>
        <w:rPr>
          <w:b w:val="0"/>
          <w:i/>
        </w:rPr>
        <w:t>id.</w:t>
      </w:r>
      <w:r>
        <w:rPr>
          <w:b w:val="0"/>
          <w:i w:val="0"/>
        </w:rPr>
        <w:t xml:space="preserve"> ¶ 38), the Complaint alleges no share, no market structure, and no facts about Crestline’s position at all. To the extent any Count rests on that market, it fails at the threshold.</w:t>
      </w:r>
    </w:p>
    <w:p>
      <w:pPr>
        <w:pStyle w:val="Heading3"/>
        <w:ind w:left="1440" w:hanging="720"/>
      </w:pPr>
      <w:r>
        <w:rPr>
          <w:b/>
          <w:i w:val="0"/>
        </w:rPr>
        <w:t>B. Plaintiffs’ Own Allegations Are Inconsistent with the Power to Control Prices or Exclude Competition.</w:t>
      </w:r>
    </w:p>
    <w:p>
      <w:pPr>
        <w:spacing w:line="480" w:lineRule="auto" w:after="0"/>
        <w:ind w:firstLine="720"/>
        <w:jc w:val="both"/>
      </w:pPr>
      <w:r>
        <w:rPr>
          <w:b w:val="0"/>
          <w:i w:val="0"/>
        </w:rPr>
        <w:t xml:space="preserve">Monopoly power is "the power to control prices or exclude competition." </w:t>
      </w:r>
      <w:r>
        <w:rPr>
          <w:b w:val="0"/>
          <w:i/>
        </w:rPr>
        <w:t>du Pont</w:t>
      </w:r>
      <w:r>
        <w:rPr>
          <w:b w:val="0"/>
          <w:i w:val="0"/>
        </w:rPr>
        <w:t xml:space="preserve">, 351 U.S. at 391; </w:t>
      </w:r>
      <w:r>
        <w:rPr>
          <w:b w:val="0"/>
          <w:i/>
        </w:rPr>
        <w:t>Eastman Kodak Co. v. Image Tech. Servs., Inc.</w:t>
      </w:r>
      <w:r>
        <w:rPr>
          <w:b w:val="0"/>
          <w:i w:val="0"/>
        </w:rPr>
        <w:t>, 504 U.S. 451, 481 (1992). The Complaint alleges neither. It contains no allegation that Crestline has ever raised the price of orthopedic services above competitive levels or restricted output. To the contrary, the Complaint’s central allegation is that Crestline cut its prices to the insurers by 22% (Compl. ¶ 72), and the PPCA caps future increases in Crestline’s standard rates (Ex. A § 4.3). A firm that must give its buyers a 22% discount and accept caps on future increases to win preferred placement is behaving like a competitor, not a monopolist.</w:t>
      </w:r>
    </w:p>
    <w:p>
      <w:pPr>
        <w:spacing w:line="480" w:lineRule="auto" w:after="0"/>
        <w:ind w:firstLine="720"/>
        <w:jc w:val="both"/>
      </w:pPr>
      <w:r>
        <w:rPr>
          <w:b w:val="0"/>
          <w:i w:val="0"/>
        </w:rPr>
        <w:t>The Complaint also describes the insurers, the alleged buyers in the alleged market, as "gatekeepers" with "outsized influence" and "substantial power to direct patient volume toward favored providers and away from disfavored providers." (Compl. ¶¶ 56, 60, 63.) Plaintiffs’ assertion that Crestline can "dictate the terms" to these same insurers (</w:t>
      </w:r>
      <w:r>
        <w:rPr>
          <w:b w:val="0"/>
          <w:i/>
        </w:rPr>
        <w:t>id.</w:t>
      </w:r>
      <w:r>
        <w:rPr>
          <w:b w:val="0"/>
          <w:i w:val="0"/>
        </w:rPr>
        <w:t xml:space="preserve"> ¶ 95) is a conclusion, and their own facts contradict it. Crestline gave the insurers a substantial price concession. In return it received a preference that the insurers may extend to anyone else, in their "sole discretion," and may cancel on six months’ notice. (Ex. A §§ 2.3, 8.3.)</w:t>
      </w:r>
    </w:p>
    <w:p>
      <w:pPr>
        <w:spacing w:line="480" w:lineRule="auto" w:after="0"/>
        <w:ind w:firstLine="720"/>
        <w:jc w:val="both"/>
      </w:pPr>
      <w:r>
        <w:rPr>
          <w:b w:val="0"/>
          <w:i w:val="0"/>
        </w:rPr>
        <w:t>Finally, the entry-barrier allegations merely list the ordinary requirements of practicing orthopedic surgery. (Compl. ¶ 52.) The Complaint itself pleads that those requirements have not prevented competition: the market includes twelve AMP-affiliated surgeons operating their own ambulatory surgical center and seven unaffiliated independent surgeons. (</w:t>
      </w:r>
      <w:r>
        <w:rPr>
          <w:b w:val="0"/>
          <w:i/>
        </w:rPr>
        <w:t>Id.</w:t>
      </w:r>
      <w:r>
        <w:rPr>
          <w:b w:val="0"/>
          <w:i w:val="0"/>
        </w:rPr>
        <w:t xml:space="preserve"> ¶¶ 40, 50-51.) The Complaint does not allege that any of those seven independents has been foreclosed or harmed by the PPCAs.</w:t>
      </w:r>
    </w:p>
    <w:p>
      <w:pPr>
        <w:pStyle w:val="Heading3"/>
        <w:ind w:left="1440" w:hanging="720"/>
      </w:pPr>
      <w:r>
        <w:rPr>
          <w:b/>
          <w:i w:val="0"/>
        </w:rPr>
        <w:t>C. The Geographic Market Allegations Are Conclusory.</w:t>
      </w:r>
    </w:p>
    <w:p>
      <w:pPr>
        <w:spacing w:line="480" w:lineRule="auto" w:after="0"/>
        <w:ind w:firstLine="720"/>
        <w:jc w:val="both"/>
      </w:pPr>
      <w:r>
        <w:rPr>
          <w:b w:val="0"/>
          <w:i w:val="0"/>
        </w:rPr>
        <w:t xml:space="preserve">The geographic market must correspond to "the area of effective competition," meaning the area "to which the purchaser can practicably turn for supplies." </w:t>
      </w:r>
      <w:r>
        <w:rPr>
          <w:b w:val="0"/>
          <w:i/>
        </w:rPr>
        <w:t>Tampa Elec.</w:t>
      </w:r>
      <w:r>
        <w:rPr>
          <w:b w:val="0"/>
          <w:i w:val="0"/>
        </w:rPr>
        <w:t xml:space="preserve">, 365 U.S. at 327; </w:t>
      </w:r>
      <w:r>
        <w:rPr>
          <w:b w:val="0"/>
          <w:i/>
        </w:rPr>
        <w:t>see</w:t>
      </w:r>
      <w:r>
        <w:rPr>
          <w:b w:val="0"/>
          <w:i w:val="0"/>
        </w:rPr>
        <w:t xml:space="preserve"> </w:t>
      </w:r>
      <w:r>
        <w:rPr>
          <w:b w:val="0"/>
          <w:i/>
        </w:rPr>
        <w:t>Brown Shoe Co. v. United States</w:t>
      </w:r>
      <w:r>
        <w:rPr>
          <w:b w:val="0"/>
          <w:i w:val="0"/>
        </w:rPr>
        <w:t>, 370 U.S. 294, 336-37 (1962). The Complaint defines the purchasers as commercial insurers (Compl. ¶¶ 33, 35-36) and concedes that those insurers operate regionally, "throughout East Tennessee" and "throughout East Tennessee and Southwest Virginia." (</w:t>
      </w:r>
      <w:r>
        <w:rPr>
          <w:b w:val="0"/>
          <w:i/>
        </w:rPr>
        <w:t>Id.</w:t>
      </w:r>
      <w:r>
        <w:rPr>
          <w:b w:val="0"/>
          <w:i w:val="0"/>
        </w:rPr>
        <w:t xml:space="preserve"> ¶¶ 57-59; </w:t>
      </w:r>
      <w:r>
        <w:rPr>
          <w:b w:val="0"/>
          <w:i/>
        </w:rPr>
        <w:t>see also</w:t>
      </w:r>
      <w:r>
        <w:rPr>
          <w:b w:val="0"/>
          <w:i w:val="0"/>
        </w:rPr>
        <w:t xml:space="preserve"> Ex. A, Recitals (Blue Ridgeway members in "the Tri-County Area and surrounding regions of eastern Tennessee and southwestern Virginia").) Yet the Complaint draws the market at three Tennessee counties. Its only support is the generic assertion that patients "reasonably and predominantly look to" local providers and that the area is "largely self-contained." (Compl. ¶ 44.) It alleges nothing about where insurers can practicably buy orthopedic services for their networks, about patient travel patterns, or about why providers just beyond the three counties, including across the nearby state line, are not practical alternatives. Such labels are not facts. </w:t>
      </w:r>
      <w:r>
        <w:rPr>
          <w:b w:val="0"/>
          <w:i/>
        </w:rPr>
        <w:t>See</w:t>
      </w:r>
      <w:r>
        <w:rPr>
          <w:b w:val="0"/>
          <w:i w:val="0"/>
        </w:rPr>
        <w:t xml:space="preserve"> </w:t>
      </w:r>
      <w:r>
        <w:rPr>
          <w:b w:val="0"/>
          <w:i/>
        </w:rPr>
        <w:t>Little Rock Cardiology Clinic PA v. Baptist Health</w:t>
      </w:r>
      <w:r>
        <w:rPr>
          <w:b w:val="0"/>
          <w:i w:val="0"/>
        </w:rPr>
        <w:t>, 591 F.3d 591, 598-601 (8th Cir. 2009) (affirming the dismissal of physicians’ antitrust claims against a hospital system and insurer where the proposed geographic market was not plausibly alleged). This defect independently undermines every Count.</w:t>
      </w:r>
    </w:p>
    <w:p>
      <w:pPr>
        <w:pStyle w:val="Heading2"/>
        <w:ind w:left="720" w:hanging="720"/>
      </w:pPr>
      <w:r>
        <w:rPr>
          <w:b/>
          <w:i w:val="0"/>
        </w:rPr>
        <w:t>III. COUNT II FAILS FOR ADDITIONAL, INDEPENDENT REASONS.</w:t>
      </w:r>
    </w:p>
    <w:p>
      <w:pPr>
        <w:spacing w:line="480" w:lineRule="auto" w:after="0"/>
        <w:ind w:firstLine="720"/>
        <w:jc w:val="both"/>
      </w:pPr>
      <w:r>
        <w:rPr>
          <w:b w:val="0"/>
          <w:i w:val="0"/>
        </w:rPr>
        <w:t xml:space="preserve">Attempted monopolization requires (1) anticompetitive conduct, (2) "a specific intent to monopolize," and (3) "a dangerous probability of achieving monopoly power." </w:t>
      </w:r>
      <w:r>
        <w:rPr>
          <w:b w:val="0"/>
          <w:i/>
        </w:rPr>
        <w:t>Spectrum Sports</w:t>
      </w:r>
      <w:r>
        <w:rPr>
          <w:b w:val="0"/>
          <w:i w:val="0"/>
        </w:rPr>
        <w:t xml:space="preserve">, 506 U.S. at 456; </w:t>
      </w:r>
      <w:r>
        <w:rPr>
          <w:b w:val="0"/>
          <w:i/>
        </w:rPr>
        <w:t>Conwood Co. v. U.S. Tobacco Co.</w:t>
      </w:r>
      <w:r>
        <w:rPr>
          <w:b w:val="0"/>
          <w:i w:val="0"/>
        </w:rPr>
        <w:t>, 290 F.3d 768, 782 (6th Cir. 2002). Count II fails the first element for the reasons given in Part I and the third for the reasons given in Part II. It also fails the second.</w:t>
      </w:r>
    </w:p>
    <w:p>
      <w:pPr>
        <w:spacing w:line="480" w:lineRule="auto" w:after="0"/>
        <w:ind w:firstLine="720"/>
        <w:jc w:val="both"/>
      </w:pPr>
      <w:r>
        <w:rPr>
          <w:b w:val="0"/>
          <w:i w:val="0"/>
        </w:rPr>
        <w:t xml:space="preserve">The Complaint’s intent allegations are inferences from the PPCAs themselves: the agreements were signed in sequence over five months, they offer tiered cost-sharing and care navigation, they contain a volume threshold, and their effect on rivals was "foreseeab[le]." (Compl. ¶ 103.) Those facts describe a seller trying to win each major buyer’s business with a better price. An intent to win customers and take sales from rivals is not a specific intent to monopolize. </w:t>
      </w:r>
      <w:r>
        <w:rPr>
          <w:b w:val="0"/>
          <w:i/>
        </w:rPr>
        <w:t>See</w:t>
      </w:r>
      <w:r>
        <w:rPr>
          <w:b w:val="0"/>
          <w:i w:val="0"/>
        </w:rPr>
        <w:t xml:space="preserve"> </w:t>
      </w:r>
      <w:r>
        <w:rPr>
          <w:b w:val="0"/>
          <w:i/>
        </w:rPr>
        <w:t>Spectrum Sports</w:t>
      </w:r>
      <w:r>
        <w:rPr>
          <w:b w:val="0"/>
          <w:i w:val="0"/>
        </w:rPr>
        <w:t xml:space="preserve">, 506 U.S. at 459. Nor is it unlawful to foresee that rivals will lose sales to a better offer; that is true of every successful price cut. The only other intent allegation, made "[u]pon information and belief," is that Crestline’s executives "directed and approved the strategy to enter into the PPCAs for the purpose of excluding" AMP-affiliated surgeons. (Compl. ¶ 82.) That is a "formulaic recitation" with no supporting facts: no document, statement, meeting, or communication is identified. </w:t>
      </w:r>
      <w:r>
        <w:rPr>
          <w:b w:val="0"/>
          <w:i/>
        </w:rPr>
        <w:t>Twombly</w:t>
      </w:r>
      <w:r>
        <w:rPr>
          <w:b w:val="0"/>
          <w:i w:val="0"/>
        </w:rPr>
        <w:t xml:space="preserve">, 550 U.S. at 555; </w:t>
      </w:r>
      <w:r>
        <w:rPr>
          <w:b w:val="0"/>
          <w:i/>
        </w:rPr>
        <w:t>see</w:t>
      </w:r>
      <w:r>
        <w:rPr>
          <w:b w:val="0"/>
          <w:i w:val="0"/>
        </w:rPr>
        <w:t xml:space="preserve"> </w:t>
      </w:r>
      <w:r>
        <w:rPr>
          <w:b w:val="0"/>
          <w:i/>
        </w:rPr>
        <w:t>Iqbal</w:t>
      </w:r>
      <w:r>
        <w:rPr>
          <w:b w:val="0"/>
          <w:i w:val="0"/>
        </w:rPr>
        <w:t xml:space="preserve">, 556 U.S. at 678-81. Allegations that are "merely consistent with" a defendant’s liability do not cross the line "from conceivable to plausible." </w:t>
      </w:r>
      <w:r>
        <w:rPr>
          <w:b w:val="0"/>
          <w:i/>
        </w:rPr>
        <w:t>Twombly</w:t>
      </w:r>
      <w:r>
        <w:rPr>
          <w:b w:val="0"/>
          <w:i w:val="0"/>
        </w:rPr>
        <w:t>, 550 U.S. at 557, 570.</w:t>
      </w:r>
    </w:p>
    <w:p>
      <w:pPr>
        <w:spacing w:line="480" w:lineRule="auto" w:after="0"/>
        <w:ind w:firstLine="720"/>
        <w:jc w:val="both"/>
      </w:pPr>
      <w:r>
        <w:rPr>
          <w:b w:val="0"/>
          <w:i w:val="0"/>
        </w:rPr>
        <w:t>The dangerous-probability element fails for the additional reason that the Complaint’s own theory of "probability" depends on the PPCAs foreclosing rivals (Compl. ¶ 104), and the PPCAs are non-exclusive and terminable on six months’ notice. Preferred status that can be extended to rivals at any time, or cancelled within six months, is no plausible path to durable monopoly power.</w:t>
      </w:r>
    </w:p>
    <w:p>
      <w:pPr>
        <w:pStyle w:val="Heading2"/>
        <w:ind w:left="720" w:hanging="720"/>
      </w:pPr>
      <w:r>
        <w:rPr>
          <w:b/>
          <w:i w:val="0"/>
        </w:rPr>
        <w:t>IV. COUNT III FAILS BECAUSE THE COMPLAINT DOES NOT PLAUSIBLY ALLEGE AN UNREASONABLE RESTRAINT OF TRADE.</w:t>
      </w:r>
    </w:p>
    <w:p>
      <w:pPr>
        <w:spacing w:line="480" w:lineRule="auto" w:after="0"/>
        <w:ind w:firstLine="720"/>
        <w:jc w:val="both"/>
      </w:pPr>
      <w:r>
        <w:rPr>
          <w:b w:val="0"/>
          <w:i w:val="0"/>
        </w:rPr>
        <w:t xml:space="preserve">Plaintiffs acknowledge that the PPCAs are "vertical" agreements between a provider and its customers. (Compl. ¶ 108.) No horizontal agreement among competitors, and no agreement among the insurers, is alleged. Vertical restraints are judged under the rule of reason. </w:t>
      </w:r>
      <w:r>
        <w:rPr>
          <w:b w:val="0"/>
          <w:i/>
        </w:rPr>
        <w:t>Leegin Creative Leather Prods., Inc. v. PSKS, Inc.</w:t>
      </w:r>
      <w:r>
        <w:rPr>
          <w:b w:val="0"/>
          <w:i w:val="0"/>
        </w:rPr>
        <w:t xml:space="preserve">, 551 U.S. 877, 885-87 (2007); </w:t>
      </w:r>
      <w:r>
        <w:rPr>
          <w:b w:val="0"/>
          <w:i/>
        </w:rPr>
        <w:t>Care Heating &amp; Cooling, Inc. v. Am. Standard, Inc.</w:t>
      </w:r>
      <w:r>
        <w:rPr>
          <w:b w:val="0"/>
          <w:i w:val="0"/>
        </w:rPr>
        <w:t xml:space="preserve">, 427 F.3d 1008, 1012-14 (6th Cir. 2005). Under that standard, the plaintiff bears the initial burden of showing that the restraint "has a substantial anticompetitive effect that harms consumers in the relevant market." </w:t>
      </w:r>
      <w:r>
        <w:rPr>
          <w:b w:val="0"/>
          <w:i/>
        </w:rPr>
        <w:t>Am. Express</w:t>
      </w:r>
      <w:r>
        <w:rPr>
          <w:b w:val="0"/>
          <w:i w:val="0"/>
        </w:rPr>
        <w:t xml:space="preserve">, 585 U.S. at 541; </w:t>
      </w:r>
      <w:r>
        <w:rPr>
          <w:b w:val="0"/>
          <w:i/>
        </w:rPr>
        <w:t>see</w:t>
      </w:r>
      <w:r>
        <w:rPr>
          <w:b w:val="0"/>
          <w:i w:val="0"/>
        </w:rPr>
        <w:t xml:space="preserve"> </w:t>
      </w:r>
      <w:r>
        <w:rPr>
          <w:b w:val="0"/>
          <w:i/>
        </w:rPr>
        <w:t>Expert Masonry, Inc. v. Boone Cnty.</w:t>
      </w:r>
      <w:r>
        <w:rPr>
          <w:b w:val="0"/>
          <w:i w:val="0"/>
        </w:rPr>
        <w:t>, 440 F.3d 336, 343-44 (6th Cir. 2006). The Complaint does not plausibly allege that.</w:t>
      </w:r>
    </w:p>
    <w:p>
      <w:pPr>
        <w:spacing w:line="480" w:lineRule="auto" w:after="0"/>
        <w:ind w:firstLine="720"/>
        <w:jc w:val="both"/>
      </w:pPr>
      <w:r>
        <w:rPr>
          <w:b w:val="0"/>
          <w:i w:val="0"/>
        </w:rPr>
        <w:t xml:space="preserve">First, as shown in Part II, the Complaint does not plausibly define the market in which effects must be shown. Second, the alleged "anticompetitive effects" (Compl. ¶ 109) are all effects on Plaintiffs: they were "foreclosed," "relegat[ed]" to Tier 2, and removed from two networks, and their competitive check was "eliminat[ed]." Harm to particular competitors is not harm to competition. </w:t>
      </w:r>
      <w:r>
        <w:rPr>
          <w:b w:val="0"/>
          <w:i/>
        </w:rPr>
        <w:t>Brown Shoe</w:t>
      </w:r>
      <w:r>
        <w:rPr>
          <w:b w:val="0"/>
          <w:i w:val="0"/>
        </w:rPr>
        <w:t>, 370 U.S. at 320. Third, the Complaint pleads no facts showing harm to consumers or to the competitive process. It does not allege higher prices, lower output, or lower quality. The only price effect it alleges is a reduction: lower prices to insurers and lower cost-sharing for members. (Compl. ¶¶ 69-72.) It concedes that demand for orthopedic services has not declined (</w:t>
      </w:r>
      <w:r>
        <w:rPr>
          <w:b w:val="0"/>
          <w:i/>
        </w:rPr>
        <w:t>id.</w:t>
      </w:r>
      <w:r>
        <w:rPr>
          <w:b w:val="0"/>
          <w:i w:val="0"/>
        </w:rPr>
        <w:t xml:space="preserve"> ¶ 90), which is to say that output was maintained while prices fell. The allegation that the PPCAs "reduced the number of orthopedic surgeons effectively available" (</w:t>
      </w:r>
      <w:r>
        <w:rPr>
          <w:b w:val="0"/>
          <w:i/>
        </w:rPr>
        <w:t>id.</w:t>
      </w:r>
      <w:r>
        <w:rPr>
          <w:b w:val="0"/>
          <w:i w:val="0"/>
        </w:rPr>
        <w:t xml:space="preserve"> ¶ 109(b)) is contradicted by the Complaint’s own facts: every Plaintiff remains licensed, practicing, and in-network with at least one major insurer, and members remain free to choose them. (</w:t>
      </w:r>
      <w:r>
        <w:rPr>
          <w:b w:val="0"/>
          <w:i/>
        </w:rPr>
        <w:t>Id.</w:t>
      </w:r>
      <w:r>
        <w:rPr>
          <w:b w:val="0"/>
          <w:i w:val="0"/>
        </w:rPr>
        <w:t xml:space="preserve"> ¶¶ 79, 87; Ex. A § 3.3.) A non-exclusive, revocable preference purchased with a price cut that is passed on to consumers is not plausibly an unreasonable restraint.</w:t>
      </w:r>
    </w:p>
    <w:p>
      <w:pPr>
        <w:pStyle w:val="Heading2"/>
        <w:ind w:left="720" w:hanging="720"/>
      </w:pPr>
      <w:r>
        <w:rPr>
          <w:b/>
          <w:i w:val="0"/>
        </w:rPr>
        <w:t>V. PLAINTIFFS DO NOT ALLEGE ANTITRUST INJURY.</w:t>
      </w:r>
    </w:p>
    <w:p>
      <w:pPr>
        <w:spacing w:line="480" w:lineRule="auto" w:after="0"/>
        <w:ind w:firstLine="720"/>
        <w:jc w:val="both"/>
      </w:pPr>
      <w:r>
        <w:rPr>
          <w:b w:val="0"/>
          <w:i w:val="0"/>
        </w:rPr>
        <w:t xml:space="preserve">Every Count fails for a further, independent reason: Plaintiffs do not allege antitrust injury. A private plaintiff must plead "injury of the type the antitrust laws were intended to prevent and that flows from that which makes defendants’ acts unlawful." </w:t>
      </w:r>
      <w:r>
        <w:rPr>
          <w:b w:val="0"/>
          <w:i/>
        </w:rPr>
        <w:t>Brunswick Corp. v. Pueblo Bowl-O-Mat, Inc.</w:t>
      </w:r>
      <w:r>
        <w:rPr>
          <w:b w:val="0"/>
          <w:i w:val="0"/>
        </w:rPr>
        <w:t xml:space="preserve">, 429 U.S. 477, 489 (1977). The antitrust laws were enacted "for ‘the protection of competition, not competitors.’" </w:t>
      </w:r>
      <w:r>
        <w:rPr>
          <w:b w:val="0"/>
          <w:i/>
        </w:rPr>
        <w:t>Id.</w:t>
      </w:r>
      <w:r>
        <w:rPr>
          <w:b w:val="0"/>
          <w:i w:val="0"/>
        </w:rPr>
        <w:t xml:space="preserve"> at 488 (quoting </w:t>
      </w:r>
      <w:r>
        <w:rPr>
          <w:b w:val="0"/>
          <w:i/>
        </w:rPr>
        <w:t>Brown Shoe</w:t>
      </w:r>
      <w:r>
        <w:rPr>
          <w:b w:val="0"/>
          <w:i w:val="0"/>
        </w:rPr>
        <w:t xml:space="preserve">, 370 U.S. at 320). A competitor’s loss of sales because of a rival’s lower, non-predatory prices is not antitrust injury. </w:t>
      </w:r>
      <w:r>
        <w:rPr>
          <w:b w:val="0"/>
          <w:i/>
        </w:rPr>
        <w:t>Atl. Richfield</w:t>
      </w:r>
      <w:r>
        <w:rPr>
          <w:b w:val="0"/>
          <w:i w:val="0"/>
        </w:rPr>
        <w:t xml:space="preserve">, 495 U.S. at 337-41; </w:t>
      </w:r>
      <w:r>
        <w:rPr>
          <w:b w:val="0"/>
          <w:i/>
        </w:rPr>
        <w:t>Cargill, Inc. v. Monfort of Colo., Inc.</w:t>
      </w:r>
      <w:r>
        <w:rPr>
          <w:b w:val="0"/>
          <w:i w:val="0"/>
        </w:rPr>
        <w:t xml:space="preserve">, 479 U.S. 104, 116-17 (1986). Antitrust injury is an element that must be adequately pleaded, and the Sixth Circuit has affirmed dismissals under Rule 12(b)(6) where it is not. </w:t>
      </w:r>
      <w:r>
        <w:rPr>
          <w:b w:val="0"/>
          <w:i/>
        </w:rPr>
        <w:t>See</w:t>
      </w:r>
      <w:r>
        <w:rPr>
          <w:b w:val="0"/>
          <w:i w:val="0"/>
        </w:rPr>
        <w:t xml:space="preserve"> </w:t>
      </w:r>
      <w:r>
        <w:rPr>
          <w:b w:val="0"/>
          <w:i/>
        </w:rPr>
        <w:t>NicSand, Inc. v. 3M Co.</w:t>
      </w:r>
      <w:r>
        <w:rPr>
          <w:b w:val="0"/>
          <w:i w:val="0"/>
        </w:rPr>
        <w:t xml:space="preserve">, 507 F.3d 442, 449-58 (6th Cir. 2007) (en banc); </w:t>
      </w:r>
      <w:r>
        <w:rPr>
          <w:b w:val="0"/>
          <w:i/>
        </w:rPr>
        <w:t>Hobart-Mayfield, Inc. v. Nat’l Operating Comm. on Standards for Athletic Equip.</w:t>
      </w:r>
      <w:r>
        <w:rPr>
          <w:b w:val="0"/>
          <w:i w:val="0"/>
        </w:rPr>
        <w:t xml:space="preserve">, 48 F.4th 656, 663-66 (6th Cir. 2022); </w:t>
      </w:r>
      <w:r>
        <w:rPr>
          <w:b w:val="0"/>
          <w:i/>
        </w:rPr>
        <w:t>see also</w:t>
      </w:r>
      <w:r>
        <w:rPr>
          <w:b w:val="0"/>
          <w:i w:val="0"/>
        </w:rPr>
        <w:t xml:space="preserve"> </w:t>
      </w:r>
      <w:r>
        <w:rPr>
          <w:b w:val="0"/>
          <w:i/>
        </w:rPr>
        <w:t>Indeck Energy Servs., Inc. v. Consumers Energy Co.</w:t>
      </w:r>
      <w:r>
        <w:rPr>
          <w:b w:val="0"/>
          <w:i w:val="0"/>
        </w:rPr>
        <w:t>, 250 F.3d 972, 976 (6th Cir. 2000).</w:t>
      </w:r>
    </w:p>
    <w:p>
      <w:pPr>
        <w:spacing w:line="480" w:lineRule="auto" w:after="0"/>
        <w:ind w:firstLine="720"/>
        <w:jc w:val="both"/>
      </w:pPr>
      <w:r>
        <w:rPr>
          <w:b w:val="0"/>
          <w:i/>
        </w:rPr>
        <w:t>NicSand</w:t>
      </w:r>
      <w:r>
        <w:rPr>
          <w:b w:val="0"/>
          <w:i w:val="0"/>
        </w:rPr>
        <w:t xml:space="preserve"> controls here. There, a rival alleged that 3M used exclusive arrangements with large retailers, secured with up-front payments and discounts, to foreclose competition. The en banc court affirmed dismissal for lack of antitrust injury because the sophisticated retail buyers benefited from the competition for their business, and a rival that lost that competition suffered no injury the antitrust laws redress. 507 F.3d at 451-58. The same is true here, and more clearly so. The buyers are sophisticated insurers, which the Complaint describes as powerful "gatekeepers." (Compl. ¶ 56.) The agreements are non-exclusive. The consideration Crestline paid for preferred status is a lower price. And the only injury alleged is Plaintiffs’ lost revenue. (</w:t>
      </w:r>
      <w:r>
        <w:rPr>
          <w:b w:val="0"/>
          <w:i/>
        </w:rPr>
        <w:t>Id.</w:t>
      </w:r>
      <w:r>
        <w:rPr>
          <w:b w:val="0"/>
          <w:i w:val="0"/>
        </w:rPr>
        <w:t xml:space="preserve"> ¶¶ 84-89, 97, 99, 105, 110.) Plaintiffs’ reputational and referral harms (</w:t>
      </w:r>
      <w:r>
        <w:rPr>
          <w:b w:val="0"/>
          <w:i/>
        </w:rPr>
        <w:t>id.</w:t>
      </w:r>
      <w:r>
        <w:rPr>
          <w:b w:val="0"/>
          <w:i w:val="0"/>
        </w:rPr>
        <w:t xml:space="preserve"> ¶ 89) are simply further consequences of losing patients to a lower-priced competitor. Plaintiffs were hurt by competition, not by its absence.</w:t>
      </w:r>
    </w:p>
    <w:p>
      <w:pPr>
        <w:pStyle w:val="Heading2"/>
        <w:ind w:left="720" w:hanging="720"/>
      </w:pPr>
      <w:r>
        <w:rPr>
          <w:b/>
          <w:i w:val="0"/>
        </w:rPr>
        <w:t>VI. ALTERNATIVELY, PLAINTIFFS ARE NOT EFFICIENT ENFORCERS.</w:t>
      </w:r>
    </w:p>
    <w:p>
      <w:pPr>
        <w:spacing w:line="480" w:lineRule="auto" w:after="0"/>
        <w:ind w:firstLine="720"/>
        <w:jc w:val="both"/>
      </w:pPr>
      <w:r>
        <w:rPr>
          <w:b w:val="0"/>
          <w:i w:val="0"/>
        </w:rPr>
        <w:t xml:space="preserve">Antitrust standing also turns on the factors in </w:t>
      </w:r>
      <w:r>
        <w:rPr>
          <w:b w:val="0"/>
          <w:i/>
        </w:rPr>
        <w:t>Associated General Contractors of California, Inc. v. California State Council of Carpenters</w:t>
      </w:r>
      <w:r>
        <w:rPr>
          <w:b w:val="0"/>
          <w:i w:val="0"/>
        </w:rPr>
        <w:t xml:space="preserve">, 459 U.S. 519, 535-45 (1983), including the directness of the injury, the existence of more direct victims, and the risks of duplicative recovery and complex apportionment. </w:t>
      </w:r>
      <w:r>
        <w:rPr>
          <w:b w:val="0"/>
          <w:i/>
        </w:rPr>
        <w:t>See</w:t>
      </w:r>
      <w:r>
        <w:rPr>
          <w:b w:val="0"/>
          <w:i w:val="0"/>
        </w:rPr>
        <w:t xml:space="preserve"> </w:t>
      </w:r>
      <w:r>
        <w:rPr>
          <w:b w:val="0"/>
          <w:i/>
        </w:rPr>
        <w:t>Southaven Land Co. v. Malone &amp; Hyde, Inc.</w:t>
      </w:r>
      <w:r>
        <w:rPr>
          <w:b w:val="0"/>
          <w:i w:val="0"/>
        </w:rPr>
        <w:t>, 715 F.2d 1079, 1085-86 (6th Cir. 1983). Plaintiffs’ alleged harm runs through independent decisions by insurers, which set tiers in their "sole discretion" (Ex. A §§ 1.12, 2.3) and removed certain Plaintiffs for their own stated reasons (Compl. ¶ 78), and by patients (</w:t>
      </w:r>
      <w:r>
        <w:rPr>
          <w:b w:val="0"/>
          <w:i/>
        </w:rPr>
        <w:t>id.</w:t>
      </w:r>
      <w:r>
        <w:rPr>
          <w:b w:val="0"/>
          <w:i w:val="0"/>
        </w:rPr>
        <w:t xml:space="preserve"> ¶ 76). Plaintiffs are not parties to the PPCAs. They are independent contractors affiliated with AMP, which operates the surgical center through which they compete and which is not a plaintiff. (</w:t>
      </w:r>
      <w:r>
        <w:rPr>
          <w:b w:val="0"/>
          <w:i/>
        </w:rPr>
        <w:t>Id.</w:t>
      </w:r>
      <w:r>
        <w:rPr>
          <w:b w:val="0"/>
          <w:i w:val="0"/>
        </w:rPr>
        <w:t xml:space="preserve"> ¶¶ 2, 50, 55.) Their pooled claim for an aggregate revenue decline (</w:t>
      </w:r>
      <w:r>
        <w:rPr>
          <w:b w:val="0"/>
          <w:i/>
        </w:rPr>
        <w:t>id.</w:t>
      </w:r>
      <w:r>
        <w:rPr>
          <w:b w:val="0"/>
          <w:i w:val="0"/>
        </w:rPr>
        <w:t xml:space="preserve"> ¶¶ 26, 111(b)) raises evident risks of duplicative recovery and of complex apportionment among twelve surgeons with different subspecialties and network statuses (</w:t>
      </w:r>
      <w:r>
        <w:rPr>
          <w:b w:val="0"/>
          <w:i/>
        </w:rPr>
        <w:t>id.</w:t>
      </w:r>
      <w:r>
        <w:rPr>
          <w:b w:val="0"/>
          <w:i w:val="0"/>
        </w:rPr>
        <w:t xml:space="preserve"> ¶¶ 14-25, 78-79). These factors provide an alternative ground for dismissal.</w:t>
      </w:r>
    </w:p>
    <w:p>
      <w:pPr>
        <w:pStyle w:val="Heading1"/>
        <w:jc w:val="center"/>
      </w:pPr>
      <w:r>
        <w:rPr>
          <w:b/>
          <w:i w:val="0"/>
        </w:rPr>
        <w:t>CONCLUSION</w:t>
      </w:r>
    </w:p>
    <w:p>
      <w:pPr>
        <w:spacing w:line="480" w:lineRule="auto" w:after="0"/>
        <w:ind w:firstLine="720"/>
        <w:jc w:val="both"/>
      </w:pPr>
      <w:r>
        <w:rPr>
          <w:b w:val="0"/>
          <w:i w:val="0"/>
        </w:rPr>
        <w:t xml:space="preserve">The Complaint’s deficiencies arise from the PPCAs’ own terms (non-exclusive, above-cost, and terminable at will) and from Plaintiffs’ sworn allegations, which no amendment can change. A bare request for leave in an opposition brief is not a proper motion to amend. </w:t>
      </w:r>
      <w:r>
        <w:rPr>
          <w:b w:val="0"/>
          <w:i/>
        </w:rPr>
        <w:t>La. Sch. Emps.’ Ret. Sys. v. Ernst &amp; Young, LLP</w:t>
      </w:r>
      <w:r>
        <w:rPr>
          <w:b w:val="0"/>
          <w:i w:val="0"/>
        </w:rPr>
        <w:t>, 622 F.3d 471, 486 (6th Cir. 2010). Crestline therefore respectfully requests that the Court grant its Motion and dismiss the Verified Complaint in its entirety, with prejudice, under Federal Rule of Civil Procedure 12(b)(6).</w:t>
      </w:r>
    </w:p>
    <w:p>
      <w:pPr>
        <w:spacing w:after="0" w:line="240" w:lineRule="auto"/>
        <w:jc w:val="left"/>
      </w:pPr>
    </w:p>
    <w:p>
      <w:pPr>
        <w:spacing w:after="240" w:line="240" w:lineRule="auto"/>
        <w:jc w:val="left"/>
      </w:pPr>
      <w:r>
        <w:rPr>
          <w:b w:val="0"/>
          <w:i w:val="0"/>
        </w:rPr>
        <w:t>Dated: July [__], 2024</w:t>
      </w:r>
    </w:p>
    <w:p>
      <w:pPr>
        <w:spacing w:after="0" w:line="240" w:lineRule="auto"/>
        <w:ind w:left="4320"/>
        <w:jc w:val="left"/>
      </w:pPr>
      <w:r>
        <w:rPr>
          <w:b w:val="0"/>
          <w:i w:val="0"/>
        </w:rPr>
        <w:t>Respectfully submitted,</w:t>
      </w:r>
    </w:p>
    <w:p>
      <w:pPr>
        <w:spacing w:after="0" w:line="240" w:lineRule="auto"/>
        <w:ind w:left="4320"/>
        <w:jc w:val="left"/>
      </w:pPr>
    </w:p>
    <w:p>
      <w:pPr>
        <w:spacing w:after="0" w:line="240" w:lineRule="auto"/>
        <w:ind w:left="4320"/>
        <w:jc w:val="left"/>
      </w:pPr>
      <w:r>
        <w:rPr>
          <w:b/>
          <w:i w:val="0"/>
        </w:rPr>
        <w:t>WHITFIELD, CRANE &amp; DOYLE LLP</w:t>
      </w:r>
    </w:p>
    <w:p>
      <w:pPr>
        <w:spacing w:after="0" w:line="240" w:lineRule="auto"/>
        <w:ind w:left="4320"/>
        <w:jc w:val="left"/>
      </w:pPr>
    </w:p>
    <w:p>
      <w:pPr>
        <w:spacing w:after="0" w:line="240" w:lineRule="auto"/>
        <w:ind w:left="4320"/>
        <w:jc w:val="left"/>
      </w:pPr>
      <w:r>
        <w:rPr>
          <w:b w:val="0"/>
          <w:i w:val="0"/>
        </w:rPr>
        <w:t>By: /s/ [Draft—not for filing]</w:t>
      </w:r>
    </w:p>
    <w:p>
      <w:pPr>
        <w:spacing w:after="0" w:line="240" w:lineRule="auto"/>
        <w:ind w:left="4320"/>
        <w:jc w:val="left"/>
      </w:pPr>
      <w:r>
        <w:rPr>
          <w:b w:val="0"/>
          <w:i w:val="0"/>
        </w:rPr>
        <w:t>Victoria P. Stanhope (TN BPR No. [______])</w:t>
      </w:r>
    </w:p>
    <w:p>
      <w:pPr>
        <w:spacing w:after="0" w:line="240" w:lineRule="auto"/>
        <w:ind w:left="4320"/>
        <w:jc w:val="left"/>
      </w:pPr>
      <w:r>
        <w:rPr>
          <w:b w:val="0"/>
          <w:i w:val="0"/>
        </w:rPr>
        <w:t>David A. Kestner (TN BPR No. [______])</w:t>
      </w:r>
    </w:p>
    <w:p>
      <w:pPr>
        <w:spacing w:after="0" w:line="240" w:lineRule="auto"/>
        <w:ind w:left="4320"/>
        <w:jc w:val="left"/>
      </w:pPr>
      <w:r>
        <w:rPr>
          <w:b w:val="0"/>
          <w:i w:val="0"/>
        </w:rPr>
        <w:t>500 Commerce Street, Suite 3200</w:t>
      </w:r>
    </w:p>
    <w:p>
      <w:pPr>
        <w:spacing w:after="0" w:line="240" w:lineRule="auto"/>
        <w:ind w:left="4320"/>
        <w:jc w:val="left"/>
      </w:pPr>
      <w:r>
        <w:rPr>
          <w:b w:val="0"/>
          <w:i w:val="0"/>
        </w:rPr>
        <w:t>Nashville, Tennessee 37203</w:t>
      </w:r>
    </w:p>
    <w:p>
      <w:pPr>
        <w:spacing w:after="0" w:line="240" w:lineRule="auto"/>
        <w:ind w:left="4320"/>
        <w:jc w:val="left"/>
      </w:pPr>
      <w:r>
        <w:rPr>
          <w:b w:val="0"/>
          <w:i w:val="0"/>
        </w:rPr>
        <w:t>Telephone: (615) 555-0174</w:t>
      </w:r>
    </w:p>
    <w:p>
      <w:pPr>
        <w:spacing w:after="0" w:line="240" w:lineRule="auto"/>
        <w:ind w:left="4320"/>
        <w:jc w:val="left"/>
      </w:pPr>
      <w:r>
        <w:rPr>
          <w:b w:val="0"/>
          <w:i w:val="0"/>
        </w:rPr>
        <w:t>vstanhope@whitfieldcrane.com</w:t>
      </w:r>
    </w:p>
    <w:p>
      <w:pPr>
        <w:spacing w:after="0" w:line="240" w:lineRule="auto"/>
        <w:ind w:left="4320"/>
        <w:jc w:val="left"/>
      </w:pPr>
    </w:p>
    <w:p>
      <w:pPr>
        <w:spacing w:after="0" w:line="240" w:lineRule="auto"/>
        <w:ind w:left="4320"/>
        <w:jc w:val="left"/>
      </w:pPr>
      <w:r>
        <w:rPr>
          <w:b w:val="0"/>
          <w:i/>
        </w:rPr>
        <w:t>Attorneys for Defendant Crestline Health Systems, Inc.</w:t>
      </w:r>
    </w:p>
    <w:p>
      <w:r>
        <w:br w:type="page"/>
      </w:r>
    </w:p>
    <w:p>
      <w:pPr>
        <w:spacing w:after="240" w:line="240" w:lineRule="auto"/>
        <w:jc w:val="center"/>
      </w:pPr>
      <w:r>
        <w:rPr>
          <w:b/>
          <w:i w:val="0"/>
        </w:rPr>
        <w:t>CERTIFICATE OF SERVICE</w:t>
      </w:r>
    </w:p>
    <w:p>
      <w:pPr>
        <w:spacing w:line="480" w:lineRule="auto" w:after="0"/>
        <w:ind w:firstLine="720"/>
        <w:jc w:val="both"/>
      </w:pPr>
      <w:r>
        <w:rPr>
          <w:b w:val="0"/>
          <w:i w:val="0"/>
        </w:rPr>
        <w:t>I hereby certify that on July [__], 2024, the foregoing Memorandum of Law, together with the accompanying Motion to Dismiss and exhibits, was filed electronically through the Court’s CM/ECF system, which will send notice of the filing to all counsel of record, including Harrison P. Farnsworth, Farnsworth &amp; Gault, PLLC, 220 Main Street, Suite 400, Johnson City, Tennessee 37601, hfarnsworth@farnsworthgault.com, counsel for Plaintiffs. [Any exhibit filed under seal will be served on Plaintiffs’ counsel by email on the same date.]</w:t>
      </w:r>
    </w:p>
    <w:p>
      <w:pPr>
        <w:spacing w:after="0" w:line="240" w:lineRule="auto"/>
        <w:jc w:val="left"/>
      </w:pPr>
    </w:p>
    <w:p>
      <w:pPr>
        <w:spacing w:after="0" w:line="240" w:lineRule="auto"/>
        <w:ind w:left="4320"/>
        <w:jc w:val="left"/>
      </w:pPr>
      <w:r>
        <w:rPr>
          <w:b w:val="0"/>
          <w:i w:val="0"/>
        </w:rPr>
        <w:t>/s/ [Draft—not for filing]</w:t>
      </w:r>
    </w:p>
    <w:p>
      <w:pPr>
        <w:spacing w:after="0" w:line="240" w:lineRule="auto"/>
        <w:ind w:left="4320"/>
        <w:jc w:val="left"/>
      </w:pPr>
      <w:r>
        <w:rPr>
          <w:b w:val="0"/>
          <w:i w:val="0"/>
        </w:rPr>
        <w:t>Victoria P. Stanhope</w:t>
      </w:r>
    </w:p>
    <w:p>
      <w:r>
        <w:br w:type="page"/>
      </w:r>
    </w:p>
    <w:p>
      <w:pPr>
        <w:spacing w:after="0" w:line="240" w:lineRule="auto"/>
        <w:jc w:val="center"/>
      </w:pPr>
      <w:r>
        <w:rPr>
          <w:b/>
          <w:i w:val="0"/>
        </w:rPr>
        <w:t>PRIVILEGED AND CONFIDENTIAL — ATTORNEY WORK PRODUCT</w:t>
      </w:r>
    </w:p>
    <w:p>
      <w:pPr>
        <w:spacing w:after="240" w:line="240" w:lineRule="auto"/>
        <w:jc w:val="center"/>
      </w:pPr>
      <w:r>
        <w:rPr>
          <w:b/>
          <w:i w:val="0"/>
        </w:rPr>
        <w:t>DRAFTING NOTES FOR REVIEWING PARTNER — DELETE THIS PAGE AND ALL BRACKETED NOTES BEFORE FILING</w:t>
      </w:r>
    </w:p>
    <w:p>
      <w:pPr>
        <w:spacing w:after="120" w:line="240" w:lineRule="auto"/>
        <w:jc w:val="left"/>
      </w:pPr>
      <w:r>
        <w:rPr>
          <w:b/>
          <w:i w:val="0"/>
        </w:rPr>
        <w:t>1. Record discipline (Rule 12(d))</w:t>
      </w:r>
    </w:p>
    <w:p>
      <w:pPr>
        <w:spacing w:after="120" w:line="240" w:lineRule="auto"/>
        <w:jc w:val="both"/>
      </w:pPr>
      <w:r>
        <w:rPr>
          <w:b w:val="0"/>
          <w:i w:val="0"/>
        </w:rPr>
        <w:t>The memorandum relies only on the Complaint and on the Blue Ridgeway PPCA, which the Complaint references throughout and which is central to every Count. Several items in the file were deliberately left out because they are outside the pleadings. Using them would invite conversion to summary judgment under Rule 12(d) and could put privilege and work product at risk. They are: (a) the Ledger &amp; Thorne data (44% government-payer share, 59.4% all-payer share, 12% inbound patient flow, Bristol/Abingdon, Asheville, and Knoxville alternatives); (b) the four independent surgeons said to hold Tier 1 status; (c) Mr. Beale’s account that the July 2022 network removals were the insurers’ unilateral decisions; and (d) anything about AMP’s finances or the reasons for its absence. Note also that the Beale email (Harmon, Eriksen, Petrosian, Oakley) and the Ledger &amp; Thorne memo (Ashford, Henning, Whitaker, Moreland) name four entirely different independent surgeons as holding Tier 1 status. That conflict must be resolved before either source is relied on at any stage.</w:t>
      </w:r>
    </w:p>
    <w:p>
      <w:pPr>
        <w:spacing w:after="120" w:line="240" w:lineRule="auto"/>
        <w:jc w:val="left"/>
      </w:pPr>
      <w:r>
        <w:rPr>
          <w:b/>
          <w:i w:val="0"/>
        </w:rPr>
        <w:t>2. Corrections to the June 14 research memo</w:t>
      </w:r>
    </w:p>
    <w:p>
      <w:pPr>
        <w:spacing w:after="120" w:line="240" w:lineRule="auto"/>
        <w:jc w:val="both"/>
      </w:pPr>
      <w:r>
        <w:rPr>
          <w:b w:val="0"/>
          <w:i w:val="0"/>
        </w:rPr>
        <w:t xml:space="preserve">(a) The memo’s paragraph citations do not match the filed Complaint. It cites ¶ 34 for tiering (actually ¶ 70), ¶ 36 for term and termination (¶ 74), ¶ 41 for the seven in-network Plaintiffs (¶ 79), ¶¶ 44-46 for the market definitions (¶¶ 33, 38, 42), and ¶¶ 56-58 for the revenue decline (¶¶ 84-86). It also cites ¶ 39 for the claim that four independent surgeons hold Tier 1 status, but the Complaint contains no such allegation. ¶ 39 alleges total procedure volume. (b) The Complaint does not allege the 44% government-payer figure; that number comes from Ledger &amp; Thorne. The Complaint also gives a reason for excluding government payers: administered pricing (¶ 41). (c) The statement that shares below 75% are "per se insufficient" is not the law and is not used. Consistent with the memo’s own caveat, the brief asserts no numerical threshold. (d) The memo says the Complaint offers no direct intent allegations. In fact, ¶ 82 alleges, on information and belief, that Ms. Odum and Mr. Beale directed the PPCA strategy for an exclusionary purpose. The brief addresses ¶ 82 as conclusory. (e) The "facial plausibility" language the memo attributes to </w:t>
      </w:r>
      <w:r>
        <w:rPr>
          <w:b w:val="0"/>
          <w:i/>
        </w:rPr>
        <w:t>Twombly</w:t>
      </w:r>
      <w:r>
        <w:rPr>
          <w:b w:val="0"/>
          <w:i w:val="0"/>
        </w:rPr>
        <w:t xml:space="preserve"> at 556 is from </w:t>
      </w:r>
      <w:r>
        <w:rPr>
          <w:b w:val="0"/>
          <w:i/>
        </w:rPr>
        <w:t>Iqbal</w:t>
      </w:r>
      <w:r>
        <w:rPr>
          <w:b w:val="0"/>
          <w:i w:val="0"/>
        </w:rPr>
        <w:t xml:space="preserve"> at 678. (f) Southeastern Milk, 739 F.3d 262, reviewed a summary judgment ruling, and Re/Max, 173 F.3d 995, was not a pleading-stage dismissal. Neither is cited for pleading propositions. The "presumptively lawful" quotation attributed to CDC Technologies is unverified, so that case is cited only for the general proposition. (g) The memo describes the PPCAs as terminable only before the end of a term. PPCA § 8.3 permits termination for convenience at any time on 180 days’ notice, and the brief relies on § 8.3.</w:t>
      </w:r>
    </w:p>
    <w:p>
      <w:pPr>
        <w:spacing w:after="120" w:line="240" w:lineRule="auto"/>
        <w:jc w:val="left"/>
      </w:pPr>
      <w:r>
        <w:rPr>
          <w:b/>
          <w:i w:val="0"/>
        </w:rPr>
        <w:t>3. Strategic choices</w:t>
      </w:r>
    </w:p>
    <w:p>
      <w:pPr>
        <w:spacing w:after="120" w:line="240" w:lineRule="auto"/>
        <w:jc w:val="both"/>
      </w:pPr>
      <w:r>
        <w:rPr>
          <w:b w:val="0"/>
          <w:i w:val="0"/>
        </w:rPr>
        <w:t>Government-payer exclusion: not advanced as a standalone argument. ProMedica Health Sys., Inc. v. FTC, 749 F.3d 559 (6th Cir. 2014), accepted a market for hospital services sold to commercial health plans, and the supporting data are extrinsic to the pleadings. The brief argues instead that the Complaint’s 70% figure ("all orthopedic surgeries") is not a share of the commercial-only market that Plaintiffs themselves define. Geographic market: kept short and confined to the face of the Complaint. Standing (AGC): presented only as an alternative ground. Competitor-plaintiffs alleging exclusive dealing are often found to be proper plaintiffs, and ¶ 78 (individual form letters) suggests that the surgeons participate in the insurers’ networks individually. That weakens the argument that AMP is the direct counterparty.</w:t>
      </w:r>
    </w:p>
    <w:p>
      <w:pPr>
        <w:spacing w:after="120" w:line="240" w:lineRule="auto"/>
        <w:jc w:val="left"/>
      </w:pPr>
      <w:r>
        <w:rPr>
          <w:b/>
          <w:i w:val="0"/>
        </w:rPr>
        <w:t xml:space="preserve">4. PPCA terms the Court will </w:t>
      </w:r>
      <w:r>
        <w:rPr>
          <w:b/>
          <w:i/>
        </w:rPr>
        <w:t>see</w:t>
      </w:r>
      <w:r>
        <w:rPr>
          <w:b/>
          <w:i w:val="0"/>
        </w:rPr>
        <w:t xml:space="preserve"> that cut against us</w:t>
      </w:r>
    </w:p>
    <w:p>
      <w:pPr>
        <w:spacing w:after="120" w:line="240" w:lineRule="auto"/>
        <w:jc w:val="both"/>
      </w:pPr>
      <w:r>
        <w:rPr>
          <w:b w:val="0"/>
          <w:i w:val="0"/>
        </w:rPr>
        <w:t>(a) Surgical cost-sharing is 15% coinsurance at Tier 1 versus 30% at Tier 2 (§§ 3.1-3.2), a larger differential than the Complaint’s $25/$75 copay framing suggests. The brief describes the terms accurately, but expect Plaintiffs to emphasize them. (b) The § 4.4 volume threshold is 3,500 procedures, measured across all three insurers’ members. Ledger &amp; Thorne estimates only about 3,480 commercial orthopedic procedures in the entire Tri-County Area in 2023, across all commercial payers. If that is right, the threshold exceeds total commercial volume and is effectively unattainable. Plaintiffs could use that to argue the threshold was designed to demand near-total share. Please confirm with the client how the threshold was set and whether Crestline has ever invoked the step-down. (c) Under § 3.4, Blue Ridgeway must maintain a "meaningful cost-sharing differential" across plan designs. Under §§ 2.1 and 2.4, it must give Crestline prominent directory placement. Under § 7.2, it must give Crestline aggregate data on procedures performed by non-Crestline providers. Plaintiffs may cite these provisions on reply or in an amended pleading. (d) The PPCA’s Exhibit B lists hospital cities that differ from Complaint ¶ 28. This is immaterial, and the brief avoids it.</w:t>
      </w:r>
    </w:p>
    <w:p>
      <w:pPr>
        <w:spacing w:after="120" w:line="240" w:lineRule="auto"/>
        <w:jc w:val="left"/>
      </w:pPr>
      <w:r>
        <w:rPr>
          <w:b/>
          <w:i w:val="0"/>
        </w:rPr>
        <w:t>5. Exhibits, sealing, and procedure</w:t>
      </w:r>
    </w:p>
    <w:p>
      <w:pPr>
        <w:spacing w:after="120" w:line="240" w:lineRule="auto"/>
        <w:jc w:val="both"/>
      </w:pPr>
      <w:r>
        <w:rPr>
          <w:b w:val="0"/>
          <w:i w:val="0"/>
        </w:rPr>
        <w:t>Obtain the Volunteer Benefits and Pinnacle Select PPCAs and confirm that §§ 2.2, 2.3, 3.5, 5.2, and 8.3 are materially identical before relying on them. Section 7.1 makes the PPCA terms confidential, so give the insurers notice and either obtain their consent or move to seal or redact under E.D. Tenn. L.R. 26.2. Confirm the basis for the July 8, 2024 deadline (stipulation or order). Confirm compliance with the E.D. Tenn. L.R. 7.1 page limit and move for leave if needed. Check the assigned judge’s practices; some judges in this District require a meet-and-confer certification before a Rule 12 motion is filed. Prepare the short Motion and a proposed order.</w:t>
      </w:r>
    </w:p>
    <w:p>
      <w:pPr>
        <w:spacing w:after="120" w:line="240" w:lineRule="auto"/>
        <w:jc w:val="left"/>
      </w:pPr>
      <w:r>
        <w:rPr>
          <w:b/>
          <w:i w:val="0"/>
        </w:rPr>
        <w:t>6. Cite-check and miscellaneous</w:t>
      </w:r>
    </w:p>
    <w:p>
      <w:pPr>
        <w:spacing w:after="120" w:line="240" w:lineRule="auto"/>
        <w:jc w:val="both"/>
      </w:pPr>
      <w:r>
        <w:rPr>
          <w:b w:val="0"/>
          <w:i w:val="0"/>
        </w:rPr>
        <w:t xml:space="preserve">Every citation and pin cite must be KeyCited before filing. Give particular attention to the </w:t>
      </w:r>
      <w:r>
        <w:rPr>
          <w:b w:val="0"/>
          <w:i/>
        </w:rPr>
        <w:t>NicSand</w:t>
      </w:r>
      <w:r>
        <w:rPr>
          <w:b w:val="0"/>
          <w:i w:val="0"/>
        </w:rPr>
        <w:t xml:space="preserve">, Hobart-Mayfield, Little Rock Cardiology, Collins Inkjet, </w:t>
      </w:r>
      <w:r>
        <w:rPr>
          <w:b w:val="0"/>
          <w:i/>
        </w:rPr>
        <w:t>Total Benefits</w:t>
      </w:r>
      <w:r>
        <w:rPr>
          <w:b w:val="0"/>
          <w:i w:val="0"/>
        </w:rPr>
        <w:t>, Monument Builders, and FIDER pin cites and parentheticals. Ball Memorial was decided on a preliminary-injunction record and is cited only for the general principle. Confirm the associate’s surname for the signature block: the research memo is signed "David A. Kestner," but the emails refer to "David Kessler" at dakessler@whitfieldcrane.com. On remedy, the Sixth Circuit frequently permits at least one amendment, so the with-prejudice request may not be granted even if the motion succeeds.</w:t>
      </w:r>
    </w:p>
    <w:sectPr w:rsidR="00FC693F" w:rsidRPr="0006063C" w:rsidSect="00034616">
      <w:footerReference w:type="default" r:id="rId10"/>
      <w:pgSz w:w="12240" w:h="15840"/>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240" w:lineRule="auto"/>
      <w:outlineLvl w:val="0"/>
    </w:pPr>
    <w:rPr>
      <w:rFonts w:ascii="Times New Roman" w:hAnsi="Times New Roman" w:eastAsia="Times New Roman" w:cs="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outlineLvl w:val="1"/>
    </w:pPr>
    <w:rPr>
      <w:rFonts w:ascii="Times New Roman" w:hAnsi="Times New Roman" w:eastAsia="Times New Roman" w:cs="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40" w:after="240" w:line="240" w:lineRule="auto"/>
      <w:outlineLvl w:val="2"/>
    </w:pPr>
    <w:rPr>
      <w:rFonts w:ascii="Times New Roman" w:hAnsi="Times New Roman" w:eastAsia="Times New Roman" w:cs="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240"/>
      <w:contextualSpacing/>
    </w:pPr>
    <w:rPr>
      <w:rFonts w:ascii="Times New Roman" w:hAnsi="Times New Roman" w:eastAsia="Times New Roman" w:cs="Times New Roman"/>
      <w:b/>
      <w:i w:val="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