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br/>
        <w:t>ATTORNEY-CLIENT COMMUNICATION / ATTORNEY WORK PRODUCT</w:t>
        <w:br/>
        <w:t>PREPARED IN ANTICIPATION OF LITIGATION</w:t>
      </w:r>
    </w:p>
    <w:p>
      <w:pPr>
        <w:jc w:val="center"/>
      </w:pPr>
      <w:r>
        <w:rPr>
          <w:b/>
          <w:sz w:val="32"/>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D9E2F3"/>
          </w:tcPr>
          <w:p>
            <w:r/>
            <w:r>
              <w:rPr>
                <w:b/>
                <w:sz w:val="20"/>
              </w:rPr>
            </w:r>
          </w:p>
        </w:tc>
        <w:tc>
          <w:tcPr>
            <w:tcW w:type="dxa" w:w="7920"/>
            <w:shd w:val="clear" w:color="auto" w:fill="D9E2F3"/>
          </w:tcPr>
          <w:p>
            <w:r/>
            <w:r>
              <w:rPr>
                <w:b/>
                <w:sz w:val="20"/>
              </w:rPr>
            </w:r>
          </w:p>
        </w:tc>
      </w:tr>
      <w:tr>
        <w:tc>
          <w:tcPr>
            <w:tcW w:type="dxa" w:w="1440"/>
          </w:tcPr>
          <w:p>
            <w:r/>
            <w:r>
              <w:rPr>
                <w:sz w:val="20"/>
              </w:rPr>
              <w:t>TO:</w:t>
            </w:r>
          </w:p>
        </w:tc>
        <w:tc>
          <w:tcPr>
            <w:tcW w:type="dxa" w:w="7920"/>
          </w:tcPr>
          <w:p>
            <w:r/>
            <w:r>
              <w:rPr>
                <w:sz w:val="20"/>
              </w:rPr>
              <w:t>Supervising Partner, Greenfield Organics, Inc. Defense Team (cc: Patricia Hong, General Counsel, Greenfield Organics, Inc.)</w:t>
            </w:r>
          </w:p>
        </w:tc>
      </w:tr>
      <w:tr>
        <w:tc>
          <w:tcPr>
            <w:tcW w:type="dxa" w:w="1440"/>
          </w:tcPr>
          <w:p>
            <w:r/>
            <w:r>
              <w:rPr>
                <w:sz w:val="20"/>
              </w:rPr>
              <w:t>FROM:</w:t>
            </w:r>
          </w:p>
        </w:tc>
        <w:tc>
          <w:tcPr>
            <w:tcW w:type="dxa" w:w="7920"/>
          </w:tcPr>
          <w:p>
            <w:r/>
            <w:r>
              <w:rPr>
                <w:sz w:val="20"/>
              </w:rPr>
              <w:t>Antitrust Litigation Associate</w:t>
            </w:r>
          </w:p>
        </w:tc>
      </w:tr>
      <w:tr>
        <w:tc>
          <w:tcPr>
            <w:tcW w:type="dxa" w:w="1440"/>
          </w:tcPr>
          <w:p>
            <w:r/>
            <w:r>
              <w:rPr>
                <w:sz w:val="20"/>
              </w:rPr>
              <w:t>DATE:</w:t>
            </w:r>
          </w:p>
        </w:tc>
        <w:tc>
          <w:tcPr>
            <w:tcW w:type="dxa" w:w="7920"/>
          </w:tcPr>
          <w:p>
            <w:r/>
            <w:r>
              <w:rPr>
                <w:sz w:val="20"/>
              </w:rPr>
              <w:t>DRAFT for partner review</w:t>
            </w:r>
          </w:p>
        </w:tc>
      </w:tr>
      <w:tr>
        <w:tc>
          <w:tcPr>
            <w:tcW w:type="dxa" w:w="1440"/>
          </w:tcPr>
          <w:p>
            <w:r/>
            <w:r>
              <w:rPr>
                <w:sz w:val="20"/>
              </w:rPr>
              <w:t>RE:</w:t>
            </w:r>
          </w:p>
        </w:tc>
        <w:tc>
          <w:tcPr>
            <w:tcW w:type="dxa" w:w="7920"/>
          </w:tcPr>
          <w:p>
            <w:r/>
            <w:r>
              <w:rPr>
                <w:sz w:val="20"/>
              </w:rPr>
              <w:t>Prairie Harvest Natural Foods LLC v. Greenfield Organics, Inc., No. 1:24-cv-07832 (N.D. Ill., E. Div.) (Complaint filed Sept. 4, 2024): claim-by-claim viability, analytical errors in the Complaint, our exposure points, and recommended defense strategy</w:t>
            </w:r>
          </w:p>
        </w:tc>
      </w:tr>
    </w:tbl>
    <w:p/>
    <w:p>
      <w:pPr>
        <w:pStyle w:val="Heading1"/>
      </w:pPr>
      <w:r>
        <w:t>I. Executive Summary and Bottom Line</w:t>
      </w:r>
    </w:p>
    <w:p>
      <w:pPr>
        <w:spacing w:after="120"/>
      </w:pPr>
      <w:r>
        <w:rPr>
          <w:i w:val="0"/>
        </w:rPr>
        <w:t>Prairie Harvest Natural Foods LLC ("Prairie Harvest" or "PH"), a 12-store Illinois retailer terminated as a Greenfield authorized dealer effective April 30, 2024, has filed a seven-count verified complaint seeking $43.8 million in trebled damages plus injunctive relief. The Complaint packages an ordinary dealer-termination dispute as a three-part antitrust "scheme": (1) exclusive dealing through Section 7.2 of the Authorized Dealer Agreement ("ADA") (Counts I and V); (2) resale price maintenance through ADA Sections 9.1 and 9.3 (Count II); and (3) a horizontal group boycott with non-parties Heartland Provisions Co. and Great Lakes Natural Supply, Inc. (Count III), all said to support monopolization and attempted monopolization (Count IV), a parallel Illinois Antitrust Act claim (Count VI), and tortious interference (Count VII).</w:t>
      </w:r>
    </w:p>
    <w:p>
      <w:pPr>
        <w:spacing w:after="120"/>
      </w:pPr>
      <w:r>
        <w:rPr>
          <w:b/>
        </w:rPr>
        <w:t xml:space="preserve">Bottom line. </w:t>
      </w:r>
      <w:r>
        <w:rPr>
          <w:i w:val="0"/>
        </w:rPr>
        <w:t>Our overall assessment is that the Complaint is weak on its own terms and is contradicted in material respects by the documents it attaches or relies on (the ADA, the Alvarez email chain, the Marsh email, the termination letter) and by Prairie Harvest’s own financial workbook. We recommend a comprehensive Rule 12(b)(6) motion to dismiss all counts, with the strongest prospects on Count IV (Section 2), Count III (boycott), Counts I/V (exclusive dealing) and Count VII (tortious interference). The resale price maintenance count (Count II) is the claim most likely to survive in some form, and the exposure there comes primarily from Greenfield’s own communications, not from the ADA text. That issue needs immediate internal investigation and careful handling.</w:t>
      </w:r>
    </w:p>
    <w:tbl>
      <w:tblPr>
        <w:tblStyle w:val="TableGrid"/>
        <w:tblW w:type="auto" w:w="0"/>
        <w:tblLook w:firstColumn="1" w:firstRow="1" w:lastColumn="0" w:lastRow="0" w:noHBand="0" w:noVBand="1" w:val="04A0"/>
      </w:tblPr>
      <w:tblGrid>
        <w:gridCol w:w="2340"/>
        <w:gridCol w:w="2340"/>
        <w:gridCol w:w="2340"/>
        <w:gridCol w:w="2340"/>
      </w:tblGrid>
      <w:tr>
        <w:tc>
          <w:tcPr>
            <w:tcW w:type="dxa" w:w="648"/>
            <w:shd w:val="clear" w:color="auto" w:fill="D9E2F3"/>
          </w:tcPr>
          <w:p>
            <w:r/>
            <w:r>
              <w:rPr>
                <w:b/>
                <w:sz w:val="20"/>
              </w:rPr>
              <w:t>Count</w:t>
            </w:r>
          </w:p>
        </w:tc>
        <w:tc>
          <w:tcPr>
            <w:tcW w:type="dxa" w:w="2160"/>
            <w:shd w:val="clear" w:color="auto" w:fill="D9E2F3"/>
          </w:tcPr>
          <w:p>
            <w:r/>
            <w:r>
              <w:rPr>
                <w:b/>
                <w:sz w:val="20"/>
              </w:rPr>
              <w:t>Theory</w:t>
            </w:r>
          </w:p>
        </w:tc>
        <w:tc>
          <w:tcPr>
            <w:tcW w:type="dxa" w:w="2088"/>
            <w:shd w:val="clear" w:color="auto" w:fill="D9E2F3"/>
          </w:tcPr>
          <w:p>
            <w:r/>
            <w:r>
              <w:rPr>
                <w:b/>
                <w:sz w:val="20"/>
              </w:rPr>
              <w:t>Assessment of viability</w:t>
            </w:r>
          </w:p>
        </w:tc>
        <w:tc>
          <w:tcPr>
            <w:tcW w:type="dxa" w:w="4464"/>
            <w:shd w:val="clear" w:color="auto" w:fill="D9E2F3"/>
          </w:tcPr>
          <w:p>
            <w:r/>
            <w:r>
              <w:rPr>
                <w:b/>
                <w:sz w:val="20"/>
              </w:rPr>
              <w:t>Principal defects</w:t>
            </w:r>
          </w:p>
        </w:tc>
      </w:tr>
      <w:tr>
        <w:tc>
          <w:tcPr>
            <w:tcW w:type="dxa" w:w="648"/>
          </w:tcPr>
          <w:p>
            <w:r/>
            <w:r>
              <w:rPr>
                <w:sz w:val="20"/>
              </w:rPr>
              <w:t>I</w:t>
            </w:r>
          </w:p>
        </w:tc>
        <w:tc>
          <w:tcPr>
            <w:tcW w:type="dxa" w:w="2160"/>
          </w:tcPr>
          <w:p>
            <w:r/>
            <w:r>
              <w:rPr>
                <w:sz w:val="20"/>
              </w:rPr>
              <w:t>Sherman Act § 1: exclusive dealing (ADA § 7.2)</w:t>
            </w:r>
          </w:p>
        </w:tc>
        <w:tc>
          <w:tcPr>
            <w:tcW w:type="dxa" w:w="2088"/>
          </w:tcPr>
          <w:p>
            <w:r/>
            <w:r>
              <w:rPr>
                <w:sz w:val="20"/>
              </w:rPr>
              <w:t>Weak; good motion-to-dismiss candidate</w:t>
            </w:r>
          </w:p>
        </w:tc>
        <w:tc>
          <w:tcPr>
            <w:tcW w:type="dxa" w:w="4464"/>
          </w:tcPr>
          <w:p>
            <w:r/>
            <w:r>
              <w:rPr>
                <w:sz w:val="20"/>
              </w:rPr>
              <w:t>22% share; 70% is partial exclusivity; the contracts are short-term and terminable (1-year renewals, 90-day no-cause exit under § 12.3); the 15.4% foreclosure figure is miscalculated and below the levels courts accept; no antitrust injury, because PH is a dealer and not a foreclosed rival, and PH’s own data show it bought from four rival distributors</w:t>
            </w:r>
          </w:p>
        </w:tc>
      </w:tr>
      <w:tr>
        <w:tc>
          <w:tcPr>
            <w:tcW w:type="dxa" w:w="648"/>
          </w:tcPr>
          <w:p>
            <w:r/>
            <w:r>
              <w:rPr>
                <w:sz w:val="20"/>
              </w:rPr>
              <w:t>II</w:t>
            </w:r>
          </w:p>
        </w:tc>
        <w:tc>
          <w:tcPr>
            <w:tcW w:type="dxa" w:w="2160"/>
          </w:tcPr>
          <w:p>
            <w:r/>
            <w:r>
              <w:rPr>
                <w:sz w:val="20"/>
              </w:rPr>
              <w:t>Sherman Act § 1: minimum RPM (§§ 9.1/9.3)</w:t>
            </w:r>
          </w:p>
        </w:tc>
        <w:tc>
          <w:tcPr>
            <w:tcW w:type="dxa" w:w="2088"/>
          </w:tcPr>
          <w:p>
            <w:r/>
            <w:r>
              <w:rPr>
                <w:sz w:val="20"/>
              </w:rPr>
              <w:t>Moderate; most likely count to survive the pleadings</w:t>
            </w:r>
          </w:p>
        </w:tc>
        <w:tc>
          <w:tcPr>
            <w:tcW w:type="dxa" w:w="4464"/>
          </w:tcPr>
          <w:p>
            <w:r/>
            <w:r>
              <w:rPr>
                <w:sz w:val="20"/>
              </w:rPr>
              <w:t>Rule of reason under Leegin; MAP is presumptively lawful and § 9.1 expressly excludes transaction prices; no interbrand market power alleged. Risk: the Alvarez "actually selling" email, the termination letter’s "transacting sales" and sell-off language, and the text of § 9.3</w:t>
            </w:r>
          </w:p>
        </w:tc>
      </w:tr>
      <w:tr>
        <w:tc>
          <w:tcPr>
            <w:tcW w:type="dxa" w:w="648"/>
          </w:tcPr>
          <w:p>
            <w:r/>
            <w:r>
              <w:rPr>
                <w:sz w:val="20"/>
              </w:rPr>
              <w:t>III</w:t>
            </w:r>
          </w:p>
        </w:tc>
        <w:tc>
          <w:tcPr>
            <w:tcW w:type="dxa" w:w="2160"/>
          </w:tcPr>
          <w:p>
            <w:r/>
            <w:r>
              <w:rPr>
                <w:sz w:val="20"/>
              </w:rPr>
              <w:t>Sherman Act § 1: group boycott (per se / rule of reason)</w:t>
            </w:r>
          </w:p>
        </w:tc>
        <w:tc>
          <w:tcPr>
            <w:tcW w:type="dxa" w:w="2088"/>
          </w:tcPr>
          <w:p>
            <w:r/>
            <w:r>
              <w:rPr>
                <w:sz w:val="20"/>
              </w:rPr>
              <w:t>Weak; strong Twombly motion</w:t>
            </w:r>
          </w:p>
        </w:tc>
        <w:tc>
          <w:tcPr>
            <w:tcW w:type="dxa" w:w="4464"/>
          </w:tcPr>
          <w:p>
            <w:r/>
            <w:r>
              <w:rPr>
                <w:sz w:val="20"/>
              </w:rPr>
              <w:t>Parallel conduct plus attendance at a trade conference on "information and belief"; Greenfield’s termination came before the MOTA conference; Exhibit C itself shows PH disclosed the termination and that Heartland used a routine, conditional credit review; Heartland and Great Lakes were existing PH suppliers; per se treatment is unavailable</w:t>
            </w:r>
          </w:p>
        </w:tc>
      </w:tr>
      <w:tr>
        <w:tc>
          <w:tcPr>
            <w:tcW w:type="dxa" w:w="648"/>
          </w:tcPr>
          <w:p>
            <w:r/>
            <w:r>
              <w:rPr>
                <w:sz w:val="20"/>
              </w:rPr>
              <w:t>IV</w:t>
            </w:r>
          </w:p>
        </w:tc>
        <w:tc>
          <w:tcPr>
            <w:tcW w:type="dxa" w:w="2160"/>
          </w:tcPr>
          <w:p>
            <w:r/>
            <w:r>
              <w:rPr>
                <w:sz w:val="20"/>
              </w:rPr>
              <w:t>Sherman Act § 2: monopolization / attempt</w:t>
            </w:r>
          </w:p>
        </w:tc>
        <w:tc>
          <w:tcPr>
            <w:tcW w:type="dxa" w:w="2088"/>
          </w:tcPr>
          <w:p>
            <w:r/>
            <w:r>
              <w:rPr>
                <w:sz w:val="20"/>
              </w:rPr>
              <w:t>Very weak; highest-probability dismissal</w:t>
            </w:r>
          </w:p>
        </w:tc>
        <w:tc>
          <w:tcPr>
            <w:tcW w:type="dxa" w:w="4464"/>
          </w:tcPr>
          <w:p>
            <w:r/>
            <w:r>
              <w:rPr>
                <w:sz w:val="20"/>
              </w:rPr>
              <w:t>A 22% share is far below any recognized monopoly-power threshold (generally &gt;50%) and below the ~30% floor for dangerous probability; the HHI is fabricated by merging three firms and treating 40 firms as one; "shared monopoly" is not cognizable</w:t>
            </w:r>
          </w:p>
        </w:tc>
      </w:tr>
      <w:tr>
        <w:tc>
          <w:tcPr>
            <w:tcW w:type="dxa" w:w="648"/>
          </w:tcPr>
          <w:p>
            <w:r/>
            <w:r>
              <w:rPr>
                <w:sz w:val="20"/>
              </w:rPr>
              <w:t>V</w:t>
            </w:r>
          </w:p>
        </w:tc>
        <w:tc>
          <w:tcPr>
            <w:tcW w:type="dxa" w:w="2160"/>
          </w:tcPr>
          <w:p>
            <w:r/>
            <w:r>
              <w:rPr>
                <w:sz w:val="20"/>
              </w:rPr>
              <w:t>Clayton Act § 3: exclusive dealing</w:t>
            </w:r>
          </w:p>
        </w:tc>
        <w:tc>
          <w:tcPr>
            <w:tcW w:type="dxa" w:w="2088"/>
          </w:tcPr>
          <w:p>
            <w:r/>
            <w:r>
              <w:rPr>
                <w:sz w:val="20"/>
              </w:rPr>
              <w:t>Weak; rises or falls with Count I</w:t>
            </w:r>
          </w:p>
        </w:tc>
        <w:tc>
          <w:tcPr>
            <w:tcW w:type="dxa" w:w="4464"/>
          </w:tcPr>
          <w:p>
            <w:r/>
            <w:r>
              <w:rPr>
                <w:sz w:val="20"/>
              </w:rPr>
              <w:t>The same foreclosure and terminability defects; the Complaint’s own market is defined as distribution "services", and Clayton § 3 reaches only goods; the claim duplicates Count I</w:t>
            </w:r>
          </w:p>
        </w:tc>
      </w:tr>
      <w:tr>
        <w:tc>
          <w:tcPr>
            <w:tcW w:type="dxa" w:w="648"/>
          </w:tcPr>
          <w:p>
            <w:r/>
            <w:r>
              <w:rPr>
                <w:sz w:val="20"/>
              </w:rPr>
              <w:t>VI</w:t>
            </w:r>
          </w:p>
        </w:tc>
        <w:tc>
          <w:tcPr>
            <w:tcW w:type="dxa" w:w="2160"/>
          </w:tcPr>
          <w:p>
            <w:r/>
            <w:r>
              <w:rPr>
                <w:sz w:val="20"/>
              </w:rPr>
              <w:t>Illinois Antitrust Act, 740 ILCS 10/3</w:t>
            </w:r>
          </w:p>
        </w:tc>
        <w:tc>
          <w:tcPr>
            <w:tcW w:type="dxa" w:w="2088"/>
          </w:tcPr>
          <w:p>
            <w:r/>
            <w:r>
              <w:rPr>
                <w:sz w:val="20"/>
              </w:rPr>
              <w:t>Derivative; falls with the federal counts</w:t>
            </w:r>
          </w:p>
        </w:tc>
        <w:tc>
          <w:tcPr>
            <w:tcW w:type="dxa" w:w="4464"/>
          </w:tcPr>
          <w:p>
            <w:r/>
            <w:r>
              <w:rPr>
                <w:sz w:val="20"/>
              </w:rPr>
              <w:t>Harmonization clause (740 ILCS 10/11); no subsection pleaded; fee citation to 10/5 appears to be wrong; trebling is limited under 10/7(2) (verify)</w:t>
            </w:r>
          </w:p>
        </w:tc>
      </w:tr>
      <w:tr>
        <w:tc>
          <w:tcPr>
            <w:tcW w:type="dxa" w:w="648"/>
          </w:tcPr>
          <w:p>
            <w:r/>
            <w:r>
              <w:rPr>
                <w:sz w:val="20"/>
              </w:rPr>
              <w:t>VII</w:t>
            </w:r>
          </w:p>
        </w:tc>
        <w:tc>
          <w:tcPr>
            <w:tcW w:type="dxa" w:w="2160"/>
          </w:tcPr>
          <w:p>
            <w:r/>
            <w:r>
              <w:rPr>
                <w:sz w:val="20"/>
              </w:rPr>
              <w:t>Tortious interference with business relations</w:t>
            </w:r>
          </w:p>
        </w:tc>
        <w:tc>
          <w:tcPr>
            <w:tcW w:type="dxa" w:w="2088"/>
          </w:tcPr>
          <w:p>
            <w:r/>
            <w:r>
              <w:rPr>
                <w:sz w:val="20"/>
              </w:rPr>
              <w:t>Weak</w:t>
            </w:r>
          </w:p>
        </w:tc>
        <w:tc>
          <w:tcPr>
            <w:tcW w:type="dxa" w:w="4464"/>
          </w:tcPr>
          <w:p>
            <w:r/>
            <w:r>
              <w:rPr>
                <w:sz w:val="20"/>
              </w:rPr>
              <w:t>A party cannot interfere with its own relationship; termination exercised a contractual right; no specific third-party expectancy identified; claim is derivative of the antitrust counts; ADA § 13.1 waiver of lost profits and § 13.2 cap</w:t>
            </w:r>
          </w:p>
        </w:tc>
      </w:tr>
    </w:tbl>
    <w:p/>
    <w:p>
      <w:pPr>
        <w:spacing w:after="120"/>
      </w:pPr>
      <w:r>
        <w:rPr>
          <w:b/>
        </w:rPr>
        <w:t xml:space="preserve">Damages. </w:t>
      </w:r>
      <w:r>
        <w:rPr>
          <w:i w:val="0"/>
        </w:rPr>
        <w:t>The $43.8 million figure is not credible. It applies a 72% "gross margin" (which the plaintiff’s own expert workbook says was used "[p]er counsel instruction" and was "applied directly to cost of goods purchased, not resale revenue") to PH’s $6.8 million of purchases from Greenfield. PH’s actual company-wide gross margin is 31.4% (FY2023). The claimed annual lost margin ($4.896 million) is 2.6 times PH’s total FY2023 operating income ($1.874 million) and four times its net income ($1.224 million). Correcting only the margin error, and before mitigation, disaggregation, or the contractual right to exit on 90 days’ notice, reduces the three-year single-damages figure from $14.6 million to roughly $9.3 million. Realistic damages, if any liability is found, are a small fraction of that (see Part VI).</w:t>
      </w:r>
    </w:p>
    <w:p>
      <w:pPr>
        <w:spacing w:after="120"/>
      </w:pPr>
      <w:r>
        <w:rPr>
          <w:b/>
        </w:rPr>
        <w:t xml:space="preserve">Strategy. </w:t>
      </w:r>
      <w:r>
        <w:rPr>
          <w:i w:val="0"/>
        </w:rPr>
        <w:t>Our recommended strategy: (1) issue a litigation hold immediately and run a privileged internal investigation focused on MAP enforcement practices, field-representative instructions, the MOTA conference, and all Greenfield contacts with Heartland and Great Lakes, including under the Heartland cross-supply agreement; (2) file a comprehensive motion to dismiss that relies on the documents incorporated in the Complaint; (3) evaluate a contract counterclaim and the ADA fee-shifting clause, but defer filing until the investigation is complete; (4) retain an economist now on market definition, foreclosure and damages; and (5) prepare early-resolution parameters once the motion is briefed. Details are in Part VIII.</w:t>
      </w:r>
    </w:p>
    <w:p>
      <w:pPr>
        <w:pStyle w:val="Heading1"/>
      </w:pPr>
      <w:r>
        <w:t>II. Documents Reviewed and Key Facts</w:t>
      </w:r>
    </w:p>
    <w:p>
      <w:pPr>
        <w:spacing w:after="120"/>
      </w:pPr>
      <w:r>
        <w:rPr>
          <w:i w:val="0"/>
        </w:rPr>
        <w:t>This memorandum is based on: (1) the verified Complaint (Sept. 4, 2024) and its exhibit list; (2) the ADA between Greenfield and PH, Agreement No. ADA-2021-0347 (Feb. 1, 2021), including Exhibits A (Territory), B (Volume Discounts) and C (MAP Policy Supplement); (3) Greenfield’s termination letter of March 15, 2024 (Alvarez to Brogan); (4) the Alvarez–Brogan email chain of Aug. 3, Sept. 19 and Nov. 8, 2023 (Complaint Ex. B); (5) the internal Heartland email from Kevin Marsh dated June 3, 2024 (Complaint Ex. C); and (6) PH’s financial workbook (P&amp;L Summary, Supplier Breakdown, and the Ridgeline Forensic Accounting Damages Model dated Aug. 22, 2024). We have not seen the Aldersgate market report (Ex. D), the enclosures to the termination letter, the Dec. 5, 2023 written 7.2 notice, or any Greenfield internal documents beyond these.</w:t>
      </w:r>
    </w:p>
    <w:p>
      <w:pPr>
        <w:pStyle w:val="Heading2"/>
      </w:pPr>
      <w:r>
        <w:t>A. Chronology</w:t>
      </w:r>
    </w:p>
    <w:tbl>
      <w:tblPr>
        <w:tblStyle w:val="TableGrid"/>
        <w:tblW w:type="auto" w:w="0"/>
        <w:tblLook w:firstColumn="1" w:firstRow="1" w:lastColumn="0" w:lastRow="0" w:noHBand="0" w:noVBand="1" w:val="04A0"/>
      </w:tblPr>
      <w:tblGrid>
        <w:gridCol w:w="3120"/>
        <w:gridCol w:w="3120"/>
        <w:gridCol w:w="3120"/>
      </w:tblGrid>
      <w:tr>
        <w:tc>
          <w:tcPr>
            <w:tcW w:type="dxa" w:w="1584"/>
            <w:shd w:val="clear" w:color="auto" w:fill="D9E2F3"/>
          </w:tcPr>
          <w:p>
            <w:r/>
            <w:r>
              <w:rPr>
                <w:b/>
                <w:sz w:val="20"/>
              </w:rPr>
              <w:t>Date</w:t>
            </w:r>
          </w:p>
        </w:tc>
        <w:tc>
          <w:tcPr>
            <w:tcW w:type="dxa" w:w="5760"/>
            <w:shd w:val="clear" w:color="auto" w:fill="D9E2F3"/>
          </w:tcPr>
          <w:p>
            <w:r/>
            <w:r>
              <w:rPr>
                <w:b/>
                <w:sz w:val="20"/>
              </w:rPr>
              <w:t>Event</w:t>
            </w:r>
          </w:p>
        </w:tc>
        <w:tc>
          <w:tcPr>
            <w:tcW w:type="dxa" w:w="2016"/>
            <w:shd w:val="clear" w:color="auto" w:fill="D9E2F3"/>
          </w:tcPr>
          <w:p>
            <w:r/>
            <w:r>
              <w:rPr>
                <w:b/>
                <w:sz w:val="20"/>
              </w:rPr>
              <w:t>Source</w:t>
            </w:r>
          </w:p>
        </w:tc>
      </w:tr>
      <w:tr>
        <w:tc>
          <w:tcPr>
            <w:tcW w:type="dxa" w:w="1584"/>
          </w:tcPr>
          <w:p>
            <w:r/>
            <w:r>
              <w:rPr>
                <w:sz w:val="20"/>
              </w:rPr>
              <w:t>Jan. 1, 2020</w:t>
            </w:r>
          </w:p>
        </w:tc>
        <w:tc>
          <w:tcPr>
            <w:tcW w:type="dxa" w:w="5760"/>
          </w:tcPr>
          <w:p>
            <w:r/>
            <w:r>
              <w:rPr>
                <w:sz w:val="20"/>
              </w:rPr>
              <w:t>Greenfield adopts standard-form ADA</w:t>
            </w:r>
          </w:p>
        </w:tc>
        <w:tc>
          <w:tcPr>
            <w:tcW w:type="dxa" w:w="2016"/>
          </w:tcPr>
          <w:p>
            <w:r/>
            <w:r>
              <w:rPr>
                <w:sz w:val="20"/>
              </w:rPr>
              <w:t>ADA § 15.9; Compl. ¶ 45</w:t>
            </w:r>
          </w:p>
        </w:tc>
      </w:tr>
      <w:tr>
        <w:tc>
          <w:tcPr>
            <w:tcW w:type="dxa" w:w="1584"/>
          </w:tcPr>
          <w:p>
            <w:r/>
            <w:r>
              <w:rPr>
                <w:sz w:val="20"/>
              </w:rPr>
              <w:t>Feb. 1, 2021</w:t>
            </w:r>
          </w:p>
        </w:tc>
        <w:tc>
          <w:tcPr>
            <w:tcW w:type="dxa" w:w="5760"/>
          </w:tcPr>
          <w:p>
            <w:r/>
            <w:r>
              <w:rPr>
                <w:sz w:val="20"/>
              </w:rPr>
              <w:t>PH signs ADA (3-year Initial Term to Jan. 31, 2024)</w:t>
            </w:r>
          </w:p>
        </w:tc>
        <w:tc>
          <w:tcPr>
            <w:tcW w:type="dxa" w:w="2016"/>
          </w:tcPr>
          <w:p>
            <w:r/>
            <w:r>
              <w:rPr>
                <w:sz w:val="20"/>
              </w:rPr>
              <w:t>ADA § 12.1</w:t>
            </w:r>
          </w:p>
        </w:tc>
      </w:tr>
      <w:tr>
        <w:tc>
          <w:tcPr>
            <w:tcW w:type="dxa" w:w="1584"/>
          </w:tcPr>
          <w:p>
            <w:r/>
            <w:r>
              <w:rPr>
                <w:sz w:val="20"/>
              </w:rPr>
              <w:t>Aug. 3, 2023</w:t>
            </w:r>
          </w:p>
        </w:tc>
        <w:tc>
          <w:tcPr>
            <w:tcW w:type="dxa" w:w="5760"/>
          </w:tcPr>
          <w:p>
            <w:r/>
            <w:r>
              <w:rPr>
                <w:sz w:val="20"/>
              </w:rPr>
              <w:t>Alvarez email no. 1: Quinoa Blend advertised at $8.99 in Springfield (MAP $11.49); friendly tone ("just an oversight")</w:t>
            </w:r>
          </w:p>
        </w:tc>
        <w:tc>
          <w:tcPr>
            <w:tcW w:type="dxa" w:w="2016"/>
          </w:tcPr>
          <w:p>
            <w:r/>
            <w:r>
              <w:rPr>
                <w:sz w:val="20"/>
              </w:rPr>
              <w:t>Ex. B chain</w:t>
            </w:r>
          </w:p>
        </w:tc>
      </w:tr>
      <w:tr>
        <w:tc>
          <w:tcPr>
            <w:tcW w:type="dxa" w:w="1584"/>
          </w:tcPr>
          <w:p>
            <w:r/>
            <w:r>
              <w:rPr>
                <w:sz w:val="20"/>
              </w:rPr>
              <w:t>Sept. 19, 2023</w:t>
            </w:r>
          </w:p>
        </w:tc>
        <w:tc>
          <w:tcPr>
            <w:tcW w:type="dxa" w:w="5760"/>
          </w:tcPr>
          <w:p>
            <w:r/>
            <w:r>
              <w:rPr>
                <w:sz w:val="20"/>
              </w:rPr>
              <w:t>Alvarez email no. 2: Quinoa Blend advertised at $8.49 in Champaign; "We need this corrected."</w:t>
            </w:r>
          </w:p>
        </w:tc>
        <w:tc>
          <w:tcPr>
            <w:tcW w:type="dxa" w:w="2016"/>
          </w:tcPr>
          <w:p>
            <w:r/>
            <w:r>
              <w:rPr>
                <w:sz w:val="20"/>
              </w:rPr>
              <w:t>Ex. B chain</w:t>
            </w:r>
          </w:p>
        </w:tc>
      </w:tr>
      <w:tr>
        <w:tc>
          <w:tcPr>
            <w:tcW w:type="dxa" w:w="1584"/>
          </w:tcPr>
          <w:p>
            <w:r/>
            <w:r>
              <w:rPr>
                <w:sz w:val="20"/>
              </w:rPr>
              <w:t>Q3 2023</w:t>
            </w:r>
          </w:p>
        </w:tc>
        <w:tc>
          <w:tcPr>
            <w:tcW w:type="dxa" w:w="5760"/>
          </w:tcPr>
          <w:p>
            <w:r/>
            <w:r>
              <w:rPr>
                <w:sz w:val="20"/>
              </w:rPr>
              <w:t>PH’s Greenfield share of O&amp;N purchases ~58% (per Greenfield)</w:t>
            </w:r>
          </w:p>
        </w:tc>
        <w:tc>
          <w:tcPr>
            <w:tcW w:type="dxa" w:w="2016"/>
          </w:tcPr>
          <w:p>
            <w:r/>
            <w:r>
              <w:rPr>
                <w:sz w:val="20"/>
              </w:rPr>
              <w:t>Term. letter</w:t>
            </w:r>
          </w:p>
        </w:tc>
      </w:tr>
      <w:tr>
        <w:tc>
          <w:tcPr>
            <w:tcW w:type="dxa" w:w="1584"/>
          </w:tcPr>
          <w:p>
            <w:r/>
            <w:r>
              <w:rPr>
                <w:sz w:val="20"/>
              </w:rPr>
              <w:t>Oct. 12, 2023</w:t>
            </w:r>
          </w:p>
        </w:tc>
        <w:tc>
          <w:tcPr>
            <w:tcW w:type="dxa" w:w="5760"/>
          </w:tcPr>
          <w:p>
            <w:r/>
            <w:r>
              <w:rPr>
                <w:sz w:val="20"/>
              </w:rPr>
              <w:t>Verbal notice to Brogan of 7.2 shortfall</w:t>
            </w:r>
          </w:p>
        </w:tc>
        <w:tc>
          <w:tcPr>
            <w:tcW w:type="dxa" w:w="2016"/>
          </w:tcPr>
          <w:p>
            <w:r/>
            <w:r>
              <w:rPr>
                <w:sz w:val="20"/>
              </w:rPr>
              <w:t>Term. letter</w:t>
            </w:r>
          </w:p>
        </w:tc>
      </w:tr>
      <w:tr>
        <w:tc>
          <w:tcPr>
            <w:tcW w:type="dxa" w:w="1584"/>
          </w:tcPr>
          <w:p>
            <w:r/>
            <w:r>
              <w:rPr>
                <w:sz w:val="20"/>
              </w:rPr>
              <w:t>Nov. 2, 2023</w:t>
            </w:r>
          </w:p>
        </w:tc>
        <w:tc>
          <w:tcPr>
            <w:tcW w:type="dxa" w:w="5760"/>
          </w:tcPr>
          <w:p>
            <w:r/>
            <w:r>
              <w:rPr>
                <w:sz w:val="20"/>
              </w:rPr>
              <w:t>Non-renewal deadline for Initial Term passes; no notice given by either side</w:t>
            </w:r>
          </w:p>
        </w:tc>
        <w:tc>
          <w:tcPr>
            <w:tcW w:type="dxa" w:w="2016"/>
          </w:tcPr>
          <w:p>
            <w:r/>
            <w:r>
              <w:rPr>
                <w:sz w:val="20"/>
              </w:rPr>
              <w:t>ADA § 12.2</w:t>
            </w:r>
          </w:p>
        </w:tc>
      </w:tr>
      <w:tr>
        <w:tc>
          <w:tcPr>
            <w:tcW w:type="dxa" w:w="1584"/>
          </w:tcPr>
          <w:p>
            <w:r/>
            <w:r>
              <w:rPr>
                <w:sz w:val="20"/>
              </w:rPr>
              <w:t>Nov. 8, 2023</w:t>
            </w:r>
          </w:p>
        </w:tc>
        <w:tc>
          <w:tcPr>
            <w:tcW w:type="dxa" w:w="5760"/>
          </w:tcPr>
          <w:p>
            <w:r/>
            <w:r>
              <w:rPr>
                <w:sz w:val="20"/>
              </w:rPr>
              <w:t>Alvarez email no. 3 ("Third Notice"): $7.99 advertised at Champaign, Decatur, Springfield; "More importantly ... actually selling it at that price point in-store"; reference to § 9.3; reference to two other dealers’ complaints</w:t>
            </w:r>
          </w:p>
        </w:tc>
        <w:tc>
          <w:tcPr>
            <w:tcW w:type="dxa" w:w="2016"/>
          </w:tcPr>
          <w:p>
            <w:r/>
            <w:r>
              <w:rPr>
                <w:sz w:val="20"/>
              </w:rPr>
              <w:t>Ex. B</w:t>
            </w:r>
          </w:p>
        </w:tc>
      </w:tr>
      <w:tr>
        <w:tc>
          <w:tcPr>
            <w:tcW w:type="dxa" w:w="1584"/>
          </w:tcPr>
          <w:p>
            <w:r/>
            <w:r>
              <w:rPr>
                <w:sz w:val="20"/>
              </w:rPr>
              <w:t>Dec. 5, 2023</w:t>
            </w:r>
          </w:p>
        </w:tc>
        <w:tc>
          <w:tcPr>
            <w:tcW w:type="dxa" w:w="5760"/>
          </w:tcPr>
          <w:p>
            <w:r/>
            <w:r>
              <w:rPr>
                <w:sz w:val="20"/>
              </w:rPr>
              <w:t>"Formal written notice" of 7.2 shortfall (not in our file)</w:t>
            </w:r>
          </w:p>
        </w:tc>
        <w:tc>
          <w:tcPr>
            <w:tcW w:type="dxa" w:w="2016"/>
          </w:tcPr>
          <w:p>
            <w:r/>
            <w:r>
              <w:rPr>
                <w:sz w:val="20"/>
              </w:rPr>
              <w:t>Term. letter</w:t>
            </w:r>
          </w:p>
        </w:tc>
      </w:tr>
      <w:tr>
        <w:tc>
          <w:tcPr>
            <w:tcW w:type="dxa" w:w="1584"/>
          </w:tcPr>
          <w:p>
            <w:r/>
            <w:r>
              <w:rPr>
                <w:sz w:val="20"/>
              </w:rPr>
              <w:t>Q4 2023 / Jan. 2024</w:t>
            </w:r>
          </w:p>
        </w:tc>
        <w:tc>
          <w:tcPr>
            <w:tcW w:type="dxa" w:w="5760"/>
          </w:tcPr>
          <w:p>
            <w:r/>
            <w:r>
              <w:rPr>
                <w:sz w:val="20"/>
              </w:rPr>
              <w:t>Greenfield share ~52% / ~49%</w:t>
            </w:r>
          </w:p>
        </w:tc>
        <w:tc>
          <w:tcPr>
            <w:tcW w:type="dxa" w:w="2016"/>
          </w:tcPr>
          <w:p>
            <w:r/>
            <w:r>
              <w:rPr>
                <w:sz w:val="20"/>
              </w:rPr>
              <w:t>Term. letter</w:t>
            </w:r>
          </w:p>
        </w:tc>
      </w:tr>
      <w:tr>
        <w:tc>
          <w:tcPr>
            <w:tcW w:type="dxa" w:w="1584"/>
          </w:tcPr>
          <w:p>
            <w:r/>
            <w:r>
              <w:rPr>
                <w:sz w:val="20"/>
              </w:rPr>
              <w:t>Feb. 1, 2024</w:t>
            </w:r>
          </w:p>
        </w:tc>
        <w:tc>
          <w:tcPr>
            <w:tcW w:type="dxa" w:w="5760"/>
          </w:tcPr>
          <w:p>
            <w:r/>
            <w:r>
              <w:rPr>
                <w:sz w:val="20"/>
              </w:rPr>
              <w:t>ADA auto-renews to Jan. 31, 2025</w:t>
            </w:r>
          </w:p>
        </w:tc>
        <w:tc>
          <w:tcPr>
            <w:tcW w:type="dxa" w:w="2016"/>
          </w:tcPr>
          <w:p>
            <w:r/>
            <w:r>
              <w:rPr>
                <w:sz w:val="20"/>
              </w:rPr>
              <w:t>ADA § 12.2; Compl. ¶ 54</w:t>
            </w:r>
          </w:p>
        </w:tc>
      </w:tr>
      <w:tr>
        <w:tc>
          <w:tcPr>
            <w:tcW w:type="dxa" w:w="1584"/>
          </w:tcPr>
          <w:p>
            <w:r/>
            <w:r>
              <w:rPr>
                <w:sz w:val="20"/>
              </w:rPr>
              <w:t>Mar. 15, 2024</w:t>
            </w:r>
          </w:p>
        </w:tc>
        <w:tc>
          <w:tcPr>
            <w:tcW w:type="dxa" w:w="5760"/>
          </w:tcPr>
          <w:p>
            <w:r/>
            <w:r>
              <w:rPr>
                <w:sz w:val="20"/>
              </w:rPr>
              <w:t>Termination for cause under § 12.4, effective Apr. 30, 2024 (46 days’ notice)</w:t>
            </w:r>
          </w:p>
        </w:tc>
        <w:tc>
          <w:tcPr>
            <w:tcW w:type="dxa" w:w="2016"/>
          </w:tcPr>
          <w:p>
            <w:r/>
            <w:r>
              <w:rPr>
                <w:sz w:val="20"/>
              </w:rPr>
              <w:t>Term. letter</w:t>
            </w:r>
          </w:p>
        </w:tc>
      </w:tr>
      <w:tr>
        <w:tc>
          <w:tcPr>
            <w:tcW w:type="dxa" w:w="1584"/>
          </w:tcPr>
          <w:p>
            <w:r/>
            <w:r>
              <w:rPr>
                <w:sz w:val="20"/>
              </w:rPr>
              <w:t>Apr. 12–14, 2024</w:t>
            </w:r>
          </w:p>
        </w:tc>
        <w:tc>
          <w:tcPr>
            <w:tcW w:type="dxa" w:w="5760"/>
          </w:tcPr>
          <w:p>
            <w:r/>
            <w:r>
              <w:rPr>
                <w:sz w:val="20"/>
              </w:rPr>
              <w:t>MOTA Annual Conference, Milwaukee (alleged locus of conspiracy)</w:t>
            </w:r>
          </w:p>
        </w:tc>
        <w:tc>
          <w:tcPr>
            <w:tcW w:type="dxa" w:w="2016"/>
          </w:tcPr>
          <w:p>
            <w:r/>
            <w:r>
              <w:rPr>
                <w:sz w:val="20"/>
              </w:rPr>
              <w:t>Compl. ¶¶ 82–85</w:t>
            </w:r>
          </w:p>
        </w:tc>
      </w:tr>
      <w:tr>
        <w:tc>
          <w:tcPr>
            <w:tcW w:type="dxa" w:w="1584"/>
          </w:tcPr>
          <w:p>
            <w:r/>
            <w:r>
              <w:rPr>
                <w:sz w:val="20"/>
              </w:rPr>
              <w:t>Late May 2024</w:t>
            </w:r>
          </w:p>
        </w:tc>
        <w:tc>
          <w:tcPr>
            <w:tcW w:type="dxa" w:w="5760"/>
          </w:tcPr>
          <w:p>
            <w:r/>
            <w:r>
              <w:rPr>
                <w:sz w:val="20"/>
              </w:rPr>
              <w:t>PH applies to Heartland and Great Lakes, disclosing the Greenfield termination</w:t>
            </w:r>
          </w:p>
        </w:tc>
        <w:tc>
          <w:tcPr>
            <w:tcW w:type="dxa" w:w="2016"/>
          </w:tcPr>
          <w:p>
            <w:r/>
            <w:r>
              <w:rPr>
                <w:sz w:val="20"/>
              </w:rPr>
              <w:t>Ex. C; Compl. ¶ 89</w:t>
            </w:r>
          </w:p>
        </w:tc>
      </w:tr>
      <w:tr>
        <w:tc>
          <w:tcPr>
            <w:tcW w:type="dxa" w:w="1584"/>
          </w:tcPr>
          <w:p>
            <w:r/>
            <w:r>
              <w:rPr>
                <w:sz w:val="20"/>
              </w:rPr>
              <w:t>June 3, 2024</w:t>
            </w:r>
          </w:p>
        </w:tc>
        <w:tc>
          <w:tcPr>
            <w:tcW w:type="dxa" w:w="5760"/>
          </w:tcPr>
          <w:p>
            <w:r/>
            <w:r>
              <w:rPr>
                <w:sz w:val="20"/>
              </w:rPr>
              <w:t>Marsh email: enhanced due diligence before onboarding; "happy to proceed" if PH clears</w:t>
            </w:r>
          </w:p>
        </w:tc>
        <w:tc>
          <w:tcPr>
            <w:tcW w:type="dxa" w:w="2016"/>
          </w:tcPr>
          <w:p>
            <w:r/>
            <w:r>
              <w:rPr>
                <w:sz w:val="20"/>
              </w:rPr>
              <w:t>Ex. C</w:t>
            </w:r>
          </w:p>
        </w:tc>
      </w:tr>
      <w:tr>
        <w:tc>
          <w:tcPr>
            <w:tcW w:type="dxa" w:w="1584"/>
          </w:tcPr>
          <w:p>
            <w:r/>
            <w:r>
              <w:rPr>
                <w:sz w:val="20"/>
              </w:rPr>
              <w:t>Aug. 22, 2024</w:t>
            </w:r>
          </w:p>
        </w:tc>
        <w:tc>
          <w:tcPr>
            <w:tcW w:type="dxa" w:w="5760"/>
          </w:tcPr>
          <w:p>
            <w:r/>
            <w:r>
              <w:rPr>
                <w:sz w:val="20"/>
              </w:rPr>
              <w:t>Ridgeline damages model</w:t>
            </w:r>
          </w:p>
        </w:tc>
        <w:tc>
          <w:tcPr>
            <w:tcW w:type="dxa" w:w="2016"/>
          </w:tcPr>
          <w:p>
            <w:r/>
            <w:r>
              <w:rPr>
                <w:sz w:val="20"/>
              </w:rPr>
              <w:t>Workbook</w:t>
            </w:r>
          </w:p>
        </w:tc>
      </w:tr>
      <w:tr>
        <w:tc>
          <w:tcPr>
            <w:tcW w:type="dxa" w:w="1584"/>
          </w:tcPr>
          <w:p>
            <w:r/>
            <w:r>
              <w:rPr>
                <w:sz w:val="20"/>
              </w:rPr>
              <w:t>Sept. 4, 2024</w:t>
            </w:r>
          </w:p>
        </w:tc>
        <w:tc>
          <w:tcPr>
            <w:tcW w:type="dxa" w:w="5760"/>
          </w:tcPr>
          <w:p>
            <w:r/>
            <w:r>
              <w:rPr>
                <w:sz w:val="20"/>
              </w:rPr>
              <w:t>Complaint filed</w:t>
            </w:r>
          </w:p>
        </w:tc>
        <w:tc>
          <w:tcPr>
            <w:tcW w:type="dxa" w:w="2016"/>
          </w:tcPr>
          <w:p>
            <w:r/>
            <w:r>
              <w:rPr>
                <w:sz w:val="20"/>
              </w:rPr>
              <w:t>Complaint</w:t>
            </w:r>
          </w:p>
        </w:tc>
      </w:tr>
    </w:tbl>
    <w:p/>
    <w:p>
      <w:pPr>
        <w:pStyle w:val="Heading2"/>
      </w:pPr>
      <w:r>
        <w:t>B. Key ADA provisions (many omitted or mischaracterized in the Complaint)</w:t>
      </w:r>
    </w:p>
    <w:p>
      <w:pPr>
        <w:pStyle w:val="ListBullet"/>
        <w:spacing w:after="60"/>
      </w:pPr>
      <w:r>
        <w:rPr>
          <w:b/>
        </w:rPr>
        <w:t>§ 2.1 / Ex. A:</w:t>
      </w:r>
      <w:r>
        <w:t xml:space="preserve"> Appointment is non-exclusive; Greenfield may appoint other dealers in the territory.</w:t>
      </w:r>
    </w:p>
    <w:p>
      <w:pPr>
        <w:pStyle w:val="ListBullet"/>
        <w:spacing w:after="60"/>
      </w:pPr>
      <w:r>
        <w:rPr>
          <w:b/>
        </w:rPr>
        <w:t>§ 7.2:</w:t>
      </w:r>
      <w:r>
        <w:t xml:space="preserve"> At least 70% of Dealer’s "Organic and Natural Food Products" purchases by dollar volume from Greenfield, measured on a rolling 12-month basis; the clause recites justifications (service levels, upstream purchasing leverage, inventory and logistics planning) and reciprocal benefits (volume discounts, priority allocation, marketing support).</w:t>
      </w:r>
    </w:p>
    <w:p>
      <w:pPr>
        <w:pStyle w:val="ListBullet"/>
        <w:spacing w:after="60"/>
      </w:pPr>
      <w:r>
        <w:rPr>
          <w:b/>
        </w:rPr>
        <w:t>§ 7.3:</w:t>
      </w:r>
      <w:r>
        <w:t xml:space="preserve"> Exclusions for specialty, local, artisanal or small-batch products not in Greenfield’s catalog; products Greenfield cannot supply within 15 business days; de minimis purchases; and force majeure periods.</w:t>
      </w:r>
    </w:p>
    <w:p>
      <w:pPr>
        <w:pStyle w:val="ListBullet"/>
        <w:spacing w:after="60"/>
      </w:pPr>
      <w:r>
        <w:rPr>
          <w:b/>
        </w:rPr>
        <w:t>§ 9.1:</w:t>
      </w:r>
      <w:r>
        <w:t xml:space="preserve"> MAP restricts only advertised prices of Greenfield-Branded Products and expressly "does not govern the actual transaction price at which Dealer sells products to consumers in the ordinary course of in-store retail transactions." In-store signage counts as advertising only if visible from outside the store.</w:t>
      </w:r>
    </w:p>
    <w:p>
      <w:pPr>
        <w:pStyle w:val="ListBullet"/>
        <w:spacing w:after="60"/>
      </w:pPr>
      <w:r>
        <w:rPr>
          <w:b/>
        </w:rPr>
        <w:t>§ 9.3:</w:t>
      </w:r>
      <w:r>
        <w:t xml:space="preserve"> Termination on 30 days’ notice for consistent sales at prices that "materially undermine Greenfield’s brand positioning", but with the acknowledgment that "retail pricing is ultimately within Dealer’s discretion," limited to "persistent and egregious" practices, and a precondition of good-faith discussions. The Complaint quotes only the first sentence.</w:t>
      </w:r>
    </w:p>
    <w:p>
      <w:pPr>
        <w:pStyle w:val="ListBullet"/>
        <w:spacing w:after="60"/>
      </w:pPr>
      <w:r>
        <w:rPr>
          <w:b/>
        </w:rPr>
        <w:t>§ 9.4:</w:t>
      </w:r>
      <w:r>
        <w:t xml:space="preserve"> No restriction on pricing above MAP.</w:t>
      </w:r>
    </w:p>
    <w:p>
      <w:pPr>
        <w:pStyle w:val="ListBullet"/>
        <w:spacing w:after="60"/>
      </w:pPr>
      <w:r>
        <w:rPr>
          <w:b/>
        </w:rPr>
        <w:t>§ 12.3:</w:t>
      </w:r>
      <w:r>
        <w:t xml:space="preserve"> Either party may terminate without cause on 90 days’ notice during any Renewal Term. The Complaint omits this entirely and wrongly describes § 12.2 (automatic renewal) as a "default termination provision" (Compl. ¶ 102).</w:t>
      </w:r>
    </w:p>
    <w:p>
      <w:pPr>
        <w:pStyle w:val="ListBullet"/>
        <w:spacing w:after="60"/>
      </w:pPr>
      <w:r>
        <w:rPr>
          <w:b/>
        </w:rPr>
        <w:t>§ 12.4:</w:t>
      </w:r>
      <w:r>
        <w:t xml:space="preserve"> For cause on 30 days’ notice, including (d) repeated MAP or 7.2 violations (three or more instances in a rolling 12 months) after at least two prior written notices. No cure period applies under (d). The Complaint misquotes § 12.4 as a single cure-based provision (¶ 102).</w:t>
      </w:r>
    </w:p>
    <w:p>
      <w:pPr>
        <w:pStyle w:val="ListBullet"/>
        <w:spacing w:after="60"/>
      </w:pPr>
      <w:r>
        <w:rPr>
          <w:b/>
        </w:rPr>
        <w:t>§§ 13.1–13.3:</w:t>
      </w:r>
      <w:r>
        <w:t xml:space="preserve"> Mutual waiver of consequential damages including lost profits "whether based on contract, tort ... or any other legal or equitable theory"; aggregate liability cap equal to the prior 12 months’ payments; exclusions for willful misconduct, fraud and gross negligence.</w:t>
      </w:r>
    </w:p>
    <w:p>
      <w:pPr>
        <w:pStyle w:val="ListBullet"/>
        <w:spacing w:after="60"/>
      </w:pPr>
      <w:r>
        <w:rPr>
          <w:b/>
        </w:rPr>
        <w:t>§§ 14.1–14.4:</w:t>
      </w:r>
      <w:r>
        <w:t xml:space="preserve"> Illinois law; 30-day senior-executive negotiation before "any formal legal proceeding"; exclusive Cook County (state or federal) forum; prevailing-party attorneys’ fees.</w:t>
      </w:r>
    </w:p>
    <w:p>
      <w:pPr>
        <w:pStyle w:val="ListBullet"/>
        <w:spacing w:after="60"/>
      </w:pPr>
      <w:r>
        <w:rPr>
          <w:b/>
        </w:rPr>
        <w:t>Ex. C (MAP Supplement):</w:t>
      </w:r>
      <w:r>
        <w:t xml:space="preserve"> MAP monitoring is "not intended to restrict Dealer’s independent pricing discretion at the point of sale"; graduated enforcement process; § 5 states the policy "does not establish a minimum resale price."</w:t>
      </w:r>
    </w:p>
    <w:p>
      <w:pPr>
        <w:pStyle w:val="Heading1"/>
      </w:pPr>
      <w:r>
        <w:t>III. Cross-Cutting Analytical and Factual Errors in the Complaint</w:t>
      </w:r>
    </w:p>
    <w:p>
      <w:pPr>
        <w:spacing w:after="120"/>
      </w:pPr>
      <w:r>
        <w:rPr>
          <w:i w:val="0"/>
        </w:rPr>
        <w:t>Each of the following errors is relevant to more than one count and should be developed in the motion to dismiss (where the error appears on the face of the Complaint or in incorporated documents) or reserved for expert and summary-judgment phases (where it depends on PH’s workbook or discovery).</w:t>
      </w:r>
    </w:p>
    <w:p>
      <w:pPr>
        <w:pStyle w:val="Heading2"/>
      </w:pPr>
      <w:r>
        <w:t>A. The HHI of 3,730 is fabricated</w:t>
      </w:r>
    </w:p>
    <w:p>
      <w:pPr>
        <w:spacing w:after="120"/>
      </w:pPr>
      <w:r>
        <w:rPr>
          <w:i w:val="0"/>
        </w:rPr>
        <w:t>The Complaint (¶ 43) computes HHI as 48² + 9² + 7² + 36² = 3,730. This contains two independent errors. First, it collapses Greenfield, Heartland and Great Lakes into a single 48% firm "consistent with their demonstrated pattern of coordinated conduct." That assumes the very conspiracy the plaintiff must prove. HHI measures the structure of independent firms; it is not evidence of coordination. Second, it treats the approximately 40 fringe distributors, which hold 36% collectively, as one firm, which inflates the index by roughly 1,264 points on its own. Correctly computed from the Complaint’s own share table, the five named firms contribute 22² + 15² + 11² + 9² + 7² = 960. Even if the 36% fringe were spread across 40 equal firms (0.9% each), they would add only about 32 points, for a total HHI of roughly 990.</w:t>
      </w:r>
    </w:p>
    <w:p>
      <w:pPr>
        <w:spacing w:after="120"/>
      </w:pPr>
      <w:r>
        <w:rPr>
          <w:i w:val="0"/>
        </w:rPr>
        <w:t>An HHI of about 990 is unconcentrated under both the 2010 Horizontal Merger Guidelines the Complaint cites (below 1,500) and the 2023 Merger Guidelines that superseded them (highly concentrated is above 1,800, not 2,500; the Complaint relies on a superseded threshold). HHI is in any event a merger-screening tool. Plaintiff’s own numbers therefore describe a fragmented market of about 45 distributors in which no firm holds more than 22%. That undercuts market power for every count. It also undercuts the "oligopolistic structure" said to facilitate coordination (¶¶ 39–44), since three firms with a combined 48% leave 52% of the market to independent rivals.</w:t>
      </w:r>
    </w:p>
    <w:p>
      <w:pPr>
        <w:pStyle w:val="Heading2"/>
      </w:pPr>
      <w:r>
        <w:t>B. The 15.4% foreclosure figure is miscalculated and legally insufficient</w:t>
      </w:r>
    </w:p>
    <w:p>
      <w:pPr>
        <w:spacing w:after="120"/>
      </w:pPr>
      <w:r>
        <w:rPr>
          <w:i w:val="0"/>
        </w:rPr>
        <w:t>The Complaint multiplies Greenfield’s 22% market share by the 70% purchase requirement (¶¶ 57, 124, 185). The arithmetic is internally inconsistent and economically wrong:</w:t>
      </w:r>
    </w:p>
    <w:p>
      <w:pPr>
        <w:pStyle w:val="ListBullet"/>
        <w:spacing w:after="60"/>
      </w:pPr>
      <w:r>
        <w:rPr>
          <w:b/>
        </w:rPr>
        <w:t>Not all of Greenfield’s accounts are under ADAs.</w:t>
      </w:r>
      <w:r>
        <w:t xml:space="preserve"> By the Complaint’s own allegations only about 1,900 of 2,800 accounts (68%) have signed ADAs (¶ 51). Applying 22% to all of Greenfield’s volume assumes every account is bound. Even accepting the plaintiff’s method and assuming proportional volume, the figure would be about 22% × 68% × 70% ≈ 10.5%.</w:t>
      </w:r>
    </w:p>
    <w:p>
      <w:pPr>
        <w:pStyle w:val="ListBullet"/>
        <w:spacing w:after="60"/>
      </w:pPr>
      <w:r>
        <w:rPr>
          <w:b/>
        </w:rPr>
        <w:t>It counts sales won on the merits.</w:t>
      </w:r>
      <w:r>
        <w:t xml:space="preserve"> Foreclosure measures the share of the market made unavailable to rivals by the restraint. Volume that ADA dealers would buy from Greenfield anyway, because of its price, breadth (12,000+ SKUs) or service, is not foreclosed by the contract. Multiplying total share by the contractual percentage treats all of Greenfield’s ADA sales as coerced.</w:t>
      </w:r>
    </w:p>
    <w:p>
      <w:pPr>
        <w:pStyle w:val="ListBullet"/>
        <w:spacing w:after="60"/>
      </w:pPr>
      <w:r>
        <w:rPr>
          <w:b/>
        </w:rPr>
        <w:t>It ignores § 7.3 and the 30% that remains open.</w:t>
      </w:r>
      <w:r>
        <w:t xml:space="preserve"> The § 7.3 exclusions (specialty, local and artisanal products, products Greenfield cannot supply within 15 business days, de minimis purchases) further reduce the committed volume. The 70% is measured against a broad denominator ("Organic and Natural Food Products" from any source), and 30% always remains open to rivals.</w:t>
      </w:r>
    </w:p>
    <w:p>
      <w:pPr>
        <w:pStyle w:val="ListBullet"/>
        <w:spacing w:after="60"/>
      </w:pPr>
      <w:r>
        <w:rPr>
          <w:b/>
        </w:rPr>
        <w:t>It ignores duration and terminability.</w:t>
      </w:r>
      <w:r>
        <w:t xml:space="preserve"> The ADA is terminable without cause on 90 days’ notice by the dealer during any Renewal Term (§ 12.3), and renewals are only one year. A rival can bid for any ADA dealer’s business at least once a year and, in practice, at any time on 90 days’ notice. The Seventh Circuit treats short-term, terminable exclusive contracts as presenting little foreclosure risk. See Roland Machinery Co. v. Dresser Industries, Inc., 749 F.2d 380 (7th Cir. 1984); Republic Tobacco Co. v. North Atlantic Trading Co., 381 F.3d 717 (7th Cir. 2004); Methodist Health Services Corp. v. OSF Healthcare System, 859 F.3d 408 (7th Cir. 2017). The Complaint calls the arrangement a three-year lock-up (¶¶ 50, 127) and never mentions § 12.3.</w:t>
      </w:r>
    </w:p>
    <w:p>
      <w:pPr>
        <w:pStyle w:val="ListBullet"/>
        <w:spacing w:after="60"/>
      </w:pPr>
      <w:r>
        <w:rPr>
          <w:b/>
        </w:rPr>
        <w:t>It is legally insufficient.</w:t>
      </w:r>
      <w:r>
        <w:t xml:space="preserve"> The assertion that foreclosure "as low as 10%" suffices (¶ 58) is unsupported; no case is cited. Courts generally look for foreclosure in the range of 30–40% or more before exclusive dealing raises concern, and even then only together with high entry barriers and long, non-terminable terms (see, e.g., Jefferson Parish Hospital District No. 2 v. Hyde, 466 U.S. 2, 45 (1984) (O’Connor, J., concurring) (30% foreclosure insufficient); Tampa Electric Co. v. Nashville Coal Co., 365 U.S. 320 (1961)). Partial-exclusivity cases that have succeeded involved near-monopolists (e.g., ZF Meritor, LLC v. Eaton Corp., 696 F.3d 254 (3d Cir. 2012), roughly 90% share). Cite-check all authorities before filing.</w:t>
      </w:r>
    </w:p>
    <w:p>
      <w:pPr>
        <w:pStyle w:val="Heading2"/>
      </w:pPr>
      <w:r>
        <w:t>C. The market share and "dominance" allegations contradict themselves</w:t>
      </w:r>
    </w:p>
    <w:p>
      <w:pPr>
        <w:pStyle w:val="ListBullet"/>
        <w:spacing w:after="60"/>
      </w:pPr>
      <w:r>
        <w:t xml:space="preserve"> The Complaint calls Greenfield "one of the five largest" distributors (¶¶ 3, 13) yet also says it "wields dominant market power" and "monopoly power" (¶¶ 3, 36, 163). A 22% share facing rivals of 15%, 11%, 9% and 7% plus a 36% fringe is not dominance.</w:t>
      </w:r>
    </w:p>
    <w:p>
      <w:pPr>
        <w:pStyle w:val="ListBullet"/>
        <w:spacing w:after="60"/>
      </w:pPr>
      <w:r>
        <w:t xml:space="preserve"> Share growth from 14% (2017) to 22% (2023) is attributed to the ADA program (¶¶ 38, 189), but the growth began three years before the ADA was adopted (Jan. 1, 2020). Growth by itself is consistent with competition on the merits, and the fringe remains large (36%).</w:t>
      </w:r>
    </w:p>
    <w:p>
      <w:pPr>
        <w:pStyle w:val="ListBullet"/>
        <w:spacing w:after="60"/>
      </w:pPr>
      <w:r>
        <w:t xml:space="preserve"> The trajectory projection ("approach 30% within the next five years", ¶ 174) is roughly linear extrapolation: about 1.33 points per year yields about 28.7% in five years. That is still below any attempted-monopolization threshold.</w:t>
      </w:r>
    </w:p>
    <w:p>
      <w:pPr>
        <w:pStyle w:val="ListBullet"/>
        <w:spacing w:after="60"/>
      </w:pPr>
      <w:r>
        <w:t xml:space="preserve"> The revenue figures in ¶ 34 imply Great Lakes holds 10.3% ($228M / $2,207M), not 11%, so the "Big Three" hold 47.8%. The point is minor, but it shows that the shares were rounded upward.</w:t>
      </w:r>
    </w:p>
    <w:p>
      <w:pPr>
        <w:pStyle w:val="Heading2"/>
      </w:pPr>
      <w:r>
        <w:t>D. Market definition is contradicted by PH’s own purchasing pattern</w:t>
      </w:r>
    </w:p>
    <w:p>
      <w:pPr>
        <w:spacing w:after="120"/>
      </w:pPr>
      <w:r>
        <w:rPr>
          <w:i w:val="0"/>
        </w:rPr>
        <w:t>The alleged product market is "organic and natural food wholesale distribution services," supposedly not interchangeable with conventional distribution (¶¶ 32–33, relying on the plaintiff-retained Aldersgate summary). PH’s own Supplier Breakdown shows that in FY2023 it bought only $10.05 million (38% of COGS) from the five organic-specialist distributors. The other $16.2 million came from conventional or mixed suppliers, several of which carry organic and natural lines: Midwest Fresh Produce Cooperative ("some organic local produce"), Heritage Bakehouse ("some organic lines"), Prairie State Beverage ("natural beverages, kombucha"), and 14 other vendors including local farms and direct-to-store arrangements. That is direct evidence of supply-side and demand-side substitution, and of a retailer successfully multi-sourcing from about 23 vendors. The geographic market (six states) is also unexplained relative to a plaintiff whose stores are all in central and southern Illinois. A narrower market is double-edged, however, because Greenfield’s local share could be higher, so we should pressure-test it with our economist before pressing that point. The pleading-stage argument is that the market is defined by the plaintiff’s retained expert in conclusory terms. The stronger attack comes at the expert stage.</w:t>
      </w:r>
    </w:p>
    <w:p>
      <w:pPr>
        <w:pStyle w:val="Heading2"/>
      </w:pPr>
      <w:r>
        <w:t>E. The Complaint’s factual premises are contradicted by PH’s own financial data</w:t>
      </w:r>
    </w:p>
    <w:tbl>
      <w:tblPr>
        <w:tblStyle w:val="TableGrid"/>
        <w:tblW w:type="auto" w:w="0"/>
        <w:tblLook w:firstColumn="1" w:firstRow="1" w:lastColumn="0" w:lastRow="0" w:noHBand="0" w:noVBand="1" w:val="04A0"/>
      </w:tblPr>
      <w:tblGrid>
        <w:gridCol w:w="4680"/>
        <w:gridCol w:w="4680"/>
      </w:tblGrid>
      <w:tr>
        <w:tc>
          <w:tcPr>
            <w:tcW w:type="dxa" w:w="3744"/>
            <w:shd w:val="clear" w:color="auto" w:fill="D9E2F3"/>
          </w:tcPr>
          <w:p>
            <w:r/>
            <w:r>
              <w:rPr>
                <w:b/>
                <w:sz w:val="20"/>
              </w:rPr>
              <w:t>Complaint allegation</w:t>
            </w:r>
          </w:p>
        </w:tc>
        <w:tc>
          <w:tcPr>
            <w:tcW w:type="dxa" w:w="5616"/>
            <w:shd w:val="clear" w:color="auto" w:fill="D9E2F3"/>
          </w:tcPr>
          <w:p>
            <w:r/>
            <w:r>
              <w:rPr>
                <w:b/>
                <w:sz w:val="20"/>
              </w:rPr>
              <w:t>What the record shows</w:t>
            </w:r>
          </w:p>
        </w:tc>
      </w:tr>
      <w:tr>
        <w:tc>
          <w:tcPr>
            <w:tcW w:type="dxa" w:w="3744"/>
          </w:tcPr>
          <w:p>
            <w:r/>
            <w:r>
              <w:rPr>
                <w:sz w:val="20"/>
              </w:rPr>
              <w:t>PH "depended on Greenfield for the majority of its product sourcing" (¶ 4)</w:t>
            </w:r>
          </w:p>
        </w:tc>
        <w:tc>
          <w:tcPr>
            <w:tcW w:type="dxa" w:w="5616"/>
          </w:tcPr>
          <w:p>
            <w:r/>
            <w:r>
              <w:rPr>
                <w:sz w:val="20"/>
              </w:rPr>
              <w:t>Greenfield supplied 26.0% of PH’s FY2023 COGS ($6.8M of $26.2M); 24.3% in FY2021 and 25.3% in FY2022</w:t>
            </w:r>
          </w:p>
        </w:tc>
      </w:tr>
      <w:tr>
        <w:tc>
          <w:tcPr>
            <w:tcW w:type="dxa" w:w="3744"/>
          </w:tcPr>
          <w:p>
            <w:r/>
            <w:r>
              <w:rPr>
                <w:sz w:val="20"/>
              </w:rPr>
              <w:t>PH "complied with the 70% minimum purchase requirement ... well in excess of 70%" (¶ 55), verified under penalty of perjury</w:t>
            </w:r>
          </w:p>
        </w:tc>
        <w:tc>
          <w:tcPr>
            <w:tcW w:type="dxa" w:w="5616"/>
          </w:tcPr>
          <w:p>
            <w:r/>
            <w:r>
              <w:rPr>
                <w:sz w:val="20"/>
              </w:rPr>
              <w:t>Even using only the five organic-specialist distributors as the denominator, Greenfield’s share was 56.8% (FY21), 62.8% (FY22) and 67.7% (FY23). Counting organic product from other suppliers, the share is lower still. ¶ 99 itself concedes purchases fell below 70% "during certain months." The Complaint contradicts itself.</w:t>
            </w:r>
          </w:p>
        </w:tc>
      </w:tr>
      <w:tr>
        <w:tc>
          <w:tcPr>
            <w:tcW w:type="dxa" w:w="3744"/>
          </w:tcPr>
          <w:p>
            <w:r/>
            <w:r>
              <w:rPr>
                <w:sz w:val="20"/>
              </w:rPr>
              <w:t>The 30% residual was "insufficient to sustain meaningful commercial relationships with alternative suppliers" (¶¶ 55, 123)</w:t>
            </w:r>
          </w:p>
        </w:tc>
        <w:tc>
          <w:tcPr>
            <w:tcW w:type="dxa" w:w="5616"/>
          </w:tcPr>
          <w:p>
            <w:r/>
            <w:r>
              <w:rPr>
                <w:sz w:val="20"/>
              </w:rPr>
              <w:t>PH maintained continuous relationships with Heartland ($1.41M), Great Lakes ($0.72M), Tallgrass ($0.74M) and NorthStar ($0.38M) in FY2023, plus about 18 other vendors</w:t>
            </w:r>
          </w:p>
        </w:tc>
      </w:tr>
      <w:tr>
        <w:tc>
          <w:tcPr>
            <w:tcW w:type="dxa" w:w="3744"/>
          </w:tcPr>
          <w:p>
            <w:r/>
            <w:r>
              <w:rPr>
                <w:sz w:val="20"/>
              </w:rPr>
              <w:t>Heartland and Great Lakes refused PH as a "new supply account" (¶¶ 79, 89)</w:t>
            </w:r>
          </w:p>
        </w:tc>
        <w:tc>
          <w:tcPr>
            <w:tcW w:type="dxa" w:w="5616"/>
          </w:tcPr>
          <w:p>
            <w:r/>
            <w:r>
              <w:rPr>
                <w:sz w:val="20"/>
              </w:rPr>
              <w:t>Both were existing PH suppliers throughout FY2021–2023. The workbook attributes the decline in their volumes to PH’s own sourcing choices. Whatever PH applied for in May 2024 was an expansion of existing relationships, not market access</w:t>
            </w:r>
          </w:p>
        </w:tc>
      </w:tr>
      <w:tr>
        <w:tc>
          <w:tcPr>
            <w:tcW w:type="dxa" w:w="3744"/>
          </w:tcPr>
          <w:p>
            <w:r/>
            <w:r>
              <w:rPr>
                <w:sz w:val="20"/>
              </w:rPr>
              <w:t>Gross margin on Greenfield products ~72% (¶ 113)</w:t>
            </w:r>
          </w:p>
        </w:tc>
        <w:tc>
          <w:tcPr>
            <w:tcW w:type="dxa" w:w="5616"/>
          </w:tcPr>
          <w:p>
            <w:r/>
            <w:r>
              <w:rPr>
                <w:sz w:val="20"/>
              </w:rPr>
              <w:t>PH’s company-wide gross margin is 31.3–31.6% (FY21–23); the workbook itself notes the industry range is 28–35%. The 72% was used "[p]er counsel instruction" and applied to cost, not revenue</w:t>
            </w:r>
          </w:p>
        </w:tc>
      </w:tr>
      <w:tr>
        <w:tc>
          <w:tcPr>
            <w:tcW w:type="dxa" w:w="3744"/>
          </w:tcPr>
          <w:p>
            <w:r/>
            <w:r>
              <w:rPr>
                <w:sz w:val="20"/>
              </w:rPr>
              <w:t>$4.896M "rounded to" $4.87M (¶ 114)</w:t>
            </w:r>
          </w:p>
        </w:tc>
        <w:tc>
          <w:tcPr>
            <w:tcW w:type="dxa" w:w="5616"/>
          </w:tcPr>
          <w:p>
            <w:r/>
            <w:r>
              <w:rPr>
                <w:sz w:val="20"/>
              </w:rPr>
              <w:t>An arithmetic error: $4.896M rounds to $4.90M. The workbook calls the rounding "arbitrary"</w:t>
            </w:r>
          </w:p>
        </w:tc>
      </w:tr>
    </w:tbl>
    <w:p/>
    <w:p>
      <w:pPr>
        <w:spacing w:after="120"/>
      </w:pPr>
      <w:r>
        <w:rPr>
          <w:i w:val="0"/>
        </w:rPr>
        <w:t>Several of these points are on the face of the Complaint (¶ 55 vs. ¶ 99; the rounding) and can be used on the motion. The workbook-based points depend on how we obtained the workbook (confirm provenance: initial disclosures, a pre-suit exchange, or a settlement communication subject to FRE 408). They should be preserved for Daubert, for summary judgment and, if warranted after a careful assessment, a Rule 11 safe-harbor letter directed at ¶¶ 4 and 55. We do not recommend leading with Rule 11; the better use is impeachment of Mr. Brogan’s verification.</w:t>
      </w:r>
    </w:p>
    <w:p>
      <w:pPr>
        <w:pStyle w:val="Heading2"/>
      </w:pPr>
      <w:r>
        <w:t>F. The Complaint misquotes and selectively excerpts its own exhibits</w:t>
      </w:r>
    </w:p>
    <w:p>
      <w:pPr>
        <w:spacing w:after="120"/>
      </w:pPr>
      <w:r>
        <w:rPr>
          <w:i w:val="0"/>
        </w:rPr>
        <w:t>Where an exhibit contradicts the pleading, the exhibit controls (Fed. R. Civ. P. 10(c); see, e.g., Bogie v. Rosenberg, 705 F.3d 603, 609 (7th Cir. 2013)). The motion should put the full texts in front of the court:</w:t>
      </w:r>
    </w:p>
    <w:p>
      <w:pPr>
        <w:pStyle w:val="ListBullet"/>
        <w:spacing w:after="60"/>
      </w:pPr>
      <w:r>
        <w:rPr>
          <w:b/>
        </w:rPr>
        <w:t>Ex. B (Alvarez):</w:t>
      </w:r>
      <w:r>
        <w:t xml:space="preserve"> The block quote in ¶ 71 ("Eli --- we’ve noticed your stores advertising ... We need to discuss this before it becomes a bigger issue.") does not appear in the actual Nov. 8, 2023 email; it is a composite paraphrase. The real email leads with advertising ("Our field representatives have confirmed that Prairie Harvest is advertising ... at $7.99 across at least three of your twelve retail locations") and cites Section 9.1. ¶ 70 attributes the phrase "growing concern" to the Sept. 19 email, but that phrase does not appear in it. The Ex. B subject line also differs from the actual email. Note that the full email is not uniformly helpful (see Part V).</w:t>
      </w:r>
    </w:p>
    <w:p>
      <w:pPr>
        <w:pStyle w:val="ListBullet"/>
        <w:spacing w:after="60"/>
      </w:pPr>
      <w:r>
        <w:rPr>
          <w:b/>
        </w:rPr>
        <w:t>Ex. C (Marsh):</w:t>
      </w:r>
      <w:r>
        <w:t xml:space="preserve"> The Complaint omits that "Prairie Harvest disclosed in their application that Greenfield Organics terminated its dealer agreement," which defeats the "insider knowledge" inference (¶¶ 88, 152). It also omits that Heartland would be "happy to proceed with standard onboarding" if PH cleared review, and that the review sought routine items (updated financials, trade references, credit report). Ex. C describes a conditional credit hold, not a refusal.</w:t>
      </w:r>
    </w:p>
    <w:p>
      <w:pPr>
        <w:pStyle w:val="ListBullet"/>
        <w:spacing w:after="60"/>
      </w:pPr>
      <w:r>
        <w:rPr>
          <w:b/>
        </w:rPr>
        <w:t>Ex. A (ADA):</w:t>
      </w:r>
      <w:r>
        <w:t xml:space="preserve"> The Complaint quotes the first sentence of § 9.3 but omits the second paragraph confirming dealer pricing discretion. It omits § 9.1’s express carve-out for transaction prices, Ex. C § 5, § 12.3 (no-cause termination) and § 12.4(d) (repeated-violation termination without cure). It also mislabels § 12.2 as a termination provision.</w:t>
      </w:r>
    </w:p>
    <w:p>
      <w:pPr>
        <w:pStyle w:val="ListBullet"/>
        <w:spacing w:after="60"/>
      </w:pPr>
      <w:r>
        <w:rPr>
          <w:b/>
        </w:rPr>
        <w:t>Termination letter:</w:t>
      </w:r>
      <w:r>
        <w:t xml:space="preserve"> The Complaint says the letter did not invoke § 9.3 (¶ 96) and that it gave no cure opportunity (¶ 102). The letter grounds termination in § 12.4, recounts four written and multiple verbal notices, and expressly exceeds the 30-day notice requirement.</w:t>
      </w:r>
    </w:p>
    <w:p>
      <w:pPr>
        <w:pStyle w:val="Heading1"/>
      </w:pPr>
      <w:r>
        <w:t>IV. Claim-by-Claim Analysis</w:t>
      </w:r>
    </w:p>
    <w:p>
      <w:pPr>
        <w:pStyle w:val="Heading2"/>
      </w:pPr>
      <w:r>
        <w:t>A. Counts I and V: Exclusive Dealing (Sherman § 1; Clayton § 3)</w:t>
      </w:r>
    </w:p>
    <w:p>
      <w:pPr>
        <w:spacing w:after="120"/>
      </w:pPr>
      <w:r>
        <w:rPr>
          <w:b/>
        </w:rPr>
        <w:t xml:space="preserve">Legal standard. </w:t>
      </w:r>
      <w:r>
        <w:rPr>
          <w:i w:val="0"/>
        </w:rPr>
        <w:t>Exclusive dealing is judged under the rule of reason under both statutes. The plaintiff must plausibly allege a relevant market, substantial foreclosure of rivals in that market, and resulting harm to competition (higher prices, reduced output or quality), not merely harm to a dealer. Tampa Electric, 365 U.S. 320; Roland Machinery, 749 F.2d at 394 (exclusive dealing is unlawful only if it is likely to keep at least one significant competitor from doing business in the relevant market and probably will raise prices or reduce output). In the Seventh Circuit the § 1 and Clayton § 3 standards have largely converged.</w:t>
      </w:r>
    </w:p>
    <w:p>
      <w:pPr>
        <w:spacing w:after="120"/>
      </w:pPr>
      <w:r>
        <w:rPr>
          <w:b/>
        </w:rPr>
        <w:t>Defects:</w:t>
      </w:r>
      <w:r>
        <w:rPr>
          <w:i w:val="0"/>
        </w:rPr>
      </w:r>
    </w:p>
    <w:p>
      <w:pPr>
        <w:spacing w:after="60"/>
        <w:ind w:left="576" w:hanging="432"/>
      </w:pPr>
      <w:r>
        <w:t xml:space="preserve">1.  </w:t>
      </w:r>
      <w:r>
        <w:rPr>
          <w:b/>
        </w:rPr>
        <w:t>No substantial foreclosure.</w:t>
      </w:r>
      <w:r>
        <w:t xml:space="preserve"> As shown in Part III.B, the pleaded 15.4% is overstated (correctly about 10% or less even on the plaintiff’s method) and falls below the levels courts have found meaningful. The dispositive points are the short, terminable terms (§§ 12.2–12.3) and the open 30%. The Complaint never alleges that any rival distributor was unable to reach efficient scale, that any rival exited, or that distribution prices rose. Tallgrass, NorthStar and roughly 40 others remain active, and the fringe holds 36%.</w:t>
      </w:r>
    </w:p>
    <w:p>
      <w:pPr>
        <w:spacing w:after="60"/>
        <w:ind w:left="576" w:hanging="432"/>
      </w:pPr>
      <w:r>
        <w:t xml:space="preserve">2.  </w:t>
      </w:r>
      <w:r>
        <w:rPr>
          <w:b/>
        </w:rPr>
        <w:t>Partial exclusivity by a 22% firm.</w:t>
      </w:r>
      <w:r>
        <w:t xml:space="preserve"> A 70% requirement with a 30% carve-out, § 7.3 exclusions, and a 90-day exit right is not de facto exclusivity of the kind condemned in ZF Meritor or Dentsply (United States v. Dentsply Int’l, Inc., 399 F.3d 181 (3d Cir. 2005)), both of which involved firms with dominant shares. Compare Concord Boat Corp. v. Brunswick Corp., 207 F.3d 1039 (8th Cir. 2000) (no foreclosure where customers could and did switch).</w:t>
      </w:r>
    </w:p>
    <w:p>
      <w:pPr>
        <w:spacing w:after="60"/>
        <w:ind w:left="576" w:hanging="432"/>
      </w:pPr>
      <w:r>
        <w:t xml:space="preserve">3.  </w:t>
      </w:r>
      <w:r>
        <w:rPr>
          <w:b/>
        </w:rPr>
        <w:t>No antitrust injury.</w:t>
      </w:r>
      <w:r>
        <w:t xml:space="preserve"> PH is a dealer, not a foreclosed rival distributor. Its alleged injury is that, after termination, it lacked alternative supply relationships (¶¶ 129, 191). That injury flows from the termination, a unilateral act that Greenfield was contractually entitled to take on 90 days’ notice in any event, and not from any reduction in competition among distributors. Brunswick Corp. v. Pueblo Bowl-O-Mat, Inc., 429 U.S. 477, 489 (1977); Atlantic Richfield Co. v. USA Petroleum Co., 495 U.S. 328 (1990). PH’s premise (that the ADA prevented alternative relationships) is also contradicted by its own continuous purchases from four rival distributors. Note that in pari delicto is not a defense to an antitrust claim (Perma Life Mufflers, Inc. v. International Parts Corp., 392 U.S. 134 (1968)), so we should not argue that PH is barred because it signed the ADA; the argument is the absence of antitrust injury.</w:t>
      </w:r>
    </w:p>
    <w:p>
      <w:pPr>
        <w:spacing w:after="60"/>
        <w:ind w:left="576" w:hanging="432"/>
      </w:pPr>
      <w:r>
        <w:t xml:space="preserve">4.  </w:t>
      </w:r>
      <w:r>
        <w:rPr>
          <w:b/>
        </w:rPr>
        <w:t>Procompetitive justifications on the face of the ADA.</w:t>
      </w:r>
      <w:r>
        <w:t xml:space="preserve"> The justifications are recited in § 7.2 itself (planning, upstream purchasing leverage, service levels) and backed by reciprocal benefits (Ex. B volume discounts of up to 8%, priority allocation under § 3.3, marketing support under § 6.2). These are classic efficiencies (cf. Roland Machinery). Justifications are typically a merits issue, but the face of the contract makes ¶ 60’s "no legitimate justification" allegation implausible.</w:t>
      </w:r>
    </w:p>
    <w:p>
      <w:pPr>
        <w:spacing w:after="60"/>
        <w:ind w:left="576" w:hanging="432"/>
      </w:pPr>
      <w:r>
        <w:t xml:space="preserve">5.  </w:t>
      </w:r>
      <w:r>
        <w:rPr>
          <w:b/>
        </w:rPr>
        <w:t>Count V: services versus goods.</w:t>
      </w:r>
      <w:r>
        <w:t xml:space="preserve"> Clayton § 3 applies only to the sale or lease of "goods, wares, merchandise ... or other commodities." Plaintiff defines the relevant market as distribution services (¶¶ 32–33), and its theory of foreclosure concerns distribution services. This is a credible argument for dismissing Count V, or at least for confining it. We should expect the response that the ADA is a contract for the sale of food products, and the dominant-purpose test may cut against us, so this should be presented as an alternative ground. Count V also duplicates Count I and adds nothing; a § 3 claim that fails the § 1 rule-of-reason analysis fails generally.</w:t>
      </w:r>
    </w:p>
    <w:p>
      <w:pPr>
        <w:spacing w:after="60"/>
        <w:ind w:left="576" w:hanging="432"/>
      </w:pPr>
      <w:r>
        <w:t xml:space="preserve">6.  </w:t>
      </w:r>
      <w:r>
        <w:rPr>
          <w:b/>
        </w:rPr>
        <w:t>Injunctive relief.</w:t>
      </w:r>
      <w:r>
        <w:t xml:space="preserve"> PH is no longer a dealer and is not bound by § 7.2. It faces no threatened loss from enforcement of § 7.2 against other dealers and lacks standing under Clayton § 16 to enjoin Greenfield’s contracts with third parties (Prayer ¶ (d)(i)).</w:t>
      </w:r>
    </w:p>
    <w:p>
      <w:pPr>
        <w:spacing w:after="120"/>
      </w:pPr>
      <w:r>
        <w:rPr>
          <w:b/>
        </w:rPr>
        <w:t xml:space="preserve">Assessment: </w:t>
      </w:r>
      <w:r>
        <w:rPr>
          <w:i w:val="0"/>
        </w:rPr>
        <w:t>High likelihood of dismissal or eventual summary judgment. If the court permits amendment, plaintiff will try to plead rival-level effects through Aldersgate; the terminability and partial-exclusivity points remain strong.</w:t>
      </w:r>
    </w:p>
    <w:p>
      <w:pPr>
        <w:pStyle w:val="Heading2"/>
      </w:pPr>
      <w:r>
        <w:t>B. Count II: Minimum Resale Price Maintenance (Sherman § 1)</w:t>
      </w:r>
    </w:p>
    <w:p>
      <w:pPr>
        <w:spacing w:after="120"/>
      </w:pPr>
      <w:r>
        <w:rPr>
          <w:b/>
        </w:rPr>
        <w:t xml:space="preserve">Legal standard. </w:t>
      </w:r>
      <w:r>
        <w:rPr>
          <w:i w:val="0"/>
        </w:rPr>
        <w:t>Vertical minimum RPM is judged under the rule of reason. Leegin Creative Leather Products, Inc. v. PSKS, Inc., 551 U.S. 877 (2007). A manufacturer or supplier may announce a pricing policy and refuse to deal with non-compliant dealers without forming an "agreement" (United States v. Colgate &amp; Co., 250 U.S. 300 (1919)). Dealer complaints followed by termination do not by themselves show a price agreement (Monsanto Co. v. Spray-Rite Service Corp., 465 U.S. 752 (1984); Business Electronics Corp. v. Sharp Electronics Corp., 485 U.S. 717 (1988)). MAP policies that restrict advertising but not transaction prices are generally analyzed as non-price restraints and are routinely upheld. Even an RPM agreement requires proof of harm to interbrand competition, which ordinarily requires market power in the relevant interbrand market.</w:t>
      </w:r>
    </w:p>
    <w:p>
      <w:pPr>
        <w:spacing w:after="120"/>
      </w:pPr>
      <w:r>
        <w:rPr>
          <w:b/>
        </w:rPr>
        <w:t>Our defenses:</w:t>
      </w:r>
      <w:r>
        <w:rPr>
          <w:i w:val="0"/>
        </w:rPr>
      </w:r>
    </w:p>
    <w:p>
      <w:pPr>
        <w:spacing w:after="60"/>
        <w:ind w:left="576" w:hanging="432"/>
      </w:pPr>
      <w:r>
        <w:t xml:space="preserve">1.  </w:t>
      </w:r>
      <w:r>
        <w:rPr>
          <w:b/>
        </w:rPr>
        <w:t>No interbrand market or market power pleaded.</w:t>
      </w:r>
      <w:r>
        <w:t xml:space="preserve"> The Complaint does not allege that Greenfield-Branded Products (the only products subject to MAP, a subset of the 12,000+ SKUs and of PH’s purchases) have any market power in any retail product market (e.g., packaged quinoa or grains). The market it pleads is wholesale distribution services, which is the wrong market for an RPM claim. Leegin focuses on interbrand competition, and the Complaint alleges only suppressed intrabrand competition (¶¶ 108, 137). Its assertion that Greenfield has not justified the policy (¶ 141) inverts the burden.</w:t>
      </w:r>
    </w:p>
    <w:p>
      <w:pPr>
        <w:spacing w:after="60"/>
        <w:ind w:left="576" w:hanging="432"/>
      </w:pPr>
      <w:r>
        <w:t xml:space="preserve">2.  </w:t>
      </w:r>
      <w:r>
        <w:rPr>
          <w:b/>
        </w:rPr>
        <w:t>Contract text.</w:t>
      </w:r>
      <w:r>
        <w:t xml:space="preserve"> § 9.1 expressly excludes transaction prices. Ex. C § 3 and § 5 disclaim any minimum resale price, and § 9.3 acknowledges that "retail pricing is ultimately within Dealer’s discretion." The documented violations were advertising violations: print flyers, the website, social media, and online and in-store advertising.</w:t>
      </w:r>
    </w:p>
    <w:p>
      <w:pPr>
        <w:spacing w:after="60"/>
        <w:ind w:left="576" w:hanging="432"/>
      </w:pPr>
      <w:r>
        <w:t xml:space="preserve">3.  </w:t>
      </w:r>
      <w:r>
        <w:rPr>
          <w:b/>
        </w:rPr>
        <w:t>Termination ground.</w:t>
      </w:r>
      <w:r>
        <w:t xml:space="preserve"> Greenfield’s stated termination ground was § 12.4 (repeated § 9.1 and § 7.2 breaches), not § 9.3. A unilateral decision to terminate a dealer that breached advertising and purchase-volume obligations is lawful under Colgate and Monsanto.</w:t>
      </w:r>
    </w:p>
    <w:p>
      <w:pPr>
        <w:spacing w:after="60"/>
        <w:ind w:left="576" w:hanging="432"/>
      </w:pPr>
      <w:r>
        <w:t xml:space="preserve">4.  </w:t>
      </w:r>
      <w:r>
        <w:rPr>
          <w:b/>
        </w:rPr>
        <w:t>Procompetitive rationale.</w:t>
      </w:r>
      <w:r>
        <w:t xml:space="preserve"> A properly structured MAP program addresses free-riding on Greenfield’s advertising, marketing and point-of-sale support (§ 6.2) and protects brand positioning, which are recognized justifications under Leegin.</w:t>
      </w:r>
    </w:p>
    <w:p>
      <w:pPr>
        <w:spacing w:after="120"/>
      </w:pPr>
      <w:r>
        <w:rPr>
          <w:b/>
        </w:rPr>
        <w:t xml:space="preserve">Exposure. </w:t>
      </w:r>
      <w:r>
        <w:rPr>
          <w:i w:val="0"/>
        </w:rPr>
        <w:t>Our vulnerabilities on this count are real and are discussed in Part V. In brief: (i) § 9.3 on its face reaches the price at which a dealer "sells"; (ii) the Nov. 8 email’s "More importantly ... actually selling it at that price point in-store" sentence; (iii) the same email’s reference to complaints from "two other accounts in central Illinois asking why they should bother maintaining their pricing", which plaintiff will use to argue a dealer-driven price-maintenance understanding; (iv) the termination letter’s statement that PH was "transacting sales ... at these below-MAP price points," which "materially undermines Greenfield’s brand positioning" (the § 9.3 standard); and (v) the termination letter’s sell-off condition that PH "shall not advertise or sell" Greenfield-branded products below MAP. That condition goes beyond ADA § 12.5(b), which requires only continued compliance with the MAP (advertising) policy, and it is the closest thing in the record to an express minimum resale price term. Because the ADA is itself an express agreement, plaintiff will argue that the Colgate unilateral-policy safe harbor does not apply to the pricing provisions.</w:t>
      </w:r>
    </w:p>
    <w:p>
      <w:pPr>
        <w:spacing w:after="120"/>
      </w:pPr>
      <w:r>
        <w:rPr>
          <w:b/>
        </w:rPr>
        <w:t xml:space="preserve">Assessment: </w:t>
      </w:r>
      <w:r>
        <w:rPr>
          <w:i w:val="0"/>
        </w:rPr>
        <w:t>Moderate. We have a strong rule-of-reason argument (no interbrand market power, no plausibly alleged anticompetitive effect) and should move to dismiss Count II. Even so, a court could find the agreement element plausibly pleaded and allow amendment to plead a retail product market. Even if the claim survives, the plaintiff faces a difficult rule-of-reason case and damages limited to injury caused by the alleged RPM. That injury is hard to separate from the independent § 7.2 ground and the 90-day no-cause right.</w:t>
      </w:r>
    </w:p>
    <w:p>
      <w:pPr>
        <w:spacing w:after="120"/>
      </w:pPr>
      <w:r>
        <w:rPr>
          <w:b/>
        </w:rPr>
        <w:t xml:space="preserve">Illinois-law caution: </w:t>
      </w:r>
      <w:r>
        <w:rPr>
          <w:i w:val="0"/>
        </w:rPr>
        <w:t>If plaintiff argues that Illinois law treats RPM more strictly than Leegin, our response is that Illinois courts construe the Act in harmony with federal precedent (740 ILCS 10/11). We should confirm there is no Illinois-specific RPM provision or post-Leegin Illinois authority to the contrary (to be verified).</w:t>
      </w:r>
    </w:p>
    <w:p>
      <w:pPr>
        <w:pStyle w:val="Heading2"/>
      </w:pPr>
      <w:r>
        <w:t>C. Count III: Group Boycott / Concerted Refusal to Deal (Sherman § 1)</w:t>
      </w:r>
    </w:p>
    <w:p>
      <w:pPr>
        <w:spacing w:after="120"/>
      </w:pPr>
      <w:r>
        <w:rPr>
          <w:b/>
        </w:rPr>
        <w:t xml:space="preserve">Legal standard. </w:t>
      </w:r>
      <w:r>
        <w:rPr>
          <w:i w:val="0"/>
        </w:rPr>
        <w:t>A § 1 conspiracy claim requires facts plausibly suggesting an actual agreement, not merely parallel conduct consistent with independent action. Bell Atlantic Corp. v. Twombly, 550 U.S. 544, 556–57 (2007). Parallel conduct must be accompanied by "plus factors." In re Text Messaging Antitrust Litigation, 630 F.3d 622 (7th Cir. 2010). Per se treatment of boycotts is limited to horizontal agreements among competitors that typically cut off access to a supply, facility or market necessary to compete, usually where the boycotters have market power. Northwest Wholesale Stationers, Inc. v. Pacific Stationery &amp; Printing Co., 472 U.S. 284 (1985); NYNEX Corp. v. Discon, Inc., 525 U.S. 128 (1998).</w:t>
      </w:r>
    </w:p>
    <w:p>
      <w:pPr>
        <w:spacing w:after="120"/>
      </w:pPr>
      <w:r>
        <w:rPr>
          <w:b/>
        </w:rPr>
        <w:t>Defects:</w:t>
      </w:r>
      <w:r>
        <w:rPr>
          <w:i w:val="0"/>
        </w:rPr>
      </w:r>
    </w:p>
    <w:p>
      <w:pPr>
        <w:spacing w:after="60"/>
        <w:ind w:left="576" w:hanging="432"/>
      </w:pPr>
      <w:r>
        <w:t xml:space="preserve">1.  </w:t>
      </w:r>
      <w:r>
        <w:rPr>
          <w:b/>
        </w:rPr>
        <w:t>The chronology defeats Greenfield’s participation.</w:t>
      </w:r>
      <w:r>
        <w:t xml:space="preserve"> Greenfield terminated PH on March 15, 2024, four weeks before the MOTA conference (April 12–14) where the agreement was supposedly formed (¶¶ 84–85, 149). Greenfield’s refusal to deal therefore cannot have been pursuant to that agreement; it was a pre-existing unilateral contract termination. Pleading it as "a continuation" (¶ 79) does not convert a unilateral act into a concerted one.</w:t>
      </w:r>
    </w:p>
    <w:p>
      <w:pPr>
        <w:spacing w:after="60"/>
        <w:ind w:left="576" w:hanging="432"/>
      </w:pPr>
      <w:r>
        <w:t xml:space="preserve">2.  </w:t>
      </w:r>
      <w:r>
        <w:rPr>
          <w:b/>
        </w:rPr>
        <w:t>Opportunity is not agreement.</w:t>
      </w:r>
      <w:r>
        <w:t xml:space="preserve"> Each conspiracy allegation (attendance, discussions, agreement) is pleaded "on information and belief" (¶¶ 83–84, 90) with no who, what, when or where. Attendance at a large industry conference is the kind of "opportunity to conspire" that is insufficient under Twombly. A cross-supply agreement for niche specialty products (¶ 41) is a legitimate collaboration and not a plus factor.</w:t>
      </w:r>
    </w:p>
    <w:p>
      <w:pPr>
        <w:spacing w:after="60"/>
        <w:ind w:left="576" w:hanging="432"/>
      </w:pPr>
      <w:r>
        <w:t xml:space="preserve">3.  </w:t>
      </w:r>
      <w:r>
        <w:rPr>
          <w:b/>
        </w:rPr>
        <w:t>Exhibit C refutes the inference plaintiff draws from it.</w:t>
      </w:r>
      <w:r>
        <w:t xml:space="preserve"> PH itself told Heartland about the termination in its application. Heartland applied "standard new account procedure, just with the extra layer" because PH had just lost its largest supplier relationship, which is a facially rational credit concern. It said it was "happy to proceed" if PH cleared the review. The email supports independent, self-interested action and shows no refusal at all. The Complaint never alleges that Heartland made a final refusal after the review or that PH supplied the requested financials, trade references and credit report.</w:t>
      </w:r>
    </w:p>
    <w:p>
      <w:pPr>
        <w:spacing w:after="60"/>
        <w:ind w:left="576" w:hanging="432"/>
      </w:pPr>
      <w:r>
        <w:t xml:space="preserve">4.  </w:t>
      </w:r>
      <w:r>
        <w:rPr>
          <w:b/>
        </w:rPr>
        <w:t>Great Lakes allegations are bare conclusions.</w:t>
      </w:r>
      <w:r>
        <w:t xml:space="preserve"> The only Great Lakes allegations are that it "failed to process" an application "in a timely manner" and "ultimately declined" (¶ 89). No date, communication or decision-maker is identified. Great Lakes was also an existing supplier whose PH volume had fallen 44% from FY2021 to FY2023.</w:t>
      </w:r>
    </w:p>
    <w:p>
      <w:pPr>
        <w:spacing w:after="60"/>
        <w:ind w:left="576" w:hanging="432"/>
      </w:pPr>
      <w:r>
        <w:t xml:space="preserve">5.  </w:t>
      </w:r>
      <w:r>
        <w:rPr>
          <w:b/>
        </w:rPr>
        <w:t>No plausible motive for the alleged co-conspirators.</w:t>
      </w:r>
      <w:r>
        <w:t xml:space="preserve"> Plaintiff never explains why Heartland and Great Lakes, Greenfield’s direct competitors, would forgo a $38 million retailer’s business to enforce Greenfield’s MAP policy on Greenfield-branded products. A rival distributor gains nothing from propping up a competitor’s brand prices, and the Complaint itself pleads that each had an independent incentive to win the account (¶ 80). Plaintiff will frame this as "action against self-interest" (a plus factor). The answer is that Ex. C supplies the independent explanation, and there was no refusal, only a credit hold.</w:t>
      </w:r>
    </w:p>
    <w:p>
      <w:pPr>
        <w:spacing w:after="60"/>
        <w:ind w:left="576" w:hanging="432"/>
      </w:pPr>
      <w:r>
        <w:t xml:space="preserve">6.  </w:t>
      </w:r>
      <w:r>
        <w:rPr>
          <w:b/>
        </w:rPr>
        <w:t>Per se treatment is unavailable and rule of reason fails.</w:t>
      </w:r>
      <w:r>
        <w:t xml:space="preserve"> The alleged arrangement mixes a vertical termination (Greenfield–PH) with alleged horizontal refusals. NYNEX bars per se treatment of vertical elements. Even as to the horizontal elements, the alleged boycotters hold 48%, and the remaining 52% (Tallgrass, NorthStar, about 40 others) stayed open to PH and supplied it (¶¶ 78, 105). Under Northwest Stationers there is no denial of an essential input. Under the rule of reason, there is no pleaded harm to competition as opposed to harm to one retailer among thousands.</w:t>
      </w:r>
    </w:p>
    <w:p>
      <w:pPr>
        <w:spacing w:after="120"/>
      </w:pPr>
      <w:r>
        <w:rPr>
          <w:b/>
        </w:rPr>
        <w:t xml:space="preserve">Assessment: </w:t>
      </w:r>
      <w:r>
        <w:rPr>
          <w:i w:val="0"/>
        </w:rPr>
        <w:t>Strong Twombly motion. This is nonetheless the count with the most discovery risk, because the outcome depends on what Greenfield personnel actually said to Heartland and Great Lakes. Before we argue in a brief that no communications occurred, we must confirm through the internal investigation (Part VIII) that there were none: no MOTA conversations, no emails under the cross-supply relationship, no "heads-up" calls about PH. Note also that a proven boycott would expose Greenfield to joint and several liability for the entire trebled amount with no right of contribution (Texas Industries, Inc. v. Radcliff Materials, Inc., 451 U.S. 630 (1981)), which is likely why plaintiff named the co-conspirators as non-parties.</w:t>
      </w:r>
    </w:p>
    <w:p>
      <w:pPr>
        <w:pStyle w:val="Heading2"/>
      </w:pPr>
      <w:r>
        <w:t>D. Count IV: Monopolization and Attempted Monopolization (Sherman § 2)</w:t>
      </w:r>
    </w:p>
    <w:p>
      <w:pPr>
        <w:spacing w:after="120"/>
      </w:pPr>
      <w:r>
        <w:rPr>
          <w:b/>
        </w:rPr>
        <w:t xml:space="preserve">Legal standard. </w:t>
      </w:r>
      <w:r>
        <w:rPr>
          <w:i w:val="0"/>
        </w:rPr>
        <w:t>Monopolization requires monopoly power in a relevant market plus willful acquisition or maintenance of that power by exclusionary conduct. United States v. Grinnell Corp., 384 U.S. 563, 570–71 (1966). Attempted monopolization requires predatory or anticompetitive conduct, specific intent, and a dangerous probability of achieving monopoly power. Spectrum Sports, Inc. v. McQuillan, 506 U.S. 447, 456 (1993).</w:t>
      </w:r>
    </w:p>
    <w:p>
      <w:pPr>
        <w:spacing w:after="60"/>
        <w:ind w:left="576" w:hanging="432"/>
      </w:pPr>
      <w:r>
        <w:t xml:space="preserve">1.  </w:t>
      </w:r>
      <w:r>
        <w:rPr>
          <w:b/>
        </w:rPr>
        <w:t>No monopoly power.</w:t>
      </w:r>
      <w:r>
        <w:t xml:space="preserve"> Courts generally require a share above 50%, and usually much higher, before inferring monopoly power (see, e.g., Blue Cross &amp; Blue Shield United of Wisconsin v. Marshfield Clinic, 65 F.3d 1406, 1411 (7th Cir. 1995) (50% as a minimum)). A 22% share fails as a matter of law. The rival shares (15%, 11%, 9%, 7%) and the 36% fringe confirm the absence of power to control price or exclude competition. The Complaint pleads no supracompetitive pricing or output restriction beyond conclusions (¶ 168).</w:t>
      </w:r>
    </w:p>
    <w:p>
      <w:pPr>
        <w:spacing w:after="60"/>
        <w:ind w:left="576" w:hanging="432"/>
      </w:pPr>
      <w:r>
        <w:t xml:space="preserve">2.  </w:t>
      </w:r>
      <w:r>
        <w:rPr>
          <w:b/>
        </w:rPr>
        <w:t>No dangerous probability.</w:t>
      </w:r>
      <w:r>
        <w:t xml:space="preserve"> Shares below roughly 30% rarely support a dangerous probability of success. Even plaintiff’s own projection reaches only about 28.7% in five years. Barriers are undercut by the presence of about 45 distributors, the 36% fringe, and PH’s own ability to source from 20+ vendors.</w:t>
      </w:r>
    </w:p>
    <w:p>
      <w:pPr>
        <w:spacing w:after="60"/>
        <w:ind w:left="576" w:hanging="432"/>
      </w:pPr>
      <w:r>
        <w:t xml:space="preserve">3.  </w:t>
      </w:r>
      <w:r>
        <w:rPr>
          <w:b/>
        </w:rPr>
        <w:t>"Shared monopoly" is not cognizable.</w:t>
      </w:r>
      <w:r>
        <w:t xml:space="preserve"> Combining three firms (48%) to reach a monopoly-like share is an impermissible "shared monopoly" theory, which § 2 does not recognize. Collective conduct is a § 1 issue. The Complaint’s § 2 power allegations rest on the fabricated 3,730 HHI (¶¶ 165, 176).</w:t>
      </w:r>
    </w:p>
    <w:p>
      <w:pPr>
        <w:spacing w:after="60"/>
        <w:ind w:left="576" w:hanging="432"/>
      </w:pPr>
      <w:r>
        <w:t xml:space="preserve">4.  </w:t>
      </w:r>
      <w:r>
        <w:rPr>
          <w:b/>
        </w:rPr>
        <w:t>Specific intent and conduct.</w:t>
      </w:r>
      <w:r>
        <w:t xml:space="preserve"> Specific intent is inferred from share growth (¶ 173(a)), which is consistent with competition on the merits, and from the same conduct whose § 1 deficiencies are addressed above. Conduct that is not anticompetitive under § 1 does not become exclusionary under § 2 when relabeled.</w:t>
      </w:r>
    </w:p>
    <w:p>
      <w:pPr>
        <w:spacing w:after="120"/>
      </w:pPr>
      <w:r>
        <w:rPr>
          <w:b/>
        </w:rPr>
        <w:t xml:space="preserve">Assessment: </w:t>
      </w:r>
      <w:r>
        <w:rPr>
          <w:i w:val="0"/>
        </w:rPr>
        <w:t>Highest-probability dismissal, potentially with prejudice, since no amendment can raise a 22% share to monopoly levels.</w:t>
      </w:r>
    </w:p>
    <w:p>
      <w:pPr>
        <w:pStyle w:val="Heading2"/>
      </w:pPr>
      <w:r>
        <w:t>E. Count VI: Illinois Antitrust Act (740 ILCS 10/3)</w:t>
      </w:r>
    </w:p>
    <w:p>
      <w:pPr>
        <w:pStyle w:val="ListBullet"/>
        <w:spacing w:after="60"/>
      </w:pPr>
      <w:r>
        <w:rPr>
          <w:b/>
        </w:rPr>
        <w:t>Derivative.</w:t>
      </w:r>
      <w:r>
        <w:t xml:space="preserve"> The Act directs courts to construe it with reference to federal antitrust decisions (740 ILCS 10/11). Count VI repleads Counts I–III and falls with them.</w:t>
      </w:r>
    </w:p>
    <w:p>
      <w:pPr>
        <w:pStyle w:val="ListBullet"/>
        <w:spacing w:after="60"/>
      </w:pPr>
      <w:r>
        <w:rPr>
          <w:b/>
        </w:rPr>
        <w:t>No subsection pleaded.</w:t>
      </w:r>
      <w:r>
        <w:t xml:space="preserve"> Count VI cites "10/3" generally without identifying the subsection violated (10/3(1)–(4) cover different conduct and carry different remedies). It should be dismissed or repleaded with specificity.</w:t>
      </w:r>
    </w:p>
    <w:p>
      <w:pPr>
        <w:pStyle w:val="ListBullet"/>
        <w:spacing w:after="60"/>
      </w:pPr>
      <w:r>
        <w:rPr>
          <w:b/>
        </w:rPr>
        <w:t>Trebling limited.</w:t>
      </w:r>
      <w:r>
        <w:t xml:space="preserve"> Under 740 ILCS 10/7(2), we understand treble damages to be limited to violations of particular subsections, and actual damages to apply otherwise (to be verified). The Complaint seeks blanket treble damages (¶ 203).</w:t>
      </w:r>
    </w:p>
    <w:p>
      <w:pPr>
        <w:pStyle w:val="ListBullet"/>
        <w:spacing w:after="60"/>
      </w:pPr>
      <w:r>
        <w:rPr>
          <w:b/>
        </w:rPr>
        <w:t>Wrong fee provision.</w:t>
      </w:r>
      <w:r>
        <w:t xml:space="preserve"> Fees are sought "pursuant to 740 ILCS 10/5" (¶ 203; Prayer ¶ (e)). Section 5 appears to be the Act’s exemptions provision, and fees are addressed in 10/7 (to be verified). This is a further sign of hurried drafting.</w:t>
      </w:r>
    </w:p>
    <w:p>
      <w:pPr>
        <w:pStyle w:val="ListBullet"/>
        <w:spacing w:after="60"/>
      </w:pPr>
      <w:r>
        <w:rPr>
          <w:b/>
        </w:rPr>
        <w:t>Supplemental jurisdiction.</w:t>
      </w:r>
      <w:r>
        <w:t xml:space="preserve"> To the extent any federal claim survives, the state claim survives with it. If all federal claims are dismissed, we should ask the court either to dismiss Count VI on the merits under the harmonization principle or, alternatively, to decline supplemental jurisdiction (28 U.S.C. § 1367(c)(3)). Choose deliberately: a remand-style dismissal sends the case to Illinois state court, where § 14.3 still requires Cook County.</w:t>
      </w:r>
    </w:p>
    <w:p>
      <w:pPr>
        <w:pStyle w:val="Heading2"/>
      </w:pPr>
      <w:r>
        <w:t>F. Count VII: Tortious Interference with Business Relations (Illinois common law)</w:t>
      </w:r>
    </w:p>
    <w:p>
      <w:pPr>
        <w:spacing w:after="120"/>
      </w:pPr>
      <w:r>
        <w:rPr>
          <w:b/>
        </w:rPr>
        <w:t xml:space="preserve">Legal standard. </w:t>
      </w:r>
      <w:r>
        <w:rPr>
          <w:i w:val="0"/>
        </w:rPr>
        <w:t>Under Illinois law, the plaintiff must allege (1) a reasonable expectancy of entering into a valid business relationship; (2) the defendant’s knowledge of it; (3) intentional and unjustified interference that prevented the expectancy from ripening; and (4) damages. The interference must be directed at third parties. See, e.g., Fellhauer v. City of Geneva, 142 Ill. 2d 495 (1991).</w:t>
      </w:r>
    </w:p>
    <w:p>
      <w:pPr>
        <w:spacing w:after="60"/>
        <w:ind w:left="576" w:hanging="432"/>
      </w:pPr>
      <w:r>
        <w:t xml:space="preserve">1.  </w:t>
      </w:r>
      <w:r>
        <w:rPr>
          <w:b/>
        </w:rPr>
        <w:t>No interference with a third-party relationship.</w:t>
      </w:r>
      <w:r>
        <w:t xml:space="preserve"> Theory (a) (terminating the ADA) concerns Greenfield’s own relationship with PH. A party cannot tortiously interfere with its own contract, and exercising an express contractual termination right is privileged. Any dispute about the validity of the termination sounds in contract, a claim PH has notably chosen not to plead, likely to avoid §§ 13.1–13.2 and 14.4.</w:t>
      </w:r>
    </w:p>
    <w:p>
      <w:pPr>
        <w:spacing w:after="60"/>
        <w:ind w:left="576" w:hanging="432"/>
      </w:pPr>
      <w:r>
        <w:t xml:space="preserve">2.  </w:t>
      </w:r>
      <w:r>
        <w:rPr>
          <w:b/>
        </w:rPr>
        <w:t>No identified expectancy.</w:t>
      </w:r>
      <w:r>
        <w:t xml:space="preserve"> A generalized reference to "retail customers" and "producers, manufacturers, and other distributors" (¶¶ 206–207) is insufficient. Illinois requires specific third parties and conduct directed at them.</w:t>
      </w:r>
    </w:p>
    <w:p>
      <w:pPr>
        <w:spacing w:after="60"/>
        <w:ind w:left="576" w:hanging="432"/>
      </w:pPr>
      <w:r>
        <w:t xml:space="preserve">3.  </w:t>
      </w:r>
      <w:r>
        <w:rPr>
          <w:b/>
        </w:rPr>
        <w:t>Derivative.</w:t>
      </w:r>
      <w:r>
        <w:t xml:space="preserve"> Theories (b) and (c) are the boycott and exclusive-dealing theories, and the only "improper means" pleaded are the antitrust violations (¶ 210). They fall with Counts I–III.</w:t>
      </w:r>
    </w:p>
    <w:p>
      <w:pPr>
        <w:spacing w:after="60"/>
        <w:ind w:left="576" w:hanging="432"/>
      </w:pPr>
      <w:r>
        <w:t xml:space="preserve">4.  </w:t>
      </w:r>
      <w:r>
        <w:rPr>
          <w:b/>
        </w:rPr>
        <w:t>Contractual limitations.</w:t>
      </w:r>
      <w:r>
        <w:t xml:space="preserve"> § 13.1 waives lost profits and consequential damages for claims "arising out of or related to this Agreement ... whether based on contract, tort ... or any other ... theory," and § 13.2 caps aggregate liability at the prior 12 months’ payments (roughly $6.8 million). Plaintiff pleads "willful, wanton, and malicious" conduct (¶ 212) to invoke the § 13.3(d) willful-misconduct exclusion; we should hold plaintiff to that. (Contractual limitations generally cannot waive prospective federal antitrust treble-damages liability, so §§ 13.1–13.2 should be invoked only against Count VII and any contract-based theory, not against Counts I–VI.)</w:t>
      </w:r>
    </w:p>
    <w:p>
      <w:pPr>
        <w:spacing w:after="60"/>
        <w:ind w:left="576" w:hanging="432"/>
      </w:pPr>
      <w:r>
        <w:t xml:space="preserve">5.  </w:t>
      </w:r>
      <w:r>
        <w:rPr>
          <w:b/>
        </w:rPr>
        <w:t>Fee-shifting.</w:t>
      </w:r>
      <w:r>
        <w:t xml:space="preserve"> § 14.4 awards prevailing-party fees in any proceeding "to resolve any dispute arising hereunder." Count VII, which is premised on the ADA termination, is a strong candidate. The antitrust counts arguably are too. This gives us leverage and an asymmetric risk for plaintiff.</w:t>
      </w:r>
    </w:p>
    <w:p>
      <w:pPr>
        <w:spacing w:after="120"/>
      </w:pPr>
      <w:r>
        <w:rPr>
          <w:b/>
        </w:rPr>
        <w:t xml:space="preserve">Assessment: </w:t>
      </w:r>
      <w:r>
        <w:rPr>
          <w:i w:val="0"/>
        </w:rPr>
        <w:t>Weak; good motion-to-dismiss candidate.</w:t>
      </w:r>
    </w:p>
    <w:p>
      <w:pPr>
        <w:pStyle w:val="Heading1"/>
      </w:pPr>
      <w:r>
        <w:t>V. Greenfield’s Own Exposure Points and Inconsistencies (Candid Assessment)</w:t>
      </w:r>
    </w:p>
    <w:p>
      <w:pPr>
        <w:spacing w:after="120"/>
      </w:pPr>
      <w:r>
        <w:rPr>
          <w:i w:val="0"/>
        </w:rPr>
        <w:t>A demanding judge, or plaintiff’s counsel after discovery, will focus on the following. We need to understand them fully before we commit to factual positions in any filing.</w:t>
      </w:r>
    </w:p>
    <w:p>
      <w:pPr>
        <w:pStyle w:val="Heading2"/>
      </w:pPr>
      <w:r>
        <w:t>A. Documents suggesting enforcement of transaction prices</w:t>
      </w:r>
    </w:p>
    <w:p>
      <w:pPr>
        <w:pStyle w:val="ListBullet"/>
        <w:spacing w:after="60"/>
      </w:pPr>
      <w:r>
        <w:rPr>
          <w:b/>
        </w:rPr>
        <w:t>Nov. 8, 2023 email.</w:t>
      </w:r>
      <w:r>
        <w:t xml:space="preserve"> "More importantly, our field reps confirm you’re actually selling it at that price point in-store." The same email invokes § 9.3 ("selling at prices that materially undermine Greenfield’s brand positioning is grounds for termination") and reports that "two other accounts in central Illinois [are] asking why they should bother maintaining their pricing." Plaintiff did not quote the dealer-complaint passage (perhaps because it did not notice it), but it will find it. Under Monsanto, complaints plus termination are insufficient alone, but combined with enforcement of transaction prices the passage strengthens an inference that Greenfield sought dealer acquiescence on resale prices. Interview Mr. Alvarez about what he meant and what instructions field reps received.</w:t>
      </w:r>
    </w:p>
    <w:p>
      <w:pPr>
        <w:pStyle w:val="ListBullet"/>
        <w:spacing w:after="60"/>
      </w:pPr>
      <w:r>
        <w:rPr>
          <w:b/>
        </w:rPr>
        <w:t>Mar. 15, 2024 termination letter.</w:t>
      </w:r>
      <w:r>
        <w:t xml:space="preserve"> States that PH was "transacting sales ... at these below-MAP price points," which "materially undermines Greenfield’s brand positioning," tracking § 9.3. It conditions the post-termination sell-off on PH not to "advertise or sell" below MAP. That condition is a minimum transaction-price requirement that exceeds § 12.5(b) and contradicts § 9.1 and Ex. C § 5.</w:t>
      </w:r>
    </w:p>
    <w:p>
      <w:pPr>
        <w:pStyle w:val="ListBullet"/>
        <w:spacing w:after="60"/>
      </w:pPr>
      <w:r>
        <w:rPr>
          <w:b/>
        </w:rPr>
        <w:t>ADA § 9.3.</w:t>
      </w:r>
      <w:r>
        <w:t xml:space="preserve"> The "sells" language invites the reading plaintiff advances (¶ 65). Its saving language (dealer discretion, "persistent and egregious," good-faith discussion) helps but does not eliminate the ambiguity. ADA § 1.5 also defines MAP as applying to "any Authorized Product" (which includes third-party brands), while § 9.1 limits it to Greenfield-Branded Products. That drafting inconsistency should be fixed prospectively.</w:t>
      </w:r>
    </w:p>
    <w:p>
      <w:pPr>
        <w:pStyle w:val="ListBullet"/>
        <w:spacing w:after="60"/>
      </w:pPr>
      <w:r>
        <w:rPr>
          <w:b/>
        </w:rPr>
        <w:t>Field-rep monitoring.</w:t>
      </w:r>
      <w:r>
        <w:t xml:space="preserve"> Ex. C § 3 lists field representative reports as a MAP monitoring tool; ¶ 68 alleges that reps observe shelf prices. We need to know whether reps report shelf or transaction prices and whether any dealer was warned or terminated over in-store transaction prices (¶ 138 alleges other dealers were). A pattern across the 1,900-dealer network would substantially increase Count II exposure and could attract regulators (FTC, DOJ, Illinois AG).</w:t>
      </w:r>
    </w:p>
    <w:p>
      <w:pPr>
        <w:pStyle w:val="Heading2"/>
      </w:pPr>
      <w:r>
        <w:t>B. Inconsistencies in Greenfield’s termination record</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r/>
            <w:r>
              <w:rPr>
                <w:b/>
                <w:sz w:val="20"/>
              </w:rPr>
              <w:t>Issue</w:t>
            </w:r>
          </w:p>
        </w:tc>
        <w:tc>
          <w:tcPr>
            <w:tcW w:type="dxa" w:w="4032"/>
            <w:shd w:val="clear" w:color="auto" w:fill="D9E2F3"/>
          </w:tcPr>
          <w:p>
            <w:r/>
            <w:r>
              <w:rPr>
                <w:b/>
                <w:sz w:val="20"/>
              </w:rPr>
              <w:t>Detail</w:t>
            </w:r>
          </w:p>
        </w:tc>
        <w:tc>
          <w:tcPr>
            <w:tcW w:type="dxa" w:w="3312"/>
            <w:shd w:val="clear" w:color="auto" w:fill="D9E2F3"/>
          </w:tcPr>
          <w:p>
            <w:r/>
            <w:r>
              <w:rPr>
                <w:b/>
                <w:sz w:val="20"/>
              </w:rPr>
              <w:t>Significance</w:t>
            </w:r>
          </w:p>
        </w:tc>
      </w:tr>
      <w:tr>
        <w:tc>
          <w:tcPr>
            <w:tcW w:type="dxa" w:w="2016"/>
          </w:tcPr>
          <w:p>
            <w:r/>
            <w:r>
              <w:rPr>
                <w:sz w:val="20"/>
              </w:rPr>
              <w:t>Aug. 3 violation details</w:t>
            </w:r>
          </w:p>
        </w:tc>
        <w:tc>
          <w:tcPr>
            <w:tcW w:type="dxa" w:w="4032"/>
          </w:tcPr>
          <w:p>
            <w:r/>
            <w:r>
              <w:rPr>
                <w:sz w:val="20"/>
              </w:rPr>
              <w:t>Letter: $8.49 in weekly print flyer and website. Email: $8.99 observed at Springfield location</w:t>
            </w:r>
          </w:p>
        </w:tc>
        <w:tc>
          <w:tcPr>
            <w:tcW w:type="dxa" w:w="3312"/>
          </w:tcPr>
          <w:p>
            <w:r/>
            <w:r>
              <w:rPr>
                <w:sz w:val="20"/>
              </w:rPr>
              <w:t>Undermines reliability of Greenfield’s violation log; reconcile with enclosure (1)</w:t>
            </w:r>
          </w:p>
        </w:tc>
      </w:tr>
      <w:tr>
        <w:tc>
          <w:tcPr>
            <w:tcW w:type="dxa" w:w="2016"/>
          </w:tcPr>
          <w:p>
            <w:r/>
            <w:r>
              <w:rPr>
                <w:sz w:val="20"/>
              </w:rPr>
              <w:t>Sept. 19 violation details</w:t>
            </w:r>
          </w:p>
        </w:tc>
        <w:tc>
          <w:tcPr>
            <w:tcW w:type="dxa" w:w="4032"/>
          </w:tcPr>
          <w:p>
            <w:r/>
            <w:r>
              <w:rPr>
                <w:sz w:val="20"/>
              </w:rPr>
              <w:t>Letter: Organic Harvest Trail Mix at $5.99 (MAP $8.29), in-store display and social media. Email: Quinoa Blend at $8.49 at Champaign</w:t>
            </w:r>
          </w:p>
        </w:tc>
        <w:tc>
          <w:tcPr>
            <w:tcW w:type="dxa" w:w="3312"/>
          </w:tcPr>
          <w:p>
            <w:r/>
            <w:r>
              <w:rPr>
                <w:sz w:val="20"/>
              </w:rPr>
              <w:t>Different product and price; in-store displays are "advertising" only if visible from outside (§ 9.1); social media qualifies</w:t>
            </w:r>
          </w:p>
        </w:tc>
      </w:tr>
      <w:tr>
        <w:tc>
          <w:tcPr>
            <w:tcW w:type="dxa" w:w="2016"/>
          </w:tcPr>
          <w:p>
            <w:r/>
            <w:r>
              <w:rPr>
                <w:sz w:val="20"/>
              </w:rPr>
              <w:t>Notice escalation</w:t>
            </w:r>
          </w:p>
        </w:tc>
        <w:tc>
          <w:tcPr>
            <w:tcW w:type="dxa" w:w="4032"/>
          </w:tcPr>
          <w:p>
            <w:r/>
            <w:r>
              <w:rPr>
                <w:sz w:val="20"/>
              </w:rPr>
              <w:t>Ex. C requires second-violation notice warning of possible termination; Sept. 19 email said only "We need this corrected"</w:t>
            </w:r>
          </w:p>
        </w:tc>
        <w:tc>
          <w:tcPr>
            <w:tcW w:type="dxa" w:w="3312"/>
          </w:tcPr>
          <w:p>
            <w:r/>
            <w:r>
              <w:rPr>
                <w:sz w:val="20"/>
              </w:rPr>
              <w:t>Arguable procedural gap; § 12.4(d) itself requires only two prior written notices "specifying the nature and details," which Aug. 3 and Sept. 19 emails arguably satisfy</w:t>
            </w:r>
          </w:p>
        </w:tc>
      </w:tr>
      <w:tr>
        <w:tc>
          <w:tcPr>
            <w:tcW w:type="dxa" w:w="2016"/>
          </w:tcPr>
          <w:p>
            <w:r/>
            <w:r>
              <w:rPr>
                <w:sz w:val="20"/>
              </w:rPr>
              <w:t>§ 7.2 ground under § 12.4(d)</w:t>
            </w:r>
          </w:p>
        </w:tc>
        <w:tc>
          <w:tcPr>
            <w:tcW w:type="dxa" w:w="4032"/>
          </w:tcPr>
          <w:p>
            <w:r/>
            <w:r>
              <w:rPr>
                <w:sz w:val="20"/>
              </w:rPr>
              <w:t>Only one written 7.2 notice (Dec. 5, 2023) plus a verbal one (Oct. 12); § 12.4(d) needs two prior written notices. Only two quarterly instances (Q3, Q4 2023) before notice; January 2024 is a month, not a quarterly measurement period; § 7.2 is measured on a rolling 12-month basis</w:t>
            </w:r>
          </w:p>
        </w:tc>
        <w:tc>
          <w:tcPr>
            <w:tcW w:type="dxa" w:w="3312"/>
          </w:tcPr>
          <w:p>
            <w:r/>
            <w:r>
              <w:rPr>
                <w:sz w:val="20"/>
              </w:rPr>
              <w:t>The § 7.2 ground for termination is weak on its own; the MAP ground (three advertising instances, two prior written notices) is the stronger basis under § 12.4(d)</w:t>
            </w:r>
          </w:p>
        </w:tc>
      </w:tr>
      <w:tr>
        <w:tc>
          <w:tcPr>
            <w:tcW w:type="dxa" w:w="2016"/>
          </w:tcPr>
          <w:p>
            <w:r/>
            <w:r>
              <w:rPr>
                <w:sz w:val="20"/>
              </w:rPr>
              <w:t>Rolling-12-month measure</w:t>
            </w:r>
          </w:p>
        </w:tc>
        <w:tc>
          <w:tcPr>
            <w:tcW w:type="dxa" w:w="4032"/>
          </w:tcPr>
          <w:p>
            <w:r/>
            <w:r>
              <w:rPr>
                <w:sz w:val="20"/>
              </w:rPr>
              <w:t>Letter uses quarterly and monthly percentages; § 7.2 compliance is "measured on a rolling twelve (12)-month basis"</w:t>
            </w:r>
          </w:p>
        </w:tc>
        <w:tc>
          <w:tcPr>
            <w:tcW w:type="dxa" w:w="3312"/>
          </w:tcPr>
          <w:p>
            <w:r/>
            <w:r>
              <w:rPr>
                <w:sz w:val="20"/>
              </w:rPr>
              <w:t>Recompute rolling figures from PH’s § 5.4 reports before relying on them</w:t>
            </w:r>
          </w:p>
        </w:tc>
      </w:tr>
      <w:tr>
        <w:tc>
          <w:tcPr>
            <w:tcW w:type="dxa" w:w="2016"/>
          </w:tcPr>
          <w:p>
            <w:r/>
            <w:r>
              <w:rPr>
                <w:sz w:val="20"/>
              </w:rPr>
              <w:t>Wrong cross-reference</w:t>
            </w:r>
          </w:p>
        </w:tc>
        <w:tc>
          <w:tcPr>
            <w:tcW w:type="dxa" w:w="4032"/>
          </w:tcPr>
          <w:p>
            <w:r/>
            <w:r>
              <w:rPr>
                <w:sz w:val="20"/>
              </w:rPr>
              <w:t>Letter cites § 13.2 for return of unsold inventory; § 13.2 is the liability cap</w:t>
            </w:r>
          </w:p>
        </w:tc>
        <w:tc>
          <w:tcPr>
            <w:tcW w:type="dxa" w:w="3312"/>
          </w:tcPr>
          <w:p>
            <w:r/>
            <w:r>
              <w:rPr>
                <w:sz w:val="20"/>
              </w:rPr>
              <w:t>Cosmetic, but shows drafting without counsel review</w:t>
            </w:r>
          </w:p>
        </w:tc>
      </w:tr>
      <w:tr>
        <w:tc>
          <w:tcPr>
            <w:tcW w:type="dxa" w:w="2016"/>
          </w:tcPr>
          <w:p>
            <w:r/>
            <w:r>
              <w:rPr>
                <w:sz w:val="20"/>
              </w:rPr>
              <w:t>"Sole discretion"</w:t>
            </w:r>
          </w:p>
        </w:tc>
        <w:tc>
          <w:tcPr>
            <w:tcW w:type="dxa" w:w="4032"/>
          </w:tcPr>
          <w:p>
            <w:r/>
            <w:r>
              <w:rPr>
                <w:sz w:val="20"/>
              </w:rPr>
              <w:t>Letter states termination decided "in its sole discretion as permitted by the Agreement"; § 12.4 grants no sole discretion</w:t>
            </w:r>
          </w:p>
        </w:tc>
        <w:tc>
          <w:tcPr>
            <w:tcW w:type="dxa" w:w="3312"/>
          </w:tcPr>
          <w:p>
            <w:r/>
            <w:r>
              <w:rPr>
                <w:sz w:val="20"/>
              </w:rPr>
              <w:t>Plaintiff will use this to suggest pretext; minor</w:t>
            </w:r>
          </w:p>
        </w:tc>
      </w:tr>
      <w:tr>
        <w:tc>
          <w:tcPr>
            <w:tcW w:type="dxa" w:w="2016"/>
          </w:tcPr>
          <w:p>
            <w:r/>
            <w:r>
              <w:rPr>
                <w:sz w:val="20"/>
              </w:rPr>
              <w:t>Historical non-enforcement</w:t>
            </w:r>
          </w:p>
        </w:tc>
        <w:tc>
          <w:tcPr>
            <w:tcW w:type="dxa" w:w="4032"/>
          </w:tcPr>
          <w:p>
            <w:r/>
            <w:r>
              <w:rPr>
                <w:sz w:val="20"/>
              </w:rPr>
              <w:t>PH’s Greenfield share appears to have been below 70% for the whole term (about 57–68% of organic-distributor purchases) without enforcement until Q3 2023</w:t>
            </w:r>
          </w:p>
        </w:tc>
        <w:tc>
          <w:tcPr>
            <w:tcW w:type="dxa" w:w="3312"/>
          </w:tcPr>
          <w:p>
            <w:r/>
            <w:r>
              <w:rPr>
                <w:sz w:val="20"/>
              </w:rPr>
              <w:t>Helps on foreclosure (clause not coercive in practice) but invites waiver and selective-enforcement arguments; § 15.6 no-waiver clause responds</w:t>
            </w:r>
          </w:p>
        </w:tc>
      </w:tr>
    </w:tbl>
    <w:p/>
    <w:p>
      <w:pPr>
        <w:spacing w:after="120"/>
      </w:pPr>
      <w:r>
        <w:rPr>
          <w:b/>
        </w:rPr>
        <w:t xml:space="preserve">Net: </w:t>
      </w:r>
      <w:r>
        <w:rPr>
          <w:i w:val="0"/>
        </w:rPr>
        <w:t>The termination is defensible as a matter of contract: 46 days’ notice exceeds § 12.4’s 30 days, and § 12.4(d) needs no cure period. Moreover, Greenfield could have terminated without cause on 90 days’ notice under § 12.3. At most, plaintiff’s contract-timing argument concerns the 44 days between April 30 and the earliest no-cause date (about June 13, 2024). That bounds any but-for period tied to the timing of the termination.</w:t>
      </w:r>
    </w:p>
    <w:p>
      <w:pPr>
        <w:pStyle w:val="Heading2"/>
      </w:pPr>
      <w:r>
        <w:t>C. Contacts with Heartland and Great Lakes</w:t>
      </w:r>
    </w:p>
    <w:p>
      <w:pPr>
        <w:spacing w:after="120"/>
      </w:pPr>
      <w:r>
        <w:rPr>
          <w:i w:val="0"/>
        </w:rPr>
        <w:t>The cross-supply agreement with Heartland creates regular contact between the two companies. We must determine whether anyone at Greenfield mentioned PH’s termination to Heartland or Great Lakes, at MOTA or otherwise, before or after March 15. Even a non-conspiratorial "FYI" would be cited as a plus factor and would change our motion-to-dismiss posture into a fact fight. The cross-supply agreement itself should be reviewed for information-sharing protocols and firewalls.</w:t>
      </w:r>
    </w:p>
    <w:p>
      <w:pPr>
        <w:pStyle w:val="Heading1"/>
      </w:pPr>
      <w:r>
        <w:t>VI. Damages Analysis</w:t>
      </w:r>
    </w:p>
    <w:p>
      <w:pPr>
        <w:pStyle w:val="Heading2"/>
      </w:pPr>
      <w:r>
        <w:t>A. Errors in the Ridgeline / Complaint methodology</w:t>
      </w:r>
    </w:p>
    <w:p>
      <w:pPr>
        <w:spacing w:after="60"/>
        <w:ind w:left="576" w:hanging="432"/>
      </w:pPr>
      <w:r>
        <w:t xml:space="preserve">1.  </w:t>
      </w:r>
      <w:r>
        <w:rPr>
          <w:b/>
        </w:rPr>
        <w:t>Wrong and unsupported margin.</w:t>
      </w:r>
      <w:r>
        <w:t xml:space="preserve"> 72% is applied to purchase cost ($6.8M × 72% = $4.896M). The workbook concedes the margin was "applied directly to cost of goods purchased, not resale revenue" and was chosen "[p]er counsel instruction." PH’s actual gross margin is 31.4% (FY2023), and the workbook cites an industry range of 28–35%. The workbook’s own "lower-bound" 50% and 35% scenarios are mislabeled; 35% is the top of the industry range, not a lower bound.</w:t>
      </w:r>
    </w:p>
    <w:p>
      <w:pPr>
        <w:spacing w:after="60"/>
        <w:ind w:left="576" w:hanging="432"/>
      </w:pPr>
      <w:r>
        <w:t xml:space="preserve">2.  </w:t>
      </w:r>
      <w:r>
        <w:rPr>
          <w:b/>
        </w:rPr>
        <w:t>Gross versus incremental profit.</w:t>
      </w:r>
      <w:r>
        <w:t xml:space="preserve"> Gross margin is not lost profit. Lost profits must be net of avoided variable costs (labor, shrink, delivery, merchandising). PH’s total EBIT was only $1.87M on $38.2M of revenue (about 4.9%).</w:t>
      </w:r>
    </w:p>
    <w:p>
      <w:pPr>
        <w:spacing w:after="60"/>
        <w:ind w:left="576" w:hanging="432"/>
      </w:pPr>
      <w:r>
        <w:t xml:space="preserve">3.  </w:t>
      </w:r>
      <w:r>
        <w:rPr>
          <w:b/>
        </w:rPr>
        <w:t>No mitigation or replacement supply.</w:t>
      </w:r>
      <w:r>
        <w:t xml:space="preserve"> The model assumes that 100% of Greenfield-sourced sales were lost for three years, despite the Complaint’s admission that PH "cobble[d] together supply from multiple smaller distributors" (¶ 105), and despite Tallgrass, NorthStar and others being willing to supply (¶ 78). Replacement sales and margins must be netted out.</w:t>
      </w:r>
    </w:p>
    <w:p>
      <w:pPr>
        <w:spacing w:after="60"/>
        <w:ind w:left="576" w:hanging="432"/>
      </w:pPr>
      <w:r>
        <w:t xml:space="preserve">4.  </w:t>
      </w:r>
      <w:r>
        <w:rPr>
          <w:b/>
        </w:rPr>
        <w:t>Damages period exceeds any legal entitlement.</w:t>
      </w:r>
      <w:r>
        <w:t xml:space="preserve"> Greenfield could lawfully have ended the relationship by non-renewal effective January 31, 2025 (notice by November 2, 2024), or without cause on 90 days’ notice (§ 12.3). A unilateral refusal to deal is lawful under Colgate. A projection running through April 2027 assumes a contractual relationship PH had no right to. Damages must be measured against a lawful but-for world.</w:t>
      </w:r>
    </w:p>
    <w:p>
      <w:pPr>
        <w:spacing w:after="60"/>
        <w:ind w:left="576" w:hanging="432"/>
      </w:pPr>
      <w:r>
        <w:t xml:space="preserve">5.  </w:t>
      </w:r>
      <w:r>
        <w:rPr>
          <w:b/>
        </w:rPr>
        <w:t>No disaggregation.</w:t>
      </w:r>
      <w:r>
        <w:t xml:space="preserve"> One undifferentiated $14.6M figure is asserted for every count (¶¶ 115, 129). Plaintiff must separate losses caused by each allegedly unlawful aspect of conduct from losses caused by lawful conduct, such as the termination for § 7.2 shortfalls or a no-cause exit. Failure to disaggregate is a recognized basis for excluding damages testimony and for summary judgment.</w:t>
      </w:r>
    </w:p>
    <w:p>
      <w:pPr>
        <w:spacing w:after="60"/>
        <w:ind w:left="576" w:hanging="432"/>
      </w:pPr>
      <w:r>
        <w:t xml:space="preserve">6.  </w:t>
      </w:r>
      <w:r>
        <w:rPr>
          <w:b/>
        </w:rPr>
        <w:t>Internal arithmetic errors.</w:t>
      </w:r>
      <w:r>
        <w:t xml:space="preserve"> $4.896M is "rounded" to $4.87M (it should be $4.90M); the Complaint uses a flat $4.87M while the model grows purchases 5% per year; and the "3-year CAGR" of 12.0% is actually a two-year CAGR (FY2021–FY2023).</w:t>
      </w:r>
    </w:p>
    <w:p>
      <w:pPr>
        <w:spacing w:after="60"/>
        <w:ind w:left="576" w:hanging="432"/>
      </w:pPr>
      <w:r>
        <w:t xml:space="preserve">7.  </w:t>
      </w:r>
      <w:r>
        <w:rPr>
          <w:b/>
        </w:rPr>
        <w:t>Sanity check fails.</w:t>
      </w:r>
      <w:r>
        <w:t xml:space="preserve"> $4.896M per year in lost margin from one supplier would equal 41% of PH’s total FY2023 gross profit ($11.99M), from a supplier that provided 26% of COGS; 2.6 times total operating income; and 4.0 times net income.</w:t>
      </w:r>
    </w:p>
    <w:p>
      <w:pPr>
        <w:pStyle w:val="Heading2"/>
      </w:pPr>
      <w:r>
        <w:t>B. Illustrative corrected ranges (single damages, before trebling)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9E2F3"/>
          </w:tcPr>
          <w:p>
            <w:r/>
            <w:r>
              <w:rPr>
                <w:b/>
                <w:sz w:val="20"/>
              </w:rPr>
              <w:t>Scenario</w:t>
            </w:r>
          </w:p>
        </w:tc>
        <w:tc>
          <w:tcPr>
            <w:tcW w:type="dxa" w:w="4896"/>
            <w:shd w:val="clear" w:color="auto" w:fill="D9E2F3"/>
          </w:tcPr>
          <w:p>
            <w:r/>
            <w:r>
              <w:rPr>
                <w:b/>
                <w:sz w:val="20"/>
              </w:rPr>
              <w:t>Assumptions</w:t>
            </w:r>
          </w:p>
        </w:tc>
        <w:tc>
          <w:tcPr>
            <w:tcW w:type="dxa" w:w="2304"/>
            <w:shd w:val="clear" w:color="auto" w:fill="D9E2F3"/>
          </w:tcPr>
          <w:p>
            <w:r/>
            <w:r>
              <w:rPr>
                <w:b/>
                <w:sz w:val="20"/>
              </w:rPr>
              <w:t>Approx. single damages</w:t>
            </w:r>
          </w:p>
        </w:tc>
      </w:tr>
      <w:tr>
        <w:tc>
          <w:tcPr>
            <w:tcW w:type="dxa" w:w="2160"/>
          </w:tcPr>
          <w:p>
            <w:r/>
            <w:r>
              <w:rPr>
                <w:sz w:val="20"/>
              </w:rPr>
              <w:t>Complaint</w:t>
            </w:r>
          </w:p>
        </w:tc>
        <w:tc>
          <w:tcPr>
            <w:tcW w:type="dxa" w:w="4896"/>
          </w:tcPr>
          <w:p>
            <w:r/>
            <w:r>
              <w:rPr>
                <w:sz w:val="20"/>
              </w:rPr>
              <w:t>$6.8M × 72% × 3 yrs (flat, rounded)</w:t>
            </w:r>
          </w:p>
        </w:tc>
        <w:tc>
          <w:tcPr>
            <w:tcW w:type="dxa" w:w="2304"/>
          </w:tcPr>
          <w:p>
            <w:r/>
            <w:r>
              <w:rPr>
                <w:sz w:val="20"/>
              </w:rPr>
              <w:t>$14.6M (trebled $43.8M)</w:t>
            </w:r>
          </w:p>
        </w:tc>
      </w:tr>
      <w:tr>
        <w:tc>
          <w:tcPr>
            <w:tcW w:type="dxa" w:w="2160"/>
          </w:tcPr>
          <w:p>
            <w:r/>
            <w:r>
              <w:rPr>
                <w:sz w:val="20"/>
              </w:rPr>
              <w:t>Margin corrected only</w:t>
            </w:r>
          </w:p>
        </w:tc>
        <w:tc>
          <w:tcPr>
            <w:tcW w:type="dxa" w:w="4896"/>
          </w:tcPr>
          <w:p>
            <w:r/>
            <w:r>
              <w:rPr>
                <w:sz w:val="20"/>
              </w:rPr>
              <w:t>Gross profit on resale of $6.8M of goods at 31.4% margin (= $3.11M/yr) × 3 yrs; no mitigation</w:t>
            </w:r>
          </w:p>
        </w:tc>
        <w:tc>
          <w:tcPr>
            <w:tcW w:type="dxa" w:w="2304"/>
          </w:tcPr>
          <w:p>
            <w:r/>
            <w:r>
              <w:rPr>
                <w:sz w:val="20"/>
              </w:rPr>
              <w:t>~$9.3M (trebled ~$28M), still overstated</w:t>
            </w:r>
          </w:p>
        </w:tc>
      </w:tr>
      <w:tr>
        <w:tc>
          <w:tcPr>
            <w:tcW w:type="dxa" w:w="2160"/>
          </w:tcPr>
          <w:p>
            <w:r/>
            <w:r>
              <w:rPr>
                <w:sz w:val="20"/>
              </w:rPr>
              <w:t>Contract term only</w:t>
            </w:r>
          </w:p>
        </w:tc>
        <w:tc>
          <w:tcPr>
            <w:tcW w:type="dxa" w:w="4896"/>
          </w:tcPr>
          <w:p>
            <w:r/>
            <w:r>
              <w:rPr>
                <w:sz w:val="20"/>
              </w:rPr>
              <w:t>$3.11M/yr gross profit from May 1, 2024 to Jan. 31, 2025 (9 months); no mitigation</w:t>
            </w:r>
          </w:p>
        </w:tc>
        <w:tc>
          <w:tcPr>
            <w:tcW w:type="dxa" w:w="2304"/>
          </w:tcPr>
          <w:p>
            <w:r/>
            <w:r>
              <w:rPr>
                <w:sz w:val="20"/>
              </w:rPr>
              <w:t>~$2.3M</w:t>
            </w:r>
          </w:p>
        </w:tc>
      </w:tr>
      <w:tr>
        <w:tc>
          <w:tcPr>
            <w:tcW w:type="dxa" w:w="2160"/>
          </w:tcPr>
          <w:p>
            <w:r/>
            <w:r>
              <w:rPr>
                <w:sz w:val="20"/>
              </w:rPr>
              <w:t>Lawful no-cause exit</w:t>
            </w:r>
          </w:p>
        </w:tc>
        <w:tc>
          <w:tcPr>
            <w:tcW w:type="dxa" w:w="4896"/>
          </w:tcPr>
          <w:p>
            <w:r/>
            <w:r>
              <w:rPr>
                <w:sz w:val="20"/>
              </w:rPr>
              <w:t>§ 12.3 90-day window: 44 days beyond actual termination date</w:t>
            </w:r>
          </w:p>
        </w:tc>
        <w:tc>
          <w:tcPr>
            <w:tcW w:type="dxa" w:w="2304"/>
          </w:tcPr>
          <w:p>
            <w:r/>
            <w:r>
              <w:rPr>
                <w:sz w:val="20"/>
              </w:rPr>
              <w:t>~$0.38M gross profit</w:t>
            </w:r>
          </w:p>
        </w:tc>
      </w:tr>
      <w:tr>
        <w:tc>
          <w:tcPr>
            <w:tcW w:type="dxa" w:w="2160"/>
          </w:tcPr>
          <w:p>
            <w:r/>
            <w:r>
              <w:rPr>
                <w:sz w:val="20"/>
              </w:rPr>
              <w:t>Realistic</w:t>
            </w:r>
          </w:p>
        </w:tc>
        <w:tc>
          <w:tcPr>
            <w:tcW w:type="dxa" w:w="4896"/>
          </w:tcPr>
          <w:p>
            <w:r/>
            <w:r>
              <w:rPr>
                <w:sz w:val="20"/>
              </w:rPr>
              <w:t>Any of the above, net of variable costs and replacement supply, and limited to injury caused by any unlawful conduct</w:t>
            </w:r>
          </w:p>
        </w:tc>
        <w:tc>
          <w:tcPr>
            <w:tcW w:type="dxa" w:w="2304"/>
          </w:tcPr>
          <w:p>
            <w:r/>
            <w:r>
              <w:rPr>
                <w:sz w:val="20"/>
              </w:rPr>
              <w:t>Substantially lower; potentially de minimis</w:t>
            </w:r>
          </w:p>
        </w:tc>
      </w:tr>
    </w:tbl>
    <w:p/>
    <w:p>
      <w:pPr>
        <w:spacing w:after="120"/>
      </w:pPr>
      <w:r>
        <w:rPr>
          <w:i w:val="0"/>
        </w:rPr>
        <w:t>These figures are illustrative associate calculations from PH’s own workbook, not expert opinions. They should be confirmed by our damages expert. Prejudgment interest is generally unavailable on antitrust treble damages absent specified bad-faith litigation conduct (15 U.S.C. § 15(a)), contrary to Prayer ¶ (b).</w:t>
      </w:r>
    </w:p>
    <w:p>
      <w:pPr>
        <w:pStyle w:val="Heading1"/>
      </w:pPr>
      <w:r>
        <w:t>VII. Procedural and Contractual Issues</w:t>
      </w:r>
    </w:p>
    <w:p>
      <w:pPr>
        <w:pStyle w:val="ListBullet"/>
        <w:spacing w:after="60"/>
      </w:pPr>
      <w:r>
        <w:rPr>
          <w:b/>
        </w:rPr>
        <w:t>Pre-suit negotiation.</w:t>
      </w:r>
      <w:r>
        <w:t xml:space="preserve"> ADA § 14.2 requires 30 days of good-faith senior-executive negotiation before "any formal legal proceeding" on disputes "arising out of or relating to" the ADA. Determine whether PH ever served a § 14.2 notice. If it did not, raise non-compliance in the motion, as a ground for a stay or as a further sign of bad faith. It is unlikely to be dispositive of statutory antitrust claims.</w:t>
      </w:r>
    </w:p>
    <w:p>
      <w:pPr>
        <w:pStyle w:val="ListBullet"/>
        <w:spacing w:after="60"/>
      </w:pPr>
      <w:r>
        <w:rPr>
          <w:b/>
        </w:rPr>
        <w:t>Forum.</w:t>
      </w:r>
      <w:r>
        <w:t xml:space="preserve"> § 14.3 requires Cook County state or federal courts. The N.D. Ill. Eastern Division satisfies it; no transfer motion is warranted.</w:t>
      </w:r>
    </w:p>
    <w:p>
      <w:pPr>
        <w:pStyle w:val="ListBullet"/>
        <w:spacing w:after="60"/>
      </w:pPr>
      <w:r>
        <w:rPr>
          <w:b/>
        </w:rPr>
        <w:t>Documents properly considered on Rule 12(b)(6).</w:t>
      </w:r>
      <w:r>
        <w:t xml:space="preserve"> The court may consider the ADA (Ex. A), the Alvarez chain (Ex. B), the Marsh email (Ex. C) and the termination letter (referenced in ¶¶ 74, 96, and central to the claims) without converting the motion. PH’s workbook generally may not be used on a 12(b)(6) motion. The Aldersgate summary (Ex. D) is incorporated, but it is plaintiff’s advocacy and should be attacked, not adopted.</w:t>
      </w:r>
    </w:p>
    <w:p>
      <w:pPr>
        <w:pStyle w:val="ListBullet"/>
        <w:spacing w:after="60"/>
      </w:pPr>
      <w:r>
        <w:rPr>
          <w:b/>
        </w:rPr>
        <w:t>Deadlines.</w:t>
      </w:r>
      <w:r>
        <w:t xml:space="preserve"> Confirm the service date and the responsive-pleading deadline (21 days after service, or 60 days if service was waived; Fed. R. Civ. P. 12(a)). Seek a stipulated extension and a schedule that defers discovery pending the motion. A motion to stay discovery pending a Twombly motion is well grounded in antitrust cases.</w:t>
      </w:r>
    </w:p>
    <w:p>
      <w:pPr>
        <w:pStyle w:val="ListBullet"/>
        <w:spacing w:after="60"/>
      </w:pPr>
      <w:r>
        <w:rPr>
          <w:b/>
        </w:rPr>
        <w:t>Limitations.</w:t>
      </w:r>
      <w:r>
        <w:t xml:space="preserve"> The four-year Clayton Act limitations period (15 U.S.C. § 15b) poses no obstacle to PH. It is relevant, however, to any claims by other dealers.</w:t>
      </w:r>
    </w:p>
    <w:p>
      <w:pPr>
        <w:pStyle w:val="ListBullet"/>
        <w:spacing w:after="60"/>
      </w:pPr>
      <w:r>
        <w:rPr>
          <w:b/>
        </w:rPr>
        <w:t>Verification.</w:t>
      </w:r>
      <w:r>
        <w:t xml:space="preserve"> The Complaint pleads "upon information and belief" as to "all other matters" yet is verified by Mr. Brogan under 28 U.S.C. § 1746. Contradictions between ¶¶ 4 and 55 and PH’s own data are valuable impeachment material at deposition.</w:t>
      </w:r>
    </w:p>
    <w:p>
      <w:pPr>
        <w:pStyle w:val="Heading1"/>
      </w:pPr>
      <w:r>
        <w:t>VIII. Recommended Litigation Strategy</w:t>
      </w:r>
    </w:p>
    <w:p>
      <w:pPr>
        <w:pStyle w:val="Heading2"/>
      </w:pPr>
      <w:r>
        <w:t>A. Immediate (next two weeks)</w:t>
      </w:r>
    </w:p>
    <w:p>
      <w:pPr>
        <w:spacing w:after="60"/>
        <w:ind w:left="576" w:hanging="432"/>
      </w:pPr>
      <w:r>
        <w:t xml:space="preserve">1.  </w:t>
      </w:r>
      <w:r>
        <w:rPr>
          <w:b/>
        </w:rPr>
        <w:t>Litigation hold.</w:t>
      </w:r>
      <w:r>
        <w:t xml:space="preserve"> Issue a written hold covering Mr. Alvarez, sales and distribution leadership, field representatives, the MAP compliance team, executives who attended MOTA 2024, those who manage the Heartland cross-supply agreement, Patricia Hong’s team, and the Dealer Portal (MAP schedules, dealer warnings, field-rep reports, PH’s § 5.4 reports). Include texts and personal devices.</w:t>
      </w:r>
    </w:p>
    <w:p>
      <w:pPr>
        <w:spacing w:after="60"/>
        <w:ind w:left="576" w:hanging="432"/>
      </w:pPr>
      <w:r>
        <w:t xml:space="preserve">2.  </w:t>
      </w:r>
      <w:r>
        <w:rPr>
          <w:b/>
        </w:rPr>
        <w:t>Internal investigation under privilege.</w:t>
      </w:r>
      <w:r>
        <w:t xml:space="preserve"> Conduct privileged interviews of Mr. Alvarez, field representatives, and MOTA attendees, and review email and text traffic with Heartland and Great Lakes for references to PH (Jan.–Aug. 2024). Also review: (i) how MAP enforcement works in practice across the network and whether any dealer was warned or terminated over transaction prices; (ii) the identity of the "two other accounts" that complained; (iii) the termination-letter drafting history, including who added the "advertise or sell" sell-off language; and (iv) the Dec. 5, 2023 notice, the compliance enclosures and the rolling-12-month 7.2 calculations.</w:t>
      </w:r>
    </w:p>
    <w:p>
      <w:pPr>
        <w:spacing w:after="60"/>
        <w:ind w:left="576" w:hanging="432"/>
      </w:pPr>
      <w:r>
        <w:t xml:space="preserve">3.  </w:t>
      </w:r>
      <w:r>
        <w:rPr>
          <w:b/>
        </w:rPr>
        <w:t>Experts.</w:t>
      </w:r>
      <w:r>
        <w:t xml:space="preserve"> Retain an industrial-organization economist now (consulting basis) on market definition (organic versus conventional, geographic scope), foreclosure, and HHI. Retain a forensic accountant on damages.</w:t>
      </w:r>
    </w:p>
    <w:p>
      <w:pPr>
        <w:spacing w:after="60"/>
        <w:ind w:left="576" w:hanging="432"/>
      </w:pPr>
      <w:r>
        <w:t xml:space="preserve">4.  </w:t>
      </w:r>
      <w:r>
        <w:rPr>
          <w:b/>
        </w:rPr>
        <w:t>Third-party coordination.</w:t>
      </w:r>
      <w:r>
        <w:t xml:space="preserve"> Channel all communications with Heartland and Great Lakes about the case through counsel. A formal common-interest arrangement with alleged co-conspirators should be considered cautiously because of the optics. Consider whether their credit-review files can be obtained by Rule 45 subpoena at the appropriate time; they are likely to be exculpatory.</w:t>
      </w:r>
    </w:p>
    <w:p>
      <w:pPr>
        <w:spacing w:after="60"/>
        <w:ind w:left="576" w:hanging="432"/>
      </w:pPr>
      <w:r>
        <w:t xml:space="preserve">5.  </w:t>
      </w:r>
      <w:r>
        <w:rPr>
          <w:b/>
        </w:rPr>
        <w:t>Prospective compliance hygiene.</w:t>
      </w:r>
      <w:r>
        <w:t xml:space="preserve"> Without conceding anything (FRE 407 may provide limited protection), consider revising prospective practice: field reps should monitor only advertised prices; clarify or remove the "sells" trigger in § 9.3; align § 1.5 with § 9.1; refresh antitrust compliance training on MAP versus RPM and on competitor communications; and stop including transaction-price conditions in termination or sell-off letters. Coordinate timing with litigation strategy.</w:t>
      </w:r>
    </w:p>
    <w:p>
      <w:pPr>
        <w:pStyle w:val="Heading2"/>
      </w:pPr>
      <w:r>
        <w:t>B. Motion to dismiss (Rule 12(b)(6))</w:t>
      </w:r>
    </w:p>
    <w:p>
      <w:pPr>
        <w:spacing w:after="120"/>
      </w:pPr>
      <w:r>
        <w:rPr>
          <w:i w:val="0"/>
        </w:rPr>
        <w:t>File a single comprehensive motion and brief directed at all seven counts, organized in this order of strength:</w:t>
      </w:r>
    </w:p>
    <w:p>
      <w:pPr>
        <w:spacing w:after="60"/>
        <w:ind w:left="576" w:hanging="432"/>
      </w:pPr>
      <w:r>
        <w:t xml:space="preserve">1.  </w:t>
      </w:r>
      <w:r>
        <w:t xml:space="preserve"> Count IV: 22% share; HHI error; no shared monopoly. Seek dismissal with prejudice.</w:t>
      </w:r>
    </w:p>
    <w:p>
      <w:pPr>
        <w:spacing w:after="60"/>
        <w:ind w:left="576" w:hanging="432"/>
      </w:pPr>
      <w:r>
        <w:t xml:space="preserve">2.  </w:t>
      </w:r>
      <w:r>
        <w:t xml:space="preserve"> Count III: Twombly; the chronology (termination before MOTA); the full text of Ex. C; no per se treatment.</w:t>
      </w:r>
    </w:p>
    <w:p>
      <w:pPr>
        <w:spacing w:after="60"/>
        <w:ind w:left="576" w:hanging="432"/>
      </w:pPr>
      <w:r>
        <w:t xml:space="preserve">3.  </w:t>
      </w:r>
      <w:r>
        <w:t xml:space="preserve"> Counts I and V: insufficient foreclosure; short and terminable contracts; partial exclusivity; no antitrust injury to a dealer; Clayton § 3 limited to goods; no § 16 standing for an injunction.</w:t>
      </w:r>
    </w:p>
    <w:p>
      <w:pPr>
        <w:spacing w:after="60"/>
        <w:ind w:left="576" w:hanging="432"/>
      </w:pPr>
      <w:r>
        <w:t xml:space="preserve">4.  </w:t>
      </w:r>
      <w:r>
        <w:t xml:space="preserve"> Count II: Leegin rule of reason; no interbrand market or power; § 9.1 and Ex. C text. Present this count measuredly; do not overstate the record on transaction-price enforcement until the investigation is complete.</w:t>
      </w:r>
    </w:p>
    <w:p>
      <w:pPr>
        <w:spacing w:after="60"/>
        <w:ind w:left="576" w:hanging="432"/>
      </w:pPr>
      <w:r>
        <w:t xml:space="preserve">5.  </w:t>
      </w:r>
      <w:r>
        <w:t xml:space="preserve"> Count VI: harmonization; failure to identify a subsection; trebling and fee-provision errors; § 1367(c) alternative.</w:t>
      </w:r>
    </w:p>
    <w:p>
      <w:pPr>
        <w:spacing w:after="60"/>
        <w:ind w:left="576" w:hanging="432"/>
      </w:pPr>
      <w:r>
        <w:t xml:space="preserve">6.  </w:t>
      </w:r>
      <w:r>
        <w:t xml:space="preserve"> Count VII: no third-party interference; contractual privilege; derivative; § 13.1 waiver and § 13.2 cap.</w:t>
      </w:r>
    </w:p>
    <w:p>
      <w:pPr>
        <w:spacing w:after="120"/>
      </w:pPr>
      <w:r>
        <w:rPr>
          <w:i w:val="0"/>
        </w:rPr>
        <w:t>Throughout, use the full exhibits to show that the Complaint misquotes them (Part III.F), and use the Complaint’s internal contradictions (¶ 55 vs. ¶ 99; ¶ 4 vs. ¶ 78 and ¶ 105). Seek a stay of discovery pending the motion.</w:t>
      </w:r>
    </w:p>
    <w:p>
      <w:pPr>
        <w:pStyle w:val="Heading2"/>
      </w:pPr>
      <w:r>
        <w:t>C. Counterclaims and affirmative defenses</w:t>
      </w:r>
    </w:p>
    <w:p>
      <w:pPr>
        <w:pStyle w:val="ListBullet"/>
        <w:spacing w:after="60"/>
      </w:pPr>
      <w:r>
        <w:rPr>
          <w:b/>
        </w:rPr>
        <w:t>Counterclaim (defer decision).</w:t>
      </w:r>
      <w:r>
        <w:t xml:space="preserve"> Greenfield has colorable breach claims (7.2 shortfalls, MAP violations), any outstanding balances under § 12.5(d), and prevailing-party fees under § 14.4. A counterclaim adds leverage and makes the fee-shifting exposure concrete for PH. It also invites discovery into enforcement practices and may look retaliatory against a struggling retailer before a jury. We recommend reserving the counterclaim until after the motion is decided and the investigation is complete; compulsory-counterclaim timing under Rule 13(a) should be calendared for the answer.</w:t>
      </w:r>
    </w:p>
    <w:p>
      <w:pPr>
        <w:pStyle w:val="ListBullet"/>
        <w:spacing w:after="60"/>
      </w:pPr>
      <w:r>
        <w:rPr>
          <w:b/>
        </w:rPr>
        <w:t>Affirmative defenses (with any answer).</w:t>
      </w:r>
      <w:r>
        <w:t xml:space="preserve"> Failure to state a claim; lack of antitrust injury and antitrust standing; legitimate business justification; failure to mitigate; contractual limitation of liability (§§ 13.1–13.2, for non-antitrust claims); fees under § 14.4; failure to satisfy § 14.2; setoff; damages too speculative and not disaggregated.</w:t>
      </w:r>
    </w:p>
    <w:p>
      <w:pPr>
        <w:pStyle w:val="Heading2"/>
      </w:pPr>
      <w:r>
        <w:t>D. Discovery and expert phase (if any count survives)</w:t>
      </w:r>
    </w:p>
    <w:p>
      <w:pPr>
        <w:pStyle w:val="ListBullet"/>
        <w:spacing w:after="60"/>
      </w:pPr>
      <w:r>
        <w:t xml:space="preserve"> Seek PH’s complete purchase data by supplier and month, its § 5.4 reports, its applications to Heartland, Great Lakes, Tallgrass and NorthStar, all responses received, its financial condition at the time of those applications (relevant to the credit rationale), store-level sales before and after termination, and Ridgeline’s files, including the "counsel instruction" behind the 72% margin.</w:t>
      </w:r>
    </w:p>
    <w:p>
      <w:pPr>
        <w:pStyle w:val="ListBullet"/>
        <w:spacing w:after="60"/>
      </w:pPr>
      <w:r>
        <w:t xml:space="preserve"> Prepare Daubert challenges to Ridgeline (unsupported margin, no mitigation, no disaggregation, an unlawful but-for world) and to Aldersgate (market definition contradicted by PH’s own purchasing).</w:t>
      </w:r>
    </w:p>
    <w:p>
      <w:pPr>
        <w:pStyle w:val="ListBullet"/>
        <w:spacing w:after="60"/>
      </w:pPr>
      <w:r>
        <w:t xml:space="preserve"> Develop the record on procompetitive justifications for § 7.2 (logistics planning, upstream purchasing, route density) and for MAP (free-riding on Greenfield marketing support).</w:t>
      </w:r>
    </w:p>
    <w:p>
      <w:pPr>
        <w:pStyle w:val="Heading2"/>
      </w:pPr>
      <w:r>
        <w:t>E. Resolution</w:t>
      </w:r>
    </w:p>
    <w:p>
      <w:pPr>
        <w:spacing w:after="120"/>
      </w:pPr>
      <w:r>
        <w:rPr>
          <w:i w:val="0"/>
        </w:rPr>
        <w:t>PH appears financially stressed (alleged shortages and potential store closures), faces fee-shifting risk under § 14.4, and has a damages model that will not survive expert scrutiny. After the motion is briefed, and ideally after a ruling on Counts III and IV, there may be a window for an early, modest resolution (e.g., a nuisance-to-low-seven-figure range, to be calibrated after the investigation) with mutual releases and no admission. Any settlement should avoid injunctive terms that constrain the ADA program network-wide. Until the investigation of the Alvarez email and the letter language is complete, the realistic downside on Count II cannot be priced, so we should not make early settlement overtures.</w:t>
      </w:r>
    </w:p>
    <w:p>
      <w:pPr>
        <w:pStyle w:val="Heading1"/>
      </w:pPr>
      <w:r>
        <w:t>IX. Open Questions and Items to Verify</w:t>
      </w:r>
    </w:p>
    <w:p>
      <w:pPr>
        <w:spacing w:after="60"/>
        <w:ind w:left="576" w:hanging="432"/>
      </w:pPr>
      <w:r>
        <w:t xml:space="preserve">1.  </w:t>
      </w:r>
      <w:r>
        <w:t xml:space="preserve"> Provenance of PH’s financial workbook and any restrictions on its use (FRE 408, protective order).</w:t>
      </w:r>
    </w:p>
    <w:p>
      <w:pPr>
        <w:spacing w:after="60"/>
        <w:ind w:left="576" w:hanging="432"/>
      </w:pPr>
      <w:r>
        <w:t xml:space="preserve">2.  </w:t>
      </w:r>
      <w:r>
        <w:t xml:space="preserve"> Whether PH served a § 14.2 negotiation notice before filing.</w:t>
      </w:r>
    </w:p>
    <w:p>
      <w:pPr>
        <w:spacing w:after="60"/>
        <w:ind w:left="576" w:hanging="432"/>
      </w:pPr>
      <w:r>
        <w:t xml:space="preserve">3.  </w:t>
      </w:r>
      <w:r>
        <w:t xml:space="preserve"> The Dec. 5, 2023 7.2 notice; the enclosures to the termination letter; rolling 12-month 7.2 computations from PH’s § 5.4 reports.</w:t>
      </w:r>
    </w:p>
    <w:p>
      <w:pPr>
        <w:spacing w:after="60"/>
        <w:ind w:left="576" w:hanging="432"/>
      </w:pPr>
      <w:r>
        <w:t xml:space="preserve">4.  </w:t>
      </w:r>
      <w:r>
        <w:t xml:space="preserve"> Whether any Greenfield personnel discussed PH with Heartland or Great Lakes (MOTA, the cross-supply channel, or otherwise).</w:t>
      </w:r>
    </w:p>
    <w:p>
      <w:pPr>
        <w:spacing w:after="60"/>
        <w:ind w:left="576" w:hanging="432"/>
      </w:pPr>
      <w:r>
        <w:t xml:space="preserve">5.  </w:t>
      </w:r>
      <w:r>
        <w:t xml:space="preserve"> Network-wide MAP enforcement history: warnings or terminations over in-store prices; the identity of the two complaining dealers.</w:t>
      </w:r>
    </w:p>
    <w:p>
      <w:pPr>
        <w:spacing w:after="60"/>
        <w:ind w:left="576" w:hanging="432"/>
      </w:pPr>
      <w:r>
        <w:t xml:space="preserve">6.  </w:t>
      </w:r>
      <w:r>
        <w:t xml:space="preserve"> The Aldersgate full report (Ex. D) once available.</w:t>
      </w:r>
    </w:p>
    <w:p>
      <w:pPr>
        <w:spacing w:after="60"/>
        <w:ind w:left="576" w:hanging="432"/>
      </w:pPr>
      <w:r>
        <w:t xml:space="preserve">7.  </w:t>
      </w:r>
      <w:r>
        <w:t xml:space="preserve"> Cite-check all authorities, including the Illinois Antitrust Act subsection, trebling (10/7(2)) and fee (10/5 vs. 10/7) points, any post-Leegin Illinois RPM authority, and current Seventh Circuit exclusive-dealing and foreclosure-threshold cases.</w:t>
      </w:r>
    </w:p>
    <w:p>
      <w:pPr>
        <w:spacing w:after="60"/>
        <w:ind w:left="576" w:hanging="432"/>
      </w:pPr>
      <w:r>
        <w:t xml:space="preserve">8.  </w:t>
      </w:r>
      <w:r>
        <w:t xml:space="preserve"> Service date and responsive-pleading deadline.</w:t>
      </w:r>
    </w:p>
    <w:p>
      <w:pPr>
        <w:spacing w:after="120"/>
      </w:pPr>
      <w:r>
        <w:rPr>
          <w:i w:val="0"/>
        </w:rPr>
      </w:r>
    </w:p>
    <w:p>
      <w:pPr>
        <w:spacing w:after="120"/>
      </w:pPr>
      <w:r>
        <w:rPr>
          <w:i/>
        </w:rPr>
        <w:t>This memorandum reflects a preliminary analysis based on the limited documents reviewed. It is intended for internal defense-team use and should not be shared outside the privileged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