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0"/>
        </w:rPr>
        <w:t>PRIVILEGED &amp; CONFIDENTIAL — ATTORNEY-CLIENT COMMUNICATION / ATTORNEY WORK PRODUCT</w:t>
      </w:r>
    </w:p>
    <w:p>
      <w:pPr>
        <w:spacing w:after="120"/>
        <w:jc w:val="center"/>
      </w:pPr>
      <w:r>
        <w:rPr>
          <w:b w:val="0"/>
          <w:i/>
          <w:sz w:val="20"/>
        </w:rPr>
        <w:t>DRAFT — FOR D. OSTRANDER REVIEW BEFORE TRANSMITTAL TO CLIENT</w:t>
      </w:r>
    </w:p>
    <w:p>
      <w:pPr>
        <w:spacing w:after="40"/>
        <w:jc w:val="center"/>
      </w:pPr>
      <w:r>
        <w:rPr>
          <w:b/>
          <w:i w:val="0"/>
          <w:sz w:val="24"/>
        </w:rPr>
        <w:t>HARGROVE, WYNN &amp; CALLOWAY LLP</w:t>
      </w:r>
    </w:p>
    <w:p>
      <w:pPr>
        <w:spacing w:after="200"/>
        <w:jc w:val="center"/>
      </w:pPr>
      <w:r>
        <w:rPr>
          <w:b/>
          <w:i w:val="0"/>
          <w:sz w:val="24"/>
        </w:rPr>
        <w:t>MEMORANDUM</w:t>
      </w:r>
    </w:p>
    <w:tbl>
      <w:tblPr>
        <w:tblW w:type="auto" w:w="0"/>
        <w:tblLook w:firstColumn="1" w:firstRow="1" w:lastColumn="0" w:lastRow="0" w:noHBand="0" w:noVBand="1" w:val="04A0"/>
      </w:tblPr>
      <w:tblGrid>
        <w:gridCol w:w="4680"/>
        <w:gridCol w:w="4680"/>
      </w:tblGrid>
      <w:tr>
        <w:tc>
          <w:tcPr>
            <w:tcW w:type="dxa" w:w="1296"/>
          </w:tcPr>
          <w:p>
            <w:r/>
            <w:r>
              <w:rPr>
                <w:b/>
              </w:rPr>
              <w:t>TO:</w:t>
            </w:r>
          </w:p>
        </w:tc>
        <w:tc>
          <w:tcPr>
            <w:tcW w:type="dxa" w:w="8064"/>
          </w:tcPr>
          <w:p>
            <w:r/>
            <w:r>
              <w:t>Rebecca Stadler, General Counsel, Whitmore Capital Partners LLC</w:t>
            </w:r>
          </w:p>
        </w:tc>
      </w:tr>
      <w:tr>
        <w:tc>
          <w:tcPr>
            <w:tcW w:type="dxa" w:w="1296"/>
          </w:tcPr>
          <w:p>
            <w:r/>
            <w:r>
              <w:rPr>
                <w:b/>
              </w:rPr>
              <w:t>FROM:</w:t>
            </w:r>
          </w:p>
        </w:tc>
        <w:tc>
          <w:tcPr>
            <w:tcW w:type="dxa" w:w="8064"/>
          </w:tcPr>
          <w:p>
            <w:r/>
            <w:r>
              <w:t>Hargrove, Wynn &amp; Calloway LLP (David Ostrander, Partner; Priya Nakamura, Senior Associate)</w:t>
            </w:r>
          </w:p>
        </w:tc>
      </w:tr>
      <w:tr>
        <w:tc>
          <w:tcPr>
            <w:tcW w:type="dxa" w:w="1296"/>
          </w:tcPr>
          <w:p>
            <w:r/>
            <w:r>
              <w:rPr>
                <w:b/>
              </w:rPr>
              <w:t>DATE:</w:t>
            </w:r>
          </w:p>
        </w:tc>
        <w:tc>
          <w:tcPr>
            <w:tcW w:type="dxa" w:w="8064"/>
          </w:tcPr>
          <w:p>
            <w:r/>
            <w:r>
              <w:t>January 11, 2025</w:t>
            </w:r>
          </w:p>
        </w:tc>
      </w:tr>
      <w:tr>
        <w:tc>
          <w:tcPr>
            <w:tcW w:type="dxa" w:w="1296"/>
          </w:tcPr>
          <w:p>
            <w:r/>
            <w:r>
              <w:rPr>
                <w:b/>
              </w:rPr>
              <w:t>RE:</w:t>
            </w:r>
          </w:p>
        </w:tc>
        <w:tc>
          <w:tcPr>
            <w:tcW w:type="dxa" w:w="8064"/>
          </w:tcPr>
          <w:p>
            <w:r/>
            <w:r>
              <w:t>Vantage Specialty Chemicals Inc. / Cascadian Growth Fund LP Co-Investment — Markup of Proposed Arbitration Agreement (Exhibit F to Co-Investment Agreement) — Summary of Changes by Priority</w:t>
            </w:r>
          </w:p>
        </w:tc>
      </w:tr>
    </w:tbl>
    <w:p>
      <w:pPr>
        <w:spacing w:after="160"/>
      </w:pPr>
      <w:r>
        <w:rPr>
          <w:b w:val="0"/>
          <w:i w:val="0"/>
        </w:rPr>
        <w:t>______________________________________________________________________________________</w:t>
      </w:r>
    </w:p>
    <w:p>
      <w:pPr>
        <w:pStyle w:val="Heading1"/>
      </w:pPr>
      <w:r>
        <w:t>I. Executive Summary</w:t>
      </w:r>
    </w:p>
    <w:p>
      <w:pPr>
        <w:spacing w:after="120"/>
      </w:pPr>
      <w:r>
        <w:rPr>
          <w:b w:val="0"/>
          <w:i w:val="0"/>
        </w:rPr>
        <w:t>We have marked up the proposed Arbitration Agreement circulated by Margaret Hsiao (Pinnacle Winterhaven LLP) on January 8, 2025 on behalf of Cascadian Growth Fund LP ("Cascadian") against the Whitmore Arbitration Playbook, Version 3.0 (last updated November 15, 2024) (the "Playbook") and your instructions of January 9, 2025. The accompanying redline (redlined-arbitration-agreement.docx) shows every change as a tracked change, with a margin comment on each change identifying the Playbook section, the position classification (Required, Preferred, or Fallback), the priority tier, the rationale, and any available Fallback.</w:t>
      </w:r>
    </w:p>
    <w:p>
      <w:pPr>
        <w:spacing w:after="120"/>
      </w:pPr>
      <w:r>
        <w:rPr>
          <w:b w:val="0"/>
          <w:i w:val="0"/>
        </w:rPr>
        <w:t xml:space="preserve">As anticipated, the Cascadian form is tilted toward Cascadian throughout. Of the twenty substantive topics in the Playbook (Secs. 2-21), the draft departs from a Required position on </w:t>
      </w:r>
      <w:r>
        <w:rPr>
          <w:b/>
          <w:i w:val="0"/>
        </w:rPr>
        <w:t>eighteen</w:t>
      </w:r>
      <w:r>
        <w:rPr>
          <w:b w:val="0"/>
          <w:i w:val="0"/>
        </w:rPr>
        <w:t>; only the English-language provision (Sec. 21) is acceptable as drafted, and the broad scope clause (Sec. 7) is acceptable in concept but has been extended to ancillary agreements. The FAA designation has also been retained. Five Required provisions are missing entirely and have been drafted from scratch (confidentiality, damages waiver, class/collective/representative waiver, expedited procedures, and appellate arbitration), and four Cascadian provisions are categorically prohibited by the Playbook and have been deleted (the waiver of court interim relief, the one-year limitations period, the each-party-bears-its-own-costs clause, and the 30-day document destruction clause).</w:t>
      </w:r>
    </w:p>
    <w:p>
      <w:pPr>
        <w:spacing w:after="120"/>
      </w:pPr>
      <w:r>
        <w:rPr>
          <w:b w:val="0"/>
          <w:i w:val="0"/>
        </w:rPr>
        <w:t>Your three priority items are addressed as follows:</w:t>
      </w:r>
    </w:p>
    <w:p>
      <w:pPr>
        <w:pStyle w:val="ListBullet"/>
        <w:spacing w:after="120"/>
      </w:pPr>
      <w:r>
        <w:rPr>
          <w:b/>
          <w:i w:val="0"/>
        </w:rPr>
        <w:t>Three-member panel (Sec. 4.1/4.2):</w:t>
      </w:r>
      <w:r>
        <w:rPr>
          <w:b w:val="0"/>
          <w:i w:val="0"/>
        </w:rPr>
        <w:t xml:space="preserve"> sole arbitrator deleted; three-member Tribunal with each side appointing one arbitrator within 30 days and the two party-appointed arbitrators selecting the chair within 20 days (AAA appoints on default). Presented as Required, per your instruction, not Preferred.</w:t>
      </w:r>
    </w:p>
    <w:p>
      <w:pPr>
        <w:pStyle w:val="ListBullet"/>
        <w:spacing w:after="120"/>
      </w:pPr>
      <w:r>
        <w:rPr>
          <w:b/>
          <w:i w:val="0"/>
        </w:rPr>
        <w:t>Interim relief (Art. VI):</w:t>
      </w:r>
      <w:r>
        <w:rPr>
          <w:b w:val="0"/>
          <w:i w:val="0"/>
        </w:rPr>
        <w:t xml:space="preserve"> the court-relief waiver in former Sec. 6.1 has been deleted in its entirety and replaced with an express carve-out preserving court-ordered provisional relief before, during, or after the arbitration (with non-waiver / no-submission language), plus incorporation of the AAA emergency arbitrator procedures. No fallback offered.</w:t>
      </w:r>
    </w:p>
    <w:p>
      <w:pPr>
        <w:pStyle w:val="ListBullet"/>
        <w:spacing w:after="120"/>
      </w:pPr>
      <w:r>
        <w:rPr>
          <w:b/>
          <w:i w:val="0"/>
        </w:rPr>
        <w:t>Expedited track (new Sec. 5.5):</w:t>
      </w:r>
      <w:r>
        <w:rPr>
          <w:b w:val="0"/>
          <w:i w:val="0"/>
        </w:rPr>
        <w:t xml:space="preserve"> capital call, drag-along, and buy-sell disputes go to a sole qualified arbitrator appointed within 10 business days, hearing within 30 days of appointment, final award within 45 days of the demand, document production only (max. 5 requests per side).</w:t>
      </w:r>
    </w:p>
    <w:p>
      <w:pPr>
        <w:spacing w:after="120"/>
      </w:pPr>
      <w:r>
        <w:rPr>
          <w:b w:val="0"/>
          <w:i w:val="0"/>
        </w:rPr>
        <w:t>We recommend that the margin comments (which quote privileged Playbook policy and Whitmore's internal fallbacks) be stripped from the version sent to Pinnacle Winterhaven, as discussed in Part VII.</w:t>
      </w:r>
    </w:p>
    <w:p>
      <w:pPr>
        <w:pStyle w:val="Heading1"/>
      </w:pPr>
      <w:r>
        <w:t>II. Priority Framework</w:t>
      </w:r>
    </w:p>
    <w:p>
      <w:pPr>
        <w:spacing w:after="120"/>
      </w:pPr>
      <w:r>
        <w:rPr>
          <w:b w:val="0"/>
          <w:i w:val="0"/>
        </w:rPr>
        <w:t>The tiers below follow Playbook Sec. 22 (Critical / Important / Recommended), with two adjustments driven by your January 9 instructions, which we treat as controlling over the Playbook's default classifications:</w:t>
      </w:r>
    </w:p>
    <w:p>
      <w:pPr>
        <w:pStyle w:val="ListBullet"/>
        <w:spacing w:after="120"/>
      </w:pPr>
      <w:r>
        <w:rPr>
          <w:b/>
          <w:i w:val="0"/>
        </w:rPr>
        <w:t>Expedited procedures</w:t>
      </w:r>
      <w:r>
        <w:rPr>
          <w:b w:val="0"/>
          <w:i w:val="0"/>
        </w:rPr>
        <w:t xml:space="preserve"> are listed in the Playbook's "Recommended" tier (Sec. 22) but are classified "Required" in Sec. 17 and were identified by you as one of your three highest priorities ("critical for fund governance"). We have elevated them to </w:t>
      </w:r>
      <w:r>
        <w:rPr>
          <w:b/>
          <w:i w:val="0"/>
        </w:rPr>
        <w:t>Critical</w:t>
      </w:r>
      <w:r>
        <w:rPr>
          <w:b w:val="0"/>
          <w:i w:val="0"/>
        </w:rPr>
        <w:t>.</w:t>
      </w:r>
    </w:p>
    <w:p>
      <w:pPr>
        <w:pStyle w:val="ListBullet"/>
        <w:spacing w:after="120"/>
      </w:pPr>
      <w:r>
        <w:rPr>
          <w:b/>
          <w:i w:val="0"/>
        </w:rPr>
        <w:t>Three-member panel selection mechanics</w:t>
      </w:r>
      <w:r>
        <w:rPr>
          <w:b w:val="0"/>
          <w:i w:val="0"/>
        </w:rPr>
        <w:t xml:space="preserve"> are a "Preferred" position in Playbook Sec. 4, but you instructed that the standard mechanics be required. We have presented them as </w:t>
      </w:r>
      <w:r>
        <w:rPr>
          <w:b/>
          <w:i w:val="0"/>
        </w:rPr>
        <w:t>Required / Critical</w:t>
      </w:r>
      <w:r>
        <w:rPr>
          <w:b w:val="0"/>
          <w:i w:val="0"/>
        </w:rPr>
        <w:t>.</w:t>
      </w:r>
    </w:p>
    <w:p>
      <w:pPr>
        <w:spacing w:after="120"/>
      </w:pPr>
      <w:r>
        <w:rPr>
          <w:b w:val="0"/>
          <w:i w:val="0"/>
        </w:rPr>
        <w:t>Under the Playbook, no Required position may be conceded without your prior written authorization; Preferred positions may be traded down to the identified Fallback without escalation. Fallbacks are noted below so you can see the room for negotiation.</w:t>
      </w:r>
    </w:p>
    <w:p>
      <w:pPr>
        <w:pStyle w:val="Heading1"/>
      </w:pPr>
      <w:r>
        <w:t>III. Critical Changes (Non-Negotiable)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656"/>
            <w:shd w:val="clear" w:color="auto" w:fill="D9D9D9"/>
          </w:tcPr>
          <w:p>
            <w:r/>
            <w:r>
              <w:rPr>
                <w:b/>
                <w:sz w:val="18"/>
              </w:rPr>
              <w:t>Provision / Playbook</w:t>
            </w:r>
          </w:p>
        </w:tc>
        <w:tc>
          <w:tcPr>
            <w:tcW w:type="dxa" w:w="1944"/>
            <w:shd w:val="clear" w:color="auto" w:fill="D9D9D9"/>
          </w:tcPr>
          <w:p>
            <w:r/>
            <w:r>
              <w:rPr>
                <w:b/>
                <w:sz w:val="18"/>
              </w:rPr>
              <w:t>Cascadian Draft</w:t>
            </w:r>
          </w:p>
        </w:tc>
        <w:tc>
          <w:tcPr>
            <w:tcW w:type="dxa" w:w="2520"/>
            <w:shd w:val="clear" w:color="auto" w:fill="D9D9D9"/>
          </w:tcPr>
          <w:p>
            <w:r/>
            <w:r>
              <w:rPr>
                <w:b/>
                <w:sz w:val="18"/>
              </w:rPr>
              <w:t>Whitmore Markup</w:t>
            </w:r>
          </w:p>
        </w:tc>
        <w:tc>
          <w:tcPr>
            <w:tcW w:type="dxa" w:w="1080"/>
            <w:shd w:val="clear" w:color="auto" w:fill="D9D9D9"/>
          </w:tcPr>
          <w:p>
            <w:r/>
            <w:r>
              <w:rPr>
                <w:b/>
                <w:sz w:val="18"/>
              </w:rPr>
              <w:t>Position</w:t>
            </w:r>
          </w:p>
        </w:tc>
        <w:tc>
          <w:tcPr>
            <w:tcW w:type="dxa" w:w="2160"/>
            <w:shd w:val="clear" w:color="auto" w:fill="D9D9D9"/>
          </w:tcPr>
          <w:p>
            <w:r/>
            <w:r>
              <w:rPr>
                <w:b/>
                <w:sz w:val="18"/>
              </w:rPr>
              <w:t>Rationale and Fallback</w:t>
            </w:r>
          </w:p>
        </w:tc>
      </w:tr>
      <w:tr>
        <w:tc>
          <w:tcPr>
            <w:tcW w:type="dxa" w:w="1656"/>
          </w:tcPr>
          <w:p>
            <w:r/>
            <w:r>
              <w:rPr>
                <w:b/>
                <w:sz w:val="18"/>
              </w:rPr>
              <w:t>1. Court interim relief and emergency arbitrator</w:t>
            </w:r>
            <w:r>
              <w:rPr>
                <w:b w:val="0"/>
                <w:sz w:val="18"/>
              </w:rPr>
              <w:t xml:space="preserve"> — Art. VI (Secs. 6.1–6.3); Sec. 2.2 — Playbook Sec. 10</w:t>
            </w:r>
          </w:p>
        </w:tc>
        <w:tc>
          <w:tcPr>
            <w:tcW w:type="dxa" w:w="1944"/>
          </w:tcPr>
          <w:p>
            <w:r/>
            <w:r>
              <w:rPr>
                <w:b w:val="0"/>
                <w:sz w:val="18"/>
              </w:rPr>
              <w:t>Express "knowing and voluntary" waiver of the right to seek TROs, preliminary injunctions, attachments, or any interim relief from any court; all interim requests directed exclusively to the Tribunal. No emergency arbitrator.</w:t>
            </w:r>
          </w:p>
        </w:tc>
        <w:tc>
          <w:tcPr>
            <w:tcW w:type="dxa" w:w="2520"/>
          </w:tcPr>
          <w:p>
            <w:r/>
            <w:r>
              <w:rPr>
                <w:b w:val="0"/>
                <w:sz w:val="18"/>
              </w:rPr>
              <w:t>Waiver deleted entirely. New Sec. 6.1 preserves each Party's right to seek provisional, interim, or injunctive relief from any court at any time before, during, or after the arbitration, as an express carve-out; seeking relief is not a waiver, not inconsistent with arbitration, and not a submission to jurisdiction. New Sec. 6.2 incorporates the AAA emergency measures of protection; Sec. 6.3 Tribunal interim powers. Sec. 2.2 conformed.</w:t>
            </w:r>
          </w:p>
        </w:tc>
        <w:tc>
          <w:tcPr>
            <w:tcW w:type="dxa" w:w="1080"/>
          </w:tcPr>
          <w:p>
            <w:r/>
            <w:r>
              <w:rPr>
                <w:b w:val="0"/>
                <w:sz w:val="18"/>
              </w:rPr>
              <w:t>Required (no Fallback)</w:t>
            </w:r>
          </w:p>
        </w:tc>
        <w:tc>
          <w:tcPr>
            <w:tcW w:type="dxa" w:w="2160"/>
          </w:tcPr>
          <w:p>
            <w:r/>
            <w:r>
              <w:rPr>
                <w:b/>
                <w:sz w:val="18"/>
              </w:rPr>
              <w:t>Legal:</w:t>
            </w:r>
            <w:r>
              <w:rPr>
                <w:b w:val="0"/>
                <w:sz w:val="18"/>
              </w:rPr>
              <w:t xml:space="preserve"> without court access Whitmore has no remedy in the weeks needed to constitute a tribunal; emergency-arbitrator orders may not be enforceable like court orders. </w:t>
            </w:r>
            <w:r>
              <w:rPr>
                <w:b/>
                <w:sz w:val="18"/>
              </w:rPr>
              <w:t>Commercial:</w:t>
            </w:r>
            <w:r>
              <w:rPr>
                <w:b w:val="0"/>
                <w:sz w:val="18"/>
              </w:rPr>
              <w:t xml:space="preserve"> protects against unauthorized transfers (ROFR / lock-up breaches), confidentiality misuse, asset dissipation; the Fund II TRO experience. </w:t>
            </w:r>
            <w:r>
              <w:rPr>
                <w:b/>
                <w:sz w:val="18"/>
              </w:rPr>
              <w:t>Fallback:</w:t>
            </w:r>
            <w:r>
              <w:rPr>
                <w:b w:val="0"/>
                <w:sz w:val="18"/>
              </w:rPr>
              <w:t xml:space="preserve"> none — escalate immediately if Cascadian insists on any restriction, condition, or delay.</w:t>
            </w:r>
          </w:p>
        </w:tc>
      </w:tr>
      <w:tr>
        <w:tc>
          <w:tcPr>
            <w:tcW w:type="dxa" w:w="1656"/>
          </w:tcPr>
          <w:p>
            <w:r/>
            <w:r>
              <w:rPr>
                <w:b/>
                <w:sz w:val="18"/>
              </w:rPr>
              <w:t>2. Three-member panel</w:t>
            </w:r>
            <w:r>
              <w:rPr>
                <w:b w:val="0"/>
                <w:sz w:val="18"/>
              </w:rPr>
              <w:t xml:space="preserve"> — Secs. 4.1, 4.2 — Playbook Sec. 4</w:t>
            </w:r>
          </w:p>
        </w:tc>
        <w:tc>
          <w:tcPr>
            <w:tcW w:type="dxa" w:w="1944"/>
          </w:tcPr>
          <w:p>
            <w:r/>
            <w:r>
              <w:rPr>
                <w:b w:val="0"/>
                <w:sz w:val="18"/>
              </w:rPr>
              <w:t>Sole arbitrator; parties try to agree within 30 days, else ICC appoints.</w:t>
            </w:r>
          </w:p>
        </w:tc>
        <w:tc>
          <w:tcPr>
            <w:tcW w:type="dxa" w:w="2520"/>
          </w:tcPr>
          <w:p>
            <w:r/>
            <w:r>
              <w:rPr>
                <w:b w:val="0"/>
                <w:sz w:val="18"/>
              </w:rPr>
              <w:t>Three-member Tribunal for all Disputes (other than Expedited Disputes). Each side appoints one arbitrator within 30 days of the demand; party-appointed arbitrators select the chair within 20 days; AAA appoints the chair (or a defaulting side's arbitrator) from its roster; all arbitrators neutral.</w:t>
            </w:r>
          </w:p>
        </w:tc>
        <w:tc>
          <w:tcPr>
            <w:tcW w:type="dxa" w:w="1080"/>
          </w:tcPr>
          <w:p>
            <w:r/>
            <w:r>
              <w:rPr>
                <w:b w:val="0"/>
                <w:sz w:val="18"/>
              </w:rPr>
              <w:t>Required (mechanics elevated from Preferred per GC)</w:t>
            </w:r>
          </w:p>
        </w:tc>
        <w:tc>
          <w:tcPr>
            <w:tcW w:type="dxa" w:w="2160"/>
          </w:tcPr>
          <w:p>
            <w:r/>
            <w:r>
              <w:rPr>
                <w:b/>
                <w:sz w:val="18"/>
              </w:rPr>
              <w:t>Legal:</w:t>
            </w:r>
            <w:r>
              <w:rPr>
                <w:b w:val="0"/>
                <w:sz w:val="18"/>
              </w:rPr>
              <w:t xml:space="preserve"> structural check against a single arbitrator's error or bias; the norm for high-value PE/M&amp;A disputes. </w:t>
            </w:r>
            <w:r>
              <w:rPr>
                <w:b/>
                <w:sz w:val="18"/>
              </w:rPr>
              <w:t>Commercial:</w:t>
            </w:r>
            <w:r>
              <w:rPr>
                <w:b w:val="0"/>
                <w:sz w:val="18"/>
              </w:rPr>
              <w:t xml:space="preserve"> $325M total equity ($195M Whitmore) is more than 30x the $10M threshold. </w:t>
            </w:r>
            <w:r>
              <w:rPr>
                <w:b/>
                <w:sz w:val="18"/>
              </w:rPr>
              <w:t>Fallback:</w:t>
            </w:r>
            <w:r>
              <w:rPr>
                <w:b w:val="0"/>
                <w:sz w:val="18"/>
              </w:rPr>
              <w:t xml:space="preserve"> none for this deal per your instruction (Playbook would permit a sole arbitrator only for disputes of $10M or less; not offered).</w:t>
            </w:r>
          </w:p>
        </w:tc>
      </w:tr>
      <w:tr>
        <w:tc>
          <w:tcPr>
            <w:tcW w:type="dxa" w:w="1656"/>
          </w:tcPr>
          <w:p>
            <w:r/>
            <w:r>
              <w:rPr>
                <w:b/>
                <w:sz w:val="18"/>
              </w:rPr>
              <w:t>3. Expedited procedures</w:t>
            </w:r>
            <w:r>
              <w:rPr>
                <w:b w:val="0"/>
                <w:sz w:val="18"/>
              </w:rPr>
              <w:t xml:space="preserve"> — new Sec. 5.5 — Playbook Sec. 17</w:t>
            </w:r>
          </w:p>
        </w:tc>
        <w:tc>
          <w:tcPr>
            <w:tcW w:type="dxa" w:w="1944"/>
          </w:tcPr>
          <w:p>
            <w:r/>
            <w:r>
              <w:rPr>
                <w:b w:val="0"/>
                <w:sz w:val="18"/>
              </w:rPr>
              <w:t>None.</w:t>
            </w:r>
          </w:p>
        </w:tc>
        <w:tc>
          <w:tcPr>
            <w:tcW w:type="dxa" w:w="2520"/>
          </w:tcPr>
          <w:p>
            <w:r/>
            <w:r>
              <w:rPr>
                <w:b w:val="0"/>
                <w:sz w:val="18"/>
              </w:rPr>
              <w:t>Expedited track for capital call, drag-along, and buy-sell disputes: sole Expedited Arbitrator meeting Sec. 4.3 qualifications, appointed within 10 Business Days of the demand (AAA appoints on default); answer within 5 Business Days; hearing within 30 days of appointment; final award with findings of fact and conclusions of law within 45 days of the demand; document production only, max. 5 requests per side, no depositions; mixed claims severed; deadlines extendable only by written agreement.</w:t>
            </w:r>
          </w:p>
        </w:tc>
        <w:tc>
          <w:tcPr>
            <w:tcW w:type="dxa" w:w="1080"/>
          </w:tcPr>
          <w:p>
            <w:r/>
            <w:r>
              <w:rPr>
                <w:b w:val="0"/>
                <w:sz w:val="18"/>
              </w:rPr>
              <w:t>Required (elevated to Critical per GC)</w:t>
            </w:r>
          </w:p>
        </w:tc>
        <w:tc>
          <w:tcPr>
            <w:tcW w:type="dxa" w:w="2160"/>
          </w:tcPr>
          <w:p>
            <w:r/>
            <w:r>
              <w:rPr>
                <w:b/>
                <w:sz w:val="18"/>
              </w:rPr>
              <w:t>Legal/Commercial:</w:t>
            </w:r>
            <w:r>
              <w:rPr>
                <w:b w:val="0"/>
                <w:sz w:val="18"/>
              </w:rPr>
              <w:t xml:space="preserve"> a disputed capital call can jeopardize closing or trigger LPA default provisions; a disputed drag-along can close an exit window; a buy-sell dispute can freeze governance at a company in which the co-investor holds a 24% stake. </w:t>
            </w:r>
            <w:r>
              <w:rPr>
                <w:b/>
                <w:sz w:val="18"/>
              </w:rPr>
              <w:t>Fallback:</w:t>
            </w:r>
            <w:r>
              <w:rPr>
                <w:b w:val="0"/>
                <w:sz w:val="18"/>
              </w:rPr>
              <w:t xml:space="preserve"> Playbook allows up to 60 days (not longer) for the award; we recommend not offering 60 days without your sign-off given your 45-day instruction.</w:t>
            </w:r>
          </w:p>
        </w:tc>
      </w:tr>
      <w:tr>
        <w:tc>
          <w:tcPr>
            <w:tcW w:type="dxa" w:w="1656"/>
          </w:tcPr>
          <w:p>
            <w:r/>
            <w:r>
              <w:rPr>
                <w:b/>
                <w:sz w:val="18"/>
              </w:rPr>
              <w:t>4. Governing law</w:t>
            </w:r>
            <w:r>
              <w:rPr>
                <w:b w:val="0"/>
                <w:sz w:val="18"/>
              </w:rPr>
              <w:t xml:space="preserve"> — Sec. 3.3 — Playbook Sec. 6</w:t>
            </w:r>
          </w:p>
        </w:tc>
        <w:tc>
          <w:tcPr>
            <w:tcW w:type="dxa" w:w="1944"/>
          </w:tcPr>
          <w:p>
            <w:r/>
            <w:r>
              <w:rPr>
                <w:b w:val="0"/>
                <w:sz w:val="18"/>
              </w:rPr>
              <w:t>Washington law (Cascadian's home state).</w:t>
            </w:r>
          </w:p>
        </w:tc>
        <w:tc>
          <w:tcPr>
            <w:tcW w:type="dxa" w:w="2520"/>
          </w:tcPr>
          <w:p>
            <w:r/>
            <w:r>
              <w:rPr>
                <w:b w:val="0"/>
                <w:sz w:val="18"/>
              </w:rPr>
              <w:t>Delaware law, without regard to conflict-of-laws principles; FAA governs the agreement to arbitrate.</w:t>
            </w:r>
          </w:p>
        </w:tc>
        <w:tc>
          <w:tcPr>
            <w:tcW w:type="dxa" w:w="1080"/>
          </w:tcPr>
          <w:p>
            <w:r/>
            <w:r>
              <w:rPr>
                <w:b w:val="0"/>
                <w:sz w:val="18"/>
              </w:rPr>
              <w:t>Required</w:t>
            </w:r>
          </w:p>
        </w:tc>
        <w:tc>
          <w:tcPr>
            <w:tcW w:type="dxa" w:w="2160"/>
          </w:tcPr>
          <w:p>
            <w:r/>
            <w:r>
              <w:rPr>
                <w:b/>
                <w:sz w:val="18"/>
              </w:rPr>
              <w:t>Legal:</w:t>
            </w:r>
            <w:r>
              <w:rPr>
                <w:b w:val="0"/>
                <w:sz w:val="18"/>
              </w:rPr>
              <w:t xml:space="preserve"> Playbook categorically prohibits counterparty home-state law; Delaware has the deepest body of law on arbitrability and contract interpretation and matches the CIA and the parties' (and Target's) jurisdiction of organization. </w:t>
            </w:r>
            <w:r>
              <w:rPr>
                <w:b/>
                <w:sz w:val="18"/>
              </w:rPr>
              <w:t>Commercial:</w:t>
            </w:r>
            <w:r>
              <w:rPr>
                <w:b w:val="0"/>
                <w:sz w:val="18"/>
              </w:rPr>
              <w:t xml:space="preserve"> strong neutrality argument — both funds and the Target are Delaware entities. </w:t>
            </w:r>
            <w:r>
              <w:rPr>
                <w:b/>
                <w:sz w:val="18"/>
              </w:rPr>
              <w:t>Fallback:</w:t>
            </w:r>
            <w:r>
              <w:rPr>
                <w:b w:val="0"/>
                <w:sz w:val="18"/>
              </w:rPr>
              <w:t xml:space="preserve"> New York law (note 6-year contract limitations period).</w:t>
            </w:r>
          </w:p>
        </w:tc>
      </w:tr>
      <w:tr>
        <w:tc>
          <w:tcPr>
            <w:tcW w:type="dxa" w:w="1656"/>
          </w:tcPr>
          <w:p>
            <w:r/>
            <w:r>
              <w:rPr>
                <w:b/>
                <w:sz w:val="18"/>
              </w:rPr>
              <w:t>5. Statute of limitations</w:t>
            </w:r>
            <w:r>
              <w:rPr>
                <w:b w:val="0"/>
                <w:sz w:val="18"/>
              </w:rPr>
              <w:t xml:space="preserve"> — Sec. 10.1 — Playbook Sec. 15</w:t>
            </w:r>
          </w:p>
        </w:tc>
        <w:tc>
          <w:tcPr>
            <w:tcW w:type="dxa" w:w="1944"/>
          </w:tcPr>
          <w:p>
            <w:r/>
            <w:r>
              <w:rPr>
                <w:b w:val="0"/>
                <w:sz w:val="18"/>
              </w:rPr>
              <w:t>One-year contractual limitations period from when the claimant knew or should have known; claims thereafter forever barred; acknowledgment that period is shorter than statutory and enforceable.</w:t>
            </w:r>
          </w:p>
        </w:tc>
        <w:tc>
          <w:tcPr>
            <w:tcW w:type="dxa" w:w="2520"/>
          </w:tcPr>
          <w:p>
            <w:r/>
            <w:r>
              <w:rPr>
                <w:b w:val="0"/>
                <w:sz w:val="18"/>
              </w:rPr>
              <w:t>One-year bar and acknowledgment deleted. Replaced with confirmation that the statutory period under governing law applies and is not shortened (3 years under 10 Del. C. Sec. 8106) and that filing a demand stops the clock. Article X could alternatively be deleted (Preferred: silent).</w:t>
            </w:r>
          </w:p>
        </w:tc>
        <w:tc>
          <w:tcPr>
            <w:tcW w:type="dxa" w:w="1080"/>
          </w:tcPr>
          <w:p>
            <w:r/>
            <w:r>
              <w:rPr>
                <w:b w:val="0"/>
                <w:sz w:val="18"/>
              </w:rPr>
              <w:t>Required (Preferred: silent)</w:t>
            </w:r>
          </w:p>
        </w:tc>
        <w:tc>
          <w:tcPr>
            <w:tcW w:type="dxa" w:w="2160"/>
          </w:tcPr>
          <w:p>
            <w:r/>
            <w:r>
              <w:rPr>
                <w:b/>
                <w:sz w:val="18"/>
              </w:rPr>
              <w:t>Legal:</w:t>
            </w:r>
            <w:r>
              <w:rPr>
                <w:b w:val="0"/>
                <w:sz w:val="18"/>
              </w:rPr>
              <w:t xml:space="preserve"> shortened periods are traps that may bar claims before they are discoverable. </w:t>
            </w:r>
            <w:r>
              <w:rPr>
                <w:b/>
                <w:sz w:val="18"/>
              </w:rPr>
              <w:t>Commercial:</w:t>
            </w:r>
            <w:r>
              <w:rPr>
                <w:b w:val="0"/>
                <w:sz w:val="18"/>
              </w:rPr>
              <w:t xml:space="preserve"> quarterly/annual fund reporting and audit cycles often do not surface breaches within 12 months. </w:t>
            </w:r>
            <w:r>
              <w:rPr>
                <w:b/>
                <w:sz w:val="18"/>
              </w:rPr>
              <w:t>Fallback:</w:t>
            </w:r>
            <w:r>
              <w:rPr>
                <w:b w:val="0"/>
                <w:sz w:val="18"/>
              </w:rPr>
              <w:t xml:space="preserve"> if a contractual period is insisted on, no shorter than the longer of the statutory period and 3 years.</w:t>
            </w:r>
          </w:p>
        </w:tc>
      </w:tr>
      <w:tr>
        <w:tc>
          <w:tcPr>
            <w:tcW w:type="dxa" w:w="1656"/>
          </w:tcPr>
          <w:p>
            <w:r/>
            <w:r>
              <w:rPr>
                <w:b/>
                <w:sz w:val="18"/>
              </w:rPr>
              <w:t>6. Class / collective / representative waiver</w:t>
            </w:r>
            <w:r>
              <w:rPr>
                <w:b w:val="0"/>
                <w:sz w:val="18"/>
              </w:rPr>
              <w:t xml:space="preserve"> — new Sec. 2.3 — Playbook Sec. 16</w:t>
            </w:r>
          </w:p>
        </w:tc>
        <w:tc>
          <w:tcPr>
            <w:tcW w:type="dxa" w:w="1944"/>
          </w:tcPr>
          <w:p>
            <w:r/>
            <w:r>
              <w:rPr>
                <w:b w:val="0"/>
                <w:sz w:val="18"/>
              </w:rPr>
              <w:t>None.</w:t>
            </w:r>
          </w:p>
        </w:tc>
        <w:tc>
          <w:tcPr>
            <w:tcW w:type="dxa" w:w="2520"/>
          </w:tcPr>
          <w:p>
            <w:r/>
            <w:r>
              <w:rPr>
                <w:b w:val="0"/>
                <w:sz w:val="18"/>
              </w:rPr>
              <w:t>Playbook Required Language inserted essentially verbatim (individual basis only; no class, collective, consolidated, or representative proceedings in arbitration or court; Tribunal lacks authority), with a clarification preserving consensual consolidation under Sec. 7.1.</w:t>
            </w:r>
          </w:p>
        </w:tc>
        <w:tc>
          <w:tcPr>
            <w:tcW w:type="dxa" w:w="1080"/>
          </w:tcPr>
          <w:p>
            <w:r/>
            <w:r>
              <w:rPr>
                <w:b w:val="0"/>
                <w:sz w:val="18"/>
              </w:rPr>
              <w:t>Required (no Fallback)</w:t>
            </w:r>
          </w:p>
        </w:tc>
        <w:tc>
          <w:tcPr>
            <w:tcW w:type="dxa" w:w="2160"/>
          </w:tcPr>
          <w:p>
            <w:r/>
            <w:r>
              <w:rPr>
                <w:b/>
                <w:sz w:val="18"/>
              </w:rPr>
              <w:t>Legal/Commercial:</w:t>
            </w:r>
            <w:r>
              <w:rPr>
                <w:b w:val="0"/>
                <w:sz w:val="18"/>
              </w:rPr>
              <w:t xml:space="preserve"> prevents minority investors, parallel-vehicle co-investors, or other stakeholders from aggregating claims against Whitmore; keeps disputes bilateral. </w:t>
            </w:r>
            <w:r>
              <w:rPr>
                <w:b/>
                <w:sz w:val="18"/>
              </w:rPr>
              <w:t>Fallback:</w:t>
            </w:r>
            <w:r>
              <w:rPr>
                <w:b w:val="0"/>
                <w:sz w:val="18"/>
              </w:rPr>
              <w:t xml:space="preserve"> none.</w:t>
            </w:r>
          </w:p>
        </w:tc>
      </w:tr>
    </w:tbl>
    <w:p>
      <w:pPr>
        <w:spacing w:after="40"/>
      </w:pPr>
    </w:p>
    <w:p>
      <w:pPr>
        <w:pStyle w:val="Heading1"/>
      </w:pPr>
      <w:r>
        <w:t>IV. Important Changes (Strongly Preferred)</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656"/>
            <w:shd w:val="clear" w:color="auto" w:fill="D9D9D9"/>
          </w:tcPr>
          <w:p>
            <w:r/>
            <w:r>
              <w:rPr>
                <w:b/>
                <w:sz w:val="18"/>
              </w:rPr>
              <w:t>Provision / Playbook</w:t>
            </w:r>
          </w:p>
        </w:tc>
        <w:tc>
          <w:tcPr>
            <w:tcW w:type="dxa" w:w="1944"/>
            <w:shd w:val="clear" w:color="auto" w:fill="D9D9D9"/>
          </w:tcPr>
          <w:p>
            <w:r/>
            <w:r>
              <w:rPr>
                <w:b/>
                <w:sz w:val="18"/>
              </w:rPr>
              <w:t>Cascadian Draft</w:t>
            </w:r>
          </w:p>
        </w:tc>
        <w:tc>
          <w:tcPr>
            <w:tcW w:type="dxa" w:w="2520"/>
            <w:shd w:val="clear" w:color="auto" w:fill="D9D9D9"/>
          </w:tcPr>
          <w:p>
            <w:r/>
            <w:r>
              <w:rPr>
                <w:b/>
                <w:sz w:val="18"/>
              </w:rPr>
              <w:t>Whitmore Markup</w:t>
            </w:r>
          </w:p>
        </w:tc>
        <w:tc>
          <w:tcPr>
            <w:tcW w:type="dxa" w:w="1080"/>
            <w:shd w:val="clear" w:color="auto" w:fill="D9D9D9"/>
          </w:tcPr>
          <w:p>
            <w:r/>
            <w:r>
              <w:rPr>
                <w:b/>
                <w:sz w:val="18"/>
              </w:rPr>
              <w:t>Position</w:t>
            </w:r>
          </w:p>
        </w:tc>
        <w:tc>
          <w:tcPr>
            <w:tcW w:type="dxa" w:w="2160"/>
            <w:shd w:val="clear" w:color="auto" w:fill="D9D9D9"/>
          </w:tcPr>
          <w:p>
            <w:r/>
            <w:r>
              <w:rPr>
                <w:b/>
                <w:sz w:val="18"/>
              </w:rPr>
              <w:t>Rationale and Fallback</w:t>
            </w:r>
          </w:p>
        </w:tc>
      </w:tr>
      <w:tr>
        <w:tc>
          <w:tcPr>
            <w:tcW w:type="dxa" w:w="1656"/>
          </w:tcPr>
          <w:p>
            <w:r/>
            <w:r>
              <w:rPr>
                <w:b/>
                <w:sz w:val="18"/>
              </w:rPr>
              <w:t>7. Administering institution</w:t>
            </w:r>
            <w:r>
              <w:rPr>
                <w:b w:val="0"/>
                <w:sz w:val="18"/>
              </w:rPr>
              <w:t xml:space="preserve"> — Secs. 2.1, 9.2; definitions — Playbook Sec. 2</w:t>
            </w:r>
          </w:p>
        </w:tc>
        <w:tc>
          <w:tcPr>
            <w:tcW w:type="dxa" w:w="1944"/>
          </w:tcPr>
          <w:p>
            <w:r/>
            <w:r>
              <w:rPr>
                <w:b w:val="0"/>
                <w:sz w:val="18"/>
              </w:rPr>
              <w:t>ICC Rules / ICC administration.</w:t>
            </w:r>
          </w:p>
        </w:tc>
        <w:tc>
          <w:tcPr>
            <w:tcW w:type="dxa" w:w="2520"/>
          </w:tcPr>
          <w:p>
            <w:r/>
            <w:r>
              <w:rPr>
                <w:b w:val="0"/>
                <w:sz w:val="18"/>
              </w:rPr>
              <w:t>AAA Commercial Arbitration Rules (incl. Large, Complex Commercial procedures where applicable) in effect at filing, as modified by the Agreement; Agreement controls over the Rules in a conflict. ICC definitions deleted.</w:t>
            </w:r>
          </w:p>
        </w:tc>
        <w:tc>
          <w:tcPr>
            <w:tcW w:type="dxa" w:w="1080"/>
          </w:tcPr>
          <w:p>
            <w:r/>
            <w:r>
              <w:rPr>
                <w:b w:val="0"/>
                <w:sz w:val="18"/>
              </w:rPr>
              <w:t>Required</w:t>
            </w:r>
          </w:p>
        </w:tc>
        <w:tc>
          <w:tcPr>
            <w:tcW w:type="dxa" w:w="2160"/>
          </w:tcPr>
          <w:p>
            <w:r/>
            <w:r>
              <w:rPr>
                <w:b/>
                <w:sz w:val="18"/>
              </w:rPr>
              <w:t>Legal:</w:t>
            </w:r>
            <w:r>
              <w:rPr>
                <w:b w:val="0"/>
                <w:sz w:val="18"/>
              </w:rPr>
              <w:t xml:space="preserve"> ICC is reserved for cross-border deals; this is purely domestic (Delaware LPs, U.S. managers, Houston-based Target). </w:t>
            </w:r>
            <w:r>
              <w:rPr>
                <w:b/>
                <w:sz w:val="18"/>
              </w:rPr>
              <w:t>Commercial:</w:t>
            </w:r>
            <w:r>
              <w:rPr>
                <w:b w:val="0"/>
                <w:sz w:val="18"/>
              </w:rPr>
              <w:t xml:space="preserve"> ICC ad valorem fees, Terms of Reference, and Court scrutiny of awards add cost and delay; ICC Rules have no discovery framework, undercutting Cascadian's "rely on the Rules" rationale. </w:t>
            </w:r>
            <w:r>
              <w:rPr>
                <w:b/>
                <w:sz w:val="18"/>
              </w:rPr>
              <w:t>Fallback:</w:t>
            </w:r>
            <w:r>
              <w:rPr>
                <w:b w:val="0"/>
                <w:sz w:val="18"/>
              </w:rPr>
              <w:t xml:space="preserve"> JAMS Comprehensive Rules.</w:t>
            </w:r>
          </w:p>
        </w:tc>
      </w:tr>
      <w:tr>
        <w:tc>
          <w:tcPr>
            <w:tcW w:type="dxa" w:w="1656"/>
          </w:tcPr>
          <w:p>
            <w:r/>
            <w:r>
              <w:rPr>
                <w:b/>
                <w:sz w:val="18"/>
              </w:rPr>
              <w:t>8. Seat of arbitration</w:t>
            </w:r>
            <w:r>
              <w:rPr>
                <w:b w:val="0"/>
                <w:sz w:val="18"/>
              </w:rPr>
              <w:t xml:space="preserve"> — Sec. 3.1; "Seat" definition — Playbook Sec. 3</w:t>
            </w:r>
          </w:p>
        </w:tc>
        <w:tc>
          <w:tcPr>
            <w:tcW w:type="dxa" w:w="1944"/>
          </w:tcPr>
          <w:p>
            <w:r/>
            <w:r>
              <w:rPr>
                <w:b w:val="0"/>
                <w:sz w:val="18"/>
              </w:rPr>
              <w:t>Seattle, Washington (Cascadian's home); Tribunal may relocate hearings.</w:t>
            </w:r>
          </w:p>
        </w:tc>
        <w:tc>
          <w:tcPr>
            <w:tcW w:type="dxa" w:w="2520"/>
          </w:tcPr>
          <w:p>
            <w:r/>
            <w:r>
              <w:rPr>
                <w:b w:val="0"/>
                <w:sz w:val="18"/>
              </w:rPr>
              <w:t>Atlanta, Georgia; hearings at the Seat unless the Parties agree in writing; alternative hearing location does not change the legal seat.</w:t>
            </w:r>
          </w:p>
        </w:tc>
        <w:tc>
          <w:tcPr>
            <w:tcW w:type="dxa" w:w="1080"/>
          </w:tcPr>
          <w:p>
            <w:r/>
            <w:r>
              <w:rPr>
                <w:b w:val="0"/>
                <w:sz w:val="18"/>
              </w:rPr>
              <w:t>Required / Preferred</w:t>
            </w:r>
          </w:p>
        </w:tc>
        <w:tc>
          <w:tcPr>
            <w:tcW w:type="dxa" w:w="2160"/>
          </w:tcPr>
          <w:p>
            <w:r/>
            <w:r>
              <w:rPr>
                <w:b/>
                <w:sz w:val="18"/>
              </w:rPr>
              <w:t>Legal:</w:t>
            </w:r>
            <w:r>
              <w:rPr>
                <w:b w:val="0"/>
                <w:sz w:val="18"/>
              </w:rPr>
              <w:t xml:space="preserve"> seat fixes the supervisory court for vacatur, confirmation, and interim relief under the FAA; counterparty home seat categorically prohibited. </w:t>
            </w:r>
            <w:r>
              <w:rPr>
                <w:b/>
                <w:sz w:val="18"/>
              </w:rPr>
              <w:t>Commercial:</w:t>
            </w:r>
            <w:r>
              <w:rPr>
                <w:b w:val="0"/>
                <w:sz w:val="18"/>
              </w:rPr>
              <w:t xml:space="preserve"> Whitmore's personnel, records, and counsel are in Atlanta. </w:t>
            </w:r>
            <w:r>
              <w:rPr>
                <w:b/>
                <w:sz w:val="18"/>
              </w:rPr>
              <w:t>Fallback:</w:t>
            </w:r>
            <w:r>
              <w:rPr>
                <w:b w:val="0"/>
                <w:sz w:val="18"/>
              </w:rPr>
              <w:t xml:space="preserve"> [New York, New York] as neutral seat (bracketed in comments per D. Ostrander).</w:t>
            </w:r>
          </w:p>
        </w:tc>
      </w:tr>
      <w:tr>
        <w:tc>
          <w:tcPr>
            <w:tcW w:type="dxa" w:w="1656"/>
          </w:tcPr>
          <w:p>
            <w:r/>
            <w:r>
              <w:rPr>
                <w:b/>
                <w:sz w:val="18"/>
              </w:rPr>
              <w:t>9. Confidentiality</w:t>
            </w:r>
            <w:r>
              <w:rPr>
                <w:b w:val="0"/>
                <w:sz w:val="18"/>
              </w:rPr>
              <w:t xml:space="preserve"> — new Sec. 5.4 — Playbook Sec. 9</w:t>
            </w:r>
          </w:p>
        </w:tc>
        <w:tc>
          <w:tcPr>
            <w:tcW w:type="dxa" w:w="1944"/>
          </w:tcPr>
          <w:p>
            <w:r/>
            <w:r>
              <w:rPr>
                <w:b w:val="0"/>
                <w:sz w:val="18"/>
              </w:rPr>
              <w:t>None.</w:t>
            </w:r>
          </w:p>
        </w:tc>
        <w:tc>
          <w:tcPr>
            <w:tcW w:type="dxa" w:w="2520"/>
          </w:tcPr>
          <w:p>
            <w:r/>
            <w:r>
              <w:rPr>
                <w:b w:val="0"/>
                <w:sz w:val="18"/>
              </w:rPr>
              <w:t>Mandatory confidentiality of all five Required categories (existence; submissions; evidence; orders/awards; communications with Tribunal), subject only to the three Required exceptions (law/regulation/court order incl. SEC, tax, regulatory; enforcement/confirmation/vacatur; bound professional advisors); notice and sealing obligations; express right to injunctive (including emergency) relief; survival.</w:t>
            </w:r>
          </w:p>
        </w:tc>
        <w:tc>
          <w:tcPr>
            <w:tcW w:type="dxa" w:w="1080"/>
          </w:tcPr>
          <w:p>
            <w:r/>
            <w:r>
              <w:rPr>
                <w:b w:val="0"/>
                <w:sz w:val="18"/>
              </w:rPr>
              <w:t>Required (injunctive right is Preferred)</w:t>
            </w:r>
          </w:p>
        </w:tc>
        <w:tc>
          <w:tcPr>
            <w:tcW w:type="dxa" w:w="2160"/>
          </w:tcPr>
          <w:p>
            <w:r/>
            <w:r>
              <w:rPr>
                <w:b/>
                <w:sz w:val="18"/>
              </w:rPr>
              <w:t>Legal:</w:t>
            </w:r>
            <w:r>
              <w:rPr>
                <w:b w:val="0"/>
                <w:sz w:val="18"/>
              </w:rPr>
              <w:t xml:space="preserve"> neither ICC nor AAA Rules bind the parties to confidentiality, so an express clause is essential. </w:t>
            </w:r>
            <w:r>
              <w:rPr>
                <w:b/>
                <w:sz w:val="18"/>
              </w:rPr>
              <w:t>Commercial:</w:t>
            </w:r>
            <w:r>
              <w:rPr>
                <w:b w:val="0"/>
                <w:sz w:val="18"/>
              </w:rPr>
              <w:t xml:space="preserve"> LP confidentiality expectations, deal flow, competitive position. </w:t>
            </w:r>
            <w:r>
              <w:rPr>
                <w:b/>
                <w:sz w:val="18"/>
              </w:rPr>
              <w:t>Fallback:</w:t>
            </w:r>
            <w:r>
              <w:rPr>
                <w:b w:val="0"/>
                <w:sz w:val="18"/>
              </w:rPr>
              <w:t xml:space="preserve"> confidentiality of the award and of financial information, trade secrets, and proprietary information. See Part V for two open points.</w:t>
            </w:r>
          </w:p>
        </w:tc>
      </w:tr>
      <w:tr>
        <w:tc>
          <w:tcPr>
            <w:tcW w:type="dxa" w:w="1656"/>
          </w:tcPr>
          <w:p>
            <w:r/>
            <w:r>
              <w:rPr>
                <w:b/>
                <w:sz w:val="18"/>
              </w:rPr>
              <w:t>10. Damages limitation</w:t>
            </w:r>
            <w:r>
              <w:rPr>
                <w:b w:val="0"/>
                <w:sz w:val="18"/>
              </w:rPr>
              <w:t xml:space="preserve"> — Sec. 8.3; new Sec. 8.4 — Playbook Sec. 13</w:t>
            </w:r>
          </w:p>
        </w:tc>
        <w:tc>
          <w:tcPr>
            <w:tcW w:type="dxa" w:w="1944"/>
          </w:tcPr>
          <w:p>
            <w:r/>
            <w:r>
              <w:rPr>
                <w:b w:val="0"/>
                <w:sz w:val="18"/>
              </w:rPr>
              <w:t>Tribunal "shall not be limited in the types or amounts of damages."</w:t>
            </w:r>
          </w:p>
        </w:tc>
        <w:tc>
          <w:tcPr>
            <w:tcW w:type="dxa" w:w="2520"/>
          </w:tcPr>
          <w:p>
            <w:r/>
            <w:r>
              <w:rPr>
                <w:b w:val="0"/>
                <w:sz w:val="18"/>
              </w:rPr>
              <w:t>Unlimited-damages language deleted. Mutual waiver of punitive, exemplary, and consequential damages (incl. lost profits, lost opportunities, diminution in value of other investments, reputational harm) regardless of legal theory; fraud and willful misconduct carve-out; clarification that the waiver does not limit fee recovery or amounts expressly payable under the CIA (e.g., unfunded capital and default interest).</w:t>
            </w:r>
          </w:p>
        </w:tc>
        <w:tc>
          <w:tcPr>
            <w:tcW w:type="dxa" w:w="1080"/>
          </w:tcPr>
          <w:p>
            <w:r/>
            <w:r>
              <w:rPr>
                <w:b w:val="0"/>
                <w:sz w:val="18"/>
              </w:rPr>
              <w:t>Required (any-theory scope Preferred)</w:t>
            </w:r>
          </w:p>
        </w:tc>
        <w:tc>
          <w:tcPr>
            <w:tcW w:type="dxa" w:w="2160"/>
          </w:tcPr>
          <w:p>
            <w:r/>
            <w:r>
              <w:rPr>
                <w:b/>
                <w:sz w:val="18"/>
              </w:rPr>
              <w:t>Legal/Commercial:</w:t>
            </w:r>
            <w:r>
              <w:rPr>
                <w:b w:val="0"/>
                <w:sz w:val="18"/>
              </w:rPr>
              <w:t xml:space="preserve"> a $325M investment could otherwise support multi-billion-dollar consequential claims; mutuality is market. Our CIA-amount clarification protects Whitmore's capital-call default remedies. </w:t>
            </w:r>
            <w:r>
              <w:rPr>
                <w:b/>
                <w:sz w:val="18"/>
              </w:rPr>
              <w:t>Fallback:</w:t>
            </w:r>
            <w:r>
              <w:rPr>
                <w:b w:val="0"/>
                <w:sz w:val="18"/>
              </w:rPr>
              <w:t xml:space="preserve"> punitive/exemplary waiver only, with fraud/willful misconduct carve-out — GC escalation required before accepting.</w:t>
            </w:r>
          </w:p>
        </w:tc>
      </w:tr>
      <w:tr>
        <w:tc>
          <w:tcPr>
            <w:tcW w:type="dxa" w:w="1656"/>
          </w:tcPr>
          <w:p>
            <w:r/>
            <w:r>
              <w:rPr>
                <w:b/>
                <w:sz w:val="18"/>
              </w:rPr>
              <w:t>11. Fees and costs</w:t>
            </w:r>
            <w:r>
              <w:rPr>
                <w:b w:val="0"/>
                <w:sz w:val="18"/>
              </w:rPr>
              <w:t xml:space="preserve"> — Secs. 9.1, 9.2 — Playbook Sec. 14</w:t>
            </w:r>
          </w:p>
        </w:tc>
        <w:tc>
          <w:tcPr>
            <w:tcW w:type="dxa" w:w="1944"/>
          </w:tcPr>
          <w:p>
            <w:r/>
            <w:r>
              <w:rPr>
                <w:b w:val="0"/>
                <w:sz w:val="18"/>
              </w:rPr>
              <w:t>Each Party bears its own fees and costs regardless of outcome; ICC/arbitrator fees shared equally.</w:t>
            </w:r>
          </w:p>
        </w:tc>
        <w:tc>
          <w:tcPr>
            <w:tcW w:type="dxa" w:w="2520"/>
          </w:tcPr>
          <w:p>
            <w:r/>
            <w:r>
              <w:rPr>
                <w:b w:val="0"/>
                <w:sz w:val="18"/>
              </w:rPr>
              <w:t>Substantially prevailing Party recovers reasonable attorneys', expert, arbitrator, and administrative fees and costs (including emergency, expedited, appellate, and related court proceedings); Tribunal determines prevailing party and reasonableness; administrative fees advanced equally subject to reallocation.</w:t>
            </w:r>
          </w:p>
        </w:tc>
        <w:tc>
          <w:tcPr>
            <w:tcW w:type="dxa" w:w="1080"/>
          </w:tcPr>
          <w:p>
            <w:r/>
            <w:r>
              <w:rPr>
                <w:b w:val="0"/>
                <w:sz w:val="18"/>
              </w:rPr>
              <w:t>Required (Tribunal determination Preferred)</w:t>
            </w:r>
          </w:p>
        </w:tc>
        <w:tc>
          <w:tcPr>
            <w:tcW w:type="dxa" w:w="2160"/>
          </w:tcPr>
          <w:p>
            <w:r/>
            <w:r>
              <w:rPr>
                <w:b/>
                <w:sz w:val="18"/>
              </w:rPr>
              <w:t>Legal/Commercial:</w:t>
            </w:r>
            <w:r>
              <w:rPr>
                <w:b w:val="0"/>
                <w:sz w:val="18"/>
              </w:rPr>
              <w:t xml:space="preserve"> the Cascadian clause is expressly Not Acceptable — it removes any cost consequence for tactical claims. </w:t>
            </w:r>
            <w:r>
              <w:rPr>
                <w:b/>
                <w:sz w:val="18"/>
              </w:rPr>
              <w:t>Fallback:</w:t>
            </w:r>
            <w:r>
              <w:rPr>
                <w:b w:val="0"/>
                <w:sz w:val="18"/>
              </w:rPr>
              <w:t xml:space="preserve"> Tribunal discretion to allocate fees and costs by relative success.</w:t>
            </w:r>
          </w:p>
        </w:tc>
      </w:tr>
      <w:tr>
        <w:tc>
          <w:tcPr>
            <w:tcW w:type="dxa" w:w="1656"/>
          </w:tcPr>
          <w:p>
            <w:r/>
            <w:r>
              <w:rPr>
                <w:b/>
                <w:sz w:val="18"/>
              </w:rPr>
              <w:t>12. Consolidation</w:t>
            </w:r>
            <w:r>
              <w:rPr>
                <w:b w:val="0"/>
                <w:sz w:val="18"/>
              </w:rPr>
              <w:t xml:space="preserve"> — Sec. 7.1 — Playbook Sec. 11</w:t>
            </w:r>
          </w:p>
        </w:tc>
        <w:tc>
          <w:tcPr>
            <w:tcW w:type="dxa" w:w="1944"/>
          </w:tcPr>
          <w:p>
            <w:r/>
            <w:r>
              <w:rPr>
                <w:b w:val="0"/>
                <w:sz w:val="18"/>
              </w:rPr>
              <w:t>Tribunal may consolidate at either Party's request, in its sole discretion, with arbitrations under the CIA or "any other agreement" involving a party.</w:t>
            </w:r>
          </w:p>
        </w:tc>
        <w:tc>
          <w:tcPr>
            <w:tcW w:type="dxa" w:w="2520"/>
          </w:tcPr>
          <w:p>
            <w:r/>
            <w:r>
              <w:rPr>
                <w:b w:val="0"/>
                <w:sz w:val="18"/>
              </w:rPr>
              <w:t>No consolidation without prior written consent of all parties to all proceedings; neither Tribunal nor AAA may order it; AAA Rules default overridden.</w:t>
            </w:r>
          </w:p>
        </w:tc>
        <w:tc>
          <w:tcPr>
            <w:tcW w:type="dxa" w:w="1080"/>
          </w:tcPr>
          <w:p>
            <w:r/>
            <w:r>
              <w:rPr>
                <w:b w:val="0"/>
                <w:sz w:val="18"/>
              </w:rPr>
              <w:t>Required</w:t>
            </w:r>
          </w:p>
        </w:tc>
        <w:tc>
          <w:tcPr>
            <w:tcW w:type="dxa" w:w="2160"/>
          </w:tcPr>
          <w:p>
            <w:r/>
            <w:r>
              <w:rPr>
                <w:b/>
                <w:sz w:val="18"/>
              </w:rPr>
              <w:t>Commercial:</w:t>
            </w:r>
            <w:r>
              <w:rPr>
                <w:b w:val="0"/>
                <w:sz w:val="18"/>
              </w:rPr>
              <w:t xml:space="preserve"> prevents Whitmore's claims being merged with proceedings involving the Target, lenders, or other investors. </w:t>
            </w:r>
            <w:r>
              <w:rPr>
                <w:b/>
                <w:sz w:val="18"/>
              </w:rPr>
              <w:t>Fallback:</w:t>
            </w:r>
            <w:r>
              <w:rPr>
                <w:b w:val="0"/>
                <w:sz w:val="18"/>
              </w:rPr>
              <w:t xml:space="preserve"> consent of all claimants and all respondents across all proceedings, plus tribunal approval.</w:t>
            </w:r>
          </w:p>
        </w:tc>
      </w:tr>
      <w:tr>
        <w:tc>
          <w:tcPr>
            <w:tcW w:type="dxa" w:w="1656"/>
          </w:tcPr>
          <w:p>
            <w:r/>
            <w:r>
              <w:rPr>
                <w:b/>
                <w:sz w:val="18"/>
              </w:rPr>
              <w:t>13. Joinder</w:t>
            </w:r>
            <w:r>
              <w:rPr>
                <w:b w:val="0"/>
                <w:sz w:val="18"/>
              </w:rPr>
              <w:t xml:space="preserve"> — Sec. 7.2 — Playbook Sec. 12</w:t>
            </w:r>
          </w:p>
        </w:tc>
        <w:tc>
          <w:tcPr>
            <w:tcW w:type="dxa" w:w="1944"/>
          </w:tcPr>
          <w:p>
            <w:r/>
            <w:r>
              <w:rPr>
                <w:b w:val="0"/>
                <w:sz w:val="18"/>
              </w:rPr>
              <w:t>Tribunal may join third parties without consent of the parties or of the joined party.</w:t>
            </w:r>
          </w:p>
        </w:tc>
        <w:tc>
          <w:tcPr>
            <w:tcW w:type="dxa" w:w="2520"/>
          </w:tcPr>
          <w:p>
            <w:r/>
            <w:r>
              <w:rPr>
                <w:b w:val="0"/>
                <w:sz w:val="18"/>
              </w:rPr>
              <w:t>Joinder only with written consent of all existing parties and of the third party; joined party must agree in writing to be bound by the Agreement (incl. confidentiality and class waiver) and prior procedural orders.</w:t>
            </w:r>
          </w:p>
        </w:tc>
        <w:tc>
          <w:tcPr>
            <w:tcW w:type="dxa" w:w="1080"/>
          </w:tcPr>
          <w:p>
            <w:r/>
            <w:r>
              <w:rPr>
                <w:b w:val="0"/>
                <w:sz w:val="18"/>
              </w:rPr>
              <w:t>Required (agreement to be bound is Preferred)</w:t>
            </w:r>
          </w:p>
        </w:tc>
        <w:tc>
          <w:tcPr>
            <w:tcW w:type="dxa" w:w="2160"/>
          </w:tcPr>
          <w:p>
            <w:r/>
            <w:r>
              <w:rPr>
                <w:b/>
                <w:sz w:val="18"/>
              </w:rPr>
              <w:t>Legal:</w:t>
            </w:r>
            <w:r>
              <w:rPr>
                <w:b w:val="0"/>
                <w:sz w:val="18"/>
              </w:rPr>
              <w:t xml:space="preserve"> non-consensual joinder raises due-process and FAA enforceability risk. </w:t>
            </w:r>
            <w:r>
              <w:rPr>
                <w:b/>
                <w:sz w:val="18"/>
              </w:rPr>
              <w:t>Commercial:</w:t>
            </w:r>
            <w:r>
              <w:rPr>
                <w:b w:val="0"/>
                <w:sz w:val="18"/>
              </w:rPr>
              <w:t xml:space="preserve"> Whitmore controls who participates and what information is shared. </w:t>
            </w:r>
            <w:r>
              <w:rPr>
                <w:b/>
                <w:sz w:val="18"/>
              </w:rPr>
              <w:t>Fallback:</w:t>
            </w:r>
            <w:r>
              <w:rPr>
                <w:b w:val="0"/>
                <w:sz w:val="18"/>
              </w:rPr>
              <w:t xml:space="preserve"> none.</w:t>
            </w:r>
          </w:p>
        </w:tc>
      </w:tr>
      <w:tr>
        <w:tc>
          <w:tcPr>
            <w:tcW w:type="dxa" w:w="1656"/>
          </w:tcPr>
          <w:p>
            <w:r/>
            <w:r>
              <w:rPr>
                <w:b/>
                <w:sz w:val="18"/>
              </w:rPr>
              <w:t>14. Document retention</w:t>
            </w:r>
            <w:r>
              <w:rPr>
                <w:b w:val="0"/>
                <w:sz w:val="18"/>
              </w:rPr>
              <w:t xml:space="preserve"> — Art. XI (Sec. 11.1) — Playbook Sec. 20</w:t>
            </w:r>
          </w:p>
        </w:tc>
        <w:tc>
          <w:tcPr>
            <w:tcW w:type="dxa" w:w="1944"/>
          </w:tcPr>
          <w:p>
            <w:r/>
            <w:r>
              <w:rPr>
                <w:b w:val="0"/>
                <w:sz w:val="18"/>
              </w:rPr>
              <w:t>Mandatory destruction of all arbitration records within 30 days of the final award, with certification.</w:t>
            </w:r>
          </w:p>
        </w:tc>
        <w:tc>
          <w:tcPr>
            <w:tcW w:type="dxa" w:w="2520"/>
          </w:tcPr>
          <w:p>
            <w:r/>
            <w:r>
              <w:rPr>
                <w:b w:val="0"/>
                <w:sz w:val="18"/>
              </w:rPr>
              <w:t>Destruction clause deleted; no destruction required; 7-year minimum retention after the final award (or final appellate award); retained materials remain confidential.</w:t>
            </w:r>
          </w:p>
        </w:tc>
        <w:tc>
          <w:tcPr>
            <w:tcW w:type="dxa" w:w="1080"/>
          </w:tcPr>
          <w:p>
            <w:r/>
            <w:r>
              <w:rPr>
                <w:b w:val="0"/>
                <w:sz w:val="18"/>
              </w:rPr>
              <w:t>Required</w:t>
            </w:r>
          </w:p>
        </w:tc>
        <w:tc>
          <w:tcPr>
            <w:tcW w:type="dxa" w:w="2160"/>
          </w:tcPr>
          <w:p>
            <w:r/>
            <w:r>
              <w:rPr>
                <w:b/>
                <w:sz w:val="18"/>
              </w:rPr>
              <w:t>Legal/Commercial:</w:t>
            </w:r>
            <w:r>
              <w:rPr>
                <w:b w:val="0"/>
                <w:sz w:val="18"/>
              </w:rPr>
              <w:t xml:space="preserve"> destruction would impair vacatur/enforcement and appellate rights and conflict with Whitmore's 7-year fund record policy, tax/regulatory audits, and LP reporting. </w:t>
            </w:r>
            <w:r>
              <w:rPr>
                <w:b/>
                <w:sz w:val="18"/>
              </w:rPr>
              <w:t>Fallback:</w:t>
            </w:r>
            <w:r>
              <w:rPr>
                <w:b w:val="0"/>
                <w:sz w:val="18"/>
              </w:rPr>
              <w:t xml:space="preserve"> return (not destruction) of produced documents, with all other materials retained 7 years.</w:t>
            </w:r>
          </w:p>
        </w:tc>
      </w:tr>
      <w:tr>
        <w:tc>
          <w:tcPr>
            <w:tcW w:type="dxa" w:w="1656"/>
          </w:tcPr>
          <w:p>
            <w:r/>
            <w:r>
              <w:rPr>
                <w:b/>
                <w:sz w:val="18"/>
              </w:rPr>
              <w:t>15. Appellate arbitration</w:t>
            </w:r>
            <w:r>
              <w:rPr>
                <w:b w:val="0"/>
                <w:sz w:val="18"/>
              </w:rPr>
              <w:t xml:space="preserve"> — Sec. 8.2; new Sec. 8.5 — Playbook Sec. 19</w:t>
            </w:r>
          </w:p>
        </w:tc>
        <w:tc>
          <w:tcPr>
            <w:tcW w:type="dxa" w:w="1944"/>
          </w:tcPr>
          <w:p>
            <w:r/>
            <w:r>
              <w:rPr>
                <w:b w:val="0"/>
                <w:sz w:val="18"/>
              </w:rPr>
              <w:t>Award final; appeal rights waived except FAA grounds.</w:t>
            </w:r>
          </w:p>
        </w:tc>
        <w:tc>
          <w:tcPr>
            <w:tcW w:type="dxa" w:w="2520"/>
          </w:tcPr>
          <w:p>
            <w:r/>
            <w:r>
              <w:rPr>
                <w:b w:val="0"/>
                <w:sz w:val="18"/>
              </w:rPr>
              <w:t>Optional appeal under AAA Optional Appellate Arbitration Rules for awards over $25M in aggregate monetary relief; notice within 30 days; three-member appellate panel from AAA appellate roster; Appellate Rules' standard of review; award not final until appeal period lapses or appellate decision issues. Sec. 8.2 made subject to Sec. 8.5.</w:t>
            </w:r>
          </w:p>
        </w:tc>
        <w:tc>
          <w:tcPr>
            <w:tcW w:type="dxa" w:w="1080"/>
          </w:tcPr>
          <w:p>
            <w:r/>
            <w:r>
              <w:rPr>
                <w:b w:val="0"/>
                <w:sz w:val="18"/>
              </w:rPr>
              <w:t>Required</w:t>
            </w:r>
          </w:p>
        </w:tc>
        <w:tc>
          <w:tcPr>
            <w:tcW w:type="dxa" w:w="2160"/>
          </w:tcPr>
          <w:p>
            <w:r/>
            <w:r>
              <w:rPr>
                <w:b/>
                <w:sz w:val="18"/>
              </w:rPr>
              <w:t>Commercial:</w:t>
            </w:r>
            <w:r>
              <w:rPr>
                <w:b w:val="0"/>
                <w:sz w:val="18"/>
              </w:rPr>
              <w:t xml:space="preserve"> an award of this size can affect fund returns, reserves, and LP distributions. </w:t>
            </w:r>
            <w:r>
              <w:rPr>
                <w:b/>
                <w:sz w:val="18"/>
              </w:rPr>
              <w:t>Fallback:</w:t>
            </w:r>
            <w:r>
              <w:rPr>
                <w:b w:val="0"/>
                <w:sz w:val="18"/>
              </w:rPr>
              <w:t xml:space="preserve"> post-award appellate arbitration by mutual written consent. See Part V regarding expedited awards and the asymmetric trigger.</w:t>
            </w:r>
          </w:p>
        </w:tc>
      </w:tr>
    </w:tbl>
    <w:p>
      <w:pPr>
        <w:spacing w:after="40"/>
      </w:pPr>
    </w:p>
    <w:p>
      <w:pPr>
        <w:pStyle w:val="Heading1"/>
      </w:pPr>
      <w:r>
        <w:t>V. Recommended Changes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656"/>
            <w:shd w:val="clear" w:color="auto" w:fill="D9D9D9"/>
          </w:tcPr>
          <w:p>
            <w:r/>
            <w:r>
              <w:rPr>
                <w:b/>
                <w:sz w:val="18"/>
              </w:rPr>
              <w:t>Provision / Playbook</w:t>
            </w:r>
          </w:p>
        </w:tc>
        <w:tc>
          <w:tcPr>
            <w:tcW w:type="dxa" w:w="1944"/>
            <w:shd w:val="clear" w:color="auto" w:fill="D9D9D9"/>
          </w:tcPr>
          <w:p>
            <w:r/>
            <w:r>
              <w:rPr>
                <w:b/>
                <w:sz w:val="18"/>
              </w:rPr>
              <w:t>Cascadian Draft</w:t>
            </w:r>
          </w:p>
        </w:tc>
        <w:tc>
          <w:tcPr>
            <w:tcW w:type="dxa" w:w="2520"/>
            <w:shd w:val="clear" w:color="auto" w:fill="D9D9D9"/>
          </w:tcPr>
          <w:p>
            <w:r/>
            <w:r>
              <w:rPr>
                <w:b/>
                <w:sz w:val="18"/>
              </w:rPr>
              <w:t>Whitmore Markup</w:t>
            </w:r>
          </w:p>
        </w:tc>
        <w:tc>
          <w:tcPr>
            <w:tcW w:type="dxa" w:w="1080"/>
            <w:shd w:val="clear" w:color="auto" w:fill="D9D9D9"/>
          </w:tcPr>
          <w:p>
            <w:r/>
            <w:r>
              <w:rPr>
                <w:b/>
                <w:sz w:val="18"/>
              </w:rPr>
              <w:t>Position</w:t>
            </w:r>
          </w:p>
        </w:tc>
        <w:tc>
          <w:tcPr>
            <w:tcW w:type="dxa" w:w="2160"/>
            <w:shd w:val="clear" w:color="auto" w:fill="D9D9D9"/>
          </w:tcPr>
          <w:p>
            <w:r/>
            <w:r>
              <w:rPr>
                <w:b/>
                <w:sz w:val="18"/>
              </w:rPr>
              <w:t>Rationale and Fallback</w:t>
            </w:r>
          </w:p>
        </w:tc>
      </w:tr>
      <w:tr>
        <w:tc>
          <w:tcPr>
            <w:tcW w:type="dxa" w:w="1656"/>
          </w:tcPr>
          <w:p>
            <w:r/>
            <w:r>
              <w:rPr>
                <w:b/>
                <w:sz w:val="18"/>
              </w:rPr>
              <w:t>16. Arbitrator qualifications</w:t>
            </w:r>
            <w:r>
              <w:rPr>
                <w:b w:val="0"/>
                <w:sz w:val="18"/>
              </w:rPr>
              <w:t xml:space="preserve"> — Sec. 4.3 — Playbook Sec. 5</w:t>
            </w:r>
          </w:p>
        </w:tc>
        <w:tc>
          <w:tcPr>
            <w:tcW w:type="dxa" w:w="1944"/>
          </w:tcPr>
          <w:p>
            <w:r/>
            <w:r>
              <w:rPr>
                <w:b w:val="0"/>
                <w:sz w:val="18"/>
              </w:rPr>
              <w:t>Neutral and independent only.</w:t>
            </w:r>
          </w:p>
        </w:tc>
        <w:tc>
          <w:tcPr>
            <w:tcW w:type="dxa" w:w="2520"/>
          </w:tcPr>
          <w:p>
            <w:r/>
            <w:r>
              <w:rPr>
                <w:b w:val="0"/>
                <w:sz w:val="18"/>
              </w:rPr>
              <w:t>Every arbitrator (incl. chair and Expedited Arbitrator): 15 years PE / M&amp;A / corporate finance experience; AAA National Roster membership; no relationship with any Party, Affiliate, or counsel of record in prior 5 years; written disclosure. Preference (soft) for 3 prior PE co-investment/JV arbitrations.</w:t>
            </w:r>
          </w:p>
        </w:tc>
        <w:tc>
          <w:tcPr>
            <w:tcW w:type="dxa" w:w="1080"/>
          </w:tcPr>
          <w:p>
            <w:r/>
            <w:r>
              <w:rPr>
                <w:b w:val="0"/>
                <w:sz w:val="18"/>
              </w:rPr>
              <w:t>Required (3 prior arbitrations Preferred)</w:t>
            </w:r>
          </w:p>
        </w:tc>
        <w:tc>
          <w:tcPr>
            <w:tcW w:type="dxa" w:w="2160"/>
          </w:tcPr>
          <w:p>
            <w:r/>
            <w:r>
              <w:rPr>
                <w:b/>
                <w:sz w:val="18"/>
              </w:rPr>
              <w:t>Legal/Commercial:</w:t>
            </w:r>
            <w:r>
              <w:rPr>
                <w:b w:val="0"/>
                <w:sz w:val="18"/>
              </w:rPr>
              <w:t xml:space="preserve"> PE disputes (capital calls, waterfalls, drag/tag) require specialists; the PE community is small and interconnected. </w:t>
            </w:r>
            <w:r>
              <w:rPr>
                <w:b/>
                <w:sz w:val="18"/>
              </w:rPr>
              <w:t>Fallback:</w:t>
            </w:r>
            <w:r>
              <w:rPr>
                <w:b w:val="0"/>
                <w:sz w:val="18"/>
              </w:rPr>
              <w:t xml:space="preserve"> 10 years' experience only with your prior approval.</w:t>
            </w:r>
          </w:p>
        </w:tc>
      </w:tr>
      <w:tr>
        <w:tc>
          <w:tcPr>
            <w:tcW w:type="dxa" w:w="1656"/>
          </w:tcPr>
          <w:p>
            <w:r/>
            <w:r>
              <w:rPr>
                <w:b/>
                <w:sz w:val="18"/>
              </w:rPr>
              <w:t>17. Discovery</w:t>
            </w:r>
            <w:r>
              <w:rPr>
                <w:b w:val="0"/>
                <w:sz w:val="18"/>
              </w:rPr>
              <w:t xml:space="preserve"> — Sec. 5.1 — Playbook Sec. 8</w:t>
            </w:r>
          </w:p>
        </w:tc>
        <w:tc>
          <w:tcPr>
            <w:tcW w:type="dxa" w:w="1944"/>
          </w:tcPr>
          <w:p>
            <w:r/>
            <w:r>
              <w:rPr>
                <w:b w:val="0"/>
                <w:sz w:val="18"/>
              </w:rPr>
              <w:t>ICC Rules "without modification"; arbitrator discretion.</w:t>
            </w:r>
          </w:p>
        </w:tc>
        <w:tc>
          <w:tcPr>
            <w:tcW w:type="dxa" w:w="2520"/>
          </w:tcPr>
          <w:p>
            <w:r/>
            <w:r>
              <w:rPr>
                <w:b w:val="0"/>
                <w:sz w:val="18"/>
              </w:rPr>
              <w:t>3 fact depositions per side (7 hours each); 15 document requests per side incl. subparts; 1 testifying expert per side with simultaneous reports; Tribunal may manage within, but not expand, the caps absent Party consent.</w:t>
            </w:r>
          </w:p>
        </w:tc>
        <w:tc>
          <w:tcPr>
            <w:tcW w:type="dxa" w:w="1080"/>
          </w:tcPr>
          <w:p>
            <w:r/>
            <w:r>
              <w:rPr>
                <w:b w:val="0"/>
                <w:sz w:val="18"/>
              </w:rPr>
              <w:t>Required (express caps Preferred)</w:t>
            </w:r>
          </w:p>
        </w:tc>
        <w:tc>
          <w:tcPr>
            <w:tcW w:type="dxa" w:w="2160"/>
          </w:tcPr>
          <w:p>
            <w:r/>
            <w:r>
              <w:rPr>
                <w:b/>
                <w:sz w:val="18"/>
              </w:rPr>
              <w:t>Legal/Commercial:</w:t>
            </w:r>
            <w:r>
              <w:rPr>
                <w:b w:val="0"/>
                <w:sz w:val="18"/>
              </w:rPr>
              <w:t xml:space="preserve"> the Playbook identifies "without modification" as inadequate; open-ended discovery is the main driver of cost and delay. </w:t>
            </w:r>
            <w:r>
              <w:rPr>
                <w:b/>
                <w:sz w:val="18"/>
              </w:rPr>
              <w:t>Fallback:</w:t>
            </w:r>
            <w:r>
              <w:rPr>
                <w:b w:val="0"/>
                <w:sz w:val="18"/>
              </w:rPr>
              <w:t xml:space="preserve"> "limited and proportional" standard, but deposition and expert caps retained as minimums.</w:t>
            </w:r>
          </w:p>
        </w:tc>
      </w:tr>
      <w:tr>
        <w:tc>
          <w:tcPr>
            <w:tcW w:type="dxa" w:w="1656"/>
          </w:tcPr>
          <w:p>
            <w:r/>
            <w:r>
              <w:rPr>
                <w:b/>
                <w:sz w:val="18"/>
              </w:rPr>
              <w:t>18. Award timing and content</w:t>
            </w:r>
            <w:r>
              <w:rPr>
                <w:b w:val="0"/>
                <w:sz w:val="18"/>
              </w:rPr>
              <w:t xml:space="preserve"> — Sec. 8.1 — Playbook Sec. 18</w:t>
            </w:r>
          </w:p>
        </w:tc>
        <w:tc>
          <w:tcPr>
            <w:tcW w:type="dxa" w:w="1944"/>
          </w:tcPr>
          <w:p>
            <w:r/>
            <w:r>
              <w:rPr>
                <w:b w:val="0"/>
                <w:sz w:val="18"/>
              </w:rPr>
              <w:t>Best efforts; reasoned award within 120 days of undefined close of proceedings.</w:t>
            </w:r>
          </w:p>
        </w:tc>
        <w:tc>
          <w:tcPr>
            <w:tcW w:type="dxa" w:w="2520"/>
          </w:tcPr>
          <w:p>
            <w:r/>
            <w:r>
              <w:rPr>
                <w:b w:val="0"/>
                <w:sz w:val="18"/>
              </w:rPr>
              <w:t>Mandatory 90 days from defined Close of Proceedings (later of last post-hearing submission or transcript receipt); detailed findings of fact and conclusions of law required; missed deadline does not invalidate the award.</w:t>
            </w:r>
          </w:p>
        </w:tc>
        <w:tc>
          <w:tcPr>
            <w:tcW w:type="dxa" w:w="1080"/>
          </w:tcPr>
          <w:p>
            <w:r/>
            <w:r>
              <w:rPr>
                <w:b w:val="0"/>
                <w:sz w:val="18"/>
              </w:rPr>
              <w:t>Required</w:t>
            </w:r>
          </w:p>
        </w:tc>
        <w:tc>
          <w:tcPr>
            <w:tcW w:type="dxa" w:w="2160"/>
          </w:tcPr>
          <w:p>
            <w:r/>
            <w:r>
              <w:rPr>
                <w:b/>
                <w:sz w:val="18"/>
              </w:rPr>
              <w:t>Legal:</w:t>
            </w:r>
            <w:r>
              <w:rPr>
                <w:b w:val="0"/>
                <w:sz w:val="18"/>
              </w:rPr>
              <w:t xml:space="preserve"> FoF/CoL enable review (including manifest disregard) and support appellate arbitration. </w:t>
            </w:r>
            <w:r>
              <w:rPr>
                <w:b/>
                <w:sz w:val="18"/>
              </w:rPr>
              <w:t>Fallback:</w:t>
            </w:r>
            <w:r>
              <w:rPr>
                <w:b w:val="0"/>
                <w:sz w:val="18"/>
              </w:rPr>
              <w:t xml:space="preserve"> up to 120 days; FoF/CoL non-negotiable.</w:t>
            </w:r>
          </w:p>
        </w:tc>
      </w:tr>
    </w:tbl>
    <w:p>
      <w:pPr>
        <w:spacing w:after="40"/>
      </w:pPr>
    </w:p>
    <w:p>
      <w:pPr>
        <w:pStyle w:val="Heading2"/>
      </w:pPr>
      <w:r>
        <w:t>Conforming and Clean-Up Changes</w:t>
      </w:r>
    </w:p>
    <w:p>
      <w:pPr>
        <w:pStyle w:val="ListBullet"/>
        <w:spacing w:after="120"/>
      </w:pPr>
      <w:r>
        <w:rPr>
          <w:b/>
          <w:i w:val="0"/>
        </w:rPr>
        <w:t>Scope (Sec. 2.1; Playbook Sec. 7):</w:t>
      </w:r>
      <w:r>
        <w:rPr>
          <w:b w:val="0"/>
          <w:i w:val="0"/>
        </w:rPr>
        <w:t xml:space="preserve"> extended to "Ancillary Agreements" (new definition) and "existence" of the agreements; single operative definition of "Dispute" (Cascadian's draft defined it twice).</w:t>
      </w:r>
    </w:p>
    <w:p>
      <w:pPr>
        <w:pStyle w:val="ListBullet"/>
        <w:spacing w:after="120"/>
      </w:pPr>
      <w:r>
        <w:rPr>
          <w:b/>
          <w:i w:val="0"/>
        </w:rPr>
        <w:t>Exclusive remedy (Sec. 2.2):</w:t>
      </w:r>
      <w:r>
        <w:rPr>
          <w:b w:val="0"/>
          <w:i w:val="0"/>
        </w:rPr>
        <w:t xml:space="preserve"> "except as expressly provided herein" replaced with an enumerated list (Article VI relief, actions to compel, award confirmation/enforcement/vacatur).</w:t>
      </w:r>
    </w:p>
    <w:p>
      <w:pPr>
        <w:pStyle w:val="ListBullet"/>
        <w:spacing w:after="120"/>
      </w:pPr>
      <w:r>
        <w:rPr>
          <w:b/>
          <w:i w:val="0"/>
        </w:rPr>
        <w:t>Definitions:</w:t>
      </w:r>
      <w:r>
        <w:rPr>
          <w:b w:val="0"/>
          <w:i w:val="0"/>
        </w:rPr>
        <w:t xml:space="preserve"> ICC/ICC Rules replaced with AAA/AAA Rules; new definitions of Appellate Rules, Close of Proceedings, Confidential Arbitration Information, Expedited Arbitrator/Dispute; "request for arbitration" conformed to AAA "demand"; "Seat" changed to Atlanta.</w:t>
      </w:r>
    </w:p>
    <w:p>
      <w:pPr>
        <w:pStyle w:val="ListBullet"/>
        <w:spacing w:after="120"/>
      </w:pPr>
      <w:r>
        <w:rPr>
          <w:b/>
          <w:i w:val="0"/>
        </w:rPr>
        <w:t>Sole "Arbitrator" references</w:t>
      </w:r>
      <w:r>
        <w:rPr>
          <w:b w:val="0"/>
          <w:i w:val="0"/>
        </w:rPr>
        <w:t xml:space="preserve"> replaced with "Arbitral Tribunal" throughout (Secs. 5.2, 5.3, 8.1–8.3, 9.2); Tribunal power to relocate hearings removed.</w:t>
      </w:r>
    </w:p>
    <w:p>
      <w:pPr>
        <w:pStyle w:val="ListBullet"/>
        <w:spacing w:after="120"/>
      </w:pPr>
      <w:r>
        <w:rPr>
          <w:b/>
          <w:i w:val="0"/>
        </w:rPr>
        <w:t>Survival (Sec. 12.7):</w:t>
      </w:r>
      <w:r>
        <w:rPr>
          <w:b w:val="0"/>
          <w:i w:val="0"/>
        </w:rPr>
        <w:t xml:space="preserve"> extended to Disputes arising after termination of the CIA (Cascadian's draft covered only Disputes arising before or upon termination).</w:t>
      </w:r>
    </w:p>
    <w:p>
      <w:pPr>
        <w:pStyle w:val="ListBullet"/>
        <w:spacing w:after="120"/>
      </w:pPr>
      <w:r>
        <w:rPr>
          <w:b/>
          <w:i w:val="0"/>
        </w:rPr>
        <w:t>Language (Sec. 3.2; Playbook Sec. 21):</w:t>
      </w:r>
      <w:r>
        <w:rPr>
          <w:b w:val="0"/>
          <w:i w:val="0"/>
        </w:rPr>
        <w:t xml:space="preserve"> English — consistent with the Playbook; no change.</w:t>
      </w:r>
    </w:p>
    <w:p>
      <w:pPr>
        <w:pStyle w:val="Heading1"/>
      </w:pPr>
      <w:r>
        <w:t>VI. Open Points Requiring Your Decision or Confirmation</w:t>
      </w:r>
    </w:p>
    <w:p>
      <w:pPr>
        <w:spacing w:after="120"/>
      </w:pPr>
      <w:r>
        <w:rPr>
          <w:b w:val="0"/>
          <w:i w:val="0"/>
        </w:rPr>
        <w:t xml:space="preserve">1. </w:t>
      </w:r>
      <w:r>
        <w:rPr>
          <w:b/>
          <w:i w:val="0"/>
        </w:rPr>
        <w:t>Sole Expedited Arbitrator vs. three-member panel.</w:t>
      </w:r>
      <w:r>
        <w:rPr>
          <w:b w:val="0"/>
          <w:i w:val="0"/>
        </w:rPr>
        <w:t xml:space="preserve"> Playbook Sec. 17 requires a sole arbitrator for expedited disputes "notwithstanding" Sec. 4. Given your view that a sole arbitrator is a non-starter at this deal size, please confirm you are comfortable with a sole (fully qualified) arbitrator for capital call, drag-along, and buy-sell disputes, which may themselves exceed $10M.</w:t>
      </w:r>
    </w:p>
    <w:p>
      <w:pPr>
        <w:spacing w:after="120"/>
      </w:pPr>
      <w:r>
        <w:rPr>
          <w:b w:val="0"/>
          <w:i w:val="0"/>
        </w:rPr>
        <w:t xml:space="preserve">2. </w:t>
      </w:r>
      <w:r>
        <w:rPr>
          <w:b/>
          <w:i w:val="0"/>
        </w:rPr>
        <w:t>Appeals of expedited awards.</w:t>
      </w:r>
      <w:r>
        <w:rPr>
          <w:b w:val="0"/>
          <w:i w:val="0"/>
        </w:rPr>
        <w:t xml:space="preserve"> Playbook Secs. 17 and 19 are not reconciled: a capital-call award above $25M would be appealable, and Sec. 19 provides that the award is not enforceable pending appeal, which would defeat the 45-day track. Sec. 5.5(e) contains bracketed alternatives — (A) expedited awards are final and not appealable (our recommendation) or (B) appealable but enforceable pending appeal. Please select one.</w:t>
      </w:r>
    </w:p>
    <w:p>
      <w:pPr>
        <w:spacing w:after="120"/>
      </w:pPr>
      <w:r>
        <w:rPr>
          <w:b w:val="0"/>
          <w:i w:val="0"/>
        </w:rPr>
        <w:t xml:space="preserve">3. </w:t>
      </w:r>
      <w:r>
        <w:rPr>
          <w:b/>
          <w:i w:val="0"/>
        </w:rPr>
        <w:t>45-day schedule feasibility / 60-day fallback.</w:t>
      </w:r>
      <w:r>
        <w:rPr>
          <w:b w:val="0"/>
          <w:i w:val="0"/>
        </w:rPr>
        <w:t xml:space="preserve"> With appointment up to 10 business days after filing and a hearing up to 30 days after appointment, the award may be due almost immediately after the hearing. We have required the arbitrator to schedule the hearing to permit a day-45 award. Please confirm whether we may offer the Playbook's 60-day fallback if Cascadian objects.</w:t>
      </w:r>
    </w:p>
    <w:p>
      <w:pPr>
        <w:spacing w:after="120"/>
      </w:pPr>
      <w:r>
        <w:rPr>
          <w:b w:val="0"/>
          <w:i w:val="0"/>
        </w:rPr>
        <w:t xml:space="preserve">4. </w:t>
      </w:r>
      <w:r>
        <w:rPr>
          <w:b/>
          <w:i w:val="0"/>
        </w:rPr>
        <w:t>Appellate trigger asymmetry.</w:t>
      </w:r>
      <w:r>
        <w:rPr>
          <w:b w:val="0"/>
          <w:i w:val="0"/>
        </w:rPr>
        <w:t xml:space="preserve"> The Playbook trigger (award "exceeding $25M") gives no appeal right to a claimant whose large claim is denied. Consider a trigger based on amount claimed; this would depart from Playbook text, so we have not made the change.</w:t>
      </w:r>
    </w:p>
    <w:p>
      <w:pPr>
        <w:spacing w:after="120"/>
      </w:pPr>
      <w:r>
        <w:rPr>
          <w:b w:val="0"/>
          <w:i w:val="0"/>
        </w:rPr>
        <w:t xml:space="preserve">5. </w:t>
      </w:r>
      <w:r>
        <w:rPr>
          <w:b/>
          <w:i w:val="0"/>
        </w:rPr>
        <w:t>Confidentiality exceptions.</w:t>
      </w:r>
      <w:r>
        <w:rPr>
          <w:b w:val="0"/>
          <w:i w:val="0"/>
        </w:rPr>
        <w:t xml:space="preserve"> (i) We extended the enforcement exception to court proceedings under Article VI and actions to compel so confidentiality cannot impede your court-relief rights; (ii) the Playbook's closed list of exceptions does not cover disclosure to Whitmore's LPs, LPAC, lenders, or auditors under fund reporting obligations — consider a narrow LP-reporting exception (a departure from the closed list requiring your approval). Please also advise whether you want a liquidated damages amount (Preferred) in addition to the injunctive-relief right.</w:t>
      </w:r>
    </w:p>
    <w:p>
      <w:pPr>
        <w:spacing w:after="120"/>
      </w:pPr>
      <w:r>
        <w:rPr>
          <w:b w:val="0"/>
          <w:i w:val="0"/>
        </w:rPr>
        <w:t xml:space="preserve">6. </w:t>
      </w:r>
      <w:r>
        <w:rPr>
          <w:b/>
          <w:i w:val="0"/>
        </w:rPr>
        <w:t>Damages waiver and capital-call remedies.</w:t>
      </w:r>
      <w:r>
        <w:rPr>
          <w:b w:val="0"/>
          <w:i w:val="0"/>
        </w:rPr>
        <w:t xml:space="preserve"> Please have the deal team confirm that Sec. 8.4(b) (preserving amounts expressly payable under the CIA, including unfunded capital and default interest) tracks the CIA default provisions.</w:t>
      </w:r>
    </w:p>
    <w:p>
      <w:pPr>
        <w:spacing w:after="120"/>
      </w:pPr>
      <w:r>
        <w:rPr>
          <w:b w:val="0"/>
          <w:i w:val="0"/>
        </w:rPr>
        <w:t xml:space="preserve">7. </w:t>
      </w:r>
      <w:r>
        <w:rPr>
          <w:b/>
          <w:i w:val="0"/>
        </w:rPr>
        <w:t>Emergency arbitrator qualifications.</w:t>
      </w:r>
      <w:r>
        <w:rPr>
          <w:b w:val="0"/>
          <w:i w:val="0"/>
        </w:rPr>
        <w:t xml:space="preserve"> We apply the Sec. 4.3 qualifications to the emergency arbitrator only "to the extent reasonably practicable" so qualification requirements do not delay urgent relief.</w:t>
      </w:r>
    </w:p>
    <w:p>
      <w:pPr>
        <w:spacing w:after="120"/>
      </w:pPr>
      <w:r>
        <w:rPr>
          <w:b w:val="0"/>
          <w:i w:val="0"/>
        </w:rPr>
        <w:t xml:space="preserve">8. </w:t>
      </w:r>
      <w:r>
        <w:rPr>
          <w:b/>
          <w:i w:val="0"/>
        </w:rPr>
        <w:t>Deal-document confirmations (no changes made):</w:t>
      </w:r>
      <w:r>
        <w:rPr>
          <w:b w:val="0"/>
          <w:i w:val="0"/>
        </w:rPr>
        <w:t xml:space="preserve"> (a) the Recital economics appear inconsistent — $195M/$130M is a 60/40 split of $325M equity, but the stated stakes (48%/24%) are a 2:1 split; (b) the Recital describes Whitmore Capital Partners LLC as the manager of Fund III while the signature block names it as General Partner — confirm the correct GP entity and signatory; (c) confirm that Section 11.4 of the CIA is the notices provision; (d) confirm the CIA itself is governed by Delaware law (Playbook Sec. 6 applies to the underlying agreement too) and that the CIA's own dispute-resolution provisions are conformed to this markup; (e) confirm "Business Days" and "Affiliate" are defined in the CIA.</w:t>
      </w:r>
    </w:p>
    <w:p>
      <w:pPr>
        <w:pStyle w:val="Heading1"/>
      </w:pPr>
      <w:r>
        <w:t>VII. Negotiation Outlook and Process Notes</w:t>
      </w:r>
    </w:p>
    <w:p>
      <w:pPr>
        <w:pStyle w:val="ListBullet"/>
        <w:spacing w:after="120"/>
      </w:pPr>
      <w:r>
        <w:rPr>
          <w:b/>
          <w:i w:val="0"/>
        </w:rPr>
        <w:t>Expected pushback.</w:t>
      </w:r>
      <w:r>
        <w:rPr>
          <w:b w:val="0"/>
          <w:i w:val="0"/>
        </w:rPr>
        <w:t xml:space="preserve"> Cascadian will likely resist Atlanta and AAA as "home-cooking" in reverse. Our strongest arguments are neutrality-based: both funds and the Target are Delaware entities (supporting Delaware law), the transaction is wholly domestic (ICC is designed for international disputes and is more expensive), and New York is available as a neutral seat. JAMS and New York are Preferred-level concessions that do not require escalation; the Critical items do.</w:t>
      </w:r>
    </w:p>
    <w:p>
      <w:pPr>
        <w:pStyle w:val="ListBullet"/>
        <w:spacing w:after="120"/>
      </w:pPr>
      <w:r>
        <w:rPr>
          <w:b/>
          <w:i w:val="0"/>
        </w:rPr>
        <w:t>Responding to Cascadian's "streamlined" rationale.</w:t>
      </w:r>
      <w:r>
        <w:rPr>
          <w:b w:val="0"/>
          <w:i w:val="0"/>
        </w:rPr>
        <w:t xml:space="preserve"> Ms. Hsiao's cover email states the form deliberately relies on the ICC Rules to fill gaps. The ICC Rules do not address discovery limits, confidentiality, expedited treatment of capital calls, or court interim relief in the manner Whitmore requires, so the added provisions supply certainty rather than complexity — and several (expedited track, discovery caps, fee-shifting) reduce cost for both sides.</w:t>
      </w:r>
    </w:p>
    <w:p>
      <w:pPr>
        <w:pStyle w:val="ListBullet"/>
        <w:spacing w:after="120"/>
      </w:pPr>
      <w:r>
        <w:rPr>
          <w:b/>
          <w:i w:val="0"/>
        </w:rPr>
        <w:t>Strip internal comments before transmittal.</w:t>
      </w:r>
      <w:r>
        <w:rPr>
          <w:b w:val="0"/>
          <w:i w:val="0"/>
        </w:rPr>
        <w:t xml:space="preserve"> The redline comments reference the privileged Playbook, position classifications, and Whitmore's fallbacks. Before sending to Pinnacle Winterhaven, we will remove all margin comments (and the bracketed alternatives in Sec. 5.5(e) once you choose) and, if helpful, substitute brief external explanatory notes. The Playbook itself must not be shared (Playbook distribution notice).</w:t>
      </w:r>
    </w:p>
    <w:p>
      <w:pPr>
        <w:pStyle w:val="ListBullet"/>
        <w:spacing w:after="120"/>
      </w:pPr>
      <w:r>
        <w:rPr>
          <w:b/>
          <w:i w:val="0"/>
        </w:rPr>
        <w:t>Verify recipient addresses.</w:t>
      </w:r>
      <w:r>
        <w:rPr>
          <w:b w:val="0"/>
          <w:i w:val="0"/>
        </w:rPr>
        <w:t xml:space="preserve"> Ms. Hsiao's January 8 email was addressed to "dostrander@hargovewynncalloway.com" (not our hargrovewynn.com domain) and was sent from a "pinnaclebracewell.com" address although the firm is Pinnacle Winterhaven LLP. Before sending the markup, we will confirm the correct addresses for Ms. Hsiao and Mr. Riordan by telephone and confirm that the attached draft is the authentic Pinnacle form.</w:t>
      </w:r>
    </w:p>
    <w:p>
      <w:pPr>
        <w:pStyle w:val="ListBullet"/>
        <w:spacing w:after="120"/>
      </w:pPr>
      <w:r>
        <w:rPr>
          <w:b/>
          <w:i w:val="0"/>
        </w:rPr>
        <w:t>Courtesy call.</w:t>
      </w:r>
      <w:r>
        <w:rPr>
          <w:b w:val="0"/>
          <w:i w:val="0"/>
        </w:rPr>
        <w:t xml:space="preserve"> Given the volume of changes, we recommend that David place a short courtesy call to Ms. Hsiao (or that you speak with Thomas Riordan, who has offered to discuss commercial points directly) before or contemporaneously with transmittal, emphasizing the collaborative co-investment relationship and the mutuality of most changes.</w:t>
      </w:r>
    </w:p>
    <w:p>
      <w:pPr>
        <w:pStyle w:val="ListBullet"/>
        <w:spacing w:after="120"/>
      </w:pPr>
      <w:r>
        <w:rPr>
          <w:b/>
          <w:i w:val="0"/>
        </w:rPr>
        <w:t>Timeline.</w:t>
      </w:r>
      <w:r>
        <w:rPr>
          <w:b w:val="0"/>
          <w:i w:val="0"/>
        </w:rPr>
        <w:t xml:space="preserve"> Internal draft to David: Saturday, January 11. Draft to you: by end of day Sunday, January 12. Markup due to Pinnacle Winterhaven: end of business Monday, January 13 (Playbook Sec. 22 requires strictly on-time delivery). Target CIA execution: January 15; management presentation: February 5; expected closing: March 31, 2025.</w:t>
      </w:r>
    </w:p>
    <w:p>
      <w:pPr>
        <w:spacing w:after="120"/>
      </w:pPr>
      <w:r>
        <w:rPr>
          <w:b w:val="0"/>
          <w:i/>
        </w:rPr>
        <w:t>Attachment: redlined-arbitration-agreement.docx (tracked changes with comments).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