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rPr>
        <w:t>PRIVILEGED AND CONFIDENTIAL — ATTORNEY-CLIENT COMMUNICATION / ATTORNEY WORK PRODUCT</w:t>
      </w:r>
    </w:p>
    <w:p>
      <w:pPr>
        <w:jc w:val="center"/>
      </w:pPr>
      <w:r>
        <w:rPr>
          <w:b/>
          <w:i w:val="0"/>
          <w:sz w:val="26"/>
        </w:rPr>
        <w:t>BARROW &amp; THISTLEWOOD LLP</w:t>
      </w:r>
    </w:p>
    <w:p>
      <w:pPr>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584"/>
          </w:tcPr>
          <w:p>
            <w:r/>
            <w:r>
              <w:rPr>
                <w:b/>
              </w:rPr>
              <w:t>TO:</w:t>
            </w:r>
          </w:p>
        </w:tc>
        <w:tc>
          <w:tcPr>
            <w:tcW w:type="dxa" w:w="7776"/>
          </w:tcPr>
          <w:p>
            <w:r>
              <w:t>Dominic Hargrave, Lead Partner (Whitmore Capital Partners LLC engagement)</w:t>
            </w:r>
          </w:p>
        </w:tc>
      </w:tr>
      <w:tr>
        <w:tc>
          <w:tcPr>
            <w:tcW w:type="dxa" w:w="1584"/>
          </w:tcPr>
          <w:p>
            <w:r/>
            <w:r>
              <w:rPr>
                <w:b/>
              </w:rPr>
              <w:t>FROM:</w:t>
            </w:r>
          </w:p>
        </w:tc>
        <w:tc>
          <w:tcPr>
            <w:tcW w:type="dxa" w:w="7776"/>
          </w:tcPr>
          <w:p>
            <w:r>
              <w:t>Arbitration Practice Group — Case Team</w:t>
            </w:r>
          </w:p>
        </w:tc>
      </w:tr>
      <w:tr>
        <w:tc>
          <w:tcPr>
            <w:tcW w:type="dxa" w:w="1584"/>
          </w:tcPr>
          <w:p>
            <w:r/>
            <w:r>
              <w:rPr>
                <w:b/>
              </w:rPr>
              <w:t>DATE:</w:t>
            </w:r>
          </w:p>
        </w:tc>
        <w:tc>
          <w:tcPr>
            <w:tcW w:type="dxa" w:w="7776"/>
          </w:tcPr>
          <w:p>
            <w:r>
              <w:t>June 20, 2024</w:t>
            </w:r>
          </w:p>
        </w:tc>
      </w:tr>
      <w:tr>
        <w:tc>
          <w:tcPr>
            <w:tcW w:type="dxa" w:w="1584"/>
          </w:tcPr>
          <w:p>
            <w:r/>
            <w:r>
              <w:rPr>
                <w:b/>
              </w:rPr>
              <w:t>RE:</w:t>
            </w:r>
          </w:p>
        </w:tc>
        <w:tc>
          <w:tcPr>
            <w:tcW w:type="dxa" w:w="7776"/>
          </w:tcPr>
          <w:p>
            <w:r>
              <w:t>AAA Case No. 01-24-0003217, Cascade Thermal Systems Inc. v. Whitmore Capital Partners LLC — Review of the June 17, 2024 Disclosure Statement of Hon. Margaret R. Fairhaven (Ret.) and Assessment of Grounds for Challenge</w:t>
            </w:r>
          </w:p>
        </w:tc>
      </w:tr>
      <w:tr>
        <w:tc>
          <w:tcPr>
            <w:tcW w:type="dxa" w:w="1584"/>
          </w:tcPr>
          <w:p>
            <w:r/>
            <w:r>
              <w:rPr>
                <w:b/>
              </w:rPr>
              <w:t>DEADLINE:</w:t>
            </w:r>
          </w:p>
        </w:tc>
        <w:tc>
          <w:tcPr>
            <w:tcW w:type="dxa" w:w="7776"/>
          </w:tcPr>
          <w:p>
            <w:r>
              <w:t>Objection period stated in the disclosure and under Rule R-18(a): Monday, June 24, 2024 (recommend filing no later than Friday, June 21, 2024)</w:t>
            </w:r>
          </w:p>
        </w:tc>
      </w:tr>
    </w:tbl>
    <w:p/>
    <w:p>
      <w:pPr>
        <w:pStyle w:val="Heading1"/>
      </w:pPr>
      <w:r>
        <w:t>I. Bottom Line</w:t>
      </w:r>
    </w:p>
    <w:p>
      <w:pPr>
        <w:jc w:val="both"/>
      </w:pPr>
      <w:r>
        <w:rPr>
          <w:b w:val="0"/>
          <w:i w:val="0"/>
        </w:rPr>
        <w:t>We reviewed Judge Fairhaven’s June 17, 2024 Disclosure Statement against the AAA Rules excerpts, Cascade’s March 15, 2024 Demand, the June 19, 2024 Entity and Relationship Profiles memorandum (C. Aldridge), and the arbitrator appointment/fee workbook. Our conclusions:</w:t>
      </w:r>
    </w:p>
    <w:p>
      <w:pPr>
        <w:pStyle w:val="ListNumber"/>
      </w:pPr>
      <w:r>
        <w:rPr>
          <w:b/>
          <w:i w:val="0"/>
        </w:rPr>
        <w:t>The disclosure is materially incomplete and, in several places, affirmatively inaccurate.</w:t>
      </w:r>
      <w:r>
        <w:rPr>
          <w:b w:val="0"/>
          <w:i w:val="0"/>
        </w:rPr>
        <w:t xml:space="preserve"> It certifies a “complete list” of matters involving either firm, yet omits </w:t>
      </w:r>
      <w:r>
        <w:rPr>
          <w:b/>
          <w:i w:val="0"/>
        </w:rPr>
        <w:t>eight</w:t>
      </w:r>
      <w:r>
        <w:rPr>
          <w:b w:val="0"/>
          <w:i w:val="0"/>
        </w:rPr>
        <w:t xml:space="preserve"> matters: seven involving this firm (six completed matters plus the pending Halcyon Biotech matter) and two completed matters involving Fielding Marsh &amp; Collier, with one overlap — Westbrook Partners v. Arcadian Ventures, a head-to-head contest between the two firms that our client won. It also omits five relationship facts: (i) Garrett T. Whitmore’s seat on the Board of Trustees of the Minnesota ADR Ethics Institute, whose advisory board she sits on; (ii) a potential indirect interest in Whitmore Fund II LP (owner of Volaris) through the Northbridge Select Alternatives Fund; (iii) her husband’s September 2022 co-authorship with Dr. Rita Peshkov, Claimant’s key technical expert, on the very technology class at issue; (iv) her October 14, 2023 CLE co-panel with you on “Arbitrating Complex IP Licensing Disputes”; and (v) the financial terms of her Lakeview affiliation.</w:t>
      </w:r>
    </w:p>
    <w:p>
      <w:pPr>
        <w:pStyle w:val="ListNumber"/>
      </w:pPr>
      <w:r>
        <w:rPr>
          <w:b/>
          <w:i w:val="0"/>
        </w:rPr>
        <w:t>Most of the undisclosed facts point toward Respondent, not Claimant.</w:t>
      </w:r>
      <w:r>
        <w:rPr>
          <w:b w:val="0"/>
          <w:i w:val="0"/>
        </w:rPr>
        <w:t xml:space="preserve"> Seven of the eight omitted matters, the Institute/Whitmore connection, the Northbridge/Fund II exposure, and the CLE with you all bear on her relationship with our side. Correctly computed, matters involving this firm generated </w:t>
      </w:r>
      <w:r>
        <w:rPr>
          <w:b/>
          <w:i w:val="0"/>
        </w:rPr>
        <w:t>$1,020,000 of $1,974,000 (51.7%)</w:t>
      </w:r>
      <w:r>
        <w:rPr>
          <w:b w:val="0"/>
          <w:i w:val="0"/>
        </w:rPr>
        <w:t xml:space="preserve"> of her fee income across the 20 completed matters in the workbook, and our clients prevailed in </w:t>
      </w:r>
      <w:r>
        <w:rPr>
          <w:b/>
          <w:i w:val="0"/>
        </w:rPr>
        <w:t>8 of 9 (88.9%)</w:t>
      </w:r>
      <w:r>
        <w:rPr>
          <w:b w:val="0"/>
          <w:i w:val="0"/>
        </w:rPr>
        <w:t xml:space="preserve"> of them — not the 48.0% and 7 of 9 reported in the workbook summary and the June 19 memo.</w:t>
      </w:r>
    </w:p>
    <w:p>
      <w:pPr>
        <w:pStyle w:val="ListNumber"/>
      </w:pPr>
      <w:r>
        <w:rPr>
          <w:b/>
          <w:i w:val="0"/>
        </w:rPr>
        <w:t>If Cascade learns these facts, a challenge would very likely succeed</w:t>
      </w:r>
      <w:r>
        <w:rPr>
          <w:b w:val="0"/>
          <w:i w:val="0"/>
        </w:rPr>
        <w:t xml:space="preserve"> under the R-16/R-17 “justifiable doubt” standard, and — critically — R-18(f) would </w:t>
      </w:r>
      <w:r>
        <w:rPr>
          <w:b/>
          <w:i w:val="0"/>
        </w:rPr>
        <w:t>not</w:t>
      </w:r>
      <w:r>
        <w:rPr>
          <w:b w:val="0"/>
          <w:i w:val="0"/>
        </w:rPr>
        <w:t xml:space="preserve"> treat Cascade as having waived grounds that were not and could not reasonably have been known. Cascade could therefore challenge mid-proceeding (forcing replacement and possible repetition under R-19) or, worse, move to vacate a favorable award for “evident partiality” under FAA § 10(a)(2). Every one of the Respondent-side facts is already within our client’s or this firm’s knowledge, so Whitmore cannot plausibly claim surprise, and any later revelation that we sat on them would be damaging to the award and to the firm.</w:t>
      </w:r>
    </w:p>
    <w:p>
      <w:pPr>
        <w:pStyle w:val="ListNumber"/>
      </w:pPr>
      <w:r>
        <w:rPr>
          <w:b/>
          <w:i w:val="0"/>
        </w:rPr>
        <w:t>Whitmore has its own non-frivolous ground</w:t>
      </w:r>
      <w:r>
        <w:rPr>
          <w:b w:val="0"/>
          <w:i w:val="0"/>
        </w:rPr>
        <w:t xml:space="preserve"> — the spouse/Peshkov co-authorship — and it is the one ground that Whitmore can waive by silence. Because Whitmore (and this firm) now know of it, R-18(f) waiver will attach if no written challenge or reservation is made by June 24.</w:t>
      </w:r>
    </w:p>
    <w:p>
      <w:pPr>
        <w:jc w:val="both"/>
      </w:pPr>
      <w:r>
        <w:rPr>
          <w:b/>
          <w:i w:val="0"/>
        </w:rPr>
        <w:t>Recommendation:</w:t>
      </w:r>
      <w:r>
        <w:rPr>
          <w:b w:val="0"/>
          <w:i w:val="0"/>
        </w:rPr>
        <w:t xml:space="preserve"> Do not stay silent. Before June 24, file with the AAA (copying Fielding Marsh; no ex parte contact with the arbitrator, R-20) a written request under R-17(b)–(d) that the arbitrator supplement her disclosure on each of the items listed in Section VIII, coupled with an express, protective objection/reservation on the spouse–Peshkov ground so that Whitmore’s right is not waived. This (a) protects any eventual award by putting every known circumstance before both parties and triggering Cascade’s seven-day R-18 clock; (b) preserves Whitmore’s own challenge; and (c) avoids any suggestion that this firm concealed circumstances it knew to bear on the arbitrator’s impartiality. Client authorization from Whitmore is required before filing because the request will surface facts unfavorable to its preferred arbitrator (Whitmore ranked her first; Cascade ranked her third). Given Ellen Wu’s personal connection to the arbitrator (shared advisory board service and involvement in selection strategy), we recommend that the decision be made by you and the client without Ms. Wu’s participation.</w:t>
      </w:r>
    </w:p>
    <w:p>
      <w:pPr>
        <w:pStyle w:val="Heading1"/>
      </w:pPr>
      <w:r>
        <w:t>II. Background and Procedural Posture</w:t>
      </w:r>
    </w:p>
    <w:p>
      <w:pPr>
        <w:pStyle w:val="ListBullet"/>
      </w:pPr>
      <w:r>
        <w:rPr>
          <w:b/>
          <w:i w:val="0"/>
        </w:rPr>
        <w:t>The dispute.</w:t>
      </w:r>
      <w:r>
        <w:rPr>
          <w:b w:val="0"/>
          <w:i w:val="0"/>
        </w:rPr>
        <w:t xml:space="preserve"> Cascade’s minority shareholders (38%), led by director Janet Okafor (11.4%), allege that Whitmore, as manager of Fund III (62% owner of Cascade) and Fund II (owner of Volaris), caused Cascade to grant Volaris an exclusive seven-year ThermalCore license at $2.8M/year against a Ridgeline fair market value of $9.5M/year. Claimed compensatory damages are $46.9M ($6.7M × 7), plus rescission and disgorgement. Seat: Minneapolis; Delaware substantive law; FAA governs the arbitration agreement (Operating Agreement § 12.3; sole arbitrator).</w:t>
      </w:r>
    </w:p>
    <w:p>
      <w:pPr>
        <w:pStyle w:val="ListBullet"/>
      </w:pPr>
      <w:r>
        <w:rPr>
          <w:b/>
          <w:i w:val="0"/>
        </w:rPr>
        <w:t>Witnesses identified in the Demand.</w:t>
      </w:r>
      <w:r>
        <w:rPr>
          <w:b w:val="0"/>
          <w:i w:val="0"/>
        </w:rPr>
        <w:t xml:space="preserve"> Fact: Janet Okafor; Garrett T. Whitmore (adverse); Thomas Kinnear (Volaris CEO); other Cascade directors. Expert: Ridgeline valuation expert; </w:t>
      </w:r>
      <w:r>
        <w:rPr>
          <w:b/>
          <w:i w:val="0"/>
        </w:rPr>
        <w:t>Dr. Rita Peshkov</w:t>
      </w:r>
      <w:r>
        <w:rPr>
          <w:b w:val="0"/>
          <w:i w:val="0"/>
        </w:rPr>
        <w:t xml:space="preserve"> (Cascade VP R&amp;D, named inventor on most of the 14 patents; “key expert witness” on technical value and on the technical basis for Ridgeline’s methodology); a damages expert.</w:t>
      </w:r>
    </w:p>
    <w:p>
      <w:pPr>
        <w:pStyle w:val="ListBullet"/>
      </w:pPr>
      <w:r>
        <w:rPr>
          <w:b/>
          <w:i w:val="0"/>
        </w:rPr>
        <w:t>Selection.</w:t>
      </w:r>
      <w:r>
        <w:rPr>
          <w:b w:val="0"/>
          <w:i w:val="0"/>
        </w:rPr>
        <w:t xml:space="preserve"> Parties selected Judge Fairhaven on June 3, 2024 (Whitmore ranked her #1; Cascade #3). AAA confirmed on June 10. Disclosure dated June 17. The disclosure states that objections are due June 24, 2024 (seven calendar days after the disclosure). June 24, 2024 is a Monday.</w:t>
      </w:r>
    </w:p>
    <w:p>
      <w:pPr>
        <w:pStyle w:val="ListBullet"/>
      </w:pPr>
      <w:r>
        <w:rPr>
          <w:b/>
          <w:i w:val="0"/>
        </w:rPr>
        <w:t>Arbitrator’s workload with counsel.</w:t>
      </w:r>
      <w:r>
        <w:rPr>
          <w:b w:val="0"/>
          <w:i w:val="0"/>
        </w:rPr>
        <w:t xml:space="preserve"> The workbook shows 20 completed matters (2021–2024) and five pending matters, three of which (this case, Orion Fabrication, Halcyon Biotech) involve this firm. She reports roughly 85 arbitrations since 2020, so the workbook is a subset — a point to keep in mind when characterizing income dependence (see Section IV.2).</w:t>
      </w:r>
    </w:p>
    <w:p>
      <w:pPr>
        <w:pStyle w:val="Heading1"/>
      </w:pPr>
      <w:r>
        <w:t>III. Governing Standards</w:t>
      </w:r>
    </w:p>
    <w:p>
      <w:pPr>
        <w:pStyle w:val="Heading2"/>
      </w:pPr>
      <w:r>
        <w:t>A. AAA Commercial Rules (as excerpted in the record)</w:t>
      </w:r>
    </w:p>
    <w:p>
      <w:pPr>
        <w:pStyle w:val="ListBullet"/>
      </w:pPr>
      <w:r>
        <w:rPr>
          <w:b/>
          <w:i w:val="0"/>
        </w:rPr>
        <w:t>R-16</w:t>
      </w:r>
      <w:r>
        <w:rPr>
          <w:b w:val="0"/>
          <w:i w:val="0"/>
        </w:rPr>
        <w:t xml:space="preserve"> — disclose “any circumstance likely to give rise to justifiable doubt as to the arbitrator’s impartiality or independence,” including “any past or present relationship with the parties, their representatives, or their counsel”; the obligation is to be “construed broadly,” measured by what “a reasonable person would consider relevant.”</w:t>
      </w:r>
    </w:p>
    <w:p>
      <w:pPr>
        <w:pStyle w:val="ListBullet"/>
      </w:pPr>
      <w:r>
        <w:rPr>
          <w:b/>
          <w:i w:val="0"/>
        </w:rPr>
        <w:t>R-17(a)(i)</w:t>
      </w:r>
      <w:r>
        <w:rPr>
          <w:b w:val="0"/>
          <w:i w:val="0"/>
        </w:rPr>
        <w:t xml:space="preserve"> — any known “direct or indirect financial or personal interest,” including an interest “in any entity that may be affected by the result of the proceeding.”</w:t>
      </w:r>
    </w:p>
    <w:p>
      <w:pPr>
        <w:pStyle w:val="ListBullet"/>
      </w:pPr>
      <w:r>
        <w:rPr>
          <w:b/>
          <w:i w:val="0"/>
        </w:rPr>
        <w:t>R-17(a)(ii)</w:t>
      </w:r>
      <w:r>
        <w:rPr>
          <w:b w:val="0"/>
          <w:i w:val="0"/>
        </w:rPr>
        <w:t xml:space="preserve"> — existing or past financial, business, professional, family, or social relationships with any party, counsel, representatives, or </w:t>
      </w:r>
      <w:r>
        <w:rPr>
          <w:b/>
          <w:i w:val="0"/>
        </w:rPr>
        <w:t>witnesses</w:t>
      </w:r>
      <w:r>
        <w:rPr>
          <w:b w:val="0"/>
          <w:i w:val="0"/>
        </w:rPr>
        <w:t>, “including, without limitation, relationships arising from … professional association, … board memberships, academic collaboration, or regular social contact.”</w:t>
      </w:r>
    </w:p>
    <w:p>
      <w:pPr>
        <w:pStyle w:val="ListBullet"/>
      </w:pPr>
      <w:r>
        <w:rPr>
          <w:b/>
          <w:i w:val="0"/>
        </w:rPr>
        <w:t>R-17(a)(iii)</w:t>
      </w:r>
      <w:r>
        <w:rPr>
          <w:b w:val="0"/>
          <w:i w:val="0"/>
        </w:rPr>
        <w:t xml:space="preserve"> — “any prior or pending cases” with any party or its counsel, “whether administered by the AAA or by any other arbitral institution.” This is not limited to matters the arbitrator considers significant.</w:t>
      </w:r>
    </w:p>
    <w:p>
      <w:pPr>
        <w:pStyle w:val="ListBullet"/>
      </w:pPr>
      <w:r>
        <w:rPr>
          <w:b/>
          <w:i w:val="0"/>
        </w:rPr>
        <w:t>R-17(a)(iv)</w:t>
      </w:r>
      <w:r>
        <w:rPr>
          <w:b w:val="0"/>
          <w:i w:val="0"/>
        </w:rPr>
        <w:t xml:space="preserve"> — catch-all, broadly construed, expressly including “public statements, or expressed views on legal or factual issues relevant to the dispute.”</w:t>
      </w:r>
    </w:p>
    <w:p>
      <w:pPr>
        <w:pStyle w:val="ListBullet"/>
      </w:pPr>
      <w:r>
        <w:rPr>
          <w:b/>
          <w:i w:val="0"/>
        </w:rPr>
        <w:t>R-17(b)–(d)</w:t>
      </w:r>
      <w:r>
        <w:rPr>
          <w:b w:val="0"/>
          <w:i w:val="0"/>
        </w:rPr>
        <w:t xml:space="preserve"> — continuing duty; arbitrator may not await inquiry; incomplete disclosure may result in removal under R-18 and “may constitute grounds for vacatur … under … 9 U.S.C. § 10”; AAA may request supplemental disclosure before acting on a challenge.</w:t>
      </w:r>
    </w:p>
    <w:p>
      <w:pPr>
        <w:pStyle w:val="ListBullet"/>
      </w:pPr>
      <w:r>
        <w:rPr>
          <w:b/>
          <w:i w:val="0"/>
        </w:rPr>
        <w:t>R-18(a)</w:t>
      </w:r>
      <w:r>
        <w:rPr>
          <w:b w:val="0"/>
          <w:i w:val="0"/>
        </w:rPr>
        <w:t xml:space="preserve"> — written challenge, “stating with specificity the grounds,” to the AAA and the other party within seven calendar days after the later of (i) communication of the appointment or (ii) when the circumstances “became known or should reasonably have become known.” </w:t>
      </w:r>
      <w:r>
        <w:rPr>
          <w:b/>
          <w:i w:val="0"/>
        </w:rPr>
        <w:t>R-18(d)</w:t>
      </w:r>
      <w:r>
        <w:rPr>
          <w:b w:val="0"/>
          <w:i w:val="0"/>
        </w:rPr>
        <w:t xml:space="preserve"> — AAA decides, considering “the disclosures required but not made.” </w:t>
      </w:r>
      <w:r>
        <w:rPr>
          <w:b/>
          <w:i w:val="0"/>
        </w:rPr>
        <w:t>R-18(f)</w:t>
      </w:r>
      <w:r>
        <w:rPr>
          <w:b w:val="0"/>
          <w:i w:val="0"/>
        </w:rPr>
        <w:t xml:space="preserve"> — failure to timely challenge waives grounds “then known,” but not grounds that “were not and could not reasonably have been known,” and does not preclude evident-partiality arguments on previously unknown facts at the vacatur stage.</w:t>
      </w:r>
    </w:p>
    <w:p>
      <w:pPr>
        <w:pStyle w:val="ListBullet"/>
      </w:pPr>
      <w:r>
        <w:rPr>
          <w:b/>
          <w:i w:val="0"/>
        </w:rPr>
        <w:t>R-19</w:t>
      </w:r>
      <w:r>
        <w:rPr>
          <w:b w:val="0"/>
          <w:i w:val="0"/>
        </w:rPr>
        <w:t xml:space="preserve"> — replacement via R-12; replacement arbitrator decides whether prior proceedings are repeated. </w:t>
      </w:r>
      <w:r>
        <w:rPr>
          <w:b/>
          <w:i w:val="0"/>
        </w:rPr>
        <w:t>R-20</w:t>
      </w:r>
      <w:r>
        <w:rPr>
          <w:b w:val="0"/>
          <w:i w:val="0"/>
        </w:rPr>
        <w:t xml:space="preserve"> — no ex parte communications; written communications must be shared. </w:t>
      </w:r>
      <w:r>
        <w:rPr>
          <w:b/>
          <w:i w:val="0"/>
        </w:rPr>
        <w:t>R-48</w:t>
      </w:r>
      <w:r>
        <w:rPr>
          <w:b w:val="0"/>
          <w:i w:val="0"/>
        </w:rPr>
        <w:t xml:space="preserve"> — challenge notices must be served by means reasonably calculated to ensure timely receipt.</w:t>
      </w:r>
    </w:p>
    <w:p>
      <w:r>
        <w:rPr>
          <w:b w:val="0"/>
          <w:i/>
        </w:rPr>
        <w:t>Note: the record contains a compiled set of rule excerpts. Before filing, the rule numbers and text (particularly the R-18 seven-day period) should be confirmed against the official AAA publication.</w:t>
      </w:r>
    </w:p>
    <w:p>
      <w:pPr>
        <w:pStyle w:val="Heading2"/>
      </w:pPr>
      <w:r>
        <w:t>B. Code of Ethics and IBA Guidelines</w:t>
      </w:r>
    </w:p>
    <w:p>
      <w:pPr>
        <w:pStyle w:val="ListBullet"/>
      </w:pPr>
      <w:r>
        <w:rPr>
          <w:b/>
          <w:i w:val="0"/>
        </w:rPr>
        <w:t>AAA/ABA Code of Ethics for Arbitrators in Commercial Disputes (2004), Canon II</w:t>
      </w:r>
      <w:r>
        <w:rPr>
          <w:b w:val="0"/>
          <w:i w:val="0"/>
        </w:rPr>
        <w:t xml:space="preserve"> — disclosure of known direct or indirect interests and existing or past relationships, including those of family members; a duty to make a </w:t>
      </w:r>
      <w:r>
        <w:rPr>
          <w:b/>
          <w:i w:val="0"/>
        </w:rPr>
        <w:t>reasonable effort to inform</w:t>
      </w:r>
      <w:r>
        <w:rPr>
          <w:b w:val="0"/>
          <w:i w:val="0"/>
        </w:rPr>
        <w:t xml:space="preserve"> oneself of such interests and relationships (Canon II.B); doubts resolved in favor of disclosure (Canon II.D); continuing obligation (Canon II.C).</w:t>
      </w:r>
    </w:p>
    <w:p>
      <w:pPr>
        <w:pStyle w:val="ListBullet"/>
      </w:pPr>
      <w:r>
        <w:rPr>
          <w:b/>
          <w:i w:val="0"/>
        </w:rPr>
        <w:t>IBA Guidelines on Conflicts of Interest (2014)</w:t>
      </w:r>
      <w:r>
        <w:rPr>
          <w:b w:val="0"/>
          <w:i w:val="0"/>
        </w:rPr>
        <w:t xml:space="preserve"> (persuasive only in a domestic AAA case) — General Standard 3(d) (doubts resolved in favor of disclosure) and 7(d) (duty of reasonable enquiry). Relevant lists: Waivable Red List 2.2.1 (direct or indirect shareholding in a privately held party or affiliate); Orange List 3.1.3 (two or more appointments by one party in three years), 3.1.5 (concurrent service in a related matter involving a party), </w:t>
      </w:r>
      <w:r>
        <w:rPr>
          <w:b/>
          <w:i w:val="0"/>
        </w:rPr>
        <w:t>3.3.8 (appointed more than three times by the same counsel or law firm within three years)</w:t>
      </w:r>
      <w:r>
        <w:rPr>
          <w:b w:val="0"/>
          <w:i w:val="0"/>
        </w:rPr>
        <w:t>, 3.5.2 (publicly advocated a position on the case). Green List 4.3.1 (shared membership in a professional association with counsel) and 4.3.4 (joint conference speaking with counsel) — relevant to the Ellen Wu and CLE items standing alone.</w:t>
      </w:r>
    </w:p>
    <w:p>
      <w:pPr>
        <w:pStyle w:val="Heading2"/>
      </w:pPr>
      <w:r>
        <w:t>C. Judicial Review</w:t>
      </w:r>
    </w:p>
    <w:p>
      <w:pPr>
        <w:jc w:val="both"/>
      </w:pPr>
      <w:r>
        <w:rPr>
          <w:b w:val="0"/>
          <w:i w:val="0"/>
        </w:rPr>
        <w:t>A court at the seat (D. Minn./Eighth Circuit) may vacate for “evident partiality” under FAA § 10(a)(2). Key authorities to be confirmed and updated before any filing (cited from general knowledge; not included in the record provided): Commonwealth Coatings Corp. v. Continental Casualty Co., 393 U.S. 145 (1968) (vacatur where arbitrator failed to disclose a significant business relationship with a party); Monster Energy Co. v. City Beverages, LLC, 940 F.3d 1130 (9th Cir. 2019) (vacatur where arbitrator failed to disclose ownership interest in the institution and the institution’s repeat business with a party); Applied Industrial Materials Corp. v. Ovalar Makine, 492 F.3d 132 (2d Cir. 2007) (arbitrator aware of a potential conflict must investigate or disclose); Positive Software Solutions, Inc. v. New Century Mortgage Corp., 476 F.3d 278 (5th Cir. 2007) (en banc) (trivial or remote undisclosed relationships insufficient); Halliburton Co. v. Chubb Bermuda Insurance Ltd. [2020] UKSC 48 (persuasive: undisclosed overlapping appointments involving a common party). Minnesota’s Revised Uniform Arbitration Act (Minn. Stat. ch. 572B, incl. §§ 572B.12 and 572B.23) contains a presumption of evident partiality where an arbitrator fails to disclose a known, direct and material interest in the outcome or a known, existing and substantial relationship with a party; its application alongside the FAA should be confirmed.</w:t>
      </w:r>
    </w:p>
    <w:p>
      <w:pPr>
        <w:pStyle w:val="Heading1"/>
      </w:pPr>
      <w:r>
        <w:t>IV. Issue-by-Issue Analysis</w:t>
      </w:r>
    </w:p>
    <w:p>
      <w:pPr>
        <w:jc w:val="both"/>
      </w:pPr>
      <w:r>
        <w:rPr>
          <w:b w:val="0"/>
          <w:i w:val="0"/>
        </w:rPr>
        <w:t>The summary matrix below ranks each issue by the strength of a challenge if raised, and identifies which side the issue favors (i.e., who would raise it). Detailed analysis follows.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432"/>
            <w:shd w:val="clear" w:color="auto" w:fill="D9E2F3"/>
          </w:tcPr>
          <w:p>
            <w:r/>
            <w:r>
              <w:rPr>
                <w:b/>
                <w:sz w:val="17"/>
              </w:rPr>
              <w:t>#</w:t>
            </w:r>
          </w:p>
        </w:tc>
        <w:tc>
          <w:tcPr>
            <w:tcW w:type="dxa" w:w="2736"/>
            <w:shd w:val="clear" w:color="auto" w:fill="D9E2F3"/>
          </w:tcPr>
          <w:p>
            <w:r/>
            <w:r>
              <w:rPr>
                <w:b/>
                <w:sz w:val="17"/>
              </w:rPr>
              <w:t>Issue</w:t>
            </w:r>
          </w:p>
        </w:tc>
        <w:tc>
          <w:tcPr>
            <w:tcW w:type="dxa" w:w="1152"/>
            <w:shd w:val="clear" w:color="auto" w:fill="D9E2F3"/>
          </w:tcPr>
          <w:p>
            <w:r/>
            <w:r>
              <w:rPr>
                <w:b/>
                <w:sz w:val="17"/>
              </w:rPr>
              <w:t>Disclosure section</w:t>
            </w:r>
          </w:p>
        </w:tc>
        <w:tc>
          <w:tcPr>
            <w:tcW w:type="dxa" w:w="1152"/>
            <w:shd w:val="clear" w:color="auto" w:fill="D9E2F3"/>
          </w:tcPr>
          <w:p>
            <w:r/>
            <w:r>
              <w:rPr>
                <w:b/>
                <w:sz w:val="17"/>
              </w:rPr>
              <w:t>Disclosed?</w:t>
            </w:r>
          </w:p>
        </w:tc>
        <w:tc>
          <w:tcPr>
            <w:tcW w:type="dxa" w:w="1584"/>
            <w:shd w:val="clear" w:color="auto" w:fill="D9E2F3"/>
          </w:tcPr>
          <w:p>
            <w:r/>
            <w:r>
              <w:rPr>
                <w:b/>
                <w:sz w:val="17"/>
              </w:rPr>
              <w:t>Rule hook</w:t>
            </w:r>
          </w:p>
        </w:tc>
        <w:tc>
          <w:tcPr>
            <w:tcW w:type="dxa" w:w="1152"/>
            <w:shd w:val="clear" w:color="auto" w:fill="D9E2F3"/>
          </w:tcPr>
          <w:p>
            <w:r/>
            <w:r>
              <w:rPr>
                <w:b/>
                <w:sz w:val="17"/>
              </w:rPr>
              <w:t>Side likely to raise</w:t>
            </w:r>
          </w:p>
        </w:tc>
        <w:tc>
          <w:tcPr>
            <w:tcW w:type="dxa" w:w="1296"/>
            <w:shd w:val="clear" w:color="auto" w:fill="D9E2F3"/>
          </w:tcPr>
          <w:p>
            <w:r/>
            <w:r>
              <w:rPr>
                <w:b/>
                <w:sz w:val="17"/>
              </w:rPr>
              <w:t>Challenge strength</w:t>
            </w:r>
          </w:p>
        </w:tc>
      </w:tr>
      <w:tr>
        <w:tc>
          <w:tcPr>
            <w:tcW w:type="dxa" w:w="432"/>
          </w:tcPr>
          <w:p>
            <w:r/>
            <w:r>
              <w:rPr>
                <w:b w:val="0"/>
                <w:i w:val="0"/>
                <w:sz w:val="17"/>
              </w:rPr>
              <w:t>1</w:t>
            </w:r>
          </w:p>
        </w:tc>
        <w:tc>
          <w:tcPr>
            <w:tcW w:type="dxa" w:w="2736"/>
          </w:tcPr>
          <w:p>
            <w:r/>
            <w:r>
              <w:rPr>
                <w:b w:val="0"/>
                <w:i w:val="0"/>
                <w:sz w:val="17"/>
              </w:rPr>
              <w:t>Eight omitted prior/pending matters with counsel (incl. Westbrook head-to-head and pending Halcyon)</w:t>
            </w:r>
          </w:p>
        </w:tc>
        <w:tc>
          <w:tcPr>
            <w:tcW w:type="dxa" w:w="1152"/>
          </w:tcPr>
          <w:p>
            <w:r/>
            <w:r>
              <w:rPr>
                <w:b w:val="0"/>
                <w:i w:val="0"/>
                <w:sz w:val="17"/>
              </w:rPr>
              <w:t>III, X</w:t>
            </w:r>
          </w:p>
        </w:tc>
        <w:tc>
          <w:tcPr>
            <w:tcW w:type="dxa" w:w="1152"/>
          </w:tcPr>
          <w:p>
            <w:r/>
            <w:r>
              <w:rPr>
                <w:b w:val="0"/>
                <w:i w:val="0"/>
                <w:sz w:val="17"/>
              </w:rPr>
              <w:t>No</w:t>
            </w:r>
          </w:p>
        </w:tc>
        <w:tc>
          <w:tcPr>
            <w:tcW w:type="dxa" w:w="1584"/>
          </w:tcPr>
          <w:p>
            <w:r/>
            <w:r>
              <w:rPr>
                <w:b w:val="0"/>
                <w:i w:val="0"/>
                <w:sz w:val="17"/>
              </w:rPr>
              <w:t>R-17(a)(iii); R-18(d)</w:t>
            </w:r>
          </w:p>
        </w:tc>
        <w:tc>
          <w:tcPr>
            <w:tcW w:type="dxa" w:w="1152"/>
          </w:tcPr>
          <w:p>
            <w:r/>
            <w:r>
              <w:rPr>
                <w:b w:val="0"/>
                <w:i w:val="0"/>
                <w:sz w:val="17"/>
              </w:rPr>
              <w:t>Cascade</w:t>
            </w:r>
          </w:p>
        </w:tc>
        <w:tc>
          <w:tcPr>
            <w:tcW w:type="dxa" w:w="1296"/>
          </w:tcPr>
          <w:p>
            <w:r/>
            <w:r>
              <w:rPr>
                <w:b w:val="0"/>
                <w:i w:val="0"/>
                <w:sz w:val="17"/>
              </w:rPr>
              <w:t>High</w:t>
            </w:r>
          </w:p>
        </w:tc>
      </w:tr>
      <w:tr>
        <w:tc>
          <w:tcPr>
            <w:tcW w:type="dxa" w:w="432"/>
          </w:tcPr>
          <w:p>
            <w:r/>
            <w:r>
              <w:rPr>
                <w:b w:val="0"/>
                <w:i w:val="0"/>
                <w:sz w:val="17"/>
              </w:rPr>
              <w:t>2</w:t>
            </w:r>
          </w:p>
        </w:tc>
        <w:tc>
          <w:tcPr>
            <w:tcW w:type="dxa" w:w="2736"/>
          </w:tcPr>
          <w:p>
            <w:r/>
            <w:r>
              <w:rPr>
                <w:b w:val="0"/>
                <w:i w:val="0"/>
                <w:sz w:val="17"/>
              </w:rPr>
              <w:t>Economic dependence on this firm (51.7% of fees; 8 of 9 wins; 3 concurrent matters)</w:t>
            </w:r>
          </w:p>
        </w:tc>
        <w:tc>
          <w:tcPr>
            <w:tcW w:type="dxa" w:w="1152"/>
          </w:tcPr>
          <w:p>
            <w:r/>
            <w:r>
              <w:rPr>
                <w:b w:val="0"/>
                <w:i w:val="0"/>
                <w:sz w:val="17"/>
              </w:rPr>
              <w:t>III, IX</w:t>
            </w:r>
          </w:p>
        </w:tc>
        <w:tc>
          <w:tcPr>
            <w:tcW w:type="dxa" w:w="1152"/>
          </w:tcPr>
          <w:p>
            <w:r/>
            <w:r>
              <w:rPr>
                <w:b w:val="0"/>
                <w:i w:val="0"/>
                <w:sz w:val="17"/>
              </w:rPr>
              <w:t>No</w:t>
            </w:r>
          </w:p>
        </w:tc>
        <w:tc>
          <w:tcPr>
            <w:tcW w:type="dxa" w:w="1584"/>
          </w:tcPr>
          <w:p>
            <w:r/>
            <w:r>
              <w:rPr>
                <w:b w:val="0"/>
                <w:i w:val="0"/>
                <w:sz w:val="17"/>
              </w:rPr>
              <w:t>R-16; R-17(a)(ii),(iv); IBA 3.3.8</w:t>
            </w:r>
          </w:p>
        </w:tc>
        <w:tc>
          <w:tcPr>
            <w:tcW w:type="dxa" w:w="1152"/>
          </w:tcPr>
          <w:p>
            <w:r/>
            <w:r>
              <w:rPr>
                <w:b w:val="0"/>
                <w:i w:val="0"/>
                <w:sz w:val="17"/>
              </w:rPr>
              <w:t>Cascade</w:t>
            </w:r>
          </w:p>
        </w:tc>
        <w:tc>
          <w:tcPr>
            <w:tcW w:type="dxa" w:w="1296"/>
          </w:tcPr>
          <w:p>
            <w:r/>
            <w:r>
              <w:rPr>
                <w:b w:val="0"/>
                <w:i w:val="0"/>
                <w:sz w:val="17"/>
              </w:rPr>
              <w:t>High (cumulative)</w:t>
            </w:r>
          </w:p>
        </w:tc>
      </w:tr>
      <w:tr>
        <w:tc>
          <w:tcPr>
            <w:tcW w:type="dxa" w:w="432"/>
          </w:tcPr>
          <w:p>
            <w:r/>
            <w:r>
              <w:rPr>
                <w:b w:val="0"/>
                <w:i w:val="0"/>
                <w:sz w:val="17"/>
              </w:rPr>
              <w:t>3</w:t>
            </w:r>
          </w:p>
        </w:tc>
        <w:tc>
          <w:tcPr>
            <w:tcW w:type="dxa" w:w="2736"/>
          </w:tcPr>
          <w:p>
            <w:r/>
            <w:r>
              <w:rPr>
                <w:b w:val="0"/>
                <w:i w:val="0"/>
                <w:sz w:val="17"/>
              </w:rPr>
              <w:t>Garrett T. Whitmore — Trustee of Institute whose advisory board she serves on</w:t>
            </w:r>
          </w:p>
        </w:tc>
        <w:tc>
          <w:tcPr>
            <w:tcW w:type="dxa" w:w="1152"/>
          </w:tcPr>
          <w:p>
            <w:r/>
            <w:r>
              <w:rPr>
                <w:b w:val="0"/>
                <w:i w:val="0"/>
                <w:sz w:val="17"/>
              </w:rPr>
              <w:t>VI</w:t>
            </w:r>
          </w:p>
        </w:tc>
        <w:tc>
          <w:tcPr>
            <w:tcW w:type="dxa" w:w="1152"/>
          </w:tcPr>
          <w:p>
            <w:r/>
            <w:r>
              <w:rPr>
                <w:b w:val="0"/>
                <w:i w:val="0"/>
                <w:sz w:val="17"/>
              </w:rPr>
              <w:t>No</w:t>
            </w:r>
          </w:p>
        </w:tc>
        <w:tc>
          <w:tcPr>
            <w:tcW w:type="dxa" w:w="1584"/>
          </w:tcPr>
          <w:p>
            <w:r/>
            <w:r>
              <w:rPr>
                <w:b w:val="0"/>
                <w:i w:val="0"/>
                <w:sz w:val="17"/>
              </w:rPr>
              <w:t>R-17(a)(ii) (board memberships)</w:t>
            </w:r>
          </w:p>
        </w:tc>
        <w:tc>
          <w:tcPr>
            <w:tcW w:type="dxa" w:w="1152"/>
          </w:tcPr>
          <w:p>
            <w:r/>
            <w:r>
              <w:rPr>
                <w:b w:val="0"/>
                <w:i w:val="0"/>
                <w:sz w:val="17"/>
              </w:rPr>
              <w:t>Cascade</w:t>
            </w:r>
          </w:p>
        </w:tc>
        <w:tc>
          <w:tcPr>
            <w:tcW w:type="dxa" w:w="1296"/>
          </w:tcPr>
          <w:p>
            <w:r/>
            <w:r>
              <w:rPr>
                <w:b w:val="0"/>
                <w:i w:val="0"/>
                <w:sz w:val="17"/>
              </w:rPr>
              <w:t>High</w:t>
            </w:r>
          </w:p>
        </w:tc>
      </w:tr>
      <w:tr>
        <w:tc>
          <w:tcPr>
            <w:tcW w:type="dxa" w:w="432"/>
          </w:tcPr>
          <w:p>
            <w:r/>
            <w:r>
              <w:rPr>
                <w:b w:val="0"/>
                <w:i w:val="0"/>
                <w:sz w:val="17"/>
              </w:rPr>
              <w:t>4</w:t>
            </w:r>
          </w:p>
        </w:tc>
        <w:tc>
          <w:tcPr>
            <w:tcW w:type="dxa" w:w="2736"/>
          </w:tcPr>
          <w:p>
            <w:r/>
            <w:r>
              <w:rPr>
                <w:b w:val="0"/>
                <w:i w:val="0"/>
                <w:sz w:val="17"/>
              </w:rPr>
              <w:t>Indirect interest in Whitmore Fund II LP via Northbridge Select Alternatives Fund</w:t>
            </w:r>
          </w:p>
        </w:tc>
        <w:tc>
          <w:tcPr>
            <w:tcW w:type="dxa" w:w="1152"/>
          </w:tcPr>
          <w:p>
            <w:r/>
            <w:r>
              <w:rPr>
                <w:b w:val="0"/>
                <w:i w:val="0"/>
                <w:sz w:val="17"/>
              </w:rPr>
              <w:t>IV</w:t>
            </w:r>
          </w:p>
        </w:tc>
        <w:tc>
          <w:tcPr>
            <w:tcW w:type="dxa" w:w="1152"/>
          </w:tcPr>
          <w:p>
            <w:r/>
            <w:r>
              <w:rPr>
                <w:b w:val="0"/>
                <w:i w:val="0"/>
                <w:sz w:val="17"/>
              </w:rPr>
              <w:t>No (“no direct equity”)</w:t>
            </w:r>
          </w:p>
        </w:tc>
        <w:tc>
          <w:tcPr>
            <w:tcW w:type="dxa" w:w="1584"/>
          </w:tcPr>
          <w:p>
            <w:r/>
            <w:r>
              <w:rPr>
                <w:b w:val="0"/>
                <w:i w:val="0"/>
                <w:sz w:val="17"/>
              </w:rPr>
              <w:t>R-17(a)(i); Canon II.B; IBA 2.2.1</w:t>
            </w:r>
          </w:p>
        </w:tc>
        <w:tc>
          <w:tcPr>
            <w:tcW w:type="dxa" w:w="1152"/>
          </w:tcPr>
          <w:p>
            <w:r/>
            <w:r>
              <w:rPr>
                <w:b w:val="0"/>
                <w:i w:val="0"/>
                <w:sz w:val="17"/>
              </w:rPr>
              <w:t>Cascade</w:t>
            </w:r>
          </w:p>
        </w:tc>
        <w:tc>
          <w:tcPr>
            <w:tcW w:type="dxa" w:w="1296"/>
          </w:tcPr>
          <w:p>
            <w:r/>
            <w:r>
              <w:rPr>
                <w:b w:val="0"/>
                <w:i w:val="0"/>
                <w:sz w:val="17"/>
              </w:rPr>
              <w:t>High if confirmed; inquiry failure regardless</w:t>
            </w:r>
          </w:p>
        </w:tc>
      </w:tr>
      <w:tr>
        <w:tc>
          <w:tcPr>
            <w:tcW w:type="dxa" w:w="432"/>
          </w:tcPr>
          <w:p>
            <w:r/>
            <w:r>
              <w:rPr>
                <w:b w:val="0"/>
                <w:i w:val="0"/>
                <w:sz w:val="17"/>
              </w:rPr>
              <w:t>5</w:t>
            </w:r>
          </w:p>
        </w:tc>
        <w:tc>
          <w:tcPr>
            <w:tcW w:type="dxa" w:w="2736"/>
          </w:tcPr>
          <w:p>
            <w:r/>
            <w:r>
              <w:rPr>
                <w:b w:val="0"/>
                <w:i w:val="0"/>
                <w:sz w:val="17"/>
              </w:rPr>
              <w:t>Spouse co-authored 2022 paper with Dr. Peshkov on phase-change heat exchangers</w:t>
            </w:r>
          </w:p>
        </w:tc>
        <w:tc>
          <w:tcPr>
            <w:tcW w:type="dxa" w:w="1152"/>
          </w:tcPr>
          <w:p>
            <w:r/>
            <w:r>
              <w:rPr>
                <w:b w:val="0"/>
                <w:i w:val="0"/>
                <w:sz w:val="17"/>
              </w:rPr>
              <w:t>V</w:t>
            </w:r>
          </w:p>
        </w:tc>
        <w:tc>
          <w:tcPr>
            <w:tcW w:type="dxa" w:w="1152"/>
          </w:tcPr>
          <w:p>
            <w:r/>
            <w:r>
              <w:rPr>
                <w:b w:val="0"/>
                <w:i w:val="0"/>
                <w:sz w:val="17"/>
              </w:rPr>
              <w:t>No; affirmative denial</w:t>
            </w:r>
          </w:p>
        </w:tc>
        <w:tc>
          <w:tcPr>
            <w:tcW w:type="dxa" w:w="1584"/>
          </w:tcPr>
          <w:p>
            <w:r/>
            <w:r>
              <w:rPr>
                <w:b w:val="0"/>
                <w:i w:val="0"/>
                <w:sz w:val="17"/>
              </w:rPr>
              <w:t>R-17(a)(ii) (family; academic collaboration; witnesses)</w:t>
            </w:r>
          </w:p>
        </w:tc>
        <w:tc>
          <w:tcPr>
            <w:tcW w:type="dxa" w:w="1152"/>
          </w:tcPr>
          <w:p>
            <w:r/>
            <w:r>
              <w:rPr>
                <w:b w:val="0"/>
                <w:i w:val="0"/>
                <w:sz w:val="17"/>
              </w:rPr>
              <w:t>Whitmore</w:t>
            </w:r>
          </w:p>
        </w:tc>
        <w:tc>
          <w:tcPr>
            <w:tcW w:type="dxa" w:w="1296"/>
          </w:tcPr>
          <w:p>
            <w:r/>
            <w:r>
              <w:rPr>
                <w:b w:val="0"/>
                <w:i w:val="0"/>
                <w:sz w:val="17"/>
              </w:rPr>
              <w:t>Moderate–High</w:t>
            </w:r>
          </w:p>
        </w:tc>
      </w:tr>
      <w:tr>
        <w:tc>
          <w:tcPr>
            <w:tcW w:type="dxa" w:w="432"/>
          </w:tcPr>
          <w:p>
            <w:r/>
            <w:r>
              <w:rPr>
                <w:b w:val="0"/>
                <w:i w:val="0"/>
                <w:sz w:val="17"/>
              </w:rPr>
              <w:t>6</w:t>
            </w:r>
          </w:p>
        </w:tc>
        <w:tc>
          <w:tcPr>
            <w:tcW w:type="dxa" w:w="2736"/>
          </w:tcPr>
          <w:p>
            <w:r/>
            <w:r>
              <w:rPr>
                <w:b w:val="0"/>
                <w:i w:val="0"/>
                <w:sz w:val="17"/>
              </w:rPr>
              <w:t>CLE co-panel with D. Hargrave (Oct. 14, 2023) on IP licensing arbitration, hosted by Lakeview</w:t>
            </w:r>
          </w:p>
        </w:tc>
        <w:tc>
          <w:tcPr>
            <w:tcW w:type="dxa" w:w="1152"/>
          </w:tcPr>
          <w:p>
            <w:r/>
            <w:r>
              <w:rPr>
                <w:b w:val="0"/>
                <w:i w:val="0"/>
                <w:sz w:val="17"/>
              </w:rPr>
              <w:t>VI, VII, VIII</w:t>
            </w:r>
          </w:p>
        </w:tc>
        <w:tc>
          <w:tcPr>
            <w:tcW w:type="dxa" w:w="1152"/>
          </w:tcPr>
          <w:p>
            <w:r/>
            <w:r>
              <w:rPr>
                <w:b w:val="0"/>
                <w:i w:val="0"/>
                <w:sz w:val="17"/>
              </w:rPr>
              <w:t>No</w:t>
            </w:r>
          </w:p>
        </w:tc>
        <w:tc>
          <w:tcPr>
            <w:tcW w:type="dxa" w:w="1584"/>
          </w:tcPr>
          <w:p>
            <w:r/>
            <w:r>
              <w:rPr>
                <w:b w:val="0"/>
                <w:i w:val="0"/>
                <w:sz w:val="17"/>
              </w:rPr>
              <w:t>R-17(a)(ii),(iv)</w:t>
            </w:r>
          </w:p>
        </w:tc>
        <w:tc>
          <w:tcPr>
            <w:tcW w:type="dxa" w:w="1152"/>
          </w:tcPr>
          <w:p>
            <w:r/>
            <w:r>
              <w:rPr>
                <w:b w:val="0"/>
                <w:i w:val="0"/>
                <w:sz w:val="17"/>
              </w:rPr>
              <w:t>Cascade</w:t>
            </w:r>
          </w:p>
        </w:tc>
        <w:tc>
          <w:tcPr>
            <w:tcW w:type="dxa" w:w="1296"/>
          </w:tcPr>
          <w:p>
            <w:r/>
            <w:r>
              <w:rPr>
                <w:b w:val="0"/>
                <w:i w:val="0"/>
                <w:sz w:val="17"/>
              </w:rPr>
              <w:t>Moderate (aggravating)</w:t>
            </w:r>
          </w:p>
        </w:tc>
      </w:tr>
      <w:tr>
        <w:tc>
          <w:tcPr>
            <w:tcW w:type="dxa" w:w="432"/>
          </w:tcPr>
          <w:p>
            <w:r/>
            <w:r>
              <w:rPr>
                <w:b w:val="0"/>
                <w:i w:val="0"/>
                <w:sz w:val="17"/>
              </w:rPr>
              <w:t>7</w:t>
            </w:r>
          </w:p>
        </w:tc>
        <w:tc>
          <w:tcPr>
            <w:tcW w:type="dxa" w:w="2736"/>
          </w:tcPr>
          <w:p>
            <w:r/>
            <w:r>
              <w:rPr>
                <w:b w:val="0"/>
                <w:i w:val="0"/>
                <w:sz w:val="17"/>
              </w:rPr>
              <w:t>Lakeview: financial terms, referral volume from both firms</w:t>
            </w:r>
          </w:p>
        </w:tc>
        <w:tc>
          <w:tcPr>
            <w:tcW w:type="dxa" w:w="1152"/>
          </w:tcPr>
          <w:p>
            <w:r/>
            <w:r>
              <w:rPr>
                <w:b w:val="0"/>
                <w:i w:val="0"/>
                <w:sz w:val="17"/>
              </w:rPr>
              <w:t>VII</w:t>
            </w:r>
          </w:p>
        </w:tc>
        <w:tc>
          <w:tcPr>
            <w:tcW w:type="dxa" w:w="1152"/>
          </w:tcPr>
          <w:p>
            <w:r/>
            <w:r>
              <w:rPr>
                <w:b w:val="0"/>
                <w:i w:val="0"/>
                <w:sz w:val="17"/>
              </w:rPr>
              <w:t>Partial</w:t>
            </w:r>
          </w:p>
        </w:tc>
        <w:tc>
          <w:tcPr>
            <w:tcW w:type="dxa" w:w="1584"/>
          </w:tcPr>
          <w:p>
            <w:r/>
            <w:r>
              <w:rPr>
                <w:b w:val="0"/>
                <w:i w:val="0"/>
                <w:sz w:val="17"/>
              </w:rPr>
              <w:t>R-17(a)(i),(ii)</w:t>
            </w:r>
          </w:p>
        </w:tc>
        <w:tc>
          <w:tcPr>
            <w:tcW w:type="dxa" w:w="1152"/>
          </w:tcPr>
          <w:p>
            <w:r/>
            <w:r>
              <w:rPr>
                <w:b w:val="0"/>
                <w:i w:val="0"/>
                <w:sz w:val="17"/>
              </w:rPr>
              <w:t>Either</w:t>
            </w:r>
          </w:p>
        </w:tc>
        <w:tc>
          <w:tcPr>
            <w:tcW w:type="dxa" w:w="1296"/>
          </w:tcPr>
          <w:p>
            <w:r/>
            <w:r>
              <w:rPr>
                <w:b w:val="0"/>
                <w:i w:val="0"/>
                <w:sz w:val="17"/>
              </w:rPr>
              <w:t>Moderate (needs facts)</w:t>
            </w:r>
          </w:p>
        </w:tc>
      </w:tr>
      <w:tr>
        <w:tc>
          <w:tcPr>
            <w:tcW w:type="dxa" w:w="432"/>
          </w:tcPr>
          <w:p>
            <w:r/>
            <w:r>
              <w:rPr>
                <w:b w:val="0"/>
                <w:i w:val="0"/>
                <w:sz w:val="17"/>
              </w:rPr>
              <w:t>8</w:t>
            </w:r>
          </w:p>
        </w:tc>
        <w:tc>
          <w:tcPr>
            <w:tcW w:type="dxa" w:w="2736"/>
          </w:tcPr>
          <w:p>
            <w:r/>
            <w:r>
              <w:rPr>
                <w:b w:val="0"/>
                <w:i w:val="0"/>
                <w:sz w:val="17"/>
              </w:rPr>
              <w:t>Ellen Wu shared advisory board; Wu’s role in selection</w:t>
            </w:r>
          </w:p>
        </w:tc>
        <w:tc>
          <w:tcPr>
            <w:tcW w:type="dxa" w:w="1152"/>
          </w:tcPr>
          <w:p>
            <w:r/>
            <w:r>
              <w:rPr>
                <w:b w:val="0"/>
                <w:i w:val="0"/>
                <w:sz w:val="17"/>
              </w:rPr>
              <w:t>VI</w:t>
            </w:r>
          </w:p>
        </w:tc>
        <w:tc>
          <w:tcPr>
            <w:tcW w:type="dxa" w:w="1152"/>
          </w:tcPr>
          <w:p>
            <w:r/>
            <w:r>
              <w:rPr>
                <w:b w:val="0"/>
                <w:i w:val="0"/>
                <w:sz w:val="17"/>
              </w:rPr>
              <w:t>Partial</w:t>
            </w:r>
          </w:p>
        </w:tc>
        <w:tc>
          <w:tcPr>
            <w:tcW w:type="dxa" w:w="1584"/>
          </w:tcPr>
          <w:p>
            <w:r/>
            <w:r>
              <w:rPr>
                <w:b w:val="0"/>
                <w:i w:val="0"/>
                <w:sz w:val="17"/>
              </w:rPr>
              <w:t>R-17(a)(ii)</w:t>
            </w:r>
          </w:p>
        </w:tc>
        <w:tc>
          <w:tcPr>
            <w:tcW w:type="dxa" w:w="1152"/>
          </w:tcPr>
          <w:p>
            <w:r/>
            <w:r>
              <w:rPr>
                <w:b w:val="0"/>
                <w:i w:val="0"/>
                <w:sz w:val="17"/>
              </w:rPr>
              <w:t>Cascade</w:t>
            </w:r>
          </w:p>
        </w:tc>
        <w:tc>
          <w:tcPr>
            <w:tcW w:type="dxa" w:w="1296"/>
          </w:tcPr>
          <w:p>
            <w:r/>
            <w:r>
              <w:rPr>
                <w:b w:val="0"/>
                <w:i w:val="0"/>
                <w:sz w:val="17"/>
              </w:rPr>
              <w:t>Low alone; aggravating</w:t>
            </w:r>
          </w:p>
        </w:tc>
      </w:tr>
      <w:tr>
        <w:tc>
          <w:tcPr>
            <w:tcW w:type="dxa" w:w="432"/>
          </w:tcPr>
          <w:p>
            <w:r/>
            <w:r>
              <w:rPr>
                <w:b w:val="0"/>
                <w:i w:val="0"/>
                <w:sz w:val="17"/>
              </w:rPr>
              <w:t>9</w:t>
            </w:r>
          </w:p>
        </w:tc>
        <w:tc>
          <w:tcPr>
            <w:tcW w:type="dxa" w:w="2736"/>
          </w:tcPr>
          <w:p>
            <w:r/>
            <w:r>
              <w:rPr>
                <w:b w:val="0"/>
                <w:i w:val="0"/>
                <w:sz w:val="17"/>
              </w:rPr>
              <w:t>Subject-matter statements / possible issue conflicts and expressed views</w:t>
            </w:r>
          </w:p>
        </w:tc>
        <w:tc>
          <w:tcPr>
            <w:tcW w:type="dxa" w:w="1152"/>
          </w:tcPr>
          <w:p>
            <w:r/>
            <w:r>
              <w:rPr>
                <w:b w:val="0"/>
                <w:i w:val="0"/>
                <w:sz w:val="17"/>
              </w:rPr>
              <w:t>VIII</w:t>
            </w:r>
          </w:p>
        </w:tc>
        <w:tc>
          <w:tcPr>
            <w:tcW w:type="dxa" w:w="1152"/>
          </w:tcPr>
          <w:p>
            <w:r/>
            <w:r>
              <w:rPr>
                <w:b w:val="0"/>
                <w:i w:val="0"/>
                <w:sz w:val="17"/>
              </w:rPr>
              <w:t>Partial</w:t>
            </w:r>
          </w:p>
        </w:tc>
        <w:tc>
          <w:tcPr>
            <w:tcW w:type="dxa" w:w="1584"/>
          </w:tcPr>
          <w:p>
            <w:r/>
            <w:r>
              <w:rPr>
                <w:b w:val="0"/>
                <w:i w:val="0"/>
                <w:sz w:val="17"/>
              </w:rPr>
              <w:t>R-17(a)(iv); IBA 3.1.5, 3.5.2</w:t>
            </w:r>
          </w:p>
        </w:tc>
        <w:tc>
          <w:tcPr>
            <w:tcW w:type="dxa" w:w="1152"/>
          </w:tcPr>
          <w:p>
            <w:r/>
            <w:r>
              <w:rPr>
                <w:b w:val="0"/>
                <w:i w:val="0"/>
                <w:sz w:val="17"/>
              </w:rPr>
              <w:t>Either</w:t>
            </w:r>
          </w:p>
        </w:tc>
        <w:tc>
          <w:tcPr>
            <w:tcW w:type="dxa" w:w="1296"/>
          </w:tcPr>
          <w:p>
            <w:r/>
            <w:r>
              <w:rPr>
                <w:b w:val="0"/>
                <w:i w:val="0"/>
                <w:sz w:val="17"/>
              </w:rPr>
              <w:t>Low–Moderate</w:t>
            </w:r>
          </w:p>
        </w:tc>
      </w:tr>
      <w:tr>
        <w:tc>
          <w:tcPr>
            <w:tcW w:type="dxa" w:w="432"/>
          </w:tcPr>
          <w:p>
            <w:r/>
            <w:r>
              <w:rPr>
                <w:b w:val="0"/>
                <w:i w:val="0"/>
                <w:sz w:val="17"/>
              </w:rPr>
              <w:t>10</w:t>
            </w:r>
          </w:p>
        </w:tc>
        <w:tc>
          <w:tcPr>
            <w:tcW w:type="dxa" w:w="2736"/>
          </w:tcPr>
          <w:p>
            <w:r/>
            <w:r>
              <w:rPr>
                <w:b w:val="0"/>
                <w:i w:val="0"/>
                <w:sz w:val="17"/>
              </w:rPr>
              <w:t>Certification of completeness; timing; inaccurate characterizations</w:t>
            </w:r>
          </w:p>
        </w:tc>
        <w:tc>
          <w:tcPr>
            <w:tcW w:type="dxa" w:w="1152"/>
          </w:tcPr>
          <w:p>
            <w:r/>
            <w:r>
              <w:rPr>
                <w:b w:val="0"/>
                <w:i w:val="0"/>
                <w:sz w:val="17"/>
              </w:rPr>
              <w:t>I, X</w:t>
            </w:r>
          </w:p>
        </w:tc>
        <w:tc>
          <w:tcPr>
            <w:tcW w:type="dxa" w:w="1152"/>
          </w:tcPr>
          <w:p>
            <w:r/>
            <w:r>
              <w:rPr>
                <w:b w:val="0"/>
                <w:i w:val="0"/>
                <w:sz w:val="17"/>
              </w:rPr>
              <w:t>—</w:t>
            </w:r>
          </w:p>
        </w:tc>
        <w:tc>
          <w:tcPr>
            <w:tcW w:type="dxa" w:w="1584"/>
          </w:tcPr>
          <w:p>
            <w:r/>
            <w:r>
              <w:rPr>
                <w:b w:val="0"/>
                <w:i w:val="0"/>
                <w:sz w:val="17"/>
              </w:rPr>
              <w:t>R-17(d); Canon II</w:t>
            </w:r>
          </w:p>
        </w:tc>
        <w:tc>
          <w:tcPr>
            <w:tcW w:type="dxa" w:w="1152"/>
          </w:tcPr>
          <w:p>
            <w:r/>
            <w:r>
              <w:rPr>
                <w:b w:val="0"/>
                <w:i w:val="0"/>
                <w:sz w:val="17"/>
              </w:rPr>
              <w:t>Either</w:t>
            </w:r>
          </w:p>
        </w:tc>
        <w:tc>
          <w:tcPr>
            <w:tcW w:type="dxa" w:w="1296"/>
          </w:tcPr>
          <w:p>
            <w:r/>
            <w:r>
              <w:rPr>
                <w:b w:val="0"/>
                <w:i w:val="0"/>
                <w:sz w:val="17"/>
              </w:rPr>
              <w:t>Aggravating</w:t>
            </w:r>
          </w:p>
        </w:tc>
      </w:tr>
    </w:tbl>
    <w:p/>
    <w:p>
      <w:pPr>
        <w:pStyle w:val="Heading2"/>
      </w:pPr>
      <w:r>
        <w:t>1. Omitted Prior and Pending Matters with Counsel</w:t>
      </w:r>
    </w:p>
    <w:p>
      <w:pPr>
        <w:jc w:val="both"/>
      </w:pPr>
      <w:r>
        <w:rPr>
          <w:b/>
          <w:i w:val="0"/>
        </w:rPr>
        <w:t>What the disclosure says.</w:t>
      </w:r>
      <w:r>
        <w:rPr>
          <w:b w:val="0"/>
          <w:i w:val="0"/>
        </w:rPr>
        <w:t xml:space="preserve"> Section III lists seven matters (four involving this firm, three involving Fielding Marsh) and states: “To the best of my recollection, the foregoing represents a complete list of arbitrations in which I have served alongside counsel from either Barrow &amp; Thistlewood LLP or Fielding Marsh &amp; Collier LLP.” Section X certifies, “based on a diligent inquiry,” that the statement is complete.</w:t>
      </w:r>
    </w:p>
    <w:p>
      <w:pPr>
        <w:jc w:val="both"/>
      </w:pPr>
      <w:r>
        <w:rPr>
          <w:b/>
          <w:i w:val="0"/>
        </w:rPr>
        <w:t>What the record shows.</w:t>
      </w:r>
      <w:r>
        <w:rPr>
          <w:b w:val="0"/>
          <w:i w:val="0"/>
        </w:rPr>
        <w:t xml:space="preserve"> The workbook identifies eight additional matters within R-17(a)(iii) that are not disclosed: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D9E2F3"/>
          </w:tcPr>
          <w:p>
            <w:r/>
            <w:r>
              <w:rPr>
                <w:b/>
                <w:sz w:val="17"/>
              </w:rPr>
              <w:t>Case No.</w:t>
            </w:r>
          </w:p>
        </w:tc>
        <w:tc>
          <w:tcPr>
            <w:tcW w:type="dxa" w:w="3312"/>
            <w:shd w:val="clear" w:color="auto" w:fill="D9E2F3"/>
          </w:tcPr>
          <w:p>
            <w:r/>
            <w:r>
              <w:rPr>
                <w:b/>
                <w:sz w:val="17"/>
              </w:rPr>
              <w:t>Matter (year)</w:t>
            </w:r>
          </w:p>
        </w:tc>
        <w:tc>
          <w:tcPr>
            <w:tcW w:type="dxa" w:w="2016"/>
            <w:shd w:val="clear" w:color="auto" w:fill="D9E2F3"/>
          </w:tcPr>
          <w:p>
            <w:r/>
            <w:r>
              <w:rPr>
                <w:b/>
                <w:sz w:val="17"/>
              </w:rPr>
              <w:t>Firm role</w:t>
            </w:r>
          </w:p>
        </w:tc>
        <w:tc>
          <w:tcPr>
            <w:tcW w:type="dxa" w:w="1584"/>
            <w:shd w:val="clear" w:color="auto" w:fill="D9E2F3"/>
          </w:tcPr>
          <w:p>
            <w:r/>
            <w:r>
              <w:rPr>
                <w:b/>
                <w:sz w:val="17"/>
              </w:rPr>
              <w:t>Outcome for firm’s client</w:t>
            </w:r>
          </w:p>
        </w:tc>
        <w:tc>
          <w:tcPr>
            <w:tcW w:type="dxa" w:w="1152"/>
            <w:shd w:val="clear" w:color="auto" w:fill="D9E2F3"/>
          </w:tcPr>
          <w:p>
            <w:r/>
            <w:r>
              <w:rPr>
                <w:b/>
                <w:sz w:val="17"/>
              </w:rPr>
              <w:t>Est. fee</w:t>
            </w:r>
          </w:p>
        </w:tc>
      </w:tr>
      <w:tr>
        <w:tc>
          <w:tcPr>
            <w:tcW w:type="dxa" w:w="1440"/>
          </w:tcPr>
          <w:p>
            <w:r/>
            <w:r>
              <w:rPr>
                <w:b w:val="0"/>
                <w:i w:val="0"/>
                <w:sz w:val="17"/>
              </w:rPr>
              <w:t>01-22-0002015</w:t>
            </w:r>
          </w:p>
        </w:tc>
        <w:tc>
          <w:tcPr>
            <w:tcW w:type="dxa" w:w="3312"/>
          </w:tcPr>
          <w:p>
            <w:r/>
            <w:r>
              <w:rPr>
                <w:b w:val="0"/>
                <w:i w:val="0"/>
                <w:sz w:val="17"/>
              </w:rPr>
              <w:t>Crestfield Energy v. Loran Industrial (2022)</w:t>
            </w:r>
          </w:p>
        </w:tc>
        <w:tc>
          <w:tcPr>
            <w:tcW w:type="dxa" w:w="2016"/>
          </w:tcPr>
          <w:p>
            <w:r/>
            <w:r>
              <w:rPr>
                <w:b w:val="0"/>
                <w:i w:val="0"/>
                <w:sz w:val="17"/>
              </w:rPr>
              <w:t>B&amp;T for Claimant</w:t>
            </w:r>
          </w:p>
        </w:tc>
        <w:tc>
          <w:tcPr>
            <w:tcW w:type="dxa" w:w="1584"/>
          </w:tcPr>
          <w:p>
            <w:r/>
            <w:r>
              <w:rPr>
                <w:b w:val="0"/>
                <w:i w:val="0"/>
                <w:sz w:val="17"/>
              </w:rPr>
              <w:t>Won</w:t>
            </w:r>
          </w:p>
        </w:tc>
        <w:tc>
          <w:tcPr>
            <w:tcW w:type="dxa" w:w="1152"/>
          </w:tcPr>
          <w:p>
            <w:r/>
            <w:r>
              <w:rPr>
                <w:b w:val="0"/>
                <w:i w:val="0"/>
                <w:sz w:val="17"/>
              </w:rPr>
              <w:t>$110,000</w:t>
            </w:r>
          </w:p>
        </w:tc>
      </w:tr>
      <w:tr>
        <w:tc>
          <w:tcPr>
            <w:tcW w:type="dxa" w:w="1440"/>
          </w:tcPr>
          <w:p>
            <w:r/>
            <w:r>
              <w:rPr>
                <w:b w:val="0"/>
                <w:i w:val="0"/>
                <w:sz w:val="17"/>
              </w:rPr>
              <w:t>01-22-0002089</w:t>
            </w:r>
          </w:p>
        </w:tc>
        <w:tc>
          <w:tcPr>
            <w:tcW w:type="dxa" w:w="3312"/>
          </w:tcPr>
          <w:p>
            <w:r/>
            <w:r>
              <w:rPr>
                <w:b w:val="0"/>
                <w:i w:val="0"/>
                <w:sz w:val="17"/>
              </w:rPr>
              <w:t>Ashford Medical Devices v. Greenway Therapeutics (2022)</w:t>
            </w:r>
          </w:p>
        </w:tc>
        <w:tc>
          <w:tcPr>
            <w:tcW w:type="dxa" w:w="2016"/>
          </w:tcPr>
          <w:p>
            <w:r/>
            <w:r>
              <w:rPr>
                <w:b w:val="0"/>
                <w:i w:val="0"/>
                <w:sz w:val="17"/>
              </w:rPr>
              <w:t>B&amp;T for Respondent</w:t>
            </w:r>
          </w:p>
        </w:tc>
        <w:tc>
          <w:tcPr>
            <w:tcW w:type="dxa" w:w="1584"/>
          </w:tcPr>
          <w:p>
            <w:r/>
            <w:r>
              <w:rPr>
                <w:b w:val="0"/>
                <w:i w:val="0"/>
                <w:sz w:val="17"/>
              </w:rPr>
              <w:t>Won</w:t>
            </w:r>
          </w:p>
        </w:tc>
        <w:tc>
          <w:tcPr>
            <w:tcW w:type="dxa" w:w="1152"/>
          </w:tcPr>
          <w:p>
            <w:r/>
            <w:r>
              <w:rPr>
                <w:b w:val="0"/>
                <w:i w:val="0"/>
                <w:sz w:val="17"/>
              </w:rPr>
              <w:t>$92,000</w:t>
            </w:r>
          </w:p>
        </w:tc>
      </w:tr>
      <w:tr>
        <w:tc>
          <w:tcPr>
            <w:tcW w:type="dxa" w:w="1440"/>
          </w:tcPr>
          <w:p>
            <w:r/>
            <w:r>
              <w:rPr>
                <w:b w:val="0"/>
                <w:i w:val="0"/>
                <w:sz w:val="17"/>
              </w:rPr>
              <w:t>01-22-0002134</w:t>
            </w:r>
          </w:p>
        </w:tc>
        <w:tc>
          <w:tcPr>
            <w:tcW w:type="dxa" w:w="3312"/>
          </w:tcPr>
          <w:p>
            <w:r/>
            <w:r>
              <w:rPr>
                <w:b w:val="0"/>
                <w:i w:val="0"/>
                <w:sz w:val="17"/>
              </w:rPr>
              <w:t>Westbrook Partners v. Arcadian Ventures (2022)</w:t>
            </w:r>
          </w:p>
        </w:tc>
        <w:tc>
          <w:tcPr>
            <w:tcW w:type="dxa" w:w="2016"/>
          </w:tcPr>
          <w:p>
            <w:r/>
            <w:r>
              <w:rPr>
                <w:b w:val="0"/>
                <w:i w:val="0"/>
                <w:sz w:val="17"/>
              </w:rPr>
              <w:t>FM for Claimant v. B&amp;T for Respondent</w:t>
            </w:r>
          </w:p>
        </w:tc>
        <w:tc>
          <w:tcPr>
            <w:tcW w:type="dxa" w:w="1584"/>
          </w:tcPr>
          <w:p>
            <w:r/>
            <w:r>
              <w:rPr>
                <w:b w:val="0"/>
                <w:i w:val="0"/>
                <w:sz w:val="17"/>
              </w:rPr>
              <w:t>B&amp;T won; FM lost</w:t>
            </w:r>
          </w:p>
        </w:tc>
        <w:tc>
          <w:tcPr>
            <w:tcW w:type="dxa" w:w="1152"/>
          </w:tcPr>
          <w:p>
            <w:r/>
            <w:r>
              <w:rPr>
                <w:b w:val="0"/>
                <w:i w:val="0"/>
                <w:sz w:val="17"/>
              </w:rPr>
              <w:t>$130,000</w:t>
            </w:r>
          </w:p>
        </w:tc>
      </w:tr>
      <w:tr>
        <w:tc>
          <w:tcPr>
            <w:tcW w:type="dxa" w:w="1440"/>
          </w:tcPr>
          <w:p>
            <w:r/>
            <w:r>
              <w:rPr>
                <w:b w:val="0"/>
                <w:i w:val="0"/>
                <w:sz w:val="17"/>
              </w:rPr>
              <w:t>01-23-0002445</w:t>
            </w:r>
          </w:p>
        </w:tc>
        <w:tc>
          <w:tcPr>
            <w:tcW w:type="dxa" w:w="3312"/>
          </w:tcPr>
          <w:p>
            <w:r/>
            <w:r>
              <w:rPr>
                <w:b w:val="0"/>
                <w:i w:val="0"/>
                <w:sz w:val="17"/>
              </w:rPr>
              <w:t>Trident Coatings v. Bayshore Chemical (2023)</w:t>
            </w:r>
          </w:p>
        </w:tc>
        <w:tc>
          <w:tcPr>
            <w:tcW w:type="dxa" w:w="2016"/>
          </w:tcPr>
          <w:p>
            <w:r/>
            <w:r>
              <w:rPr>
                <w:b w:val="0"/>
                <w:i w:val="0"/>
                <w:sz w:val="17"/>
              </w:rPr>
              <w:t>B&amp;T for Claimant</w:t>
            </w:r>
          </w:p>
        </w:tc>
        <w:tc>
          <w:tcPr>
            <w:tcW w:type="dxa" w:w="1584"/>
          </w:tcPr>
          <w:p>
            <w:r/>
            <w:r>
              <w:rPr>
                <w:b w:val="0"/>
                <w:i w:val="0"/>
                <w:sz w:val="17"/>
              </w:rPr>
              <w:t>Lost</w:t>
            </w:r>
          </w:p>
        </w:tc>
        <w:tc>
          <w:tcPr>
            <w:tcW w:type="dxa" w:w="1152"/>
          </w:tcPr>
          <w:p>
            <w:r/>
            <w:r>
              <w:rPr>
                <w:b w:val="0"/>
                <w:i w:val="0"/>
                <w:sz w:val="17"/>
              </w:rPr>
              <w:t>$105,000</w:t>
            </w:r>
          </w:p>
        </w:tc>
      </w:tr>
      <w:tr>
        <w:tc>
          <w:tcPr>
            <w:tcW w:type="dxa" w:w="1440"/>
          </w:tcPr>
          <w:p>
            <w:r/>
            <w:r>
              <w:rPr>
                <w:b w:val="0"/>
                <w:i w:val="0"/>
                <w:sz w:val="17"/>
              </w:rPr>
              <w:t>01-23-0002578</w:t>
            </w:r>
          </w:p>
        </w:tc>
        <w:tc>
          <w:tcPr>
            <w:tcW w:type="dxa" w:w="3312"/>
          </w:tcPr>
          <w:p>
            <w:r/>
            <w:r>
              <w:rPr>
                <w:b w:val="0"/>
                <w:i w:val="0"/>
                <w:sz w:val="17"/>
              </w:rPr>
              <w:t>Redstone Logistics v. Fairfield Transport (2023)</w:t>
            </w:r>
          </w:p>
        </w:tc>
        <w:tc>
          <w:tcPr>
            <w:tcW w:type="dxa" w:w="2016"/>
          </w:tcPr>
          <w:p>
            <w:r/>
            <w:r>
              <w:rPr>
                <w:b w:val="0"/>
                <w:i w:val="0"/>
                <w:sz w:val="17"/>
              </w:rPr>
              <w:t>B&amp;T for Respondent</w:t>
            </w:r>
          </w:p>
        </w:tc>
        <w:tc>
          <w:tcPr>
            <w:tcW w:type="dxa" w:w="1584"/>
          </w:tcPr>
          <w:p>
            <w:r/>
            <w:r>
              <w:rPr>
                <w:b w:val="0"/>
                <w:i w:val="0"/>
                <w:sz w:val="17"/>
              </w:rPr>
              <w:t>Won</w:t>
            </w:r>
          </w:p>
        </w:tc>
        <w:tc>
          <w:tcPr>
            <w:tcW w:type="dxa" w:w="1152"/>
          </w:tcPr>
          <w:p>
            <w:r/>
            <w:r>
              <w:rPr>
                <w:b w:val="0"/>
                <w:i w:val="0"/>
                <w:sz w:val="17"/>
              </w:rPr>
              <w:t>$118,000</w:t>
            </w:r>
          </w:p>
        </w:tc>
      </w:tr>
      <w:tr>
        <w:tc>
          <w:tcPr>
            <w:tcW w:type="dxa" w:w="1440"/>
          </w:tcPr>
          <w:p>
            <w:r/>
            <w:r>
              <w:rPr>
                <w:b w:val="0"/>
                <w:i w:val="0"/>
                <w:sz w:val="17"/>
              </w:rPr>
              <w:t>01-23-0002643</w:t>
            </w:r>
          </w:p>
        </w:tc>
        <w:tc>
          <w:tcPr>
            <w:tcW w:type="dxa" w:w="3312"/>
          </w:tcPr>
          <w:p>
            <w:r/>
            <w:r>
              <w:rPr>
                <w:b w:val="0"/>
                <w:i w:val="0"/>
                <w:sz w:val="17"/>
              </w:rPr>
              <w:t>Thornwall Systems v. Kessler Automation (2023)</w:t>
            </w:r>
          </w:p>
        </w:tc>
        <w:tc>
          <w:tcPr>
            <w:tcW w:type="dxa" w:w="2016"/>
          </w:tcPr>
          <w:p>
            <w:r/>
            <w:r>
              <w:rPr>
                <w:b w:val="0"/>
                <w:i w:val="0"/>
                <w:sz w:val="17"/>
              </w:rPr>
              <w:t>FM for Respondent</w:t>
            </w:r>
          </w:p>
        </w:tc>
        <w:tc>
          <w:tcPr>
            <w:tcW w:type="dxa" w:w="1584"/>
          </w:tcPr>
          <w:p>
            <w:r/>
            <w:r>
              <w:rPr>
                <w:b w:val="0"/>
                <w:i w:val="0"/>
                <w:sz w:val="17"/>
              </w:rPr>
              <w:t>FM lost</w:t>
            </w:r>
          </w:p>
        </w:tc>
        <w:tc>
          <w:tcPr>
            <w:tcW w:type="dxa" w:w="1152"/>
          </w:tcPr>
          <w:p>
            <w:r/>
            <w:r>
              <w:rPr>
                <w:b w:val="0"/>
                <w:i w:val="0"/>
                <w:sz w:val="17"/>
              </w:rPr>
              <w:t>$82,000</w:t>
            </w:r>
          </w:p>
        </w:tc>
      </w:tr>
      <w:tr>
        <w:tc>
          <w:tcPr>
            <w:tcW w:type="dxa" w:w="1440"/>
          </w:tcPr>
          <w:p>
            <w:r/>
            <w:r>
              <w:rPr>
                <w:b w:val="0"/>
                <w:i w:val="0"/>
                <w:sz w:val="17"/>
              </w:rPr>
              <w:t>01-23-0002789</w:t>
            </w:r>
          </w:p>
        </w:tc>
        <w:tc>
          <w:tcPr>
            <w:tcW w:type="dxa" w:w="3312"/>
          </w:tcPr>
          <w:p>
            <w:r/>
            <w:r>
              <w:rPr>
                <w:b w:val="0"/>
                <w:i w:val="0"/>
                <w:sz w:val="17"/>
              </w:rPr>
              <w:t>Warwick Technologies v. Cypress Digital (2023)</w:t>
            </w:r>
          </w:p>
        </w:tc>
        <w:tc>
          <w:tcPr>
            <w:tcW w:type="dxa" w:w="2016"/>
          </w:tcPr>
          <w:p>
            <w:r/>
            <w:r>
              <w:rPr>
                <w:b w:val="0"/>
                <w:i w:val="0"/>
                <w:sz w:val="17"/>
              </w:rPr>
              <w:t>B&amp;T for Claimant</w:t>
            </w:r>
          </w:p>
        </w:tc>
        <w:tc>
          <w:tcPr>
            <w:tcW w:type="dxa" w:w="1584"/>
          </w:tcPr>
          <w:p>
            <w:r/>
            <w:r>
              <w:rPr>
                <w:b w:val="0"/>
                <w:i w:val="0"/>
                <w:sz w:val="17"/>
              </w:rPr>
              <w:t>Won</w:t>
            </w:r>
          </w:p>
        </w:tc>
        <w:tc>
          <w:tcPr>
            <w:tcW w:type="dxa" w:w="1152"/>
          </w:tcPr>
          <w:p>
            <w:r/>
            <w:r>
              <w:rPr>
                <w:b w:val="0"/>
                <w:i w:val="0"/>
                <w:sz w:val="17"/>
              </w:rPr>
              <w:t>$97,000</w:t>
            </w:r>
          </w:p>
        </w:tc>
      </w:tr>
      <w:tr>
        <w:tc>
          <w:tcPr>
            <w:tcW w:type="dxa" w:w="1440"/>
          </w:tcPr>
          <w:p>
            <w:r/>
            <w:r>
              <w:rPr>
                <w:b w:val="0"/>
                <w:i w:val="0"/>
                <w:sz w:val="17"/>
              </w:rPr>
              <w:t>01-24-0003105</w:t>
            </w:r>
          </w:p>
        </w:tc>
        <w:tc>
          <w:tcPr>
            <w:tcW w:type="dxa" w:w="3312"/>
          </w:tcPr>
          <w:p>
            <w:r/>
            <w:r>
              <w:rPr>
                <w:b w:val="0"/>
                <w:i w:val="0"/>
                <w:sz w:val="17"/>
              </w:rPr>
              <w:t>Halcyon Biotech v. Stonewall Partners (appointed Apr. 22, 2024; pending)</w:t>
            </w:r>
          </w:p>
        </w:tc>
        <w:tc>
          <w:tcPr>
            <w:tcW w:type="dxa" w:w="2016"/>
          </w:tcPr>
          <w:p>
            <w:r/>
            <w:r>
              <w:rPr>
                <w:b w:val="0"/>
                <w:i w:val="0"/>
                <w:sz w:val="17"/>
              </w:rPr>
              <w:t>B&amp;T for Respondent</w:t>
            </w:r>
          </w:p>
        </w:tc>
        <w:tc>
          <w:tcPr>
            <w:tcW w:type="dxa" w:w="1584"/>
          </w:tcPr>
          <w:p>
            <w:r/>
            <w:r>
              <w:rPr>
                <w:b w:val="0"/>
                <w:i w:val="0"/>
                <w:sz w:val="17"/>
              </w:rPr>
              <w:t>Pending (pre-hearing)</w:t>
            </w:r>
          </w:p>
        </w:tc>
        <w:tc>
          <w:tcPr>
            <w:tcW w:type="dxa" w:w="1152"/>
          </w:tcPr>
          <w:p>
            <w:r/>
            <w:r>
              <w:rPr>
                <w:b w:val="0"/>
                <w:i w:val="0"/>
                <w:sz w:val="17"/>
              </w:rPr>
              <w:t>$175,000 remaining</w:t>
            </w:r>
          </w:p>
        </w:tc>
      </w:tr>
    </w:tbl>
    <w:p/>
    <w:p>
      <w:r>
        <w:rPr>
          <w:b w:val="0"/>
          <w:i/>
        </w:rPr>
        <w:t>Note: the workbook’s “Notes” column does not flag Thornwall as undisclosed, and its summary row states only “5” undisclosed matters involving either firm. Both are wrong: Thornwall does not appear in the disclosure, and the correct count is seven completed matters plus Halcyon (eight in total).</w:t>
      </w:r>
    </w:p>
    <w:p>
      <w:pPr>
        <w:jc w:val="both"/>
      </w:pPr>
      <w:r>
        <w:rPr>
          <w:b/>
          <w:i w:val="0"/>
        </w:rPr>
        <w:t>Effect of the omissions on the picture presented.</w:t>
      </w:r>
      <w:r>
        <w:rPr>
          <w:b w:val="0"/>
          <w:i w:val="0"/>
        </w:rPr>
        <w:t xml:space="preserve"> The disclosed record presents this firm as 3–0 in completed matters (NorthPoint, Meridian, Braddock) with one pending (Orion), and Fielding Marsh as 1–1 with one settlement. The full record is this firm </w:t>
      </w:r>
      <w:r>
        <w:rPr>
          <w:b/>
          <w:i w:val="0"/>
        </w:rPr>
        <w:t>8–1</w:t>
      </w:r>
      <w:r>
        <w:rPr>
          <w:b w:val="0"/>
          <w:i w:val="0"/>
        </w:rPr>
        <w:t xml:space="preserve"> across nine completed matters and Fielding Marsh </w:t>
      </w:r>
      <w:r>
        <w:rPr>
          <w:b/>
          <w:i w:val="0"/>
        </w:rPr>
        <w:t>1–3</w:t>
      </w:r>
      <w:r>
        <w:rPr>
          <w:b w:val="0"/>
          <w:i w:val="0"/>
        </w:rPr>
        <w:t xml:space="preserve"> across four adjudicated matters (plus one settlement). The omitted Westbrook matter is the only prior contest between the two firms before this arbitrator — and Fielding Marsh lost. Because the disclosure volunteered outcomes “solely for purposes of transparency,” a selective list that understates one counsel’s success rate is likely to be characterized as misleading, not merely incomplete.</w:t>
      </w:r>
    </w:p>
    <w:p>
      <w:pPr>
        <w:jc w:val="both"/>
      </w:pPr>
      <w:r>
        <w:rPr>
          <w:b/>
          <w:i w:val="0"/>
        </w:rPr>
        <w:t>Assessment.</w:t>
      </w:r>
      <w:r>
        <w:rPr>
          <w:b w:val="0"/>
          <w:i w:val="0"/>
        </w:rPr>
        <w:t xml:space="preserve"> This is the strongest ground. R-17(a)(iii) is categorical (“any prior or pending cases”), these matters are within the arbitrator’s own records (so “known” cannot credibly be disputed), and the omission of a pending matter accepted only seven weeks before this appointment cannot be explained by faulty recollection. Under R-18(d) the AAA weighs “disclosures required but not made.” IBA Orange List 3.3.8 (more than three appointments involving the same firm within three years) is satisfied many times over. Halliburton v. Chubb (persuasive) treats undisclosed overlapping appointments involving a common party as a breach of the duty of disclosure. </w:t>
      </w:r>
      <w:r>
        <w:rPr>
          <w:b/>
          <w:i w:val="0"/>
        </w:rPr>
        <w:t>Who raises it:</w:t>
      </w:r>
      <w:r>
        <w:rPr>
          <w:b w:val="0"/>
          <w:i w:val="0"/>
        </w:rPr>
        <w:t xml:space="preserve"> Cascade. </w:t>
      </w:r>
      <w:r>
        <w:rPr>
          <w:b/>
          <w:i w:val="0"/>
        </w:rPr>
        <w:t>Strength:</w:t>
      </w:r>
      <w:r>
        <w:rPr>
          <w:b w:val="0"/>
          <w:i w:val="0"/>
        </w:rPr>
        <w:t xml:space="preserve"> High. The omission of Westbrook and Thornwall (Fielding Marsh losses) also undermines any argument that the omissions were neutral.</w:t>
      </w:r>
    </w:p>
    <w:p>
      <w:pPr>
        <w:pStyle w:val="Heading2"/>
      </w:pPr>
      <w:r>
        <w:t>2. Economic Dependence and Repeat-Player Concerns</w:t>
      </w:r>
    </w:p>
    <w:p>
      <w:pPr>
        <w:jc w:val="both"/>
      </w:pPr>
      <w:r>
        <w:rPr>
          <w:b/>
          <w:i w:val="0"/>
        </w:rPr>
        <w:t>Corrected figures (workbook Case List, 20 completed matters):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E2F3"/>
          </w:tcPr>
          <w:p>
            <w:r/>
            <w:r>
              <w:rPr>
                <w:b/>
                <w:sz w:val="17"/>
              </w:rPr>
              <w:t>Metric</w:t>
            </w:r>
          </w:p>
        </w:tc>
        <w:tc>
          <w:tcPr>
            <w:tcW w:type="dxa" w:w="2880"/>
            <w:shd w:val="clear" w:color="auto" w:fill="D9E2F3"/>
          </w:tcPr>
          <w:p>
            <w:r/>
            <w:r>
              <w:rPr>
                <w:b/>
                <w:sz w:val="17"/>
              </w:rPr>
              <w:t>Workbook / June 19 memo</w:t>
            </w:r>
          </w:p>
        </w:tc>
        <w:tc>
          <w:tcPr>
            <w:tcW w:type="dxa" w:w="3888"/>
            <w:shd w:val="clear" w:color="auto" w:fill="D9E2F3"/>
          </w:tcPr>
          <w:p>
            <w:r/>
            <w:r>
              <w:rPr>
                <w:b/>
                <w:sz w:val="17"/>
              </w:rPr>
              <w:t>Corrected (recomputed from Case List rows)</w:t>
            </w:r>
          </w:p>
        </w:tc>
      </w:tr>
      <w:tr>
        <w:tc>
          <w:tcPr>
            <w:tcW w:type="dxa" w:w="2592"/>
          </w:tcPr>
          <w:p>
            <w:r/>
            <w:r>
              <w:rPr>
                <w:b w:val="0"/>
                <w:i w:val="0"/>
                <w:sz w:val="17"/>
              </w:rPr>
              <w:t>Total fees, 20 completed matters</w:t>
            </w:r>
          </w:p>
        </w:tc>
        <w:tc>
          <w:tcPr>
            <w:tcW w:type="dxa" w:w="2880"/>
          </w:tcPr>
          <w:p>
            <w:r/>
            <w:r>
              <w:rPr>
                <w:b w:val="0"/>
                <w:i w:val="0"/>
                <w:sz w:val="17"/>
              </w:rPr>
              <w:t>$2,125,000</w:t>
            </w:r>
          </w:p>
        </w:tc>
        <w:tc>
          <w:tcPr>
            <w:tcW w:type="dxa" w:w="3888"/>
          </w:tcPr>
          <w:p>
            <w:r/>
            <w:r>
              <w:rPr>
                <w:b w:val="0"/>
                <w:i w:val="0"/>
                <w:sz w:val="17"/>
              </w:rPr>
              <w:t>$1,974,000 (sum of the 20 rows); the $151,000 difference is unexplained</w:t>
            </w:r>
          </w:p>
        </w:tc>
      </w:tr>
      <w:tr>
        <w:tc>
          <w:tcPr>
            <w:tcW w:type="dxa" w:w="2592"/>
          </w:tcPr>
          <w:p>
            <w:r/>
            <w:r>
              <w:rPr>
                <w:b w:val="0"/>
                <w:i w:val="0"/>
                <w:sz w:val="17"/>
              </w:rPr>
              <w:t>B&amp;T matters / fees</w:t>
            </w:r>
          </w:p>
        </w:tc>
        <w:tc>
          <w:tcPr>
            <w:tcW w:type="dxa" w:w="2880"/>
          </w:tcPr>
          <w:p>
            <w:r/>
            <w:r>
              <w:rPr>
                <w:b w:val="0"/>
                <w:i w:val="0"/>
                <w:sz w:val="17"/>
              </w:rPr>
              <w:t>9 / $1,020,000</w:t>
            </w:r>
          </w:p>
        </w:tc>
        <w:tc>
          <w:tcPr>
            <w:tcW w:type="dxa" w:w="3888"/>
          </w:tcPr>
          <w:p>
            <w:r/>
            <w:r>
              <w:rPr>
                <w:b w:val="0"/>
                <w:i w:val="0"/>
                <w:sz w:val="17"/>
              </w:rPr>
              <w:t>9 / $1,020,000 (confirmed)</w:t>
            </w:r>
          </w:p>
        </w:tc>
      </w:tr>
      <w:tr>
        <w:tc>
          <w:tcPr>
            <w:tcW w:type="dxa" w:w="2592"/>
          </w:tcPr>
          <w:p>
            <w:r/>
            <w:r>
              <w:rPr>
                <w:b w:val="0"/>
                <w:i w:val="0"/>
                <w:sz w:val="17"/>
              </w:rPr>
              <w:t>B&amp;T share of income</w:t>
            </w:r>
          </w:p>
        </w:tc>
        <w:tc>
          <w:tcPr>
            <w:tcW w:type="dxa" w:w="2880"/>
          </w:tcPr>
          <w:p>
            <w:r/>
            <w:r>
              <w:rPr>
                <w:b w:val="0"/>
                <w:i w:val="0"/>
                <w:sz w:val="17"/>
              </w:rPr>
              <w:t>48.0%</w:t>
            </w:r>
          </w:p>
        </w:tc>
        <w:tc>
          <w:tcPr>
            <w:tcW w:type="dxa" w:w="3888"/>
          </w:tcPr>
          <w:p>
            <w:r/>
            <w:r>
              <w:rPr>
                <w:b w:val="0"/>
                <w:i w:val="0"/>
                <w:sz w:val="17"/>
              </w:rPr>
              <w:t>51.7% ($1,020,000 ÷ $1,974,000)</w:t>
            </w:r>
          </w:p>
        </w:tc>
      </w:tr>
      <w:tr>
        <w:tc>
          <w:tcPr>
            <w:tcW w:type="dxa" w:w="2592"/>
          </w:tcPr>
          <w:p>
            <w:r/>
            <w:r>
              <w:rPr>
                <w:b w:val="0"/>
                <w:i w:val="0"/>
                <w:sz w:val="17"/>
              </w:rPr>
              <w:t>B&amp;T client prevailed</w:t>
            </w:r>
          </w:p>
        </w:tc>
        <w:tc>
          <w:tcPr>
            <w:tcW w:type="dxa" w:w="2880"/>
          </w:tcPr>
          <w:p>
            <w:r/>
            <w:r>
              <w:rPr>
                <w:b w:val="0"/>
                <w:i w:val="0"/>
                <w:sz w:val="17"/>
              </w:rPr>
              <w:t>7 of 9 (77.8%)</w:t>
            </w:r>
          </w:p>
        </w:tc>
        <w:tc>
          <w:tcPr>
            <w:tcW w:type="dxa" w:w="3888"/>
          </w:tcPr>
          <w:p>
            <w:r/>
            <w:r>
              <w:rPr>
                <w:b w:val="0"/>
                <w:i w:val="0"/>
                <w:sz w:val="17"/>
              </w:rPr>
              <w:t>8 of 9 (88.9%) — only Trident Coatings was lost</w:t>
            </w:r>
          </w:p>
        </w:tc>
      </w:tr>
      <w:tr>
        <w:tc>
          <w:tcPr>
            <w:tcW w:type="dxa" w:w="2592"/>
          </w:tcPr>
          <w:p>
            <w:r/>
            <w:r>
              <w:rPr>
                <w:b w:val="0"/>
                <w:i w:val="0"/>
                <w:sz w:val="17"/>
              </w:rPr>
              <w:t>FM matters / fees</w:t>
            </w:r>
          </w:p>
        </w:tc>
        <w:tc>
          <w:tcPr>
            <w:tcW w:type="dxa" w:w="2880"/>
          </w:tcPr>
          <w:p>
            <w:r/>
            <w:r>
              <w:rPr>
                <w:b w:val="0"/>
                <w:i w:val="0"/>
                <w:sz w:val="17"/>
              </w:rPr>
              <w:t>Workbook: 5 / $410,000; June 19 memo: 4 / $280,000</w:t>
            </w:r>
          </w:p>
        </w:tc>
        <w:tc>
          <w:tcPr>
            <w:tcW w:type="dxa" w:w="3888"/>
          </w:tcPr>
          <w:p>
            <w:r/>
            <w:r>
              <w:rPr>
                <w:b w:val="0"/>
                <w:i w:val="0"/>
                <w:sz w:val="17"/>
              </w:rPr>
              <w:t>5 / $410,000 (memo omitted Westbrook); 20.8% of income</w:t>
            </w:r>
          </w:p>
        </w:tc>
      </w:tr>
      <w:tr>
        <w:tc>
          <w:tcPr>
            <w:tcW w:type="dxa" w:w="2592"/>
          </w:tcPr>
          <w:p>
            <w:r/>
            <w:r>
              <w:rPr>
                <w:b w:val="0"/>
                <w:i w:val="0"/>
                <w:sz w:val="17"/>
              </w:rPr>
              <w:t>FM client prevailed</w:t>
            </w:r>
          </w:p>
        </w:tc>
        <w:tc>
          <w:tcPr>
            <w:tcW w:type="dxa" w:w="2880"/>
          </w:tcPr>
          <w:p>
            <w:r/>
            <w:r>
              <w:rPr>
                <w:b w:val="0"/>
                <w:i w:val="0"/>
                <w:sz w:val="17"/>
              </w:rPr>
              <w:t>1 of 4 (25.0%)</w:t>
            </w:r>
          </w:p>
        </w:tc>
        <w:tc>
          <w:tcPr>
            <w:tcW w:type="dxa" w:w="3888"/>
          </w:tcPr>
          <w:p>
            <w:r/>
            <w:r>
              <w:rPr>
                <w:b w:val="0"/>
                <w:i w:val="0"/>
                <w:sz w:val="17"/>
              </w:rPr>
              <w:t>1 of 4 adjudicated (25.0%) (confirmed) + 1 settled</w:t>
            </w:r>
          </w:p>
        </w:tc>
      </w:tr>
      <w:tr>
        <w:tc>
          <w:tcPr>
            <w:tcW w:type="dxa" w:w="2592"/>
          </w:tcPr>
          <w:p>
            <w:r/>
            <w:r>
              <w:rPr>
                <w:b w:val="0"/>
                <w:i w:val="0"/>
                <w:sz w:val="17"/>
              </w:rPr>
              <w:t>Pending fees involving B&amp;T</w:t>
            </w:r>
          </w:p>
        </w:tc>
        <w:tc>
          <w:tcPr>
            <w:tcW w:type="dxa" w:w="2880"/>
          </w:tcPr>
          <w:p>
            <w:r/>
            <w:r>
              <w:rPr>
                <w:b w:val="0"/>
                <w:i w:val="0"/>
                <w:sz w:val="17"/>
              </w:rPr>
              <w:t>$560,000 of $835,000 (67.1%)</w:t>
            </w:r>
          </w:p>
        </w:tc>
        <w:tc>
          <w:tcPr>
            <w:tcW w:type="dxa" w:w="3888"/>
          </w:tcPr>
          <w:p>
            <w:r/>
            <w:r>
              <w:rPr>
                <w:b w:val="0"/>
                <w:i w:val="0"/>
                <w:sz w:val="17"/>
              </w:rPr>
              <w:t>Confirmed: this matter $340,000 + Orion $45,000 + Halcyon $175,000</w:t>
            </w:r>
          </w:p>
        </w:tc>
      </w:tr>
      <w:tr>
        <w:tc>
          <w:tcPr>
            <w:tcW w:type="dxa" w:w="2592"/>
          </w:tcPr>
          <w:p>
            <w:r/>
            <w:r>
              <w:rPr>
                <w:b w:val="0"/>
                <w:i w:val="0"/>
                <w:sz w:val="17"/>
              </w:rPr>
              <w:t>Completed + pending, B&amp;T share</w:t>
            </w:r>
          </w:p>
        </w:tc>
        <w:tc>
          <w:tcPr>
            <w:tcW w:type="dxa" w:w="2880"/>
          </w:tcPr>
          <w:p>
            <w:r/>
            <w:r>
              <w:rPr>
                <w:b w:val="0"/>
                <w:i w:val="0"/>
                <w:sz w:val="17"/>
              </w:rPr>
              <w:t>—</w:t>
            </w:r>
          </w:p>
        </w:tc>
        <w:tc>
          <w:tcPr>
            <w:tcW w:type="dxa" w:w="3888"/>
          </w:tcPr>
          <w:p>
            <w:r/>
            <w:r>
              <w:rPr>
                <w:b w:val="0"/>
                <w:i w:val="0"/>
                <w:sz w:val="17"/>
              </w:rPr>
              <w:t>$1,580,000 of $2,809,000 (56.2%); excluding this matter, $1,240,000 of $2,469,000 (50.2%)</w:t>
            </w:r>
          </w:p>
        </w:tc>
      </w:tr>
    </w:tbl>
    <w:p/>
    <w:p>
      <w:pPr>
        <w:jc w:val="both"/>
      </w:pPr>
      <w:r>
        <w:rPr>
          <w:b/>
          <w:i w:val="0"/>
        </w:rPr>
        <w:t>Analysis.</w:t>
      </w:r>
      <w:r>
        <w:rPr>
          <w:b w:val="0"/>
          <w:i w:val="0"/>
        </w:rPr>
        <w:t xml:space="preserve"> On any computation, roughly half of the arbitrator’s documented fee income over the period derives from matters in which this firm appeared, she has three concurrent matters involving this firm (including one where an award is expected within 60 days), and our clients have prevailed in nearly nine of ten. Win-rate statistics do not themselves establish bias (outcomes reflect the merits and small samples), and the workbook covers only 20 of roughly 85 arbitrations, so the true share of her total income may be lower. But the R-16 standard is whether a reasonable person would consider the circumstance relevant, and an income concentration of this magnitude, undisclosed, is the type of economic relationship that Commonwealth Coatings and Monster Energy treat as material. The fees are paid by the parties, not counsel, but the repeat-appointment relationship is with counsel. </w:t>
      </w:r>
      <w:r>
        <w:rPr>
          <w:b/>
          <w:i w:val="0"/>
        </w:rPr>
        <w:t>Who raises it:</w:t>
      </w:r>
      <w:r>
        <w:rPr>
          <w:b w:val="0"/>
          <w:i w:val="0"/>
        </w:rPr>
        <w:t xml:space="preserve"> Cascade. </w:t>
      </w:r>
      <w:r>
        <w:rPr>
          <w:b/>
          <w:i w:val="0"/>
        </w:rPr>
        <w:t>Strength:</w:t>
      </w:r>
      <w:r>
        <w:rPr>
          <w:b w:val="0"/>
          <w:i w:val="0"/>
        </w:rPr>
        <w:t xml:space="preserve"> High when combined with Issue 1. Caveat: the fee figures are estimates compiled from public data; any filing should describe them as such.</w:t>
      </w:r>
    </w:p>
    <w:p>
      <w:pPr>
        <w:jc w:val="both"/>
      </w:pPr>
      <w:r>
        <w:rPr>
          <w:b/>
          <w:i w:val="0"/>
        </w:rPr>
        <w:t>Pending-matter timing.</w:t>
      </w:r>
      <w:r>
        <w:rPr>
          <w:b w:val="0"/>
          <w:i w:val="0"/>
        </w:rPr>
        <w:t xml:space="preserve"> The disclosure says she expects to issue the Orion award within 60 days, i.e., during this case’s pre-hearing phase. Any award or new appointment involving this firm during the pendency of this matter is a continuing-disclosure event under R-17(b) and should be expressly requested.</w:t>
      </w:r>
    </w:p>
    <w:p>
      <w:pPr>
        <w:pStyle w:val="Heading2"/>
      </w:pPr>
      <w:r>
        <w:t>3. Garrett T. Whitmore — Board of Trustees, Minnesota ADR Ethics Institute</w:t>
      </w:r>
    </w:p>
    <w:p>
      <w:pPr>
        <w:jc w:val="both"/>
      </w:pPr>
      <w:r>
        <w:rPr>
          <w:b/>
          <w:i w:val="0"/>
        </w:rPr>
        <w:t>What the disclosure says.</w:t>
      </w:r>
      <w:r>
        <w:rPr>
          <w:b w:val="0"/>
          <w:i w:val="0"/>
        </w:rPr>
        <w:t xml:space="preserve"> Section VI discloses her advisory board service (since 2021) and Ellen Wu’s, describes the board as meeting twice yearly in a voluntary, non-binding capacity, and states she is “not aware of any other organizational affiliation that would give rise to justifiable doubt.” Section I states she reviewed “the individuals identified in the arbitration demand” — which names Mr. Whitmore as Respondent’s Managing Partner and an adverse witness.</w:t>
      </w:r>
    </w:p>
    <w:p>
      <w:pPr>
        <w:jc w:val="both"/>
      </w:pPr>
      <w:r>
        <w:rPr>
          <w:b/>
          <w:i w:val="0"/>
        </w:rPr>
        <w:t>What the record shows.</w:t>
      </w:r>
      <w:r>
        <w:rPr>
          <w:b w:val="0"/>
          <w:i w:val="0"/>
        </w:rPr>
        <w:t xml:space="preserve"> The Institute’s FY2023 Form 990 lists Mr. Whitmore as a Trustee. The Board of Trustees is the governing body; it is responsible for leadership appointments, advisory board members are appointed by or serve at the pleasure of the Trustees, and the Institute holds annual meetings and joint Trustee/advisory board sessions. The Institute is a small organization.</w:t>
      </w:r>
    </w:p>
    <w:p>
      <w:pPr>
        <w:jc w:val="both"/>
      </w:pPr>
      <w:r>
        <w:rPr>
          <w:b/>
          <w:i w:val="0"/>
        </w:rPr>
        <w:t>Assessment.</w:t>
      </w:r>
      <w:r>
        <w:rPr>
          <w:b w:val="0"/>
          <w:i w:val="0"/>
        </w:rPr>
        <w:t xml:space="preserve"> R-17(a)(ii) expressly identifies “board memberships” and “professional association” with a party or witness. This is a relationship with the respondent’s principal (not merely counsel, so IBA Green List 4.3.1 does not apply), the governing body on which he sits controls her seat, and he will be an adverse witness whose credibility she must assess on the central “who directed the deal” issue. Given the small size of the body and joint sessions, it is unlikely she was unaware of his role. </w:t>
      </w:r>
      <w:r>
        <w:rPr>
          <w:b/>
          <w:i w:val="0"/>
        </w:rPr>
        <w:t>Who raises it:</w:t>
      </w:r>
      <w:r>
        <w:rPr>
          <w:b w:val="0"/>
          <w:i w:val="0"/>
        </w:rPr>
        <w:t xml:space="preserve"> Cascade. </w:t>
      </w:r>
      <w:r>
        <w:rPr>
          <w:b/>
          <w:i w:val="0"/>
        </w:rPr>
        <w:t>Strength:</w:t>
      </w:r>
      <w:r>
        <w:rPr>
          <w:b w:val="0"/>
          <w:i w:val="0"/>
        </w:rPr>
        <w:t xml:space="preserve"> High, and it compounds Issue 8 (Ms. Wu sits on the same advisory board and was involved in selection strategy). Whitmore’s own knowledge of this fact is obvious, which heightens the concealment optics if it is not surfaced now.</w:t>
      </w:r>
    </w:p>
    <w:p>
      <w:pPr>
        <w:pStyle w:val="Heading2"/>
      </w:pPr>
      <w:r>
        <w:t>4. Indirect Financial Interest — Northbridge Select Alternatives Fund / Whitmore Fund II LP</w:t>
      </w:r>
    </w:p>
    <w:p>
      <w:pPr>
        <w:jc w:val="both"/>
      </w:pPr>
      <w:r>
        <w:rPr>
          <w:b/>
          <w:i w:val="0"/>
        </w:rPr>
        <w:t>What the disclosure says.</w:t>
      </w:r>
      <w:r>
        <w:rPr>
          <w:b w:val="0"/>
          <w:i w:val="0"/>
        </w:rPr>
        <w:t xml:space="preserve"> Section IV: her portfolio is managed on a discretionary basis by Northbridge Wealth Advisors; she holds “no direct equity positions in any party”; she has “not undertaken a position-by-position review” of pooled vehicles or fund-of-funds structures; and she is “not aware” of any material indirect interest.</w:t>
      </w:r>
    </w:p>
    <w:p>
      <w:pPr>
        <w:jc w:val="both"/>
      </w:pPr>
      <w:r>
        <w:rPr>
          <w:b/>
          <w:i w:val="0"/>
        </w:rPr>
        <w:t>What the record shows.</w:t>
      </w:r>
      <w:r>
        <w:rPr>
          <w:b w:val="0"/>
          <w:i w:val="0"/>
        </w:rPr>
        <w:t xml:space="preserve"> Northbridge manages the Northbridge Select Alternatives Fund, which (per a March 2024 filing) holds a 2.3% LP interest in Whitmore Fund II LP — the Respondent-managed fund that owns Volaris, the beneficiary of the challenged license. Whether her account holds the Northbridge fund is unconfirmed.</w:t>
      </w:r>
    </w:p>
    <w:p>
      <w:pPr>
        <w:jc w:val="both"/>
      </w:pPr>
      <w:r>
        <w:rPr>
          <w:b/>
          <w:i w:val="0"/>
        </w:rPr>
        <w:t>Assessment.</w:t>
      </w:r>
      <w:r>
        <w:rPr>
          <w:b w:val="0"/>
          <w:i w:val="0"/>
        </w:rPr>
        <w:t xml:space="preserve"> R-17(a)(i) reaches “direct or indirect” interests in “any entity that may be affected by the result.” Fund II is a privately held affiliate of the Respondent (IBA Waivable Red List 2.2.1 covers indirect holdings in a privately held affiliate). The economic direction matters: rescission, repricing, or disgorgement against Volaris would reduce Fund II’s value, so any such interest aligns with Respondent. The disclosure is carefully drafted (“no direct equity positions”) and concedes she did not check — which is itself a failure of the Canon II.B/IBA GS 7(d) duty of reasonable inquiry, particularly once she read a Demand describing Fund II and Volaris. The interest, if held, may be economically trivial (her share of a 2.3% LP stake), and Positive Software warns against vacatur for trivial, remote interests; but its existence would be a strong removal ground at the challenge stage where doubts are resolved in favor of disclosure. </w:t>
      </w:r>
      <w:r>
        <w:rPr>
          <w:b/>
          <w:i w:val="0"/>
        </w:rPr>
        <w:t>Who raises it:</w:t>
      </w:r>
      <w:r>
        <w:rPr>
          <w:b w:val="0"/>
          <w:i w:val="0"/>
        </w:rPr>
        <w:t xml:space="preserve"> Cascade. </w:t>
      </w:r>
      <w:r>
        <w:rPr>
          <w:b/>
          <w:i w:val="0"/>
        </w:rPr>
        <w:t>Strength:</w:t>
      </w:r>
      <w:r>
        <w:rPr>
          <w:b w:val="0"/>
          <w:i w:val="0"/>
        </w:rPr>
        <w:t xml:space="preserve"> High if confirmed; Moderate on the inquiry failure alone. Note that Whitmore, as GP, knows the identity of Fund II’s LPs, including Northbridge Select.</w:t>
      </w:r>
    </w:p>
    <w:p>
      <w:pPr>
        <w:pStyle w:val="Heading2"/>
      </w:pPr>
      <w:r>
        <w:t>5. Spouse’s Co-Authorship with Dr. Rita Peshkov (Claimant’s Key Technical Expert)</w:t>
      </w:r>
    </w:p>
    <w:p>
      <w:pPr>
        <w:jc w:val="both"/>
      </w:pPr>
      <w:r>
        <w:rPr>
          <w:b/>
          <w:i w:val="0"/>
        </w:rPr>
        <w:t>What the disclosure says.</w:t>
      </w:r>
      <w:r>
        <w:rPr>
          <w:b w:val="0"/>
          <w:i w:val="0"/>
        </w:rPr>
        <w:t xml:space="preserve"> Section V: Dr. Alan Fairhaven retired from teaching in 2019, holds emeritus status, “does not currently serve in any consulting or advisory capacity to any party,” “is not currently engaged in any active research collaborations with industrial partners,” and, to her knowledge, has “no financial or professional relationship with Cascade … or any of their officers, directors, or employees.”</w:t>
      </w:r>
    </w:p>
    <w:p>
      <w:pPr>
        <w:jc w:val="both"/>
      </w:pPr>
      <w:r>
        <w:rPr>
          <w:b/>
          <w:i w:val="0"/>
        </w:rPr>
        <w:t>What the record shows.</w:t>
      </w:r>
      <w:r>
        <w:rPr>
          <w:b w:val="0"/>
          <w:i w:val="0"/>
        </w:rPr>
        <w:t xml:space="preserve"> Dr. Alan Fairhaven and Dr. Rita Peshkov co-authored “Optimization of Phase-Change Heat Exchangers in High-Load Industrial Applications,” Journal of Advanced Thermal Engineering, Vol. 42, Issue 3 (September 2022) — three years after his retirement from teaching. Dr. Peshkov is a Cascade employee (VP R&amp;D since 2017), the named inventor on most ThermalCore patents, and Claimant’s “key expert witness”; the paper’s subject (phase-change heat exchangers for high-load industrial use) is the ThermalCore technology class.</w:t>
      </w:r>
    </w:p>
    <w:p>
      <w:pPr>
        <w:jc w:val="both"/>
      </w:pPr>
      <w:r>
        <w:rPr>
          <w:b/>
          <w:i w:val="0"/>
        </w:rPr>
        <w:t>Assessment.</w:t>
      </w:r>
      <w:r>
        <w:rPr>
          <w:b w:val="0"/>
          <w:i w:val="0"/>
        </w:rPr>
        <w:t xml:space="preserve"> R-17(a)(ii) expressly covers past “professional, family” relationships with “witnesses,” and lists “academic collaboration.” The Code of Ethics extends disclosure to family members’ relationships. The disclosure’s qualifiers (“currently,” “any party”) do not cure the omission, and its statement that her husband has no professional relationship with Cascade’s employees appears inaccurate as to a past relationship. The concern is concrete: the arbitrator will assess Dr. Peshkov’s credibility and the uniqueness/value of the technology, which drives the $9.5M FMV and the $46.9M claim; she may also be exposed to her husband’s views on the technology. Mitigating factors: one paper, two years old, no evidence of current collaboration or financial ties; it is the spouse’s, not the arbitrator’s, relationship. </w:t>
      </w:r>
      <w:r>
        <w:rPr>
          <w:b/>
          <w:i w:val="0"/>
        </w:rPr>
        <w:t>Who raises it:</w:t>
      </w:r>
      <w:r>
        <w:rPr>
          <w:b w:val="0"/>
          <w:i w:val="0"/>
        </w:rPr>
        <w:t xml:space="preserve"> Whitmore. </w:t>
      </w:r>
      <w:r>
        <w:rPr>
          <w:b/>
          <w:i w:val="0"/>
        </w:rPr>
        <w:t>Strength:</w:t>
      </w:r>
      <w:r>
        <w:rPr>
          <w:b w:val="0"/>
          <w:i w:val="0"/>
        </w:rPr>
        <w:t xml:space="preserve"> Moderate–High; stronger if inquiry shows continuing collaboration, joint grants, or any consulting with Cascade. </w:t>
      </w:r>
      <w:r>
        <w:rPr>
          <w:b/>
          <w:i w:val="0"/>
        </w:rPr>
        <w:t>Waiver:</w:t>
      </w:r>
      <w:r>
        <w:rPr>
          <w:b w:val="0"/>
          <w:i w:val="0"/>
        </w:rPr>
        <w:t xml:space="preserve"> this is the one ground Whitmore loses by silence (R-18(a)(ii), (f)), because it is now known to us (June 19 memo).</w:t>
      </w:r>
    </w:p>
    <w:p>
      <w:pPr>
        <w:pStyle w:val="Heading2"/>
      </w:pPr>
      <w:r>
        <w:t>6. CLE Co-Panel with Dominic Hargrave (October 14, 2023)</w:t>
      </w:r>
    </w:p>
    <w:p>
      <w:pPr>
        <w:jc w:val="both"/>
      </w:pPr>
      <w:r>
        <w:rPr>
          <w:b/>
          <w:i w:val="0"/>
        </w:rPr>
        <w:t>What the record shows.</w:t>
      </w:r>
      <w:r>
        <w:rPr>
          <w:b w:val="0"/>
          <w:i w:val="0"/>
        </w:rPr>
        <w:t xml:space="preserve"> Judge Fairhaven and you were co-panelists on “Arbitrating Complex IP Licensing Disputes,” hosted by Lakeview at its offices, five months before the Demand. Topics included valuation methodologies, arbitrator selection in technology-intensive cases, and management of expert testimony — all live issues here (Ridgeline’s methodology; Dr. Peshkov’s expert role). Not disclosed.</w:t>
      </w:r>
    </w:p>
    <w:p>
      <w:pPr>
        <w:jc w:val="both"/>
      </w:pPr>
      <w:r>
        <w:rPr>
          <w:b/>
          <w:i w:val="0"/>
        </w:rPr>
        <w:t>Assessment.</w:t>
      </w:r>
      <w:r>
        <w:rPr>
          <w:b w:val="0"/>
          <w:i w:val="0"/>
        </w:rPr>
        <w:t xml:space="preserve"> Standing alone, joint conference speaking with counsel is ordinarily non-disqualifying (IBA Green List 4.3.4), so this is not an independent removal ground. But under the broader AAA standard it is a “professional” relationship with lead counsel under R-17(a)(ii) and potentially “expressed views on legal or factual issues relevant to the dispute” under R-17(a)(iv), and it occurred at the institution with which she is affiliated and which receives referrals from this firm. In combination with Issues 1–3, it supports a narrative of a close professional relationship with Respondent’s side. Its omission is hard to explain: she was on the panel, and the Demand names you. </w:t>
      </w:r>
      <w:r>
        <w:rPr>
          <w:b/>
          <w:i w:val="0"/>
        </w:rPr>
        <w:t>Who raises it:</w:t>
      </w:r>
      <w:r>
        <w:rPr>
          <w:b w:val="0"/>
          <w:i w:val="0"/>
        </w:rPr>
        <w:t xml:space="preserve"> Cascade. </w:t>
      </w:r>
      <w:r>
        <w:rPr>
          <w:b/>
          <w:i w:val="0"/>
        </w:rPr>
        <w:t>Strength:</w:t>
      </w:r>
      <w:r>
        <w:rPr>
          <w:b w:val="0"/>
          <w:i w:val="0"/>
        </w:rPr>
        <w:t xml:space="preserve"> Moderate as an aggravating factor. </w:t>
      </w:r>
      <w:r>
        <w:rPr>
          <w:b/>
          <w:i w:val="0"/>
        </w:rPr>
        <w:t>Action:</w:t>
      </w:r>
      <w:r>
        <w:rPr>
          <w:b w:val="0"/>
          <w:i w:val="0"/>
        </w:rPr>
        <w:t xml:space="preserve"> please confirm the nature of your preparation/interaction for the panel, any subsequent contact, and whether any recording or materials exist that reflect her views on valuation or expert evidence.</w:t>
      </w:r>
    </w:p>
    <w:p>
      <w:pPr>
        <w:pStyle w:val="Heading2"/>
      </w:pPr>
      <w:r>
        <w:t>7. Lakeview Dispute Resolution Center Affiliation</w:t>
      </w:r>
    </w:p>
    <w:p>
      <w:pPr>
        <w:jc w:val="both"/>
      </w:pPr>
      <w:r>
        <w:rPr>
          <w:b/>
          <w:i w:val="0"/>
        </w:rPr>
        <w:t>What the disclosure says.</w:t>
      </w:r>
      <w:r>
        <w:rPr>
          <w:b w:val="0"/>
          <w:i w:val="0"/>
        </w:rPr>
        <w:t xml:space="preserve"> Section VII discloses the affiliation and that Lakeview receives referrals from both firms, characterizes this as typical, and notes Lakeview has no role in this AAA case.</w:t>
      </w:r>
    </w:p>
    <w:p>
      <w:pPr>
        <w:jc w:val="both"/>
      </w:pPr>
      <w:r>
        <w:rPr>
          <w:b/>
          <w:i w:val="0"/>
        </w:rPr>
        <w:t>What is missing.</w:t>
      </w:r>
      <w:r>
        <w:rPr>
          <w:b w:val="0"/>
          <w:i w:val="0"/>
        </w:rPr>
        <w:t xml:space="preserve"> The structure of her relationship (employee, independent contractor, member/owner), whether she shares in Lakeview revenues or administrative fees, and the volume and value of referrals from each firm. Lakeview also hosted the undisclosed CLE with you.</w:t>
      </w:r>
    </w:p>
    <w:p>
      <w:pPr>
        <w:jc w:val="both"/>
      </w:pPr>
      <w:r>
        <w:rPr>
          <w:b/>
          <w:i w:val="0"/>
        </w:rPr>
        <w:t>Assessment.</w:t>
      </w:r>
      <w:r>
        <w:rPr>
          <w:b w:val="0"/>
          <w:i w:val="0"/>
        </w:rPr>
        <w:t xml:space="preserve"> Monster Energy vacated an award where the arbitrator did not disclose an ownership interest in the provider and the provider’s repeat business with a party; if she has an equity or revenue interest in Lakeview and this firm is a material referral source, the same logic applies to counsel. The disclosure’s reassurance that referrals do not influence her is not a substitute for the facts. </w:t>
      </w:r>
      <w:r>
        <w:rPr>
          <w:b/>
          <w:i w:val="0"/>
        </w:rPr>
        <w:t>Who raises it:</w:t>
      </w:r>
      <w:r>
        <w:rPr>
          <w:b w:val="0"/>
          <w:i w:val="0"/>
        </w:rPr>
        <w:t xml:space="preserve"> Either party (both firms refer). </w:t>
      </w:r>
      <w:r>
        <w:rPr>
          <w:b/>
          <w:i w:val="0"/>
        </w:rPr>
        <w:t>Strength:</w:t>
      </w:r>
      <w:r>
        <w:rPr>
          <w:b w:val="0"/>
          <w:i w:val="0"/>
        </w:rPr>
        <w:t xml:space="preserve"> Moderate pending the facts; potentially High if she has an ownership interest and referrals from this firm are significant.</w:t>
      </w:r>
    </w:p>
    <w:p>
      <w:pPr>
        <w:pStyle w:val="Heading2"/>
      </w:pPr>
      <w:r>
        <w:t>8. Ellen Wu — Shared Advisory Board Service</w:t>
      </w:r>
    </w:p>
    <w:p>
      <w:pPr>
        <w:jc w:val="both"/>
      </w:pPr>
      <w:r>
        <w:rPr>
          <w:b w:val="0"/>
          <w:i w:val="0"/>
        </w:rPr>
        <w:t xml:space="preserve">The disclosure accurately discloses Ms. Wu’s advisory board service since 2021, and alone this is a Green List-type association. Two qualifications: (i) the disclosure describes the board’s role as “non-binding guidance,” while the Institute materials describe “substantive guidance on programming, ethics standards, and professional development”; and (ii) Ms. Wu heads this firm’s arbitration practice and was involved in arbitrator selection strategy for this case, which Cascade may characterize as Respondent choosing a familiar colleague. Combined with Issue 3 (Mr. Whitmore on the governing board of the same small organization), the Institute connection links the arbitrator to Respondent’s principal and Respondent’s practice head. </w:t>
      </w:r>
      <w:r>
        <w:rPr>
          <w:b/>
          <w:i w:val="0"/>
        </w:rPr>
        <w:t>Strength:</w:t>
      </w:r>
      <w:r>
        <w:rPr>
          <w:b w:val="0"/>
          <w:i w:val="0"/>
        </w:rPr>
        <w:t xml:space="preserve"> Low alone; aggravating in combination.</w:t>
      </w:r>
    </w:p>
    <w:p>
      <w:pPr>
        <w:pStyle w:val="Heading2"/>
      </w:pPr>
      <w:r>
        <w:t>9. Subject-Matter Experience and Possible Issue Conflicts</w:t>
      </w:r>
    </w:p>
    <w:p>
      <w:pPr>
        <w:jc w:val="both"/>
      </w:pPr>
      <w:r>
        <w:rPr>
          <w:b w:val="0"/>
          <w:i w:val="0"/>
        </w:rPr>
        <w:t xml:space="preserve">Section VIII states she has presided over “numerous” arbitrations involving technology licensing, IP valuation, and “fiduciary duty claims in the context of private equity portfolio management,” including “the standards of care applicable to investment fund managers in connection with portfolio company transactions.” Expertise is not a conflict, but (i) the statement implies prior rulings on the same legal issues, potentially in matters involving these counsel (e.g., Braddock v. Summit Ridge Capital, an earn-out dispute in which she was this firm’s party-appointed arbitrator; Westbrook Partners v. Arcadian Ventures), which would bear on IBA Orange List 3.1.5 and R-17(a)(iv); and (ii) the CLE and any publications may reflect views on reasonable-royalty and valuation methods. We should request identification (anonymized if confidential) of prior matters addressing PE fund manager duties in cross-fund or affiliate transactions, and any publications or public statements on those issues. </w:t>
      </w:r>
      <w:r>
        <w:rPr>
          <w:b/>
          <w:i w:val="0"/>
        </w:rPr>
        <w:t>Strength:</w:t>
      </w:r>
      <w:r>
        <w:rPr>
          <w:b w:val="0"/>
          <w:i w:val="0"/>
        </w:rPr>
        <w:t xml:space="preserve"> Low–Moderate pending responses.</w:t>
      </w:r>
    </w:p>
    <w:p>
      <w:pPr>
        <w:pStyle w:val="Heading2"/>
      </w:pPr>
      <w:r>
        <w:t>10. Certification, Timing and Other Defects</w:t>
      </w:r>
    </w:p>
    <w:p>
      <w:pPr>
        <w:pStyle w:val="ListBullet"/>
      </w:pPr>
      <w:r>
        <w:rPr>
          <w:b/>
          <w:i w:val="0"/>
        </w:rPr>
        <w:t>Certification.</w:t>
      </w:r>
      <w:r>
        <w:rPr>
          <w:b w:val="0"/>
          <w:i w:val="0"/>
        </w:rPr>
        <w:t xml:space="preserve"> Section X certifies completeness “based on a diligent inquiry” while Section IV concedes no position-level review. The certification is contradicted by the record on at least the case list, which is within her own knowledge. R-17(d) makes incomplete disclosure a removal and vacatur ground, and the AAA will view the inaccuracy as aggravating.</w:t>
      </w:r>
    </w:p>
    <w:p>
      <w:pPr>
        <w:pStyle w:val="ListBullet"/>
      </w:pPr>
      <w:r>
        <w:rPr>
          <w:b/>
          <w:i w:val="0"/>
        </w:rPr>
        <w:t>Narrow drafting.</w:t>
      </w:r>
      <w:r>
        <w:rPr>
          <w:b w:val="0"/>
          <w:i w:val="0"/>
        </w:rPr>
        <w:t xml:space="preserve"> Repeated limiting language — “direct” equity (IV), “currently” and “any party” (V), “socialized with … counsel” (V), “to the best of my recollection” (III) — tracks almost exactly the relationships that were omitted. This pattern will be emphasized by any challenger.</w:t>
      </w:r>
    </w:p>
    <w:p>
      <w:pPr>
        <w:pStyle w:val="ListBullet"/>
      </w:pPr>
      <w:r>
        <w:rPr>
          <w:b/>
          <w:i w:val="0"/>
        </w:rPr>
        <w:t>Confidential-name entry.</w:t>
      </w:r>
      <w:r>
        <w:rPr>
          <w:b w:val="0"/>
          <w:i w:val="0"/>
        </w:rPr>
        <w:t xml:space="preserve"> Item 3 (Fielding Marsh settled matter, 2021) withholds names; withholding is acceptable but the case number, her role, and counsel on the other side should be provided (the workbook lists the opposing counsel as “Undisclosed”).</w:t>
      </w:r>
    </w:p>
    <w:p>
      <w:pPr>
        <w:pStyle w:val="ListBullet"/>
      </w:pPr>
      <w:r>
        <w:rPr>
          <w:b/>
          <w:i w:val="0"/>
        </w:rPr>
        <w:t>Timing.</w:t>
      </w:r>
      <w:r>
        <w:rPr>
          <w:b w:val="0"/>
          <w:i w:val="0"/>
        </w:rPr>
        <w:t xml:space="preserve"> R-12(a) contemplates that disclosures accompany the list; here disclosure followed selection (June 3) and confirmation (June 10). Not itself a ground, but it means the parties ranked her without the facts.</w:t>
      </w:r>
    </w:p>
    <w:p>
      <w:pPr>
        <w:pStyle w:val="ListBullet"/>
      </w:pPr>
      <w:r>
        <w:rPr>
          <w:b/>
          <w:i w:val="0"/>
        </w:rPr>
        <w:t>Deadline statement.</w:t>
      </w:r>
      <w:r>
        <w:rPr>
          <w:b w:val="0"/>
          <w:i w:val="0"/>
        </w:rPr>
        <w:t xml:space="preserve"> The disclosure states the objection period runs seven days from the disclosure (June 24). Under R-18(a) the period runs from the later of communication of the appointment or knowledge of the circumstances. For Whitmore, the facts in the June 19 memo are known now; we should treat June 24 as the outside date for every ground Whitmore might raise. For Cascade, the clock on undisclosed facts will not start until it learns them.</w:t>
      </w:r>
    </w:p>
    <w:p>
      <w:pPr>
        <w:pStyle w:val="ListBullet"/>
      </w:pPr>
      <w:r>
        <w:rPr>
          <w:b/>
          <w:i w:val="0"/>
        </w:rPr>
        <w:t>Items checked and found accurate.</w:t>
      </w:r>
      <w:r>
        <w:rPr>
          <w:b w:val="0"/>
          <w:i w:val="0"/>
        </w:rPr>
        <w:t xml:space="preserve"> Fee math (400 hours × $850 = $340,000; 15 days × 8 hours = 120 hearing hours; $170,000 per party); hearing window January 13 – February 7, 2025 accommodates 15 hearing days; disclosed matter details (roles, outcomes, counsel) for the seven listed matters are consistent with the workbook; Orion was appointed September 15, 2023 with $45,000 remaining fees.</w:t>
      </w:r>
    </w:p>
    <w:p>
      <w:pPr>
        <w:pStyle w:val="Heading1"/>
      </w:pPr>
      <w:r>
        <w:t>V. Cumulative Assessment</w:t>
      </w:r>
    </w:p>
    <w:p>
      <w:pPr>
        <w:jc w:val="both"/>
      </w:pPr>
      <w:r>
        <w:rPr>
          <w:b/>
          <w:i w:val="0"/>
        </w:rPr>
        <w:t>A challenge by Cascade.</w:t>
      </w:r>
      <w:r>
        <w:rPr>
          <w:b w:val="0"/>
          <w:i w:val="0"/>
        </w:rPr>
        <w:t xml:space="preserve"> The AAA decides challenges on the totality of circumstances, including “disclosures required but not made” (R-18(d)). Even if some items (CLE, Ms. Wu) would be tolerated alone, the combination — eight omitted matters, a ~52% income concentration with Respondent’s counsel, three concurrent matters with this firm, an undisclosed governance link to Respondent’s principal, a possible indirect stake in the Respondent fund that owns the license beneficiary, a germane CLE with Respondent’s lead counsel, and an inaccurate certification — would in our judgment very likely lead the AAA to sustain a challenge, or lead the arbitrator to withdraw. R-18(f) would not bar Cascade, because these facts were not disclosed and, except arguably through public-record research, could not reasonably have been known. We should not rely on a constructive-knowledge waiver argument: the AAA text excuses grounds that “could not reasonably have been known,” and arguing that Cascade should have unearthed what the arbitrator certified did not exist would be unattractive.</w:t>
      </w:r>
    </w:p>
    <w:p>
      <w:pPr>
        <w:jc w:val="both"/>
      </w:pPr>
      <w:r>
        <w:rPr>
          <w:b/>
          <w:i w:val="0"/>
        </w:rPr>
        <w:t>Vacatur exposure.</w:t>
      </w:r>
      <w:r>
        <w:rPr>
          <w:b w:val="0"/>
          <w:i w:val="0"/>
        </w:rPr>
        <w:t xml:space="preserve"> If the case proceeds to a Respondent award and Cascade later learns the facts, it would move to vacate under FAA § 10(a)(2) (and R-17(d)). Courts set a high bar for evident partiality and reject trivial undisclosed relationships (Positive Software), but nondisclosure of significant, known economic relationships with a side is the core Commonwealth Coatings scenario, and Monster Energy is a close analog on institution/repeat-business facts. A vacatur after a 15-day hearing and roughly $340,000 in arbitrator fees alone (plus both sides’ costs) would be the worst outcome for Whitmore: it would lose a defense win on a $46.9M+ claim and face a re-hearing before a new arbitrator, with the concealment narrative attached. The fact that this firm compiled the facts on June 19 from public sources, and that our client and this firm independently knew most of them, would feature prominently.</w:t>
      </w:r>
    </w:p>
    <w:p>
      <w:pPr>
        <w:jc w:val="both"/>
      </w:pPr>
      <w:r>
        <w:rPr>
          <w:b/>
          <w:i w:val="0"/>
        </w:rPr>
        <w:t>A challenge by Whitmore.</w:t>
      </w:r>
      <w:r>
        <w:rPr>
          <w:b w:val="0"/>
          <w:i w:val="0"/>
        </w:rPr>
        <w:t xml:space="preserve"> Whitmore’s only Claimant-side ground is the spouse–Peshkov co-authorship (Issue 5), plus Lakeview referrals from Fielding Marsh (Issue 7, weak). On its own it is a credible but not certain ground. A Whitmore challenge would also inevitably prompt a supplemental disclosure that surfaces Issues 1–4 and 6, so it should be considered together with the disclosure-request strategy below.</w:t>
      </w:r>
    </w:p>
    <w:p>
      <w:pPr>
        <w:jc w:val="both"/>
      </w:pPr>
      <w:r>
        <w:rPr>
          <w:b/>
          <w:i w:val="0"/>
        </w:rPr>
        <w:t>Professional-responsibility overlay.</w:t>
      </w:r>
      <w:r>
        <w:rPr>
          <w:b w:val="0"/>
          <w:i w:val="0"/>
        </w:rPr>
        <w:t xml:space="preserve"> Counsel generally has no affirmative obligation to supplement an arbitrator’s disclosure, but this firm is not a stranger to the omitted facts (its own cases, its lead partner’s CLE, its practice head’s board service, its client’s trustee role and LP register). Remaining silent while relying on the arbitrator’s certification invites a later argument that Respondent waived nothing because it knew everything, while Cascade waived nothing because it knew nothing — the asymmetric posture that maximizes vacatur risk. We also must avoid any ex parte communication with the arbitrator on these subjects (R-20). The applicable Minnesota and Massachusetts rules of professional conduct (candor and conduct prejudicial to the administration of justice) should be reviewed by the firm’s General Counsel before any decision to remain silent.</w:t>
      </w:r>
    </w:p>
    <w:p>
      <w:pPr>
        <w:pStyle w:val="Heading1"/>
      </w:pPr>
      <w:r>
        <w:t>VI. Strategic Options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D9E2F3"/>
          </w:tcPr>
          <w:p>
            <w:r/>
            <w:r>
              <w:rPr>
                <w:b/>
                <w:sz w:val="17"/>
              </w:rPr>
              <w:t>Option</w:t>
            </w:r>
          </w:p>
        </w:tc>
        <w:tc>
          <w:tcPr>
            <w:tcW w:type="dxa" w:w="2304"/>
            <w:shd w:val="clear" w:color="auto" w:fill="D9E2F3"/>
          </w:tcPr>
          <w:p>
            <w:r/>
            <w:r>
              <w:rPr>
                <w:b/>
                <w:sz w:val="17"/>
              </w:rPr>
              <w:t>Description</w:t>
            </w:r>
          </w:p>
        </w:tc>
        <w:tc>
          <w:tcPr>
            <w:tcW w:type="dxa" w:w="1872"/>
            <w:shd w:val="clear" w:color="auto" w:fill="D9E2F3"/>
          </w:tcPr>
          <w:p>
            <w:r/>
            <w:r>
              <w:rPr>
                <w:b/>
                <w:sz w:val="17"/>
              </w:rPr>
              <w:t>Advantages</w:t>
            </w:r>
          </w:p>
        </w:tc>
        <w:tc>
          <w:tcPr>
            <w:tcW w:type="dxa" w:w="2304"/>
            <w:shd w:val="clear" w:color="auto" w:fill="D9E2F3"/>
          </w:tcPr>
          <w:p>
            <w:r/>
            <w:r>
              <w:rPr>
                <w:b/>
                <w:sz w:val="17"/>
              </w:rPr>
              <w:t>Risks</w:t>
            </w:r>
          </w:p>
        </w:tc>
        <w:tc>
          <w:tcPr>
            <w:tcW w:type="dxa" w:w="1296"/>
            <w:shd w:val="clear" w:color="auto" w:fill="D9E2F3"/>
          </w:tcPr>
          <w:p>
            <w:r/>
            <w:r>
              <w:rPr>
                <w:b/>
                <w:sz w:val="17"/>
              </w:rPr>
              <w:t>View</w:t>
            </w:r>
          </w:p>
        </w:tc>
      </w:tr>
      <w:tr>
        <w:tc>
          <w:tcPr>
            <w:tcW w:type="dxa" w:w="1584"/>
          </w:tcPr>
          <w:p>
            <w:r/>
            <w:r>
              <w:rPr>
                <w:b w:val="0"/>
                <w:i w:val="0"/>
                <w:sz w:val="17"/>
              </w:rPr>
              <w:t>A. Remain silent</w:t>
            </w:r>
          </w:p>
        </w:tc>
        <w:tc>
          <w:tcPr>
            <w:tcW w:type="dxa" w:w="2304"/>
          </w:tcPr>
          <w:p>
            <w:r/>
            <w:r>
              <w:rPr>
                <w:b w:val="0"/>
                <w:i w:val="0"/>
                <w:sz w:val="17"/>
              </w:rPr>
              <w:t>File nothing by June 24; proceed with a favorable arbitrator.</w:t>
            </w:r>
          </w:p>
        </w:tc>
        <w:tc>
          <w:tcPr>
            <w:tcW w:type="dxa" w:w="1872"/>
          </w:tcPr>
          <w:p>
            <w:r/>
            <w:r>
              <w:rPr>
                <w:b w:val="0"/>
                <w:i w:val="0"/>
                <w:sz w:val="17"/>
              </w:rPr>
              <w:t>Keeps Whitmore’s first-choice arbitrator.</w:t>
            </w:r>
          </w:p>
        </w:tc>
        <w:tc>
          <w:tcPr>
            <w:tcW w:type="dxa" w:w="2304"/>
          </w:tcPr>
          <w:p>
            <w:r/>
            <w:r>
              <w:rPr>
                <w:b w:val="0"/>
                <w:i w:val="0"/>
                <w:sz w:val="17"/>
              </w:rPr>
              <w:t>Waives Whitmore’s Peshkov ground; leaves Cascade free to challenge later or seek vacatur of any Respondent award; concealment optics for client and firm.</w:t>
            </w:r>
          </w:p>
        </w:tc>
        <w:tc>
          <w:tcPr>
            <w:tcW w:type="dxa" w:w="1296"/>
          </w:tcPr>
          <w:p>
            <w:r/>
            <w:r>
              <w:rPr>
                <w:b w:val="0"/>
                <w:i w:val="0"/>
                <w:sz w:val="17"/>
              </w:rPr>
              <w:t>Not recommended</w:t>
            </w:r>
          </w:p>
        </w:tc>
      </w:tr>
      <w:tr>
        <w:tc>
          <w:tcPr>
            <w:tcW w:type="dxa" w:w="1584"/>
          </w:tcPr>
          <w:p>
            <w:r/>
            <w:r>
              <w:rPr>
                <w:b w:val="0"/>
                <w:i w:val="0"/>
                <w:sz w:val="17"/>
              </w:rPr>
              <w:t>B. Request supplemental disclosure + protective reservation (recommended)</w:t>
            </w:r>
          </w:p>
        </w:tc>
        <w:tc>
          <w:tcPr>
            <w:tcW w:type="dxa" w:w="2304"/>
          </w:tcPr>
          <w:p>
            <w:r/>
            <w:r>
              <w:rPr>
                <w:b w:val="0"/>
                <w:i w:val="0"/>
                <w:sz w:val="17"/>
              </w:rPr>
              <w:t>Letter to AAA (copy to FM) under R-17(b)–(d) listing the specific subjects in Section VIII; expressly reserve/assert Whitmore’s objection on the spouse–Peshkov ground and request that the objection period run from the supplemental disclosure.</w:t>
            </w:r>
          </w:p>
        </w:tc>
        <w:tc>
          <w:tcPr>
            <w:tcW w:type="dxa" w:w="1872"/>
          </w:tcPr>
          <w:p>
            <w:r/>
            <w:r>
              <w:rPr>
                <w:b w:val="0"/>
                <w:i w:val="0"/>
                <w:sz w:val="17"/>
              </w:rPr>
              <w:t>Cures nondisclosure; starts Cascade’s 7-day clock (R-18(a), (f)), insulating any award; preserves Whitmore’s ground; demonstrates good faith.</w:t>
            </w:r>
          </w:p>
        </w:tc>
        <w:tc>
          <w:tcPr>
            <w:tcW w:type="dxa" w:w="2304"/>
          </w:tcPr>
          <w:p>
            <w:r/>
            <w:r>
              <w:rPr>
                <w:b w:val="0"/>
                <w:i w:val="0"/>
                <w:sz w:val="17"/>
              </w:rPr>
              <w:t>Cascade may challenge and the arbitrator may be removed or withdraw (early replacement is far cheaper than vacatur); the AAA may treat a reservation as insufficient — hence also include a specific written challenge in the alternative.</w:t>
            </w:r>
          </w:p>
        </w:tc>
        <w:tc>
          <w:tcPr>
            <w:tcW w:type="dxa" w:w="1296"/>
          </w:tcPr>
          <w:p>
            <w:r/>
            <w:r>
              <w:rPr>
                <w:b w:val="0"/>
                <w:i w:val="0"/>
                <w:sz w:val="17"/>
              </w:rPr>
              <w:t>Recommended</w:t>
            </w:r>
          </w:p>
        </w:tc>
      </w:tr>
      <w:tr>
        <w:tc>
          <w:tcPr>
            <w:tcW w:type="dxa" w:w="1584"/>
          </w:tcPr>
          <w:p>
            <w:r/>
            <w:r>
              <w:rPr>
                <w:b w:val="0"/>
                <w:i w:val="0"/>
                <w:sz w:val="17"/>
              </w:rPr>
              <w:t>C. Formal challenge by Whitmore on Peshkov ground only</w:t>
            </w:r>
          </w:p>
        </w:tc>
        <w:tc>
          <w:tcPr>
            <w:tcW w:type="dxa" w:w="2304"/>
          </w:tcPr>
          <w:p>
            <w:r/>
            <w:r>
              <w:rPr>
                <w:b w:val="0"/>
                <w:i w:val="0"/>
                <w:sz w:val="17"/>
              </w:rPr>
              <w:t>R-18 challenge stating grounds with specificity, without broader disclosure request.</w:t>
            </w:r>
          </w:p>
        </w:tc>
        <w:tc>
          <w:tcPr>
            <w:tcW w:type="dxa" w:w="1872"/>
          </w:tcPr>
          <w:p>
            <w:r/>
            <w:r>
              <w:rPr>
                <w:b w:val="0"/>
                <w:i w:val="0"/>
                <w:sz w:val="17"/>
              </w:rPr>
              <w:t>Preserves Whitmore’s ground.</w:t>
            </w:r>
          </w:p>
        </w:tc>
        <w:tc>
          <w:tcPr>
            <w:tcW w:type="dxa" w:w="2304"/>
          </w:tcPr>
          <w:p>
            <w:r/>
            <w:r>
              <w:rPr>
                <w:b w:val="0"/>
                <w:i w:val="0"/>
                <w:sz w:val="17"/>
              </w:rPr>
              <w:t>Supplemental disclosure will follow anyway; selectively raising only the Claimant-side ground while silent on Respondent-side facts known to us would look tactical and would not cure vacatur risk.</w:t>
            </w:r>
          </w:p>
        </w:tc>
        <w:tc>
          <w:tcPr>
            <w:tcW w:type="dxa" w:w="1296"/>
          </w:tcPr>
          <w:p>
            <w:r/>
            <w:r>
              <w:rPr>
                <w:b w:val="0"/>
                <w:i w:val="0"/>
                <w:sz w:val="17"/>
              </w:rPr>
              <w:t>Not recommended standing alone</w:t>
            </w:r>
          </w:p>
        </w:tc>
      </w:tr>
      <w:tr>
        <w:tc>
          <w:tcPr>
            <w:tcW w:type="dxa" w:w="1584"/>
          </w:tcPr>
          <w:p>
            <w:r/>
            <w:r>
              <w:rPr>
                <w:b w:val="0"/>
                <w:i w:val="0"/>
                <w:sz w:val="17"/>
              </w:rPr>
              <w:t>D. Agree to replacement now</w:t>
            </w:r>
          </w:p>
        </w:tc>
        <w:tc>
          <w:tcPr>
            <w:tcW w:type="dxa" w:w="2304"/>
          </w:tcPr>
          <w:p>
            <w:r/>
            <w:r>
              <w:rPr>
                <w:b w:val="0"/>
                <w:i w:val="0"/>
                <w:sz w:val="17"/>
              </w:rPr>
              <w:t>Propose jointly with Cascade a replacement under R-19 / R-12.</w:t>
            </w:r>
          </w:p>
        </w:tc>
        <w:tc>
          <w:tcPr>
            <w:tcW w:type="dxa" w:w="1872"/>
          </w:tcPr>
          <w:p>
            <w:r/>
            <w:r>
              <w:rPr>
                <w:b w:val="0"/>
                <w:i w:val="0"/>
                <w:sz w:val="17"/>
              </w:rPr>
              <w:t>Clean record; minimal cost at this stage (preliminary hearing not until Aug. 5, 2024).</w:t>
            </w:r>
          </w:p>
        </w:tc>
        <w:tc>
          <w:tcPr>
            <w:tcW w:type="dxa" w:w="2304"/>
          </w:tcPr>
          <w:p>
            <w:r/>
            <w:r>
              <w:rPr>
                <w:b w:val="0"/>
                <w:i w:val="0"/>
                <w:sz w:val="17"/>
              </w:rPr>
              <w:t>Loses Whitmore’s preferred arbitrator; requires client consent.</w:t>
            </w:r>
          </w:p>
        </w:tc>
        <w:tc>
          <w:tcPr>
            <w:tcW w:type="dxa" w:w="1296"/>
          </w:tcPr>
          <w:p>
            <w:r/>
            <w:r>
              <w:rPr>
                <w:b w:val="0"/>
                <w:i w:val="0"/>
                <w:sz w:val="17"/>
              </w:rPr>
              <w:t>Fallback if supplemental disclosure confirms Northbridge holding or Lakeview equity</w:t>
            </w:r>
          </w:p>
        </w:tc>
      </w:tr>
    </w:tbl>
    <w:p/>
    <w:p>
      <w:pPr>
        <w:pStyle w:val="Heading1"/>
      </w:pPr>
      <w:r>
        <w:t>VII. Recommended Action Plan</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r/>
            <w:r>
              <w:rPr>
                <w:b/>
                <w:sz w:val="17"/>
              </w:rPr>
              <w:t>Date</w:t>
            </w:r>
          </w:p>
        </w:tc>
        <w:tc>
          <w:tcPr>
            <w:tcW w:type="dxa" w:w="6048"/>
            <w:shd w:val="clear" w:color="auto" w:fill="D9E2F3"/>
          </w:tcPr>
          <w:p>
            <w:r/>
            <w:r>
              <w:rPr>
                <w:b/>
                <w:sz w:val="17"/>
              </w:rPr>
              <w:t>Action</w:t>
            </w:r>
          </w:p>
        </w:tc>
        <w:tc>
          <w:tcPr>
            <w:tcW w:type="dxa" w:w="1440"/>
            <w:shd w:val="clear" w:color="auto" w:fill="D9E2F3"/>
          </w:tcPr>
          <w:p>
            <w:r/>
            <w:r>
              <w:rPr>
                <w:b/>
                <w:sz w:val="17"/>
              </w:rPr>
              <w:t>Owner</w:t>
            </w:r>
          </w:p>
        </w:tc>
      </w:tr>
      <w:tr>
        <w:tc>
          <w:tcPr>
            <w:tcW w:type="dxa" w:w="1872"/>
          </w:tcPr>
          <w:p>
            <w:r/>
            <w:r>
              <w:rPr>
                <w:b w:val="0"/>
                <w:i w:val="0"/>
                <w:sz w:val="17"/>
              </w:rPr>
              <w:t>June 20 (today)</w:t>
            </w:r>
          </w:p>
        </w:tc>
        <w:tc>
          <w:tcPr>
            <w:tcW w:type="dxa" w:w="6048"/>
          </w:tcPr>
          <w:p>
            <w:r/>
            <w:r>
              <w:rPr>
                <w:b w:val="0"/>
                <w:i w:val="0"/>
                <w:sz w:val="17"/>
              </w:rPr>
              <w:t>Brief Whitmore (Garrett T. Whitmore and in-house counsel) on this memo; obtain instructions. Confirm Mr. Whitmore’s trustee role, his interactions with the arbitrator at Institute meetings, and whether Northbridge Select appears on Fund II’s LP register (and the size/timing of its commitment).</w:t>
            </w:r>
          </w:p>
        </w:tc>
        <w:tc>
          <w:tcPr>
            <w:tcW w:type="dxa" w:w="1440"/>
          </w:tcPr>
          <w:p>
            <w:r/>
            <w:r>
              <w:rPr>
                <w:b w:val="0"/>
                <w:i w:val="0"/>
                <w:sz w:val="17"/>
              </w:rPr>
              <w:t>D. Hargrave</w:t>
            </w:r>
          </w:p>
        </w:tc>
      </w:tr>
      <w:tr>
        <w:tc>
          <w:tcPr>
            <w:tcW w:type="dxa" w:w="1872"/>
          </w:tcPr>
          <w:p>
            <w:r/>
            <w:r>
              <w:rPr>
                <w:b w:val="0"/>
                <w:i w:val="0"/>
                <w:sz w:val="17"/>
              </w:rPr>
              <w:t>June 20–21</w:t>
            </w:r>
          </w:p>
        </w:tc>
        <w:tc>
          <w:tcPr>
            <w:tcW w:type="dxa" w:w="6048"/>
          </w:tcPr>
          <w:p>
            <w:r/>
            <w:r>
              <w:rPr>
                <w:b w:val="0"/>
                <w:i w:val="0"/>
                <w:sz w:val="17"/>
              </w:rPr>
              <w:t>Confirm internally (conflicts/records) the B&amp;T matters before Judge Fairhaven (incl. Halcyon and the six omitted completed matters) and the fee estimates; confirm your CLE interactions. Have firm General Counsel review the professional-responsibility questions. Wall off Ellen Wu from the decision.</w:t>
            </w:r>
          </w:p>
        </w:tc>
        <w:tc>
          <w:tcPr>
            <w:tcW w:type="dxa" w:w="1440"/>
          </w:tcPr>
          <w:p>
            <w:r/>
            <w:r>
              <w:rPr>
                <w:b w:val="0"/>
                <w:i w:val="0"/>
                <w:sz w:val="17"/>
              </w:rPr>
              <w:t>Case team; GC</w:t>
            </w:r>
          </w:p>
        </w:tc>
      </w:tr>
      <w:tr>
        <w:tc>
          <w:tcPr>
            <w:tcW w:type="dxa" w:w="1872"/>
          </w:tcPr>
          <w:p>
            <w:r/>
            <w:r>
              <w:rPr>
                <w:b w:val="0"/>
                <w:i w:val="0"/>
                <w:sz w:val="17"/>
              </w:rPr>
              <w:t>June 20–21</w:t>
            </w:r>
          </w:p>
        </w:tc>
        <w:tc>
          <w:tcPr>
            <w:tcW w:type="dxa" w:w="6048"/>
          </w:tcPr>
          <w:p>
            <w:r/>
            <w:r>
              <w:rPr>
                <w:b w:val="0"/>
                <w:i w:val="0"/>
                <w:sz w:val="17"/>
              </w:rPr>
              <w:t>Verify rule text against the official AAA Commercial Rules and update the case law cited in Section III.C (Eighth Circuit evident-partiality standard; Minn. Stat. ch. 572B).</w:t>
            </w:r>
          </w:p>
        </w:tc>
        <w:tc>
          <w:tcPr>
            <w:tcW w:type="dxa" w:w="1440"/>
          </w:tcPr>
          <w:p>
            <w:r/>
            <w:r>
              <w:rPr>
                <w:b w:val="0"/>
                <w:i w:val="0"/>
                <w:sz w:val="17"/>
              </w:rPr>
              <w:t>Associate</w:t>
            </w:r>
          </w:p>
        </w:tc>
      </w:tr>
      <w:tr>
        <w:tc>
          <w:tcPr>
            <w:tcW w:type="dxa" w:w="1872"/>
          </w:tcPr>
          <w:p>
            <w:r/>
            <w:r>
              <w:rPr>
                <w:b w:val="0"/>
                <w:i w:val="0"/>
                <w:sz w:val="17"/>
              </w:rPr>
              <w:t>By Fri. June 21 (no later than Mon. June 24)</w:t>
            </w:r>
          </w:p>
        </w:tc>
        <w:tc>
          <w:tcPr>
            <w:tcW w:type="dxa" w:w="6048"/>
          </w:tcPr>
          <w:p>
            <w:r/>
            <w:r>
              <w:rPr>
                <w:b w:val="0"/>
                <w:i w:val="0"/>
                <w:sz w:val="17"/>
              </w:rPr>
              <w:t>Serve on the AAA, with simultaneous copy to Fielding Marsh (R-18(a), R-20, R-48 — email plus overnight), a letter (i) requesting supplemental disclosure on the Section VIII topics; (ii) asserting Whitmore’s objection on the spouse–Peshkov ground with specificity, in the alternative as an R-18 challenge, and reserving the right to supplement within seven days of the supplemental disclosure; (iii) requesting that the AAA treat the objection period as running from the supplemental disclosure.</w:t>
            </w:r>
          </w:p>
        </w:tc>
        <w:tc>
          <w:tcPr>
            <w:tcW w:type="dxa" w:w="1440"/>
          </w:tcPr>
          <w:p>
            <w:r/>
            <w:r>
              <w:rPr>
                <w:b w:val="0"/>
                <w:i w:val="0"/>
                <w:sz w:val="17"/>
              </w:rPr>
              <w:t>D. Hargrave</w:t>
            </w:r>
          </w:p>
        </w:tc>
      </w:tr>
      <w:tr>
        <w:tc>
          <w:tcPr>
            <w:tcW w:type="dxa" w:w="1872"/>
          </w:tcPr>
          <w:p>
            <w:r/>
            <w:r>
              <w:rPr>
                <w:b w:val="0"/>
                <w:i w:val="0"/>
                <w:sz w:val="17"/>
              </w:rPr>
              <w:t>Upon supplemental disclosure</w:t>
            </w:r>
          </w:p>
        </w:tc>
        <w:tc>
          <w:tcPr>
            <w:tcW w:type="dxa" w:w="6048"/>
          </w:tcPr>
          <w:p>
            <w:r/>
            <w:r>
              <w:rPr>
                <w:b w:val="0"/>
                <w:i w:val="0"/>
                <w:sz w:val="17"/>
              </w:rPr>
              <w:t>Reassess within 7 days; decide whether to maintain, withdraw, or expand the challenge; prepare response to any Cascade challenge (R-18(b): 7 days).</w:t>
            </w:r>
          </w:p>
        </w:tc>
        <w:tc>
          <w:tcPr>
            <w:tcW w:type="dxa" w:w="1440"/>
          </w:tcPr>
          <w:p>
            <w:r/>
            <w:r>
              <w:rPr>
                <w:b w:val="0"/>
                <w:i w:val="0"/>
                <w:sz w:val="17"/>
              </w:rPr>
              <w:t>Case team</w:t>
            </w:r>
          </w:p>
        </w:tc>
      </w:tr>
      <w:tr>
        <w:tc>
          <w:tcPr>
            <w:tcW w:type="dxa" w:w="1872"/>
          </w:tcPr>
          <w:p>
            <w:r/>
            <w:r>
              <w:rPr>
                <w:b w:val="0"/>
                <w:i w:val="0"/>
                <w:sz w:val="17"/>
              </w:rPr>
              <w:t>Ongoing</w:t>
            </w:r>
          </w:p>
        </w:tc>
        <w:tc>
          <w:tcPr>
            <w:tcW w:type="dxa" w:w="6048"/>
          </w:tcPr>
          <w:p>
            <w:r/>
            <w:r>
              <w:rPr>
                <w:b w:val="0"/>
                <w:i w:val="0"/>
                <w:sz w:val="17"/>
              </w:rPr>
              <w:t>Calendar continuing-disclosure triggers: Orion award (expected within ~60 days), any new appointment involving this firm, Halcyon developments. Do not communicate with the arbitrator ex parte.</w:t>
            </w:r>
          </w:p>
        </w:tc>
        <w:tc>
          <w:tcPr>
            <w:tcW w:type="dxa" w:w="1440"/>
          </w:tcPr>
          <w:p>
            <w:r/>
            <w:r>
              <w:rPr>
                <w:b w:val="0"/>
                <w:i w:val="0"/>
                <w:sz w:val="17"/>
              </w:rPr>
              <w:t>Case team</w:t>
            </w:r>
          </w:p>
        </w:tc>
      </w:tr>
    </w:tbl>
    <w:p/>
    <w:p>
      <w:pPr>
        <w:pStyle w:val="Heading1"/>
      </w:pPr>
      <w:r>
        <w:t>VIII. Proposed Topics for Supplemental Disclosure</w:t>
      </w:r>
    </w:p>
    <w:p>
      <w:pPr>
        <w:pStyle w:val="ListNumber"/>
      </w:pPr>
      <w:r>
        <w:rPr>
          <w:b w:val="0"/>
          <w:i w:val="0"/>
        </w:rPr>
        <w:t>All prior and pending matters (any institution or ad hoc) since 2020 in which Barrow &amp; Thistlewood LLP or Fielding Marsh &amp; Collier LLP appeared, with case number, her role, the appointing method, counsel on each side, outcome, and the status of Orion and Halcyon Biotech; confirmation of any new appointments since June 17, 2024.</w:t>
      </w:r>
    </w:p>
    <w:p>
      <w:pPr>
        <w:pStyle w:val="ListNumber"/>
      </w:pPr>
      <w:r>
        <w:rPr>
          <w:b w:val="0"/>
          <w:i w:val="0"/>
        </w:rPr>
        <w:t>Approximate share of her arbitration and mediation income attributable to matters involving each firm over the past three years.</w:t>
      </w:r>
    </w:p>
    <w:p>
      <w:pPr>
        <w:pStyle w:val="ListNumber"/>
      </w:pPr>
      <w:r>
        <w:rPr>
          <w:b w:val="0"/>
          <w:i w:val="0"/>
        </w:rPr>
        <w:t>Whether she, her spouse, or any household member holds, directly or through any managed account, pooled vehicle, or fund-of-funds (including the Northbridge Select Alternatives Fund), any interest in Whitmore Capital Partners LLC, Whitmore Fund I, II or III LP, Volaris, Cascade, or any Whitmore portfolio company; and a request that she obtain a position-level confirmation from Northbridge Wealth Advisors.</w:t>
      </w:r>
    </w:p>
    <w:p>
      <w:pPr>
        <w:pStyle w:val="ListNumber"/>
      </w:pPr>
      <w:r>
        <w:rPr>
          <w:b w:val="0"/>
          <w:i w:val="0"/>
        </w:rPr>
        <w:t>Her relationship with Garrett T. Whitmore, including through the Minnesota ADR Ethics Institute (Board of Trustees/advisory board structure, appointment of advisory board members, joint sessions, and any personal interaction), and with Ellen Wu.</w:t>
      </w:r>
    </w:p>
    <w:p>
      <w:pPr>
        <w:pStyle w:val="ListNumber"/>
      </w:pPr>
      <w:r>
        <w:rPr>
          <w:b w:val="0"/>
          <w:i w:val="0"/>
        </w:rPr>
        <w:t>Any professional, academic, or personal relationship between Dr. Alan Fairhaven and Dr. Rita Peshkov or any other Cascade or Volaris personnel, including the September 2022 co-authored article, related research, grants, consulting, or ongoing contact; and any work by Dr. Fairhaven relating to phase-change heat-exchange technology or ThermalCore.</w:t>
      </w:r>
    </w:p>
    <w:p>
      <w:pPr>
        <w:pStyle w:val="ListNumber"/>
      </w:pPr>
      <w:r>
        <w:rPr>
          <w:b w:val="0"/>
          <w:i w:val="0"/>
        </w:rPr>
        <w:t>All speaking engagements, CLE panels, publications, or public statements since 2020 with counsel of record or addressing IP licensing valuation, reasonable royalties, expert evidence, or PE fund-manager duties in affiliate transactions — including the October 14, 2023 Lakeview CLE.</w:t>
      </w:r>
    </w:p>
    <w:p>
      <w:pPr>
        <w:pStyle w:val="ListNumber"/>
      </w:pPr>
      <w:r>
        <w:rPr>
          <w:b w:val="0"/>
          <w:i w:val="0"/>
        </w:rPr>
        <w:t>The structure and economics of her Lakeview affiliation (employment/contractor/ownership; revenue or fee sharing) and the approximate volume of referrals to Lakeview from each firm.</w:t>
      </w:r>
    </w:p>
    <w:p>
      <w:pPr>
        <w:pStyle w:val="ListNumber"/>
      </w:pPr>
      <w:r>
        <w:rPr>
          <w:b w:val="0"/>
          <w:i w:val="0"/>
        </w:rPr>
        <w:t>Prior matters (anonymized if necessary) in which she decided fiduciary-duty claims against PE fund managers arising from cross-fund or affiliate transactions.</w:t>
      </w:r>
    </w:p>
    <w:p>
      <w:pPr>
        <w:pStyle w:val="Heading1"/>
      </w:pPr>
      <w:r>
        <w:t>Appendix A — Reconciliation of All Matters Involving Either Firm</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368"/>
            <w:shd w:val="clear" w:color="auto" w:fill="D9E2F3"/>
          </w:tcPr>
          <w:p>
            <w:r/>
            <w:r>
              <w:rPr>
                <w:b/>
                <w:sz w:val="16"/>
              </w:rPr>
              <w:t>Case No.</w:t>
            </w:r>
          </w:p>
        </w:tc>
        <w:tc>
          <w:tcPr>
            <w:tcW w:type="dxa" w:w="2592"/>
            <w:shd w:val="clear" w:color="auto" w:fill="D9E2F3"/>
          </w:tcPr>
          <w:p>
            <w:r/>
            <w:r>
              <w:rPr>
                <w:b/>
                <w:sz w:val="16"/>
              </w:rPr>
              <w:t>Matter</w:t>
            </w:r>
          </w:p>
        </w:tc>
        <w:tc>
          <w:tcPr>
            <w:tcW w:type="dxa" w:w="720"/>
            <w:shd w:val="clear" w:color="auto" w:fill="D9E2F3"/>
          </w:tcPr>
          <w:p>
            <w:r/>
            <w:r>
              <w:rPr>
                <w:b/>
                <w:sz w:val="16"/>
              </w:rPr>
              <w:t>Year</w:t>
            </w:r>
          </w:p>
        </w:tc>
        <w:tc>
          <w:tcPr>
            <w:tcW w:type="dxa" w:w="864"/>
            <w:shd w:val="clear" w:color="auto" w:fill="D9E2F3"/>
          </w:tcPr>
          <w:p>
            <w:r/>
            <w:r>
              <w:rPr>
                <w:b/>
                <w:sz w:val="16"/>
              </w:rPr>
              <w:t>B&amp;T role</w:t>
            </w:r>
          </w:p>
        </w:tc>
        <w:tc>
          <w:tcPr>
            <w:tcW w:type="dxa" w:w="864"/>
            <w:shd w:val="clear" w:color="auto" w:fill="D9E2F3"/>
          </w:tcPr>
          <w:p>
            <w:r/>
            <w:r>
              <w:rPr>
                <w:b/>
                <w:sz w:val="16"/>
              </w:rPr>
              <w:t>FM role</w:t>
            </w:r>
          </w:p>
        </w:tc>
        <w:tc>
          <w:tcPr>
            <w:tcW w:type="dxa" w:w="1152"/>
            <w:shd w:val="clear" w:color="auto" w:fill="D9E2F3"/>
          </w:tcPr>
          <w:p>
            <w:r/>
            <w:r>
              <w:rPr>
                <w:b/>
                <w:sz w:val="16"/>
              </w:rPr>
              <w:t>Arbitrator role</w:t>
            </w:r>
          </w:p>
        </w:tc>
        <w:tc>
          <w:tcPr>
            <w:tcW w:type="dxa" w:w="1008"/>
            <w:shd w:val="clear" w:color="auto" w:fill="D9E2F3"/>
          </w:tcPr>
          <w:p>
            <w:r/>
            <w:r>
              <w:rPr>
                <w:b/>
                <w:sz w:val="16"/>
              </w:rPr>
              <w:t>Prevailing</w:t>
            </w:r>
          </w:p>
        </w:tc>
        <w:tc>
          <w:tcPr>
            <w:tcW w:type="dxa" w:w="864"/>
            <w:shd w:val="clear" w:color="auto" w:fill="D9E2F3"/>
          </w:tcPr>
          <w:p>
            <w:r/>
            <w:r>
              <w:rPr>
                <w:b/>
                <w:sz w:val="16"/>
              </w:rPr>
              <w:t>Disclosed?</w:t>
            </w:r>
          </w:p>
        </w:tc>
      </w:tr>
      <w:tr>
        <w:tc>
          <w:tcPr>
            <w:tcW w:type="dxa" w:w="1368"/>
          </w:tcPr>
          <w:p>
            <w:r/>
            <w:r>
              <w:rPr>
                <w:b w:val="0"/>
                <w:i w:val="0"/>
                <w:sz w:val="16"/>
              </w:rPr>
              <w:t>01-21-0001482</w:t>
            </w:r>
          </w:p>
        </w:tc>
        <w:tc>
          <w:tcPr>
            <w:tcW w:type="dxa" w:w="2592"/>
          </w:tcPr>
          <w:p>
            <w:r/>
            <w:r>
              <w:rPr>
                <w:b w:val="0"/>
                <w:i w:val="0"/>
                <w:sz w:val="16"/>
              </w:rPr>
              <w:t>NorthPoint Logistics v. Grainger Holdings</w:t>
            </w:r>
          </w:p>
        </w:tc>
        <w:tc>
          <w:tcPr>
            <w:tcW w:type="dxa" w:w="720"/>
          </w:tcPr>
          <w:p>
            <w:r/>
            <w:r>
              <w:rPr>
                <w:b w:val="0"/>
                <w:i w:val="0"/>
                <w:sz w:val="16"/>
              </w:rPr>
              <w:t>2021</w:t>
            </w:r>
          </w:p>
        </w:tc>
        <w:tc>
          <w:tcPr>
            <w:tcW w:type="dxa" w:w="864"/>
          </w:tcPr>
          <w:p>
            <w:r/>
            <w:r>
              <w:rPr>
                <w:b w:val="0"/>
                <w:i w:val="0"/>
                <w:sz w:val="16"/>
              </w:rPr>
              <w:t>Resp.</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B&amp;T client</w:t>
            </w:r>
          </w:p>
        </w:tc>
        <w:tc>
          <w:tcPr>
            <w:tcW w:type="dxa" w:w="864"/>
          </w:tcPr>
          <w:p>
            <w:r/>
            <w:r>
              <w:rPr>
                <w:b w:val="0"/>
                <w:i w:val="0"/>
                <w:sz w:val="16"/>
              </w:rPr>
              <w:t>Yes (#1)</w:t>
            </w:r>
          </w:p>
        </w:tc>
      </w:tr>
      <w:tr>
        <w:tc>
          <w:tcPr>
            <w:tcW w:type="dxa" w:w="1368"/>
          </w:tcPr>
          <w:p>
            <w:r/>
            <w:r>
              <w:rPr>
                <w:b w:val="0"/>
                <w:i w:val="0"/>
                <w:sz w:val="16"/>
              </w:rPr>
              <w:t>01-21-0001637</w:t>
            </w:r>
          </w:p>
        </w:tc>
        <w:tc>
          <w:tcPr>
            <w:tcW w:type="dxa" w:w="2592"/>
          </w:tcPr>
          <w:p>
            <w:r/>
            <w:r>
              <w:rPr>
                <w:b w:val="0"/>
                <w:i w:val="0"/>
                <w:sz w:val="16"/>
              </w:rPr>
              <w:t>[Confidential] (lease)</w:t>
            </w:r>
          </w:p>
        </w:tc>
        <w:tc>
          <w:tcPr>
            <w:tcW w:type="dxa" w:w="720"/>
          </w:tcPr>
          <w:p>
            <w:r/>
            <w:r>
              <w:rPr>
                <w:b w:val="0"/>
                <w:i w:val="0"/>
                <w:sz w:val="16"/>
              </w:rPr>
              <w:t>2021</w:t>
            </w:r>
          </w:p>
        </w:tc>
        <w:tc>
          <w:tcPr>
            <w:tcW w:type="dxa" w:w="864"/>
          </w:tcPr>
          <w:p>
            <w:r/>
            <w:r>
              <w:rPr>
                <w:b w:val="0"/>
                <w:i w:val="0"/>
                <w:sz w:val="16"/>
              </w:rPr>
              <w:t>—</w:t>
            </w:r>
          </w:p>
        </w:tc>
        <w:tc>
          <w:tcPr>
            <w:tcW w:type="dxa" w:w="864"/>
          </w:tcPr>
          <w:p>
            <w:r/>
            <w:r>
              <w:rPr>
                <w:b w:val="0"/>
                <w:i w:val="0"/>
                <w:sz w:val="16"/>
              </w:rPr>
              <w:t>Claimant</w:t>
            </w:r>
          </w:p>
        </w:tc>
        <w:tc>
          <w:tcPr>
            <w:tcW w:type="dxa" w:w="1152"/>
          </w:tcPr>
          <w:p>
            <w:r/>
            <w:r>
              <w:rPr>
                <w:b w:val="0"/>
                <w:i w:val="0"/>
                <w:sz w:val="16"/>
              </w:rPr>
              <w:t>Sole</w:t>
            </w:r>
          </w:p>
        </w:tc>
        <w:tc>
          <w:tcPr>
            <w:tcW w:type="dxa" w:w="1008"/>
          </w:tcPr>
          <w:p>
            <w:r/>
            <w:r>
              <w:rPr>
                <w:b w:val="0"/>
                <w:i w:val="0"/>
                <w:sz w:val="16"/>
              </w:rPr>
              <w:t>Settled</w:t>
            </w:r>
          </w:p>
        </w:tc>
        <w:tc>
          <w:tcPr>
            <w:tcW w:type="dxa" w:w="864"/>
          </w:tcPr>
          <w:p>
            <w:r/>
            <w:r>
              <w:rPr>
                <w:b w:val="0"/>
                <w:i w:val="0"/>
                <w:sz w:val="16"/>
              </w:rPr>
              <w:t>Yes (#3)</w:t>
            </w:r>
          </w:p>
        </w:tc>
      </w:tr>
      <w:tr>
        <w:tc>
          <w:tcPr>
            <w:tcW w:type="dxa" w:w="1368"/>
          </w:tcPr>
          <w:p>
            <w:r/>
            <w:r>
              <w:rPr>
                <w:b w:val="0"/>
                <w:i w:val="0"/>
                <w:sz w:val="16"/>
              </w:rPr>
              <w:t>01-22-0001894</w:t>
            </w:r>
          </w:p>
        </w:tc>
        <w:tc>
          <w:tcPr>
            <w:tcW w:type="dxa" w:w="2592"/>
          </w:tcPr>
          <w:p>
            <w:r/>
            <w:r>
              <w:rPr>
                <w:b w:val="0"/>
                <w:i w:val="0"/>
                <w:sz w:val="16"/>
              </w:rPr>
              <w:t>Meridian Software v. TelBridge</w:t>
            </w:r>
          </w:p>
        </w:tc>
        <w:tc>
          <w:tcPr>
            <w:tcW w:type="dxa" w:w="720"/>
          </w:tcPr>
          <w:p>
            <w:r/>
            <w:r>
              <w:rPr>
                <w:b w:val="0"/>
                <w:i w:val="0"/>
                <w:sz w:val="16"/>
              </w:rPr>
              <w:t>2022</w:t>
            </w:r>
          </w:p>
        </w:tc>
        <w:tc>
          <w:tcPr>
            <w:tcW w:type="dxa" w:w="864"/>
          </w:tcPr>
          <w:p>
            <w:r/>
            <w:r>
              <w:rPr>
                <w:b w:val="0"/>
                <w:i w:val="0"/>
                <w:sz w:val="16"/>
              </w:rPr>
              <w:t>Claimant</w:t>
            </w:r>
          </w:p>
        </w:tc>
        <w:tc>
          <w:tcPr>
            <w:tcW w:type="dxa" w:w="864"/>
          </w:tcPr>
          <w:p>
            <w:r/>
            <w:r>
              <w:rPr>
                <w:b w:val="0"/>
                <w:i w:val="0"/>
                <w:sz w:val="16"/>
              </w:rPr>
              <w:t>—</w:t>
            </w:r>
          </w:p>
        </w:tc>
        <w:tc>
          <w:tcPr>
            <w:tcW w:type="dxa" w:w="1152"/>
          </w:tcPr>
          <w:p>
            <w:r/>
            <w:r>
              <w:rPr>
                <w:b w:val="0"/>
                <w:i w:val="0"/>
                <w:sz w:val="16"/>
              </w:rPr>
              <w:t>Chair</w:t>
            </w:r>
          </w:p>
        </w:tc>
        <w:tc>
          <w:tcPr>
            <w:tcW w:type="dxa" w:w="1008"/>
          </w:tcPr>
          <w:p>
            <w:r/>
            <w:r>
              <w:rPr>
                <w:b w:val="0"/>
                <w:i w:val="0"/>
                <w:sz w:val="16"/>
              </w:rPr>
              <w:t>B&amp;T client</w:t>
            </w:r>
          </w:p>
        </w:tc>
        <w:tc>
          <w:tcPr>
            <w:tcW w:type="dxa" w:w="864"/>
          </w:tcPr>
          <w:p>
            <w:r/>
            <w:r>
              <w:rPr>
                <w:b w:val="0"/>
                <w:i w:val="0"/>
                <w:sz w:val="16"/>
              </w:rPr>
              <w:t>Yes (#2)</w:t>
            </w:r>
          </w:p>
        </w:tc>
      </w:tr>
      <w:tr>
        <w:tc>
          <w:tcPr>
            <w:tcW w:type="dxa" w:w="1368"/>
          </w:tcPr>
          <w:p>
            <w:r/>
            <w:r>
              <w:rPr>
                <w:b w:val="0"/>
                <w:i w:val="0"/>
                <w:sz w:val="16"/>
              </w:rPr>
              <w:t>01-22-0001952</w:t>
            </w:r>
          </w:p>
        </w:tc>
        <w:tc>
          <w:tcPr>
            <w:tcW w:type="dxa" w:w="2592"/>
          </w:tcPr>
          <w:p>
            <w:r/>
            <w:r>
              <w:rPr>
                <w:b w:val="0"/>
                <w:i w:val="0"/>
                <w:sz w:val="16"/>
              </w:rPr>
              <w:t>Braddock Industries v. Summit Ridge Capital</w:t>
            </w:r>
          </w:p>
        </w:tc>
        <w:tc>
          <w:tcPr>
            <w:tcW w:type="dxa" w:w="720"/>
          </w:tcPr>
          <w:p>
            <w:r/>
            <w:r>
              <w:rPr>
                <w:b w:val="0"/>
                <w:i w:val="0"/>
                <w:sz w:val="16"/>
              </w:rPr>
              <w:t>2022</w:t>
            </w:r>
          </w:p>
        </w:tc>
        <w:tc>
          <w:tcPr>
            <w:tcW w:type="dxa" w:w="864"/>
          </w:tcPr>
          <w:p>
            <w:r/>
            <w:r>
              <w:rPr>
                <w:b w:val="0"/>
                <w:i w:val="0"/>
                <w:sz w:val="16"/>
              </w:rPr>
              <w:t>Claimant</w:t>
            </w:r>
          </w:p>
        </w:tc>
        <w:tc>
          <w:tcPr>
            <w:tcW w:type="dxa" w:w="864"/>
          </w:tcPr>
          <w:p>
            <w:r/>
            <w:r>
              <w:rPr>
                <w:b w:val="0"/>
                <w:i w:val="0"/>
                <w:sz w:val="16"/>
              </w:rPr>
              <w:t>—</w:t>
            </w:r>
          </w:p>
        </w:tc>
        <w:tc>
          <w:tcPr>
            <w:tcW w:type="dxa" w:w="1152"/>
          </w:tcPr>
          <w:p>
            <w:r/>
            <w:r>
              <w:rPr>
                <w:b w:val="0"/>
                <w:i w:val="0"/>
                <w:sz w:val="16"/>
              </w:rPr>
              <w:t>Party-appointed (B&amp;T side)</w:t>
            </w:r>
          </w:p>
        </w:tc>
        <w:tc>
          <w:tcPr>
            <w:tcW w:type="dxa" w:w="1008"/>
          </w:tcPr>
          <w:p>
            <w:r/>
            <w:r>
              <w:rPr>
                <w:b w:val="0"/>
                <w:i w:val="0"/>
                <w:sz w:val="16"/>
              </w:rPr>
              <w:t>B&amp;T client</w:t>
            </w:r>
          </w:p>
        </w:tc>
        <w:tc>
          <w:tcPr>
            <w:tcW w:type="dxa" w:w="864"/>
          </w:tcPr>
          <w:p>
            <w:r/>
            <w:r>
              <w:rPr>
                <w:b w:val="0"/>
                <w:i w:val="0"/>
                <w:sz w:val="16"/>
              </w:rPr>
              <w:t>Yes (#5)</w:t>
            </w:r>
          </w:p>
        </w:tc>
      </w:tr>
      <w:tr>
        <w:tc>
          <w:tcPr>
            <w:tcW w:type="dxa" w:w="1368"/>
          </w:tcPr>
          <w:p>
            <w:r/>
            <w:r>
              <w:rPr>
                <w:b w:val="0"/>
                <w:i w:val="0"/>
                <w:sz w:val="16"/>
              </w:rPr>
              <w:t>01-22-0002015</w:t>
            </w:r>
          </w:p>
        </w:tc>
        <w:tc>
          <w:tcPr>
            <w:tcW w:type="dxa" w:w="2592"/>
          </w:tcPr>
          <w:p>
            <w:r/>
            <w:r>
              <w:rPr>
                <w:b w:val="0"/>
                <w:i w:val="0"/>
                <w:sz w:val="16"/>
              </w:rPr>
              <w:t>Crestfield Energy v. Loran Industrial</w:t>
            </w:r>
          </w:p>
        </w:tc>
        <w:tc>
          <w:tcPr>
            <w:tcW w:type="dxa" w:w="720"/>
          </w:tcPr>
          <w:p>
            <w:r/>
            <w:r>
              <w:rPr>
                <w:b w:val="0"/>
                <w:i w:val="0"/>
                <w:sz w:val="16"/>
              </w:rPr>
              <w:t>2022</w:t>
            </w:r>
          </w:p>
        </w:tc>
        <w:tc>
          <w:tcPr>
            <w:tcW w:type="dxa" w:w="864"/>
          </w:tcPr>
          <w:p>
            <w:r/>
            <w:r>
              <w:rPr>
                <w:b w:val="0"/>
                <w:i w:val="0"/>
                <w:sz w:val="16"/>
              </w:rPr>
              <w:t>Claimant</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B&amp;T client</w:t>
            </w:r>
          </w:p>
        </w:tc>
        <w:tc>
          <w:tcPr>
            <w:tcW w:type="dxa" w:w="864"/>
          </w:tcPr>
          <w:p>
            <w:r/>
            <w:r>
              <w:rPr>
                <w:b/>
                <w:i w:val="0"/>
                <w:sz w:val="16"/>
              </w:rPr>
              <w:t>No</w:t>
            </w:r>
          </w:p>
        </w:tc>
      </w:tr>
      <w:tr>
        <w:tc>
          <w:tcPr>
            <w:tcW w:type="dxa" w:w="1368"/>
          </w:tcPr>
          <w:p>
            <w:r/>
            <w:r>
              <w:rPr>
                <w:b w:val="0"/>
                <w:i w:val="0"/>
                <w:sz w:val="16"/>
              </w:rPr>
              <w:t>01-22-0002089</w:t>
            </w:r>
          </w:p>
        </w:tc>
        <w:tc>
          <w:tcPr>
            <w:tcW w:type="dxa" w:w="2592"/>
          </w:tcPr>
          <w:p>
            <w:r/>
            <w:r>
              <w:rPr>
                <w:b w:val="0"/>
                <w:i w:val="0"/>
                <w:sz w:val="16"/>
              </w:rPr>
              <w:t>Ashford Medical Devices v. Greenway</w:t>
            </w:r>
          </w:p>
        </w:tc>
        <w:tc>
          <w:tcPr>
            <w:tcW w:type="dxa" w:w="720"/>
          </w:tcPr>
          <w:p>
            <w:r/>
            <w:r>
              <w:rPr>
                <w:b w:val="0"/>
                <w:i w:val="0"/>
                <w:sz w:val="16"/>
              </w:rPr>
              <w:t>2022</w:t>
            </w:r>
          </w:p>
        </w:tc>
        <w:tc>
          <w:tcPr>
            <w:tcW w:type="dxa" w:w="864"/>
          </w:tcPr>
          <w:p>
            <w:r/>
            <w:r>
              <w:rPr>
                <w:b w:val="0"/>
                <w:i w:val="0"/>
                <w:sz w:val="16"/>
              </w:rPr>
              <w:t>Resp.</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B&amp;T client</w:t>
            </w:r>
          </w:p>
        </w:tc>
        <w:tc>
          <w:tcPr>
            <w:tcW w:type="dxa" w:w="864"/>
          </w:tcPr>
          <w:p>
            <w:r/>
            <w:r>
              <w:rPr>
                <w:b/>
                <w:i w:val="0"/>
                <w:sz w:val="16"/>
              </w:rPr>
              <w:t>No</w:t>
            </w:r>
          </w:p>
        </w:tc>
      </w:tr>
      <w:tr>
        <w:tc>
          <w:tcPr>
            <w:tcW w:type="dxa" w:w="1368"/>
          </w:tcPr>
          <w:p>
            <w:r/>
            <w:r>
              <w:rPr>
                <w:b w:val="0"/>
                <w:i w:val="0"/>
                <w:sz w:val="16"/>
              </w:rPr>
              <w:t>01-22-0002134</w:t>
            </w:r>
          </w:p>
        </w:tc>
        <w:tc>
          <w:tcPr>
            <w:tcW w:type="dxa" w:w="2592"/>
          </w:tcPr>
          <w:p>
            <w:r/>
            <w:r>
              <w:rPr>
                <w:b w:val="0"/>
                <w:i w:val="0"/>
                <w:sz w:val="16"/>
              </w:rPr>
              <w:t>Westbrook Partners v. Arcadian Ventures</w:t>
            </w:r>
          </w:p>
        </w:tc>
        <w:tc>
          <w:tcPr>
            <w:tcW w:type="dxa" w:w="720"/>
          </w:tcPr>
          <w:p>
            <w:r/>
            <w:r>
              <w:rPr>
                <w:b w:val="0"/>
                <w:i w:val="0"/>
                <w:sz w:val="16"/>
              </w:rPr>
              <w:t>2022</w:t>
            </w:r>
          </w:p>
        </w:tc>
        <w:tc>
          <w:tcPr>
            <w:tcW w:type="dxa" w:w="864"/>
          </w:tcPr>
          <w:p>
            <w:r/>
            <w:r>
              <w:rPr>
                <w:b w:val="0"/>
                <w:i w:val="0"/>
                <w:sz w:val="16"/>
              </w:rPr>
              <w:t>Resp.</w:t>
            </w:r>
          </w:p>
        </w:tc>
        <w:tc>
          <w:tcPr>
            <w:tcW w:type="dxa" w:w="864"/>
          </w:tcPr>
          <w:p>
            <w:r/>
            <w:r>
              <w:rPr>
                <w:b w:val="0"/>
                <w:i w:val="0"/>
                <w:sz w:val="16"/>
              </w:rPr>
              <w:t>Claimant</w:t>
            </w:r>
          </w:p>
        </w:tc>
        <w:tc>
          <w:tcPr>
            <w:tcW w:type="dxa" w:w="1152"/>
          </w:tcPr>
          <w:p>
            <w:r/>
            <w:r>
              <w:rPr>
                <w:b w:val="0"/>
                <w:i w:val="0"/>
                <w:sz w:val="16"/>
              </w:rPr>
              <w:t>Sole</w:t>
            </w:r>
          </w:p>
        </w:tc>
        <w:tc>
          <w:tcPr>
            <w:tcW w:type="dxa" w:w="1008"/>
          </w:tcPr>
          <w:p>
            <w:r/>
            <w:r>
              <w:rPr>
                <w:b w:val="0"/>
                <w:i w:val="0"/>
                <w:sz w:val="16"/>
              </w:rPr>
              <w:t>B&amp;T client</w:t>
            </w:r>
          </w:p>
        </w:tc>
        <w:tc>
          <w:tcPr>
            <w:tcW w:type="dxa" w:w="864"/>
          </w:tcPr>
          <w:p>
            <w:r/>
            <w:r>
              <w:rPr>
                <w:b/>
                <w:i w:val="0"/>
                <w:sz w:val="16"/>
              </w:rPr>
              <w:t>No</w:t>
            </w:r>
          </w:p>
        </w:tc>
      </w:tr>
      <w:tr>
        <w:tc>
          <w:tcPr>
            <w:tcW w:type="dxa" w:w="1368"/>
          </w:tcPr>
          <w:p>
            <w:r/>
            <w:r>
              <w:rPr>
                <w:b w:val="0"/>
                <w:i w:val="0"/>
                <w:sz w:val="16"/>
              </w:rPr>
              <w:t>01-23-0002387</w:t>
            </w:r>
          </w:p>
        </w:tc>
        <w:tc>
          <w:tcPr>
            <w:tcW w:type="dxa" w:w="2592"/>
          </w:tcPr>
          <w:p>
            <w:r/>
            <w:r>
              <w:rPr>
                <w:b w:val="0"/>
                <w:i w:val="0"/>
                <w:sz w:val="16"/>
              </w:rPr>
              <w:t>Clearwater Dynamics v. Prism Health</w:t>
            </w:r>
          </w:p>
        </w:tc>
        <w:tc>
          <w:tcPr>
            <w:tcW w:type="dxa" w:w="720"/>
          </w:tcPr>
          <w:p>
            <w:r/>
            <w:r>
              <w:rPr>
                <w:b w:val="0"/>
                <w:i w:val="0"/>
                <w:sz w:val="16"/>
              </w:rPr>
              <w:t>2023</w:t>
            </w:r>
          </w:p>
        </w:tc>
        <w:tc>
          <w:tcPr>
            <w:tcW w:type="dxa" w:w="864"/>
          </w:tcPr>
          <w:p>
            <w:r/>
            <w:r>
              <w:rPr>
                <w:b w:val="0"/>
                <w:i w:val="0"/>
                <w:sz w:val="16"/>
              </w:rPr>
              <w:t>—</w:t>
            </w:r>
          </w:p>
        </w:tc>
        <w:tc>
          <w:tcPr>
            <w:tcW w:type="dxa" w:w="864"/>
          </w:tcPr>
          <w:p>
            <w:r/>
            <w:r>
              <w:rPr>
                <w:b w:val="0"/>
                <w:i w:val="0"/>
                <w:sz w:val="16"/>
              </w:rPr>
              <w:t>Claimant</w:t>
            </w:r>
          </w:p>
        </w:tc>
        <w:tc>
          <w:tcPr>
            <w:tcW w:type="dxa" w:w="1152"/>
          </w:tcPr>
          <w:p>
            <w:r/>
            <w:r>
              <w:rPr>
                <w:b w:val="0"/>
                <w:i w:val="0"/>
                <w:sz w:val="16"/>
              </w:rPr>
              <w:t>Sole</w:t>
            </w:r>
          </w:p>
        </w:tc>
        <w:tc>
          <w:tcPr>
            <w:tcW w:type="dxa" w:w="1008"/>
          </w:tcPr>
          <w:p>
            <w:r/>
            <w:r>
              <w:rPr>
                <w:b w:val="0"/>
                <w:i w:val="0"/>
                <w:sz w:val="16"/>
              </w:rPr>
              <w:t>Opponent</w:t>
            </w:r>
          </w:p>
        </w:tc>
        <w:tc>
          <w:tcPr>
            <w:tcW w:type="dxa" w:w="864"/>
          </w:tcPr>
          <w:p>
            <w:r/>
            <w:r>
              <w:rPr>
                <w:b w:val="0"/>
                <w:i w:val="0"/>
                <w:sz w:val="16"/>
              </w:rPr>
              <w:t>Yes (#4)</w:t>
            </w:r>
          </w:p>
        </w:tc>
      </w:tr>
      <w:tr>
        <w:tc>
          <w:tcPr>
            <w:tcW w:type="dxa" w:w="1368"/>
          </w:tcPr>
          <w:p>
            <w:r/>
            <w:r>
              <w:rPr>
                <w:b w:val="0"/>
                <w:i w:val="0"/>
                <w:sz w:val="16"/>
              </w:rPr>
              <w:t>01-23-0002445</w:t>
            </w:r>
          </w:p>
        </w:tc>
        <w:tc>
          <w:tcPr>
            <w:tcW w:type="dxa" w:w="2592"/>
          </w:tcPr>
          <w:p>
            <w:r/>
            <w:r>
              <w:rPr>
                <w:b w:val="0"/>
                <w:i w:val="0"/>
                <w:sz w:val="16"/>
              </w:rPr>
              <w:t>Trident Coatings v. Bayshore Chemical</w:t>
            </w:r>
          </w:p>
        </w:tc>
        <w:tc>
          <w:tcPr>
            <w:tcW w:type="dxa" w:w="720"/>
          </w:tcPr>
          <w:p>
            <w:r/>
            <w:r>
              <w:rPr>
                <w:b w:val="0"/>
                <w:i w:val="0"/>
                <w:sz w:val="16"/>
              </w:rPr>
              <w:t>2023</w:t>
            </w:r>
          </w:p>
        </w:tc>
        <w:tc>
          <w:tcPr>
            <w:tcW w:type="dxa" w:w="864"/>
          </w:tcPr>
          <w:p>
            <w:r/>
            <w:r>
              <w:rPr>
                <w:b w:val="0"/>
                <w:i w:val="0"/>
                <w:sz w:val="16"/>
              </w:rPr>
              <w:t>Claimant</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Opponent</w:t>
            </w:r>
          </w:p>
        </w:tc>
        <w:tc>
          <w:tcPr>
            <w:tcW w:type="dxa" w:w="864"/>
          </w:tcPr>
          <w:p>
            <w:r/>
            <w:r>
              <w:rPr>
                <w:b/>
                <w:i w:val="0"/>
                <w:sz w:val="16"/>
              </w:rPr>
              <w:t>No</w:t>
            </w:r>
          </w:p>
        </w:tc>
      </w:tr>
      <w:tr>
        <w:tc>
          <w:tcPr>
            <w:tcW w:type="dxa" w:w="1368"/>
          </w:tcPr>
          <w:p>
            <w:r/>
            <w:r>
              <w:rPr>
                <w:b w:val="0"/>
                <w:i w:val="0"/>
                <w:sz w:val="16"/>
              </w:rPr>
              <w:t>01-23-0002578</w:t>
            </w:r>
          </w:p>
        </w:tc>
        <w:tc>
          <w:tcPr>
            <w:tcW w:type="dxa" w:w="2592"/>
          </w:tcPr>
          <w:p>
            <w:r/>
            <w:r>
              <w:rPr>
                <w:b w:val="0"/>
                <w:i w:val="0"/>
                <w:sz w:val="16"/>
              </w:rPr>
              <w:t>Redstone Logistics v. Fairfield Transport</w:t>
            </w:r>
          </w:p>
        </w:tc>
        <w:tc>
          <w:tcPr>
            <w:tcW w:type="dxa" w:w="720"/>
          </w:tcPr>
          <w:p>
            <w:r/>
            <w:r>
              <w:rPr>
                <w:b w:val="0"/>
                <w:i w:val="0"/>
                <w:sz w:val="16"/>
              </w:rPr>
              <w:t>2023</w:t>
            </w:r>
          </w:p>
        </w:tc>
        <w:tc>
          <w:tcPr>
            <w:tcW w:type="dxa" w:w="864"/>
          </w:tcPr>
          <w:p>
            <w:r/>
            <w:r>
              <w:rPr>
                <w:b w:val="0"/>
                <w:i w:val="0"/>
                <w:sz w:val="16"/>
              </w:rPr>
              <w:t>Resp.</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B&amp;T client</w:t>
            </w:r>
          </w:p>
        </w:tc>
        <w:tc>
          <w:tcPr>
            <w:tcW w:type="dxa" w:w="864"/>
          </w:tcPr>
          <w:p>
            <w:r/>
            <w:r>
              <w:rPr>
                <w:b/>
                <w:i w:val="0"/>
                <w:sz w:val="16"/>
              </w:rPr>
              <w:t>No</w:t>
            </w:r>
          </w:p>
        </w:tc>
      </w:tr>
      <w:tr>
        <w:tc>
          <w:tcPr>
            <w:tcW w:type="dxa" w:w="1368"/>
          </w:tcPr>
          <w:p>
            <w:r/>
            <w:r>
              <w:rPr>
                <w:b w:val="0"/>
                <w:i w:val="0"/>
                <w:sz w:val="16"/>
              </w:rPr>
              <w:t>01-23-0002643</w:t>
            </w:r>
          </w:p>
        </w:tc>
        <w:tc>
          <w:tcPr>
            <w:tcW w:type="dxa" w:w="2592"/>
          </w:tcPr>
          <w:p>
            <w:r/>
            <w:r>
              <w:rPr>
                <w:b w:val="0"/>
                <w:i w:val="0"/>
                <w:sz w:val="16"/>
              </w:rPr>
              <w:t>Thornwall Systems v. Kessler Automation</w:t>
            </w:r>
          </w:p>
        </w:tc>
        <w:tc>
          <w:tcPr>
            <w:tcW w:type="dxa" w:w="720"/>
          </w:tcPr>
          <w:p>
            <w:r/>
            <w:r>
              <w:rPr>
                <w:b w:val="0"/>
                <w:i w:val="0"/>
                <w:sz w:val="16"/>
              </w:rPr>
              <w:t>2023</w:t>
            </w:r>
          </w:p>
        </w:tc>
        <w:tc>
          <w:tcPr>
            <w:tcW w:type="dxa" w:w="864"/>
          </w:tcPr>
          <w:p>
            <w:r/>
            <w:r>
              <w:rPr>
                <w:b w:val="0"/>
                <w:i w:val="0"/>
                <w:sz w:val="16"/>
              </w:rPr>
              <w:t>—</w:t>
            </w:r>
          </w:p>
        </w:tc>
        <w:tc>
          <w:tcPr>
            <w:tcW w:type="dxa" w:w="864"/>
          </w:tcPr>
          <w:p>
            <w:r/>
            <w:r>
              <w:rPr>
                <w:b w:val="0"/>
                <w:i w:val="0"/>
                <w:sz w:val="16"/>
              </w:rPr>
              <w:t>Resp.</w:t>
            </w:r>
          </w:p>
        </w:tc>
        <w:tc>
          <w:tcPr>
            <w:tcW w:type="dxa" w:w="1152"/>
          </w:tcPr>
          <w:p>
            <w:r/>
            <w:r>
              <w:rPr>
                <w:b w:val="0"/>
                <w:i w:val="0"/>
                <w:sz w:val="16"/>
              </w:rPr>
              <w:t>Sole</w:t>
            </w:r>
          </w:p>
        </w:tc>
        <w:tc>
          <w:tcPr>
            <w:tcW w:type="dxa" w:w="1008"/>
          </w:tcPr>
          <w:p>
            <w:r/>
            <w:r>
              <w:rPr>
                <w:b w:val="0"/>
                <w:i w:val="0"/>
                <w:sz w:val="16"/>
              </w:rPr>
              <w:t>Opponent</w:t>
            </w:r>
          </w:p>
        </w:tc>
        <w:tc>
          <w:tcPr>
            <w:tcW w:type="dxa" w:w="864"/>
          </w:tcPr>
          <w:p>
            <w:r/>
            <w:r>
              <w:rPr>
                <w:b/>
                <w:i w:val="0"/>
                <w:sz w:val="16"/>
              </w:rPr>
              <w:t>No</w:t>
            </w:r>
          </w:p>
        </w:tc>
      </w:tr>
      <w:tr>
        <w:tc>
          <w:tcPr>
            <w:tcW w:type="dxa" w:w="1368"/>
          </w:tcPr>
          <w:p>
            <w:r/>
            <w:r>
              <w:rPr>
                <w:b w:val="0"/>
                <w:i w:val="0"/>
                <w:sz w:val="16"/>
              </w:rPr>
              <w:t>01-23-0002789</w:t>
            </w:r>
          </w:p>
        </w:tc>
        <w:tc>
          <w:tcPr>
            <w:tcW w:type="dxa" w:w="2592"/>
          </w:tcPr>
          <w:p>
            <w:r/>
            <w:r>
              <w:rPr>
                <w:b w:val="0"/>
                <w:i w:val="0"/>
                <w:sz w:val="16"/>
              </w:rPr>
              <w:t>Warwick Technologies v. Cypress Digital</w:t>
            </w:r>
          </w:p>
        </w:tc>
        <w:tc>
          <w:tcPr>
            <w:tcW w:type="dxa" w:w="720"/>
          </w:tcPr>
          <w:p>
            <w:r/>
            <w:r>
              <w:rPr>
                <w:b w:val="0"/>
                <w:i w:val="0"/>
                <w:sz w:val="16"/>
              </w:rPr>
              <w:t>2023</w:t>
            </w:r>
          </w:p>
        </w:tc>
        <w:tc>
          <w:tcPr>
            <w:tcW w:type="dxa" w:w="864"/>
          </w:tcPr>
          <w:p>
            <w:r/>
            <w:r>
              <w:rPr>
                <w:b w:val="0"/>
                <w:i w:val="0"/>
                <w:sz w:val="16"/>
              </w:rPr>
              <w:t>Claimant</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B&amp;T client</w:t>
            </w:r>
          </w:p>
        </w:tc>
        <w:tc>
          <w:tcPr>
            <w:tcW w:type="dxa" w:w="864"/>
          </w:tcPr>
          <w:p>
            <w:r/>
            <w:r>
              <w:rPr>
                <w:b/>
                <w:i w:val="0"/>
                <w:sz w:val="16"/>
              </w:rPr>
              <w:t>No</w:t>
            </w:r>
          </w:p>
        </w:tc>
      </w:tr>
      <w:tr>
        <w:tc>
          <w:tcPr>
            <w:tcW w:type="dxa" w:w="1368"/>
          </w:tcPr>
          <w:p>
            <w:r/>
            <w:r>
              <w:rPr>
                <w:b w:val="0"/>
                <w:i w:val="0"/>
                <w:sz w:val="16"/>
              </w:rPr>
              <w:t>01-24-0002901</w:t>
            </w:r>
          </w:p>
        </w:tc>
        <w:tc>
          <w:tcPr>
            <w:tcW w:type="dxa" w:w="2592"/>
          </w:tcPr>
          <w:p>
            <w:r/>
            <w:r>
              <w:rPr>
                <w:b w:val="0"/>
                <w:i w:val="0"/>
                <w:sz w:val="16"/>
              </w:rPr>
              <w:t>DataSync Solutions v. PivotEdge Analytics</w:t>
            </w:r>
          </w:p>
        </w:tc>
        <w:tc>
          <w:tcPr>
            <w:tcW w:type="dxa" w:w="720"/>
          </w:tcPr>
          <w:p>
            <w:r/>
            <w:r>
              <w:rPr>
                <w:b w:val="0"/>
                <w:i w:val="0"/>
                <w:sz w:val="16"/>
              </w:rPr>
              <w:t>2024</w:t>
            </w:r>
          </w:p>
        </w:tc>
        <w:tc>
          <w:tcPr>
            <w:tcW w:type="dxa" w:w="864"/>
          </w:tcPr>
          <w:p>
            <w:r/>
            <w:r>
              <w:rPr>
                <w:b w:val="0"/>
                <w:i w:val="0"/>
                <w:sz w:val="16"/>
              </w:rPr>
              <w:t>—</w:t>
            </w:r>
          </w:p>
        </w:tc>
        <w:tc>
          <w:tcPr>
            <w:tcW w:type="dxa" w:w="864"/>
          </w:tcPr>
          <w:p>
            <w:r/>
            <w:r>
              <w:rPr>
                <w:b w:val="0"/>
                <w:i w:val="0"/>
                <w:sz w:val="16"/>
              </w:rPr>
              <w:t>Resp.</w:t>
            </w:r>
          </w:p>
        </w:tc>
        <w:tc>
          <w:tcPr>
            <w:tcW w:type="dxa" w:w="1152"/>
          </w:tcPr>
          <w:p>
            <w:r/>
            <w:r>
              <w:rPr>
                <w:b w:val="0"/>
                <w:i w:val="0"/>
                <w:sz w:val="16"/>
              </w:rPr>
              <w:t>Sole</w:t>
            </w:r>
          </w:p>
        </w:tc>
        <w:tc>
          <w:tcPr>
            <w:tcW w:type="dxa" w:w="1008"/>
          </w:tcPr>
          <w:p>
            <w:r/>
            <w:r>
              <w:rPr>
                <w:b w:val="0"/>
                <w:i w:val="0"/>
                <w:sz w:val="16"/>
              </w:rPr>
              <w:t>FM client</w:t>
            </w:r>
          </w:p>
        </w:tc>
        <w:tc>
          <w:tcPr>
            <w:tcW w:type="dxa" w:w="864"/>
          </w:tcPr>
          <w:p>
            <w:r/>
            <w:r>
              <w:rPr>
                <w:b w:val="0"/>
                <w:i w:val="0"/>
                <w:sz w:val="16"/>
              </w:rPr>
              <w:t>Yes (#7)</w:t>
            </w:r>
          </w:p>
        </w:tc>
      </w:tr>
      <w:tr>
        <w:tc>
          <w:tcPr>
            <w:tcW w:type="dxa" w:w="1368"/>
          </w:tcPr>
          <w:p>
            <w:r/>
            <w:r>
              <w:rPr>
                <w:b w:val="0"/>
                <w:i w:val="0"/>
                <w:sz w:val="16"/>
              </w:rPr>
              <w:t>01-23-0002856</w:t>
            </w:r>
          </w:p>
        </w:tc>
        <w:tc>
          <w:tcPr>
            <w:tcW w:type="dxa" w:w="2592"/>
          </w:tcPr>
          <w:p>
            <w:r/>
            <w:r>
              <w:rPr>
                <w:b w:val="0"/>
                <w:i w:val="0"/>
                <w:sz w:val="16"/>
              </w:rPr>
              <w:t>Orion Fabrication v. Mountain West Supply</w:t>
            </w:r>
          </w:p>
        </w:tc>
        <w:tc>
          <w:tcPr>
            <w:tcW w:type="dxa" w:w="720"/>
          </w:tcPr>
          <w:p>
            <w:r/>
            <w:r>
              <w:rPr>
                <w:b w:val="0"/>
                <w:i w:val="0"/>
                <w:sz w:val="16"/>
              </w:rPr>
              <w:t>Pending</w:t>
            </w:r>
          </w:p>
        </w:tc>
        <w:tc>
          <w:tcPr>
            <w:tcW w:type="dxa" w:w="864"/>
          </w:tcPr>
          <w:p>
            <w:r/>
            <w:r>
              <w:rPr>
                <w:b w:val="0"/>
                <w:i w:val="0"/>
                <w:sz w:val="16"/>
              </w:rPr>
              <w:t>Resp.</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Award pending</w:t>
            </w:r>
          </w:p>
        </w:tc>
        <w:tc>
          <w:tcPr>
            <w:tcW w:type="dxa" w:w="864"/>
          </w:tcPr>
          <w:p>
            <w:r/>
            <w:r>
              <w:rPr>
                <w:b w:val="0"/>
                <w:i w:val="0"/>
                <w:sz w:val="16"/>
              </w:rPr>
              <w:t>Yes (#6)</w:t>
            </w:r>
          </w:p>
        </w:tc>
      </w:tr>
      <w:tr>
        <w:tc>
          <w:tcPr>
            <w:tcW w:type="dxa" w:w="1368"/>
          </w:tcPr>
          <w:p>
            <w:r/>
            <w:r>
              <w:rPr>
                <w:b w:val="0"/>
                <w:i w:val="0"/>
                <w:sz w:val="16"/>
              </w:rPr>
              <w:t>01-24-0003105</w:t>
            </w:r>
          </w:p>
        </w:tc>
        <w:tc>
          <w:tcPr>
            <w:tcW w:type="dxa" w:w="2592"/>
          </w:tcPr>
          <w:p>
            <w:r/>
            <w:r>
              <w:rPr>
                <w:b w:val="0"/>
                <w:i w:val="0"/>
                <w:sz w:val="16"/>
              </w:rPr>
              <w:t>Halcyon Biotech v. Stonewall Partners</w:t>
            </w:r>
          </w:p>
        </w:tc>
        <w:tc>
          <w:tcPr>
            <w:tcW w:type="dxa" w:w="720"/>
          </w:tcPr>
          <w:p>
            <w:r/>
            <w:r>
              <w:rPr>
                <w:b w:val="0"/>
                <w:i w:val="0"/>
                <w:sz w:val="16"/>
              </w:rPr>
              <w:t>Pending</w:t>
            </w:r>
          </w:p>
        </w:tc>
        <w:tc>
          <w:tcPr>
            <w:tcW w:type="dxa" w:w="864"/>
          </w:tcPr>
          <w:p>
            <w:r/>
            <w:r>
              <w:rPr>
                <w:b w:val="0"/>
                <w:i w:val="0"/>
                <w:sz w:val="16"/>
              </w:rPr>
              <w:t>Resp.</w:t>
            </w:r>
          </w:p>
        </w:tc>
        <w:tc>
          <w:tcPr>
            <w:tcW w:type="dxa" w:w="864"/>
          </w:tcPr>
          <w:p>
            <w:r/>
            <w:r>
              <w:rPr>
                <w:b w:val="0"/>
                <w:i w:val="0"/>
                <w:sz w:val="16"/>
              </w:rPr>
              <w:t>—</w:t>
            </w:r>
          </w:p>
        </w:tc>
        <w:tc>
          <w:tcPr>
            <w:tcW w:type="dxa" w:w="1152"/>
          </w:tcPr>
          <w:p>
            <w:r/>
            <w:r>
              <w:rPr>
                <w:b w:val="0"/>
                <w:i w:val="0"/>
                <w:sz w:val="16"/>
              </w:rPr>
              <w:t>Sole</w:t>
            </w:r>
          </w:p>
        </w:tc>
        <w:tc>
          <w:tcPr>
            <w:tcW w:type="dxa" w:w="1008"/>
          </w:tcPr>
          <w:p>
            <w:r/>
            <w:r>
              <w:rPr>
                <w:b w:val="0"/>
                <w:i w:val="0"/>
                <w:sz w:val="16"/>
              </w:rPr>
              <w:t>Pre-hearing</w:t>
            </w:r>
          </w:p>
        </w:tc>
        <w:tc>
          <w:tcPr>
            <w:tcW w:type="dxa" w:w="864"/>
          </w:tcPr>
          <w:p>
            <w:r/>
            <w:r>
              <w:rPr>
                <w:b/>
                <w:i w:val="0"/>
                <w:sz w:val="16"/>
              </w:rPr>
              <w:t>No</w:t>
            </w:r>
          </w:p>
        </w:tc>
      </w:tr>
    </w:tbl>
    <w:p/>
    <w:p>
      <w:pPr>
        <w:pStyle w:val="Heading1"/>
      </w:pPr>
      <w:r>
        <w:t>Appendix B — Errors in the Internal Work Product to Correct Before Any Use</w:t>
      </w:r>
    </w:p>
    <w:p>
      <w:pPr>
        <w:jc w:val="both"/>
      </w:pPr>
      <w:r>
        <w:rPr>
          <w:b w:val="0"/>
          <w:i w:val="0"/>
        </w:rPr>
        <w:t>The June 19, 2024 Entity and Relationship Profiles memorandum and the workbook summary rows contain the following errors. These should be corrected before any figure is used in correspondence with the client or the AAA.</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17"/>
              </w:rPr>
              <w:t>Source</w:t>
            </w:r>
          </w:p>
        </w:tc>
        <w:tc>
          <w:tcPr>
            <w:tcW w:type="dxa" w:w="3168"/>
            <w:shd w:val="clear" w:color="auto" w:fill="D9E2F3"/>
          </w:tcPr>
          <w:p>
            <w:r/>
            <w:r>
              <w:rPr>
                <w:b/>
                <w:sz w:val="17"/>
              </w:rPr>
              <w:t>Statement</w:t>
            </w:r>
          </w:p>
        </w:tc>
        <w:tc>
          <w:tcPr>
            <w:tcW w:type="dxa" w:w="3888"/>
            <w:shd w:val="clear" w:color="auto" w:fill="D9E2F3"/>
          </w:tcPr>
          <w:p>
            <w:r/>
            <w:r>
              <w:rPr>
                <w:b/>
                <w:sz w:val="17"/>
              </w:rPr>
              <w:t>Correction</w:t>
            </w:r>
          </w:p>
        </w:tc>
      </w:tr>
      <w:tr>
        <w:tc>
          <w:tcPr>
            <w:tcW w:type="dxa" w:w="2304"/>
          </w:tcPr>
          <w:p>
            <w:r/>
            <w:r>
              <w:rPr>
                <w:b w:val="0"/>
                <w:i w:val="0"/>
                <w:sz w:val="17"/>
              </w:rPr>
              <w:t>Workbook Case List summary; Fee Summary; June 19 memo § 3.5</w:t>
            </w:r>
          </w:p>
        </w:tc>
        <w:tc>
          <w:tcPr>
            <w:tcW w:type="dxa" w:w="3168"/>
          </w:tcPr>
          <w:p>
            <w:r/>
            <w:r>
              <w:rPr>
                <w:b w:val="0"/>
                <w:i w:val="0"/>
                <w:sz w:val="17"/>
              </w:rPr>
              <w:t>B&amp;T client prevailed 7 of 9 (77.8%); 2 losses</w:t>
            </w:r>
          </w:p>
        </w:tc>
        <w:tc>
          <w:tcPr>
            <w:tcW w:type="dxa" w:w="3888"/>
          </w:tcPr>
          <w:p>
            <w:r/>
            <w:r>
              <w:rPr>
                <w:b w:val="0"/>
                <w:i w:val="0"/>
                <w:sz w:val="17"/>
              </w:rPr>
              <w:t>8 of 9 (88.9%); 1 loss (Trident Coatings)</w:t>
            </w:r>
          </w:p>
        </w:tc>
      </w:tr>
      <w:tr>
        <w:tc>
          <w:tcPr>
            <w:tcW w:type="dxa" w:w="2304"/>
          </w:tcPr>
          <w:p>
            <w:r/>
            <w:r>
              <w:rPr>
                <w:b w:val="0"/>
                <w:i w:val="0"/>
                <w:sz w:val="17"/>
              </w:rPr>
              <w:t>Workbook summary; Fee Summary; June 19 memo § 3.5</w:t>
            </w:r>
          </w:p>
        </w:tc>
        <w:tc>
          <w:tcPr>
            <w:tcW w:type="dxa" w:w="3168"/>
          </w:tcPr>
          <w:p>
            <w:r/>
            <w:r>
              <w:rPr>
                <w:b w:val="0"/>
                <w:i w:val="0"/>
                <w:sz w:val="17"/>
              </w:rPr>
              <w:t>Total income $2,125,000; B&amp;T share 48.0%</w:t>
            </w:r>
          </w:p>
        </w:tc>
        <w:tc>
          <w:tcPr>
            <w:tcW w:type="dxa" w:w="3888"/>
          </w:tcPr>
          <w:p>
            <w:r/>
            <w:r>
              <w:rPr>
                <w:b w:val="0"/>
                <w:i w:val="0"/>
                <w:sz w:val="17"/>
              </w:rPr>
              <w:t>The 20 listed fees sum to $1,974,000; B&amp;T share 51.7%; FM share 20.8%</w:t>
            </w:r>
          </w:p>
        </w:tc>
      </w:tr>
      <w:tr>
        <w:tc>
          <w:tcPr>
            <w:tcW w:type="dxa" w:w="2304"/>
          </w:tcPr>
          <w:p>
            <w:r/>
            <w:r>
              <w:rPr>
                <w:b w:val="0"/>
                <w:i w:val="0"/>
                <w:sz w:val="17"/>
              </w:rPr>
              <w:t>June 19 memo § 3.5</w:t>
            </w:r>
          </w:p>
        </w:tc>
        <w:tc>
          <w:tcPr>
            <w:tcW w:type="dxa" w:w="3168"/>
          </w:tcPr>
          <w:p>
            <w:r/>
            <w:r>
              <w:rPr>
                <w:b w:val="0"/>
                <w:i w:val="0"/>
                <w:sz w:val="17"/>
              </w:rPr>
              <w:t>$2,125,000 includes “estimated income from pending matters”</w:t>
            </w:r>
          </w:p>
        </w:tc>
        <w:tc>
          <w:tcPr>
            <w:tcW w:type="dxa" w:w="3888"/>
          </w:tcPr>
          <w:p>
            <w:r/>
            <w:r>
              <w:rPr>
                <w:b w:val="0"/>
                <w:i w:val="0"/>
                <w:sz w:val="17"/>
              </w:rPr>
              <w:t>Pending remaining fees total $835,000 and are not in the $2,125,000; the figure matches neither the completed nor the combined total ($2,809,000)</w:t>
            </w:r>
          </w:p>
        </w:tc>
      </w:tr>
      <w:tr>
        <w:tc>
          <w:tcPr>
            <w:tcW w:type="dxa" w:w="2304"/>
          </w:tcPr>
          <w:p>
            <w:r/>
            <w:r>
              <w:rPr>
                <w:b w:val="0"/>
                <w:i w:val="0"/>
                <w:sz w:val="17"/>
              </w:rPr>
              <w:t>June 19 memo § 3.5</w:t>
            </w:r>
          </w:p>
        </w:tc>
        <w:tc>
          <w:tcPr>
            <w:tcW w:type="dxa" w:w="3168"/>
          </w:tcPr>
          <w:p>
            <w:r/>
            <w:r>
              <w:rPr>
                <w:b w:val="0"/>
                <w:i w:val="0"/>
                <w:sz w:val="17"/>
              </w:rPr>
              <w:t>FM: 4 of 20 matters (20%); $280,000; 13.2%</w:t>
            </w:r>
          </w:p>
        </w:tc>
        <w:tc>
          <w:tcPr>
            <w:tcW w:type="dxa" w:w="3888"/>
          </w:tcPr>
          <w:p>
            <w:r/>
            <w:r>
              <w:rPr>
                <w:b w:val="0"/>
                <w:i w:val="0"/>
                <w:sz w:val="17"/>
              </w:rPr>
              <w:t>FM appears in 5 of 20 matters (25%), $410,000 (Westbrook and the settled matter included); 20.8% of $1,974,000</w:t>
            </w:r>
          </w:p>
        </w:tc>
      </w:tr>
      <w:tr>
        <w:tc>
          <w:tcPr>
            <w:tcW w:type="dxa" w:w="2304"/>
          </w:tcPr>
          <w:p>
            <w:r/>
            <w:r>
              <w:rPr>
                <w:b w:val="0"/>
                <w:i w:val="0"/>
                <w:sz w:val="17"/>
              </w:rPr>
              <w:t>Workbook Case List summary</w:t>
            </w:r>
          </w:p>
        </w:tc>
        <w:tc>
          <w:tcPr>
            <w:tcW w:type="dxa" w:w="3168"/>
          </w:tcPr>
          <w:p>
            <w:r/>
            <w:r>
              <w:rPr>
                <w:b w:val="0"/>
                <w:i w:val="0"/>
                <w:sz w:val="17"/>
              </w:rPr>
              <w:t>“Undisclosed matters involving B&amp;T or FM: 5”; “Disclosed matters: 7 of 20”</w:t>
            </w:r>
          </w:p>
        </w:tc>
        <w:tc>
          <w:tcPr>
            <w:tcW w:type="dxa" w:w="3888"/>
          </w:tcPr>
          <w:p>
            <w:r/>
            <w:r>
              <w:rPr>
                <w:b w:val="0"/>
                <w:i w:val="0"/>
                <w:sz w:val="17"/>
              </w:rPr>
              <w:t>Eight undisclosed (seven completed + Halcyon); six of the 20 completed matters were disclosed (the seventh disclosed matter, Orion, is pending)</w:t>
            </w:r>
          </w:p>
        </w:tc>
      </w:tr>
      <w:tr>
        <w:tc>
          <w:tcPr>
            <w:tcW w:type="dxa" w:w="2304"/>
          </w:tcPr>
          <w:p>
            <w:r/>
            <w:r>
              <w:rPr>
                <w:b w:val="0"/>
                <w:i w:val="0"/>
                <w:sz w:val="17"/>
              </w:rPr>
              <w:t>Workbook Case List, Thornwall row</w:t>
            </w:r>
          </w:p>
        </w:tc>
        <w:tc>
          <w:tcPr>
            <w:tcW w:type="dxa" w:w="3168"/>
          </w:tcPr>
          <w:p>
            <w:r/>
            <w:r>
              <w:rPr>
                <w:b w:val="0"/>
                <w:i w:val="0"/>
                <w:sz w:val="17"/>
              </w:rPr>
              <w:t>Notes do not flag nondisclosure</w:t>
            </w:r>
          </w:p>
        </w:tc>
        <w:tc>
          <w:tcPr>
            <w:tcW w:type="dxa" w:w="3888"/>
          </w:tcPr>
          <w:p>
            <w:r/>
            <w:r>
              <w:rPr>
                <w:b w:val="0"/>
                <w:i w:val="0"/>
                <w:sz w:val="17"/>
              </w:rPr>
              <w:t>Thornwall (FM for respondent) is not in the disclosure</w:t>
            </w:r>
          </w:p>
        </w:tc>
      </w:tr>
      <w:tr>
        <w:tc>
          <w:tcPr>
            <w:tcW w:type="dxa" w:w="2304"/>
          </w:tcPr>
          <w:p>
            <w:r/>
            <w:r>
              <w:rPr>
                <w:b w:val="0"/>
                <w:i w:val="0"/>
                <w:sz w:val="17"/>
              </w:rPr>
              <w:t>Workbook Fee Summary</w:t>
            </w:r>
          </w:p>
        </w:tc>
        <w:tc>
          <w:tcPr>
            <w:tcW w:type="dxa" w:w="3168"/>
          </w:tcPr>
          <w:p>
            <w:r/>
            <w:r>
              <w:rPr>
                <w:b w:val="0"/>
                <w:i w:val="0"/>
                <w:sz w:val="17"/>
              </w:rPr>
              <w:t>Pendleton Hayes fees $258,000</w:t>
            </w:r>
          </w:p>
        </w:tc>
        <w:tc>
          <w:tcPr>
            <w:tcW w:type="dxa" w:w="3888"/>
          </w:tcPr>
          <w:p>
            <w:r/>
            <w:r>
              <w:rPr>
                <w:b w:val="0"/>
                <w:i w:val="0"/>
                <w:sz w:val="17"/>
              </w:rPr>
              <w:t>$278,000 (Braddock $98,000 + Redstone $118,000 + Ellsworth $62,000)</w:t>
            </w:r>
          </w:p>
        </w:tc>
      </w:tr>
      <w:tr>
        <w:tc>
          <w:tcPr>
            <w:tcW w:type="dxa" w:w="2304"/>
          </w:tcPr>
          <w:p>
            <w:r/>
            <w:r>
              <w:rPr>
                <w:b w:val="0"/>
                <w:i w:val="0"/>
                <w:sz w:val="17"/>
              </w:rPr>
              <w:t>Workbook Fee Summary</w:t>
            </w:r>
          </w:p>
        </w:tc>
        <w:tc>
          <w:tcPr>
            <w:tcW w:type="dxa" w:w="3168"/>
          </w:tcPr>
          <w:p>
            <w:r/>
            <w:r>
              <w:rPr>
                <w:b w:val="0"/>
                <w:i w:val="0"/>
                <w:sz w:val="17"/>
              </w:rPr>
              <w:t>Talmadge Simons 1 won / 2 lost (33.3%)</w:t>
            </w:r>
          </w:p>
        </w:tc>
        <w:tc>
          <w:tcPr>
            <w:tcW w:type="dxa" w:w="3888"/>
          </w:tcPr>
          <w:p>
            <w:r/>
            <w:r>
              <w:rPr>
                <w:b w:val="0"/>
                <w:i w:val="0"/>
                <w:sz w:val="17"/>
              </w:rPr>
              <w:t>0 won / 3 lost (Ashford, Bridger &amp; Holt, Glenwood)</w:t>
            </w:r>
          </w:p>
        </w:tc>
      </w:tr>
      <w:tr>
        <w:tc>
          <w:tcPr>
            <w:tcW w:type="dxa" w:w="2304"/>
          </w:tcPr>
          <w:p>
            <w:r/>
            <w:r>
              <w:rPr>
                <w:b w:val="0"/>
                <w:i w:val="0"/>
                <w:sz w:val="17"/>
              </w:rPr>
              <w:t>Workbook Fee Summary</w:t>
            </w:r>
          </w:p>
        </w:tc>
        <w:tc>
          <w:tcPr>
            <w:tcW w:type="dxa" w:w="3168"/>
          </w:tcPr>
          <w:p>
            <w:r/>
            <w:r>
              <w:rPr>
                <w:b w:val="0"/>
                <w:i w:val="0"/>
                <w:sz w:val="17"/>
              </w:rPr>
              <w:t>“Percentage of Total Arbitration Income” column</w:t>
            </w:r>
          </w:p>
        </w:tc>
        <w:tc>
          <w:tcPr>
            <w:tcW w:type="dxa" w:w="3888"/>
          </w:tcPr>
          <w:p>
            <w:r/>
            <w:r>
              <w:rPr>
                <w:b w:val="0"/>
                <w:i w:val="0"/>
                <w:sz w:val="17"/>
              </w:rPr>
              <w:t>Percentages sum to well over 100% because each matter is counted for both firms; label as share of matters’ fees, not of income</w:t>
            </w:r>
          </w:p>
        </w:tc>
      </w:tr>
      <w:tr>
        <w:tc>
          <w:tcPr>
            <w:tcW w:type="dxa" w:w="2304"/>
          </w:tcPr>
          <w:p>
            <w:r/>
            <w:r>
              <w:rPr>
                <w:b w:val="0"/>
                <w:i w:val="0"/>
                <w:sz w:val="17"/>
              </w:rPr>
              <w:t>June 19 memo § 3.1</w:t>
            </w:r>
          </w:p>
        </w:tc>
        <w:tc>
          <w:tcPr>
            <w:tcW w:type="dxa" w:w="3168"/>
          </w:tcPr>
          <w:p>
            <w:r/>
            <w:r>
              <w:rPr>
                <w:b w:val="0"/>
                <w:i w:val="0"/>
                <w:sz w:val="17"/>
              </w:rPr>
              <w:t>Challenge deadline is seven days from the disclosure</w:t>
            </w:r>
          </w:p>
        </w:tc>
        <w:tc>
          <w:tcPr>
            <w:tcW w:type="dxa" w:w="3888"/>
          </w:tcPr>
          <w:p>
            <w:r/>
            <w:r>
              <w:rPr>
                <w:b w:val="0"/>
                <w:i w:val="0"/>
                <w:sz w:val="17"/>
              </w:rPr>
              <w:t>Under R-18(a) the period runs from the later of appointment notice or knowledge of the circumstances; treat June 24 as the outside date for Whitmore</w:t>
            </w:r>
          </w:p>
        </w:tc>
      </w:tr>
      <w:tr>
        <w:tc>
          <w:tcPr>
            <w:tcW w:type="dxa" w:w="2304"/>
          </w:tcPr>
          <w:p>
            <w:r/>
            <w:r>
              <w:rPr>
                <w:b w:val="0"/>
                <w:i w:val="0"/>
                <w:sz w:val="17"/>
              </w:rPr>
              <w:t>June 19 memo § 3.5 (“past 36 months”)</w:t>
            </w:r>
          </w:p>
        </w:tc>
        <w:tc>
          <w:tcPr>
            <w:tcW w:type="dxa" w:w="3168"/>
          </w:tcPr>
          <w:p>
            <w:r/>
            <w:r>
              <w:rPr>
                <w:b w:val="0"/>
                <w:i w:val="0"/>
                <w:sz w:val="17"/>
              </w:rPr>
              <w:t>Fee data labelled 36 months</w:t>
            </w:r>
          </w:p>
        </w:tc>
        <w:tc>
          <w:tcPr>
            <w:tcW w:type="dxa" w:w="3888"/>
          </w:tcPr>
          <w:p>
            <w:r/>
            <w:r>
              <w:rPr>
                <w:b w:val="0"/>
                <w:i w:val="0"/>
                <w:sz w:val="17"/>
              </w:rPr>
              <w:t>Case list spans calendar 2021–2024; some 2021 matters may fall outside a 36-month window; workbook covers 20 of ~85 matters</w:t>
            </w:r>
          </w:p>
        </w:tc>
      </w:tr>
    </w:tbl>
    <w:p/>
    <w:p>
      <w:r>
        <w:rPr>
          <w:b w:val="0"/>
          <w:i/>
          <w:sz w:val="20"/>
        </w:rPr>
        <w:t>Limitations: this analysis is based solely on the documents provided. Fee figures are third-party estimates; the Northbridge holding, Lakeview economics, and the extent of the Fairhaven–Peshkov relationship are unconfirmed; and legal authorities outside the record must be verified before 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