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7"/>
        </w:rPr>
        <w:t>PRIVILEGED &amp; CONFIDENTIAL — ATTORNEY-CLIENT COMMUNICATION / ATTORNEY WORK PRODUCT</w:t>
      </w:r>
    </w:p>
    <w:p>
      <w:pPr>
        <w:spacing w:after="200"/>
        <w:jc w:val="center"/>
      </w:pPr>
      <w:r>
        <w:rPr>
          <w:b w:val="0"/>
          <w:i/>
          <w:sz w:val="17"/>
        </w:rPr>
        <w:t>Subject to the confidentiality provisions of the executed Term Sheet dated March 14, 2025</w:t>
      </w:r>
    </w:p>
    <w:p>
      <w:pPr>
        <w:spacing w:after="40"/>
        <w:jc w:val="center"/>
      </w:pPr>
      <w:r>
        <w:rPr>
          <w:b/>
          <w:i w:val="0"/>
          <w:sz w:val="32"/>
        </w:rPr>
        <w:t>DEVIATION REPORT</w:t>
      </w:r>
    </w:p>
    <w:p>
      <w:pPr>
        <w:spacing w:after="200"/>
        <w:jc w:val="center"/>
      </w:pPr>
      <w:r>
        <w:rPr>
          <w:b/>
          <w:i w:val="0"/>
          <w:sz w:val="22"/>
        </w:rPr>
        <w:t>Draft Credit Agreement (Caldwell Strauss &amp; Moran draft of April 18, 2025) vs. Executed Term Sheet (March 14, 2025)</w:t>
      </w:r>
    </w:p>
    <w:tbl>
      <w:tblPr>
        <w:tblStyle w:val="TableGrid"/>
        <w:tblW w:type="auto" w:w="0"/>
        <w:tblLook w:firstColumn="1" w:firstRow="1" w:lastColumn="0" w:lastRow="0" w:noHBand="0" w:noVBand="1" w:val="04A0"/>
      </w:tblPr>
      <w:tblGrid>
        <w:gridCol w:w="4824"/>
        <w:gridCol w:w="4824"/>
      </w:tblGrid>
      <w:tr>
        <w:tc>
          <w:tcPr>
            <w:tcW w:type="dxa" w:w="2016"/>
            <w:shd w:val="clear" w:color="auto" w:fill="D9E2F3"/>
          </w:tcPr>
          <w:p>
            <w:pPr>
              <w:spacing w:after="0"/>
            </w:pPr>
            <w:r/>
            <w:r>
              <w:rPr>
                <w:b/>
                <w:sz w:val="18"/>
              </w:rPr>
              <w:t>To</w:t>
            </w:r>
          </w:p>
        </w:tc>
        <w:tc>
          <w:tcPr>
            <w:tcW w:type="dxa" w:w="7632"/>
          </w:tcPr>
          <w:p>
            <w:pPr>
              <w:spacing w:after="0"/>
            </w:pPr>
            <w:r/>
            <w:r>
              <w:rPr>
                <w:b w:val="0"/>
                <w:sz w:val="18"/>
              </w:rPr>
              <w:t>Rebecca Thayer, Partner; Daniel Ochoa, Senior Associate — Hargrove, Pennington &amp; Locke LLP (Borrower’s counsel)</w:t>
            </w:r>
          </w:p>
        </w:tc>
      </w:tr>
      <w:tr>
        <w:tc>
          <w:tcPr>
            <w:tcW w:type="dxa" w:w="2016"/>
            <w:shd w:val="clear" w:color="auto" w:fill="D9E2F3"/>
          </w:tcPr>
          <w:p>
            <w:pPr>
              <w:spacing w:after="0"/>
            </w:pPr>
            <w:r/>
            <w:r>
              <w:rPr>
                <w:b/>
                <w:sz w:val="18"/>
              </w:rPr>
              <w:t>Client</w:t>
            </w:r>
          </w:p>
        </w:tc>
        <w:tc>
          <w:tcPr>
            <w:tcW w:type="dxa" w:w="7632"/>
          </w:tcPr>
          <w:p>
            <w:pPr>
              <w:spacing w:after="0"/>
            </w:pPr>
            <w:r/>
            <w:r>
              <w:rPr>
                <w:b w:val="0"/>
                <w:sz w:val="18"/>
              </w:rPr>
              <w:t>Cascade Environmental Solutions, Inc. (Borrower); Cascade Holdings LLC (Holdings); Whitmore Capital Partners LLC / Whitmore Capital Partners Fund V, LP (Sponsor)</w:t>
            </w:r>
          </w:p>
        </w:tc>
      </w:tr>
      <w:tr>
        <w:tc>
          <w:tcPr>
            <w:tcW w:type="dxa" w:w="2016"/>
            <w:shd w:val="clear" w:color="auto" w:fill="D9E2F3"/>
          </w:tcPr>
          <w:p>
            <w:pPr>
              <w:spacing w:after="0"/>
            </w:pPr>
            <w:r/>
            <w:r>
              <w:rPr>
                <w:b/>
                <w:sz w:val="18"/>
              </w:rPr>
              <w:t>Transaction</w:t>
            </w:r>
          </w:p>
        </w:tc>
        <w:tc>
          <w:tcPr>
            <w:tcW w:type="dxa" w:w="7632"/>
          </w:tcPr>
          <w:p>
            <w:pPr>
              <w:spacing w:after="0"/>
            </w:pPr>
            <w:r/>
            <w:r>
              <w:rPr>
                <w:b w:val="0"/>
                <w:sz w:val="18"/>
              </w:rPr>
              <w:t>$285.0 million senior secured credit facilities ($185.0M Term Loan A; $50.0M Revolver; $50.0M DDTL) — Ridgeline National Bank, N.A., Administrative Agent and Lead Arranger; Lenders: Ridgeline, Prairieview Financial Corp., Summit Bridge Capital LLC, Northway Lending Partners, Inc.</w:t>
            </w:r>
          </w:p>
        </w:tc>
      </w:tr>
      <w:tr>
        <w:tc>
          <w:tcPr>
            <w:tcW w:type="dxa" w:w="2016"/>
            <w:shd w:val="clear" w:color="auto" w:fill="D9E2F3"/>
          </w:tcPr>
          <w:p>
            <w:pPr>
              <w:spacing w:after="0"/>
            </w:pPr>
            <w:r/>
            <w:r>
              <w:rPr>
                <w:b/>
                <w:sz w:val="18"/>
              </w:rPr>
              <w:t>Documents reviewed</w:t>
            </w:r>
          </w:p>
        </w:tc>
        <w:tc>
          <w:tcPr>
            <w:tcW w:type="dxa" w:w="7632"/>
          </w:tcPr>
          <w:p>
            <w:pPr>
              <w:spacing w:after="0"/>
            </w:pPr>
            <w:r/>
            <w:r>
              <w:rPr>
                <w:b w:val="0"/>
                <w:sz w:val="18"/>
              </w:rPr>
              <w:t>(1) executed-term-sheet.docx (Summary of Terms, executed March 14, 2025, incl. Exhibits A–C); (2) draft-credit-agreement.docx (Draft of April 18, 2025, incl. Schedules and Exhibits A–E); (3) lender-counsel-transmittal.eml (P. Granville to R. Thayer, April 18, 2025)</w:t>
            </w:r>
          </w:p>
        </w:tc>
      </w:tr>
      <w:tr>
        <w:tc>
          <w:tcPr>
            <w:tcW w:type="dxa" w:w="2016"/>
            <w:shd w:val="clear" w:color="auto" w:fill="D9E2F3"/>
          </w:tcPr>
          <w:p>
            <w:pPr>
              <w:spacing w:after="0"/>
            </w:pPr>
            <w:r/>
            <w:r>
              <w:rPr>
                <w:b/>
                <w:sz w:val="18"/>
              </w:rPr>
              <w:t>Key dates</w:t>
            </w:r>
          </w:p>
        </w:tc>
        <w:tc>
          <w:tcPr>
            <w:tcW w:type="dxa" w:w="7632"/>
          </w:tcPr>
          <w:p>
            <w:pPr>
              <w:spacing w:after="0"/>
            </w:pPr>
            <w:r/>
            <w:r>
              <w:rPr>
                <w:b w:val="0"/>
                <w:sz w:val="18"/>
              </w:rPr>
              <w:t>Comments requested by approximately May 2, 2025 (10 Business Days); anticipated Closing Date May 30, 2025; Term Sheet Outside Date June 30, 2025</w:t>
            </w:r>
          </w:p>
        </w:tc>
      </w:tr>
      <w:tr>
        <w:tc>
          <w:tcPr>
            <w:tcW w:type="dxa" w:w="2016"/>
            <w:shd w:val="clear" w:color="auto" w:fill="D9E2F3"/>
          </w:tcPr>
          <w:p>
            <w:pPr>
              <w:spacing w:after="0"/>
            </w:pPr>
            <w:r/>
            <w:r>
              <w:rPr>
                <w:b/>
                <w:sz w:val="18"/>
              </w:rPr>
              <w:t>Perspective</w:t>
            </w:r>
          </w:p>
        </w:tc>
        <w:tc>
          <w:tcPr>
            <w:tcW w:type="dxa" w:w="7632"/>
          </w:tcPr>
          <w:p>
            <w:pPr>
              <w:spacing w:after="0"/>
            </w:pPr>
            <w:r/>
            <w:r>
              <w:rPr>
                <w:b w:val="0"/>
                <w:sz w:val="18"/>
              </w:rPr>
              <w:t>Borrower/Sponsor. Every recommendation below is written from the Borrower’s side.</w:t>
            </w:r>
          </w:p>
        </w:tc>
      </w:tr>
    </w:tbl>
    <w:p>
      <w:pPr>
        <w:spacing w:after="120"/>
      </w:pPr>
      <w:r>
        <w:rPr>
          <w:b w:val="0"/>
          <w:i w:val="0"/>
        </w:rPr>
      </w:r>
    </w:p>
    <w:p>
      <w:pPr>
        <w:pStyle w:val="Heading1"/>
      </w:pPr>
      <w:r>
        <w:t>1. Executive Summary</w:t>
      </w:r>
    </w:p>
    <w:p>
      <w:pPr>
        <w:spacing w:after="80"/>
      </w:pPr>
      <w:r>
        <w:rPr>
          <w:b w:val="0"/>
          <w:i w:val="0"/>
        </w:rPr>
        <w:t>The transmittal letter says the draft is “substantially consistent” with the executed Term Sheet and that its changes are “administrative and mechanical in nature.” Our side-by-side review does not support that description. The draft departs from express, negotiated economic and structural terms of the Term Sheet in at least 30 places. Almost all of them favor the Lenders, and most are not mentioned in the transmittal letter or are described only in general terms (for example, “calibrated to reflect … Ridgeline’s credit committee,” “refined to ensure consistency with prevailing lender requirements”). The Term Sheet is non-binding except for confidentiality, exclusivity, expenses and governing law, and it says the definitive agreement controls once executed. So these points must be fixed now in the markup. They will not be corrected automatically later.</w:t>
      </w:r>
    </w:p>
    <w:p>
      <w:pPr>
        <w:spacing w:after="80"/>
      </w:pPr>
      <w:r>
        <w:rPr>
          <w:b/>
          <w:i w:val="0"/>
        </w:rPr>
        <w:t>The six Critical deviations, which we recommend be treated as conformity points rather than negotiating points, are:</w:t>
      </w:r>
    </w:p>
    <w:p>
      <w:pPr>
        <w:pStyle w:val="ListBullet"/>
        <w:spacing w:after="40"/>
      </w:pPr>
      <w:r>
        <w:rPr>
          <w:b/>
        </w:rPr>
        <w:t xml:space="preserve">Equity cure deleted (C-1). </w:t>
      </w:r>
      <w:r>
        <w:t>The draft has no equity cure, and any financial covenant breach, including a one-day Minimum Liquidity shortfall, is an immediate Event of Default.</w:t>
      </w:r>
    </w:p>
    <w:p>
      <w:pPr>
        <w:pStyle w:val="ListBullet"/>
        <w:spacing w:after="40"/>
      </w:pPr>
      <w:r>
        <w:rPr>
          <w:b/>
        </w:rPr>
        <w:t xml:space="preserve">DDTL availability cut from 18 to 12 months (C-2). </w:t>
      </w:r>
      <w:r>
        <w:t>The Availability Period ends May 30, 2026 instead of November 30, 2026, and draws are limited to three of at least $10M each (H-12). The acquisition facility loses much of its practical value.</w:t>
      </w:r>
    </w:p>
    <w:p>
      <w:pPr>
        <w:pStyle w:val="ListBullet"/>
        <w:spacing w:after="40"/>
      </w:pPr>
      <w:r>
        <w:rPr>
          <w:b/>
        </w:rPr>
        <w:t xml:space="preserve">No SunGard limited conditionality (C-3). </w:t>
      </w:r>
      <w:r>
        <w:t>Closing funding depends on all representations and the Credit Agreement’s broad MAE, not the Acquisition Agreement MAE. This creates a financing-out mismatch with the SPA.</w:t>
      </w:r>
    </w:p>
    <w:p>
      <w:pPr>
        <w:pStyle w:val="ListBullet"/>
        <w:spacing w:after="40"/>
      </w:pPr>
      <w:r>
        <w:rPr>
          <w:b/>
        </w:rPr>
        <w:t xml:space="preserve">Cash netting cap cut from $15.0M to $10.0M (C-4). </w:t>
      </w:r>
      <w:r>
        <w:t>Closing Total Net Leverage rises from 4.01x to 4.11x on the Term Sheet’s own numbers, which tightens every leverage-based test.</w:t>
      </w:r>
    </w:p>
    <w:p>
      <w:pPr>
        <w:pStyle w:val="ListBullet"/>
        <w:spacing w:after="40"/>
      </w:pPr>
      <w:r>
        <w:rPr>
          <w:b/>
        </w:rPr>
        <w:t xml:space="preserve">Adjusted EBITDA narrowed (C-5). </w:t>
      </w:r>
      <w:r>
        <w:t>Cash non-recurring and restructuring add-backs are removed, the synergy add-back is tightened, and the “other items” basket is gone.</w:t>
      </w:r>
    </w:p>
    <w:p>
      <w:pPr>
        <w:pStyle w:val="ListBullet"/>
        <w:spacing w:after="40"/>
      </w:pPr>
      <w:r>
        <w:rPr>
          <w:b/>
        </w:rPr>
        <w:t xml:space="preserve">Cross-acceleration converted to cross-default (C-6). </w:t>
      </w:r>
      <w:r>
        <w:t>Any default that merely allows a $2.5M+ creditor to accelerate becomes an Event of Default under this facility.</w:t>
      </w:r>
    </w:p>
    <w:p>
      <w:pPr>
        <w:spacing w:after="120"/>
      </w:pPr>
      <w:r>
        <w:rPr>
          <w:b w:val="0"/>
          <w:i w:val="0"/>
        </w:rPr>
        <w:t>Significant pricing and basket deviations (High) include a SOFR floor of 1.00% instead of 0.75% (about $462,500 a year of extra cost on the TLA whenever SOFR is below 1.00%), removal of the 3.25% Revolver pricing level, a CapEx cap of $10.5M with no carryforward (vs. $12.0M plus a 25% carryforward), a $1.0M management fee (vs. $1.5M), tax distributions that can be blocked, 90-day audited financials (vs. 120), an incomplete ECF sweep, a key-person Change of Control trigger tied to David Whitmore, a smaller Permitted Acquisition cap ($20M vs. $25M), no Disqualified Institutions protection, and an MAE definition with no carve-outs.</w:t>
      </w:r>
    </w:p>
    <w:p>
      <w:pPr>
        <w:spacing w:after="120"/>
      </w:pPr>
      <w:r>
        <w:rPr>
          <w:b w:val="0"/>
          <w:i w:val="0"/>
        </w:rPr>
        <w:t>Recommended approach: (i) send Lender’s counsel a short “Term Sheet conformity” issues list with the Critical and High items, together with the full markup, and ask that conformity items be fixed in the next turn without trading; (ii) negotiate the Medium items in the ordinary course; (iii) keep the Borrower-favorable deviations (Section 6) without comment; and (iv) respond to the transmittal’s note that credit approval is conditioned on terms “not materially less favorable to the Lenders than those reflected in this draft.” The approved baseline should be the executed Term Sheet, not the April 18 draft. We recommend saying so in writing to Ridgeline (Katherine Fulton / James Delvecchio) now.</w:t>
      </w:r>
    </w:p>
    <w:p>
      <w:pPr>
        <w:pStyle w:val="Heading1"/>
      </w:pPr>
      <w:r>
        <w:t>2. Scope, Method and Priority Legend</w:t>
      </w:r>
    </w:p>
    <w:p>
      <w:pPr>
        <w:spacing w:after="80"/>
      </w:pPr>
      <w:r>
        <w:rPr>
          <w:b w:val="0"/>
          <w:i w:val="0"/>
        </w:rPr>
        <w:t>We compared each section of the executed Term Sheet (Sections 1–17 and Exhibits A–C) against the corresponding provisions, definitions, schedules and exhibits of the draft Credit Agreement, and reviewed the transmittal letter’s description of the changes. Provisions the Term Sheet leaves “to be agreed” are flagged only where the draft’s proposal is off-market or inconsistent with the Term Sheet framework. Section references are to the Term Sheet (“TS”) and the draft Credit Agreement (“CA”). Dollar figures are illustrative and based on the Term Sheet’s closing metrics.</w:t>
      </w:r>
    </w:p>
    <w:tbl>
      <w:tblPr>
        <w:tblStyle w:val="TableGrid"/>
        <w:tblW w:type="auto" w:w="0"/>
        <w:tblLook w:firstColumn="1" w:firstRow="1" w:lastColumn="0" w:lastRow="0" w:noHBand="0" w:noVBand="1" w:val="04A0"/>
      </w:tblPr>
      <w:tblGrid>
        <w:gridCol w:w="4824"/>
        <w:gridCol w:w="4824"/>
      </w:tblGrid>
      <w:tr>
        <w:tc>
          <w:tcPr>
            <w:tcW w:type="dxa" w:w="1728"/>
          </w:tcPr>
          <w:p>
            <w:pPr>
              <w:spacing w:after="0"/>
            </w:pPr>
            <w:r/>
            <w:r>
              <w:rPr>
                <w:b/>
                <w:sz w:val="18"/>
              </w:rPr>
              <w:t>Priority</w:t>
            </w:r>
          </w:p>
        </w:tc>
        <w:tc>
          <w:tcPr>
            <w:tcW w:type="dxa" w:w="7920"/>
          </w:tcPr>
          <w:p>
            <w:pPr>
              <w:spacing w:after="0"/>
            </w:pPr>
            <w:r/>
            <w:r>
              <w:rPr>
                <w:b/>
                <w:sz w:val="18"/>
              </w:rPr>
              <w:t>Meaning</w:t>
            </w:r>
          </w:p>
        </w:tc>
      </w:tr>
      <w:tr>
        <w:tc>
          <w:tcPr>
            <w:tcW w:type="dxa" w:w="1728"/>
            <w:shd w:val="clear" w:color="auto" w:fill="C00000"/>
          </w:tcPr>
          <w:p>
            <w:pPr>
              <w:spacing w:after="0"/>
            </w:pPr>
            <w:r/>
            <w:r>
              <w:rPr>
                <w:b/>
                <w:color w:val="FFFFFF"/>
                <w:sz w:val="18"/>
              </w:rPr>
              <w:t>Critical</w:t>
            </w:r>
          </w:p>
        </w:tc>
        <w:tc>
          <w:tcPr>
            <w:tcW w:type="dxa" w:w="7920"/>
          </w:tcPr>
          <w:p>
            <w:pPr>
              <w:spacing w:after="0"/>
            </w:pPr>
            <w:r/>
            <w:r>
              <w:rPr>
                <w:b w:val="0"/>
                <w:sz w:val="18"/>
              </w:rPr>
              <w:t>Departs from a core negotiated economic or structural term, or closing-certainty protection. Must be restored. Do not trade.</w:t>
            </w:r>
          </w:p>
        </w:tc>
      </w:tr>
      <w:tr>
        <w:tc>
          <w:tcPr>
            <w:tcW w:type="dxa" w:w="1728"/>
            <w:shd w:val="clear" w:color="auto" w:fill="E46C0A"/>
          </w:tcPr>
          <w:p>
            <w:pPr>
              <w:spacing w:after="0"/>
            </w:pPr>
            <w:r/>
            <w:r>
              <w:rPr>
                <w:b/>
                <w:color w:val="FFFFFF"/>
                <w:sz w:val="18"/>
              </w:rPr>
              <w:t>High</w:t>
            </w:r>
          </w:p>
        </w:tc>
        <w:tc>
          <w:tcPr>
            <w:tcW w:type="dxa" w:w="7920"/>
          </w:tcPr>
          <w:p>
            <w:pPr>
              <w:spacing w:after="0"/>
            </w:pPr>
            <w:r/>
            <w:r>
              <w:rPr>
                <w:b w:val="0"/>
                <w:sz w:val="18"/>
              </w:rPr>
              <w:t>Material economic or flexibility cost compared with the Term Sheet. Restore to the Term Sheet. Concede only for equivalent value.</w:t>
            </w:r>
          </w:p>
        </w:tc>
      </w:tr>
      <w:tr>
        <w:tc>
          <w:tcPr>
            <w:tcW w:type="dxa" w:w="1728"/>
            <w:shd w:val="clear" w:color="auto" w:fill="BF9000"/>
          </w:tcPr>
          <w:p>
            <w:pPr>
              <w:spacing w:after="0"/>
            </w:pPr>
            <w:r/>
            <w:r>
              <w:rPr>
                <w:b/>
                <w:color w:val="FFFFFF"/>
                <w:sz w:val="18"/>
              </w:rPr>
              <w:t>Medium</w:t>
            </w:r>
          </w:p>
        </w:tc>
        <w:tc>
          <w:tcPr>
            <w:tcW w:type="dxa" w:w="7920"/>
          </w:tcPr>
          <w:p>
            <w:pPr>
              <w:spacing w:after="0"/>
            </w:pPr>
            <w:r/>
            <w:r>
              <w:rPr>
                <w:b w:val="0"/>
                <w:sz w:val="18"/>
              </w:rPr>
              <w:t>Tighter than the Term Sheet or customary sponsor terms, or a new lender-favorable provision. Push back and negotiate in the ordinary course.</w:t>
            </w:r>
          </w:p>
        </w:tc>
      </w:tr>
      <w:tr>
        <w:tc>
          <w:tcPr>
            <w:tcW w:type="dxa" w:w="1728"/>
            <w:shd w:val="clear" w:color="auto" w:fill="548235"/>
          </w:tcPr>
          <w:p>
            <w:pPr>
              <w:spacing w:after="0"/>
            </w:pPr>
            <w:r/>
            <w:r>
              <w:rPr>
                <w:b/>
                <w:color w:val="FFFFFF"/>
                <w:sz w:val="18"/>
              </w:rPr>
              <w:t>Low</w:t>
            </w:r>
          </w:p>
        </w:tc>
        <w:tc>
          <w:tcPr>
            <w:tcW w:type="dxa" w:w="7920"/>
          </w:tcPr>
          <w:p>
            <w:pPr>
              <w:spacing w:after="0"/>
            </w:pPr>
            <w:r/>
            <w:r>
              <w:rPr>
                <w:b w:val="0"/>
                <w:sz w:val="18"/>
              </w:rPr>
              <w:t>Drafting, conformity or minor commercial points. Fix in the markup.</w:t>
            </w:r>
          </w:p>
        </w:tc>
      </w:tr>
      <w:tr>
        <w:tc>
          <w:tcPr>
            <w:tcW w:type="dxa" w:w="1728"/>
            <w:shd w:val="clear" w:color="auto" w:fill="2E75B6"/>
          </w:tcPr>
          <w:p>
            <w:pPr>
              <w:spacing w:after="0"/>
            </w:pPr>
            <w:r/>
            <w:r>
              <w:rPr>
                <w:b/>
                <w:color w:val="FFFFFF"/>
                <w:sz w:val="18"/>
              </w:rPr>
              <w:t>Favorable</w:t>
            </w:r>
          </w:p>
        </w:tc>
        <w:tc>
          <w:tcPr>
            <w:tcW w:type="dxa" w:w="7920"/>
          </w:tcPr>
          <w:p>
            <w:pPr>
              <w:spacing w:after="0"/>
            </w:pPr>
            <w:r/>
            <w:r>
              <w:rPr>
                <w:b w:val="0"/>
                <w:sz w:val="18"/>
              </w:rPr>
              <w:t>Deviation that favors the Borrower. Keep and do not highlight. Possible trading currency.</w:t>
            </w:r>
          </w:p>
        </w:tc>
      </w:tr>
    </w:tbl>
    <w:p>
      <w:pPr>
        <w:pStyle w:val="Heading1"/>
      </w:pPr>
      <w:r>
        <w:t>3. Deviation Summary Table</w:t>
      </w:r>
    </w:p>
    <w:p>
      <w:pPr>
        <w:spacing w:after="80"/>
      </w:pPr>
      <w:r>
        <w:rPr>
          <w:b w:val="0"/>
          <w:i/>
        </w:rPr>
        <w:t>Sorted by priority. Detailed analysis and recommended fixes for each item follow in Section 4 (and Section 6 for Borrower-favorable items).</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648"/>
            <w:shd w:val="clear" w:color="auto" w:fill="1F3A5F"/>
          </w:tcPr>
          <w:p>
            <w:pPr>
              <w:spacing w:after="0"/>
            </w:pPr>
            <w:r/>
            <w:r>
              <w:rPr>
                <w:b/>
                <w:color w:val="FFFFFF"/>
                <w:sz w:val="18"/>
              </w:rPr>
              <w:t>#</w:t>
            </w:r>
          </w:p>
        </w:tc>
        <w:tc>
          <w:tcPr>
            <w:tcW w:type="dxa" w:w="1152"/>
            <w:shd w:val="clear" w:color="auto" w:fill="1F3A5F"/>
          </w:tcPr>
          <w:p>
            <w:pPr>
              <w:spacing w:after="0"/>
            </w:pPr>
            <w:r/>
            <w:r>
              <w:rPr>
                <w:b/>
                <w:color w:val="FFFFFF"/>
                <w:sz w:val="18"/>
              </w:rPr>
              <w:t>Priority</w:t>
            </w:r>
          </w:p>
        </w:tc>
        <w:tc>
          <w:tcPr>
            <w:tcW w:type="dxa" w:w="4104"/>
            <w:shd w:val="clear" w:color="auto" w:fill="1F3A5F"/>
          </w:tcPr>
          <w:p>
            <w:pPr>
              <w:spacing w:after="0"/>
            </w:pPr>
            <w:r/>
            <w:r>
              <w:rPr>
                <w:b/>
                <w:color w:val="FFFFFF"/>
                <w:sz w:val="18"/>
              </w:rPr>
              <w:t>Deviation</w:t>
            </w:r>
          </w:p>
        </w:tc>
        <w:tc>
          <w:tcPr>
            <w:tcW w:type="dxa" w:w="1800"/>
            <w:shd w:val="clear" w:color="auto" w:fill="1F3A5F"/>
          </w:tcPr>
          <w:p>
            <w:pPr>
              <w:spacing w:after="0"/>
            </w:pPr>
            <w:r/>
            <w:r>
              <w:rPr>
                <w:b/>
                <w:color w:val="FFFFFF"/>
                <w:sz w:val="18"/>
              </w:rPr>
              <w:t>TS ref.</w:t>
            </w:r>
          </w:p>
        </w:tc>
        <w:tc>
          <w:tcPr>
            <w:tcW w:type="dxa" w:w="1944"/>
            <w:shd w:val="clear" w:color="auto" w:fill="1F3A5F"/>
          </w:tcPr>
          <w:p>
            <w:pPr>
              <w:spacing w:after="0"/>
            </w:pPr>
            <w:r/>
            <w:r>
              <w:rPr>
                <w:b/>
                <w:color w:val="FFFFFF"/>
                <w:sz w:val="18"/>
              </w:rPr>
              <w:t>CA ref.</w:t>
            </w:r>
          </w:p>
        </w:tc>
      </w:tr>
      <w:tr>
        <w:tc>
          <w:tcPr>
            <w:tcW w:type="dxa" w:w="648"/>
          </w:tcPr>
          <w:p>
            <w:pPr>
              <w:spacing w:after="0"/>
            </w:pPr>
            <w:r/>
            <w:r>
              <w:rPr>
                <w:b/>
                <w:sz w:val="17"/>
              </w:rPr>
              <w:t>C-1</w:t>
            </w:r>
          </w:p>
        </w:tc>
        <w:tc>
          <w:tcPr>
            <w:tcW w:type="dxa" w:w="1152"/>
            <w:shd w:val="clear" w:color="auto" w:fill="C00000"/>
          </w:tcPr>
          <w:p>
            <w:pPr>
              <w:spacing w:after="0"/>
            </w:pPr>
            <w:r/>
            <w:r>
              <w:rPr>
                <w:b/>
                <w:color w:val="FFFFFF"/>
                <w:sz w:val="17"/>
              </w:rPr>
              <w:t>Critical</w:t>
            </w:r>
          </w:p>
        </w:tc>
        <w:tc>
          <w:tcPr>
            <w:tcW w:type="dxa" w:w="4104"/>
          </w:tcPr>
          <w:p>
            <w:pPr>
              <w:spacing w:after="0"/>
            </w:pPr>
            <w:r/>
            <w:r>
              <w:rPr>
                <w:b w:val="0"/>
                <w:sz w:val="17"/>
              </w:rPr>
              <w:t>Equity cure right omitted in its entirety</w:t>
            </w:r>
          </w:p>
        </w:tc>
        <w:tc>
          <w:tcPr>
            <w:tcW w:type="dxa" w:w="1800"/>
          </w:tcPr>
          <w:p>
            <w:pPr>
              <w:spacing w:after="0"/>
            </w:pPr>
            <w:r/>
            <w:r>
              <w:rPr>
                <w:b w:val="0"/>
                <w:sz w:val="16"/>
              </w:rPr>
              <w:t>TS §11.4; §12(b)</w:t>
            </w:r>
          </w:p>
        </w:tc>
        <w:tc>
          <w:tcPr>
            <w:tcW w:type="dxa" w:w="1944"/>
          </w:tcPr>
          <w:p>
            <w:pPr>
              <w:spacing w:after="0"/>
            </w:pPr>
            <w:r/>
            <w:r>
              <w:rPr>
                <w:b w:val="0"/>
                <w:sz w:val="16"/>
              </w:rPr>
              <w:t>CA §7.11; §8.01(b) (no cure provision anywhere in draft)</w:t>
            </w:r>
          </w:p>
        </w:tc>
      </w:tr>
      <w:tr>
        <w:tc>
          <w:tcPr>
            <w:tcW w:type="dxa" w:w="648"/>
          </w:tcPr>
          <w:p>
            <w:pPr>
              <w:spacing w:after="0"/>
            </w:pPr>
            <w:r/>
            <w:r>
              <w:rPr>
                <w:b/>
                <w:sz w:val="17"/>
              </w:rPr>
              <w:t>C-2</w:t>
            </w:r>
          </w:p>
        </w:tc>
        <w:tc>
          <w:tcPr>
            <w:tcW w:type="dxa" w:w="1152"/>
            <w:shd w:val="clear" w:color="auto" w:fill="C00000"/>
          </w:tcPr>
          <w:p>
            <w:pPr>
              <w:spacing w:after="0"/>
            </w:pPr>
            <w:r/>
            <w:r>
              <w:rPr>
                <w:b/>
                <w:color w:val="FFFFFF"/>
                <w:sz w:val="17"/>
              </w:rPr>
              <w:t>Critical</w:t>
            </w:r>
          </w:p>
        </w:tc>
        <w:tc>
          <w:tcPr>
            <w:tcW w:type="dxa" w:w="4104"/>
          </w:tcPr>
          <w:p>
            <w:pPr>
              <w:spacing w:after="0"/>
            </w:pPr>
            <w:r/>
            <w:r>
              <w:rPr>
                <w:b w:val="0"/>
                <w:sz w:val="17"/>
              </w:rPr>
              <w:t>DDTL Availability Period cut from 18 months to 12 months</w:t>
            </w:r>
          </w:p>
        </w:tc>
        <w:tc>
          <w:tcPr>
            <w:tcW w:type="dxa" w:w="1800"/>
          </w:tcPr>
          <w:p>
            <w:pPr>
              <w:spacing w:after="0"/>
            </w:pPr>
            <w:r/>
            <w:r>
              <w:rPr>
                <w:b w:val="0"/>
                <w:sz w:val="16"/>
              </w:rPr>
              <w:t>TS §3.3 (Availability Period; Undrawn Commitments)</w:t>
            </w:r>
          </w:p>
        </w:tc>
        <w:tc>
          <w:tcPr>
            <w:tcW w:type="dxa" w:w="1944"/>
          </w:tcPr>
          <w:p>
            <w:pPr>
              <w:spacing w:after="0"/>
            </w:pPr>
            <w:r/>
            <w:r>
              <w:rPr>
                <w:b w:val="0"/>
                <w:sz w:val="16"/>
              </w:rPr>
              <w:t>CA §1.01 “Availability Period”; §2.03(d); §3.02(d)(i)</w:t>
            </w:r>
          </w:p>
        </w:tc>
      </w:tr>
      <w:tr>
        <w:tc>
          <w:tcPr>
            <w:tcW w:type="dxa" w:w="648"/>
          </w:tcPr>
          <w:p>
            <w:pPr>
              <w:spacing w:after="0"/>
            </w:pPr>
            <w:r/>
            <w:r>
              <w:rPr>
                <w:b/>
                <w:sz w:val="17"/>
              </w:rPr>
              <w:t>C-3</w:t>
            </w:r>
          </w:p>
        </w:tc>
        <w:tc>
          <w:tcPr>
            <w:tcW w:type="dxa" w:w="1152"/>
            <w:shd w:val="clear" w:color="auto" w:fill="C00000"/>
          </w:tcPr>
          <w:p>
            <w:pPr>
              <w:spacing w:after="0"/>
            </w:pPr>
            <w:r/>
            <w:r>
              <w:rPr>
                <w:b/>
                <w:color w:val="FFFFFF"/>
                <w:sz w:val="17"/>
              </w:rPr>
              <w:t>Critical</w:t>
            </w:r>
          </w:p>
        </w:tc>
        <w:tc>
          <w:tcPr>
            <w:tcW w:type="dxa" w:w="4104"/>
          </w:tcPr>
          <w:p>
            <w:pPr>
              <w:spacing w:after="0"/>
            </w:pPr>
            <w:r/>
            <w:r>
              <w:rPr>
                <w:b w:val="0"/>
                <w:sz w:val="17"/>
              </w:rPr>
              <w:t>No “SunGard”/certain-funds limited conditionality at closing; MAE condition uses the wrong definition</w:t>
            </w:r>
          </w:p>
        </w:tc>
        <w:tc>
          <w:tcPr>
            <w:tcW w:type="dxa" w:w="1800"/>
          </w:tcPr>
          <w:p>
            <w:pPr>
              <w:spacing w:after="0"/>
            </w:pPr>
            <w:r/>
            <w:r>
              <w:rPr>
                <w:b w:val="0"/>
                <w:sz w:val="16"/>
              </w:rPr>
              <w:t>TS §6(e), §6(n)</w:t>
            </w:r>
          </w:p>
        </w:tc>
        <w:tc>
          <w:tcPr>
            <w:tcW w:type="dxa" w:w="1944"/>
          </w:tcPr>
          <w:p>
            <w:pPr>
              <w:spacing w:after="0"/>
            </w:pPr>
            <w:r/>
            <w:r>
              <w:rPr>
                <w:b w:val="0"/>
                <w:sz w:val="16"/>
              </w:rPr>
              <w:t>CA §3.01 (lead-in, (e), (q), (r)); §3.02; §1.01 “Material Adverse Effect”</w:t>
            </w:r>
          </w:p>
        </w:tc>
      </w:tr>
      <w:tr>
        <w:tc>
          <w:tcPr>
            <w:tcW w:type="dxa" w:w="648"/>
          </w:tcPr>
          <w:p>
            <w:pPr>
              <w:spacing w:after="0"/>
            </w:pPr>
            <w:r/>
            <w:r>
              <w:rPr>
                <w:b/>
                <w:sz w:val="17"/>
              </w:rPr>
              <w:t>C-4</w:t>
            </w:r>
          </w:p>
        </w:tc>
        <w:tc>
          <w:tcPr>
            <w:tcW w:type="dxa" w:w="1152"/>
            <w:shd w:val="clear" w:color="auto" w:fill="C00000"/>
          </w:tcPr>
          <w:p>
            <w:pPr>
              <w:spacing w:after="0"/>
            </w:pPr>
            <w:r/>
            <w:r>
              <w:rPr>
                <w:b/>
                <w:color w:val="FFFFFF"/>
                <w:sz w:val="17"/>
              </w:rPr>
              <w:t>Critical</w:t>
            </w:r>
          </w:p>
        </w:tc>
        <w:tc>
          <w:tcPr>
            <w:tcW w:type="dxa" w:w="4104"/>
          </w:tcPr>
          <w:p>
            <w:pPr>
              <w:spacing w:after="0"/>
            </w:pPr>
            <w:r/>
            <w:r>
              <w:rPr>
                <w:b w:val="0"/>
                <w:sz w:val="17"/>
              </w:rPr>
              <w:t>Unrestricted Cash netting cap in Total Net Leverage reduced from $15.0 million to $10.0 million</w:t>
            </w:r>
          </w:p>
        </w:tc>
        <w:tc>
          <w:tcPr>
            <w:tcW w:type="dxa" w:w="1800"/>
          </w:tcPr>
          <w:p>
            <w:pPr>
              <w:spacing w:after="0"/>
            </w:pPr>
            <w:r/>
            <w:r>
              <w:rPr>
                <w:b w:val="0"/>
                <w:sz w:val="16"/>
              </w:rPr>
              <w:t>TS §2 (Key Financial Metrics); §11.1 definition of Total Net Leverage Ratio</w:t>
            </w:r>
          </w:p>
        </w:tc>
        <w:tc>
          <w:tcPr>
            <w:tcW w:type="dxa" w:w="1944"/>
          </w:tcPr>
          <w:p>
            <w:pPr>
              <w:spacing w:after="0"/>
            </w:pPr>
            <w:r/>
            <w:r>
              <w:rPr>
                <w:b w:val="0"/>
                <w:sz w:val="16"/>
              </w:rPr>
              <w:t>CA §1.01 “Total Net Leverage Ratio”; §7.11(a); Exhibit D ¶2(a)(ii)</w:t>
            </w:r>
          </w:p>
        </w:tc>
      </w:tr>
      <w:tr>
        <w:tc>
          <w:tcPr>
            <w:tcW w:type="dxa" w:w="648"/>
          </w:tcPr>
          <w:p>
            <w:pPr>
              <w:spacing w:after="0"/>
            </w:pPr>
            <w:r/>
            <w:r>
              <w:rPr>
                <w:b/>
                <w:sz w:val="17"/>
              </w:rPr>
              <w:t>C-5</w:t>
            </w:r>
          </w:p>
        </w:tc>
        <w:tc>
          <w:tcPr>
            <w:tcW w:type="dxa" w:w="1152"/>
            <w:shd w:val="clear" w:color="auto" w:fill="C00000"/>
          </w:tcPr>
          <w:p>
            <w:pPr>
              <w:spacing w:after="0"/>
            </w:pPr>
            <w:r/>
            <w:r>
              <w:rPr>
                <w:b/>
                <w:color w:val="FFFFFF"/>
                <w:sz w:val="17"/>
              </w:rPr>
              <w:t>Critical</w:t>
            </w:r>
          </w:p>
        </w:tc>
        <w:tc>
          <w:tcPr>
            <w:tcW w:type="dxa" w:w="4104"/>
          </w:tcPr>
          <w:p>
            <w:pPr>
              <w:spacing w:after="0"/>
            </w:pPr>
            <w:r/>
            <w:r>
              <w:rPr>
                <w:b w:val="0"/>
                <w:sz w:val="17"/>
              </w:rPr>
              <w:t>Adjusted EBITDA narrowed below the Term Sheet’s add-back package</w:t>
            </w:r>
          </w:p>
        </w:tc>
        <w:tc>
          <w:tcPr>
            <w:tcW w:type="dxa" w:w="1800"/>
          </w:tcPr>
          <w:p>
            <w:pPr>
              <w:spacing w:after="0"/>
            </w:pPr>
            <w:r/>
            <w:r>
              <w:rPr>
                <w:b w:val="0"/>
                <w:sz w:val="16"/>
              </w:rPr>
              <w:t>TS §11.1 (LTM Adjusted EBITDA)</w:t>
            </w:r>
          </w:p>
        </w:tc>
        <w:tc>
          <w:tcPr>
            <w:tcW w:type="dxa" w:w="1944"/>
          </w:tcPr>
          <w:p>
            <w:pPr>
              <w:spacing w:after="0"/>
            </w:pPr>
            <w:r/>
            <w:r>
              <w:rPr>
                <w:b w:val="0"/>
                <w:sz w:val="16"/>
              </w:rPr>
              <w:t>CA §1.01 “Adjusted EBITDA”</w:t>
            </w:r>
          </w:p>
        </w:tc>
      </w:tr>
      <w:tr>
        <w:tc>
          <w:tcPr>
            <w:tcW w:type="dxa" w:w="648"/>
          </w:tcPr>
          <w:p>
            <w:pPr>
              <w:spacing w:after="0"/>
            </w:pPr>
            <w:r/>
            <w:r>
              <w:rPr>
                <w:b/>
                <w:sz w:val="17"/>
              </w:rPr>
              <w:t>C-6</w:t>
            </w:r>
          </w:p>
        </w:tc>
        <w:tc>
          <w:tcPr>
            <w:tcW w:type="dxa" w:w="1152"/>
            <w:shd w:val="clear" w:color="auto" w:fill="C00000"/>
          </w:tcPr>
          <w:p>
            <w:pPr>
              <w:spacing w:after="0"/>
            </w:pPr>
            <w:r/>
            <w:r>
              <w:rPr>
                <w:b/>
                <w:color w:val="FFFFFF"/>
                <w:sz w:val="17"/>
              </w:rPr>
              <w:t>Critical</w:t>
            </w:r>
          </w:p>
        </w:tc>
        <w:tc>
          <w:tcPr>
            <w:tcW w:type="dxa" w:w="4104"/>
          </w:tcPr>
          <w:p>
            <w:pPr>
              <w:spacing w:after="0"/>
            </w:pPr>
            <w:r/>
            <w:r>
              <w:rPr>
                <w:b w:val="0"/>
                <w:sz w:val="17"/>
              </w:rPr>
              <w:t>Cross-default to other debt instead of the cross-acceleration standard in the Term Sheet</w:t>
            </w:r>
          </w:p>
        </w:tc>
        <w:tc>
          <w:tcPr>
            <w:tcW w:type="dxa" w:w="1800"/>
          </w:tcPr>
          <w:p>
            <w:pPr>
              <w:spacing w:after="0"/>
            </w:pPr>
            <w:r/>
            <w:r>
              <w:rPr>
                <w:b w:val="0"/>
                <w:sz w:val="16"/>
              </w:rPr>
              <w:t>TS §12(f)</w:t>
            </w:r>
          </w:p>
        </w:tc>
        <w:tc>
          <w:tcPr>
            <w:tcW w:type="dxa" w:w="1944"/>
          </w:tcPr>
          <w:p>
            <w:pPr>
              <w:spacing w:after="0"/>
            </w:pPr>
            <w:r/>
            <w:r>
              <w:rPr>
                <w:b w:val="0"/>
                <w:sz w:val="16"/>
              </w:rPr>
              <w:t>CA §8.01(e)</w:t>
            </w:r>
          </w:p>
        </w:tc>
      </w:tr>
      <w:tr>
        <w:tc>
          <w:tcPr>
            <w:tcW w:type="dxa" w:w="648"/>
          </w:tcPr>
          <w:p>
            <w:pPr>
              <w:spacing w:after="0"/>
            </w:pPr>
            <w:r/>
            <w:r>
              <w:rPr>
                <w:b/>
                <w:sz w:val="17"/>
              </w:rPr>
              <w:t>H-1</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SOFR floor raised from 0.75% to 1.00%; overnight SOFR used instead of Term SOFR</w:t>
            </w:r>
          </w:p>
        </w:tc>
        <w:tc>
          <w:tcPr>
            <w:tcW w:type="dxa" w:w="1800"/>
          </w:tcPr>
          <w:p>
            <w:pPr>
              <w:spacing w:after="0"/>
            </w:pPr>
            <w:r/>
            <w:r>
              <w:rPr>
                <w:b w:val="0"/>
                <w:sz w:val="16"/>
              </w:rPr>
              <w:t>TS §4.1 (Applicable Rate; SOFR Floor; Interest Periods); §4.2</w:t>
            </w:r>
          </w:p>
        </w:tc>
        <w:tc>
          <w:tcPr>
            <w:tcW w:type="dxa" w:w="1944"/>
          </w:tcPr>
          <w:p>
            <w:pPr>
              <w:spacing w:after="0"/>
            </w:pPr>
            <w:r/>
            <w:r>
              <w:rPr>
                <w:b w:val="0"/>
                <w:sz w:val="16"/>
              </w:rPr>
              <w:t>CA §1.01 “SOFR”; §1.06(b); §2.08(a); “Base Rate” clause (c)</w:t>
            </w:r>
          </w:p>
        </w:tc>
      </w:tr>
      <w:tr>
        <w:tc>
          <w:tcPr>
            <w:tcW w:type="dxa" w:w="648"/>
          </w:tcPr>
          <w:p>
            <w:pPr>
              <w:spacing w:after="0"/>
            </w:pPr>
            <w:r/>
            <w:r>
              <w:rPr>
                <w:b/>
                <w:sz w:val="17"/>
              </w:rPr>
              <w:t>H-2</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Revolver pricing grid drops Level 3 (SOFR + 3.25%); adjustments delayed</w:t>
            </w:r>
          </w:p>
        </w:tc>
        <w:tc>
          <w:tcPr>
            <w:tcW w:type="dxa" w:w="1800"/>
          </w:tcPr>
          <w:p>
            <w:pPr>
              <w:spacing w:after="0"/>
            </w:pPr>
            <w:r/>
            <w:r>
              <w:rPr>
                <w:b w:val="0"/>
                <w:sz w:val="16"/>
              </w:rPr>
              <w:t>TS §4.2; Exhibit C</w:t>
            </w:r>
          </w:p>
        </w:tc>
        <w:tc>
          <w:tcPr>
            <w:tcW w:type="dxa" w:w="1944"/>
          </w:tcPr>
          <w:p>
            <w:pPr>
              <w:spacing w:after="0"/>
            </w:pPr>
            <w:r/>
            <w:r>
              <w:rPr>
                <w:b w:val="0"/>
                <w:sz w:val="16"/>
              </w:rPr>
              <w:t>CA §2.08(a) (Revolving Loans grid); Exhibit D ¶3</w:t>
            </w:r>
          </w:p>
        </w:tc>
      </w:tr>
      <w:tr>
        <w:tc>
          <w:tcPr>
            <w:tcW w:type="dxa" w:w="648"/>
          </w:tcPr>
          <w:p>
            <w:pPr>
              <w:spacing w:after="0"/>
            </w:pPr>
            <w:r/>
            <w:r>
              <w:rPr>
                <w:b/>
                <w:sz w:val="17"/>
              </w:rPr>
              <w:t>H-3</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Capital expenditure cap reduced to $10.5 million; carryforward and proration deleted</w:t>
            </w:r>
          </w:p>
        </w:tc>
        <w:tc>
          <w:tcPr>
            <w:tcW w:type="dxa" w:w="1800"/>
          </w:tcPr>
          <w:p>
            <w:pPr>
              <w:spacing w:after="0"/>
            </w:pPr>
            <w:r/>
            <w:r>
              <w:rPr>
                <w:b w:val="0"/>
                <w:sz w:val="16"/>
              </w:rPr>
              <w:t>TS §9.4</w:t>
            </w:r>
          </w:p>
        </w:tc>
        <w:tc>
          <w:tcPr>
            <w:tcW w:type="dxa" w:w="1944"/>
          </w:tcPr>
          <w:p>
            <w:pPr>
              <w:spacing w:after="0"/>
            </w:pPr>
            <w:r/>
            <w:r>
              <w:rPr>
                <w:b w:val="0"/>
                <w:sz w:val="16"/>
              </w:rPr>
              <w:t>CA §7.10; §1.01 “Capital Expenditures”</w:t>
            </w:r>
          </w:p>
        </w:tc>
      </w:tr>
      <w:tr>
        <w:tc>
          <w:tcPr>
            <w:tcW w:type="dxa" w:w="648"/>
          </w:tcPr>
          <w:p>
            <w:pPr>
              <w:spacing w:after="0"/>
            </w:pPr>
            <w:r/>
            <w:r>
              <w:rPr>
                <w:b/>
                <w:sz w:val="17"/>
              </w:rPr>
              <w:t>H-4</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Sponsor management fee reduced to $1.0 million and blocked by any Default with no accrual</w:t>
            </w:r>
          </w:p>
        </w:tc>
        <w:tc>
          <w:tcPr>
            <w:tcW w:type="dxa" w:w="1800"/>
          </w:tcPr>
          <w:p>
            <w:pPr>
              <w:spacing w:after="0"/>
            </w:pPr>
            <w:r/>
            <w:r>
              <w:rPr>
                <w:b w:val="0"/>
                <w:sz w:val="16"/>
              </w:rPr>
              <w:t>TS §9.3(c)</w:t>
            </w:r>
          </w:p>
        </w:tc>
        <w:tc>
          <w:tcPr>
            <w:tcW w:type="dxa" w:w="1944"/>
          </w:tcPr>
          <w:p>
            <w:pPr>
              <w:spacing w:after="0"/>
            </w:pPr>
            <w:r/>
            <w:r>
              <w:rPr>
                <w:b w:val="0"/>
                <w:sz w:val="16"/>
              </w:rPr>
              <w:t>CA §7.06(b), (e)</w:t>
            </w:r>
          </w:p>
        </w:tc>
      </w:tr>
      <w:tr>
        <w:tc>
          <w:tcPr>
            <w:tcW w:type="dxa" w:w="648"/>
          </w:tcPr>
          <w:p>
            <w:pPr>
              <w:spacing w:after="0"/>
            </w:pPr>
            <w:r/>
            <w:r>
              <w:rPr>
                <w:b/>
                <w:sz w:val="17"/>
              </w:rPr>
              <w:t>H-5</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Restricted payments: tax distributions can be blocked; no general distribution basket under TS §9.3(a)</w:t>
            </w:r>
          </w:p>
        </w:tc>
        <w:tc>
          <w:tcPr>
            <w:tcW w:type="dxa" w:w="1800"/>
          </w:tcPr>
          <w:p>
            <w:pPr>
              <w:spacing w:after="0"/>
            </w:pPr>
            <w:r/>
            <w:r>
              <w:rPr>
                <w:b w:val="0"/>
                <w:sz w:val="16"/>
              </w:rPr>
              <w:t>TS §9.3(a), (b)</w:t>
            </w:r>
          </w:p>
        </w:tc>
        <w:tc>
          <w:tcPr>
            <w:tcW w:type="dxa" w:w="1944"/>
          </w:tcPr>
          <w:p>
            <w:pPr>
              <w:spacing w:after="0"/>
            </w:pPr>
            <w:r/>
            <w:r>
              <w:rPr>
                <w:b w:val="0"/>
                <w:sz w:val="16"/>
              </w:rPr>
              <w:t>CA §7.06(a), (e); §1.01 “Restricted Payment”</w:t>
            </w:r>
          </w:p>
        </w:tc>
      </w:tr>
      <w:tr>
        <w:tc>
          <w:tcPr>
            <w:tcW w:type="dxa" w:w="648"/>
          </w:tcPr>
          <w:p>
            <w:pPr>
              <w:spacing w:after="0"/>
            </w:pPr>
            <w:r/>
            <w:r>
              <w:rPr>
                <w:b/>
                <w:sz w:val="17"/>
              </w:rPr>
              <w:t>H-6</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Annual audited financial statements due in 90 days instead of 120; no going-concern exception</w:t>
            </w:r>
          </w:p>
        </w:tc>
        <w:tc>
          <w:tcPr>
            <w:tcW w:type="dxa" w:w="1800"/>
          </w:tcPr>
          <w:p>
            <w:pPr>
              <w:spacing w:after="0"/>
            </w:pPr>
            <w:r/>
            <w:r>
              <w:rPr>
                <w:b w:val="0"/>
                <w:sz w:val="16"/>
              </w:rPr>
              <w:t>TS §8(a)</w:t>
            </w:r>
          </w:p>
        </w:tc>
        <w:tc>
          <w:tcPr>
            <w:tcW w:type="dxa" w:w="1944"/>
          </w:tcPr>
          <w:p>
            <w:pPr>
              <w:spacing w:after="0"/>
            </w:pPr>
            <w:r/>
            <w:r>
              <w:rPr>
                <w:b w:val="0"/>
                <w:sz w:val="16"/>
              </w:rPr>
              <w:t>CA §5.01(a); §2.05(b)(i) (ECF timing tied to §5.01(a))</w:t>
            </w:r>
          </w:p>
        </w:tc>
      </w:tr>
      <w:tr>
        <w:tc>
          <w:tcPr>
            <w:tcW w:type="dxa" w:w="648"/>
          </w:tcPr>
          <w:p>
            <w:pPr>
              <w:spacing w:after="0"/>
            </w:pPr>
            <w:r/>
            <w:r>
              <w:rPr>
                <w:b/>
                <w:sz w:val="17"/>
              </w:rPr>
              <w:t>H-7</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Excess Cash Flow: $2.0 million minimum, voluntary prepayment credit and acquisition deduction omitted</w:t>
            </w:r>
          </w:p>
        </w:tc>
        <w:tc>
          <w:tcPr>
            <w:tcW w:type="dxa" w:w="1800"/>
          </w:tcPr>
          <w:p>
            <w:pPr>
              <w:spacing w:after="0"/>
            </w:pPr>
            <w:r/>
            <w:r>
              <w:rPr>
                <w:b w:val="0"/>
                <w:sz w:val="16"/>
              </w:rPr>
              <w:t>TS §10.1</w:t>
            </w:r>
          </w:p>
        </w:tc>
        <w:tc>
          <w:tcPr>
            <w:tcW w:type="dxa" w:w="1944"/>
          </w:tcPr>
          <w:p>
            <w:pPr>
              <w:spacing w:after="0"/>
            </w:pPr>
            <w:r/>
            <w:r>
              <w:rPr>
                <w:b w:val="0"/>
                <w:sz w:val="16"/>
              </w:rPr>
              <w:t>CA §1.01 “Excess Cash Flow”; §2.05(b)(i)</w:t>
            </w:r>
          </w:p>
        </w:tc>
      </w:tr>
      <w:tr>
        <w:tc>
          <w:tcPr>
            <w:tcW w:type="dxa" w:w="648"/>
          </w:tcPr>
          <w:p>
            <w:pPr>
              <w:spacing w:after="0"/>
            </w:pPr>
            <w:r/>
            <w:r>
              <w:rPr>
                <w:b/>
                <w:sz w:val="17"/>
              </w:rPr>
              <w:t>H-8</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Change of Control tightened: 50.1% threshold, key-person trigger, narrower permitted holders</w:t>
            </w:r>
          </w:p>
        </w:tc>
        <w:tc>
          <w:tcPr>
            <w:tcW w:type="dxa" w:w="1800"/>
          </w:tcPr>
          <w:p>
            <w:pPr>
              <w:spacing w:after="0"/>
            </w:pPr>
            <w:r/>
            <w:r>
              <w:rPr>
                <w:b w:val="0"/>
                <w:sz w:val="16"/>
              </w:rPr>
              <w:t>TS §12 (Change of Control definition)</w:t>
            </w:r>
          </w:p>
        </w:tc>
        <w:tc>
          <w:tcPr>
            <w:tcW w:type="dxa" w:w="1944"/>
          </w:tcPr>
          <w:p>
            <w:pPr>
              <w:spacing w:after="0"/>
            </w:pPr>
            <w:r/>
            <w:r>
              <w:rPr>
                <w:b w:val="0"/>
                <w:sz w:val="16"/>
              </w:rPr>
              <w:t>CA §1.01 “Change of Control”; §4.13(b); §8.01(j)</w:t>
            </w:r>
          </w:p>
        </w:tc>
      </w:tr>
      <w:tr>
        <w:tc>
          <w:tcPr>
            <w:tcW w:type="dxa" w:w="648"/>
          </w:tcPr>
          <w:p>
            <w:pPr>
              <w:spacing w:after="0"/>
            </w:pPr>
            <w:r/>
            <w:r>
              <w:rPr>
                <w:b/>
                <w:sz w:val="17"/>
              </w:rPr>
              <w:t>H-9</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Permitted Acquisition conditions tightened: $20 million cap, 15 Business Days’ notice, QoE requirement</w:t>
            </w:r>
          </w:p>
        </w:tc>
        <w:tc>
          <w:tcPr>
            <w:tcW w:type="dxa" w:w="1800"/>
          </w:tcPr>
          <w:p>
            <w:pPr>
              <w:spacing w:after="0"/>
            </w:pPr>
            <w:r/>
            <w:r>
              <w:rPr>
                <w:b w:val="0"/>
                <w:sz w:val="16"/>
              </w:rPr>
              <w:t>TS §9.5</w:t>
            </w:r>
          </w:p>
        </w:tc>
        <w:tc>
          <w:tcPr>
            <w:tcW w:type="dxa" w:w="1944"/>
          </w:tcPr>
          <w:p>
            <w:pPr>
              <w:spacing w:after="0"/>
            </w:pPr>
            <w:r/>
            <w:r>
              <w:rPr>
                <w:b w:val="0"/>
                <w:sz w:val="16"/>
              </w:rPr>
              <w:t>CA §1.01 “Permitted Acquisition” (iv), (vi), (vii)</w:t>
            </w:r>
          </w:p>
        </w:tc>
      </w:tr>
      <w:tr>
        <w:tc>
          <w:tcPr>
            <w:tcW w:type="dxa" w:w="648"/>
          </w:tcPr>
          <w:p>
            <w:pPr>
              <w:spacing w:after="0"/>
            </w:pPr>
            <w:r/>
            <w:r>
              <w:rPr>
                <w:b/>
                <w:sz w:val="17"/>
              </w:rPr>
              <w:t>H-10</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Disqualified Institutions protection omitted</w:t>
            </w:r>
          </w:p>
        </w:tc>
        <w:tc>
          <w:tcPr>
            <w:tcW w:type="dxa" w:w="1800"/>
          </w:tcPr>
          <w:p>
            <w:pPr>
              <w:spacing w:after="0"/>
            </w:pPr>
            <w:r/>
            <w:r>
              <w:rPr>
                <w:b w:val="0"/>
                <w:sz w:val="16"/>
              </w:rPr>
              <w:t>TS §13(e)</w:t>
            </w:r>
          </w:p>
        </w:tc>
        <w:tc>
          <w:tcPr>
            <w:tcW w:type="dxa" w:w="1944"/>
          </w:tcPr>
          <w:p>
            <w:pPr>
              <w:spacing w:after="0"/>
            </w:pPr>
            <w:r/>
            <w:r>
              <w:rPr>
                <w:b w:val="0"/>
                <w:sz w:val="16"/>
              </w:rPr>
              <w:t>CA §10.06(b); no definition of “Disqualified Institution”</w:t>
            </w:r>
          </w:p>
        </w:tc>
      </w:tr>
      <w:tr>
        <w:tc>
          <w:tcPr>
            <w:tcW w:type="dxa" w:w="648"/>
          </w:tcPr>
          <w:p>
            <w:pPr>
              <w:spacing w:after="0"/>
            </w:pPr>
            <w:r/>
            <w:r>
              <w:rPr>
                <w:b/>
                <w:sz w:val="17"/>
              </w:rPr>
              <w:t>H-11</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Material Adverse Effect definition has no carve-outs and is brought down at every borrowing</w:t>
            </w:r>
          </w:p>
        </w:tc>
        <w:tc>
          <w:tcPr>
            <w:tcW w:type="dxa" w:w="1800"/>
          </w:tcPr>
          <w:p>
            <w:pPr>
              <w:spacing w:after="0"/>
            </w:pPr>
            <w:r/>
            <w:r>
              <w:rPr>
                <w:b w:val="0"/>
                <w:sz w:val="16"/>
              </w:rPr>
              <w:t>TS §7(e); §12(l) and MAE paragraph; §6(e)</w:t>
            </w:r>
          </w:p>
        </w:tc>
        <w:tc>
          <w:tcPr>
            <w:tcW w:type="dxa" w:w="1944"/>
          </w:tcPr>
          <w:p>
            <w:pPr>
              <w:spacing w:after="0"/>
            </w:pPr>
            <w:r/>
            <w:r>
              <w:rPr>
                <w:b w:val="0"/>
                <w:sz w:val="16"/>
              </w:rPr>
              <w:t>CA §1.01 “Material Adverse Effect”; §4.05(b); §3.02(b)</w:t>
            </w:r>
          </w:p>
        </w:tc>
      </w:tr>
      <w:tr>
        <w:tc>
          <w:tcPr>
            <w:tcW w:type="dxa" w:w="648"/>
          </w:tcPr>
          <w:p>
            <w:pPr>
              <w:spacing w:after="0"/>
            </w:pPr>
            <w:r/>
            <w:r>
              <w:rPr>
                <w:b/>
                <w:sz w:val="17"/>
              </w:rPr>
              <w:t>H-12</w:t>
            </w:r>
          </w:p>
        </w:tc>
        <w:tc>
          <w:tcPr>
            <w:tcW w:type="dxa" w:w="1152"/>
            <w:shd w:val="clear" w:color="auto" w:fill="E46C0A"/>
          </w:tcPr>
          <w:p>
            <w:pPr>
              <w:spacing w:after="0"/>
            </w:pPr>
            <w:r/>
            <w:r>
              <w:rPr>
                <w:b/>
                <w:color w:val="FFFFFF"/>
                <w:sz w:val="17"/>
              </w:rPr>
              <w:t>High</w:t>
            </w:r>
          </w:p>
        </w:tc>
        <w:tc>
          <w:tcPr>
            <w:tcW w:type="dxa" w:w="4104"/>
          </w:tcPr>
          <w:p>
            <w:pPr>
              <w:spacing w:after="0"/>
            </w:pPr>
            <w:r/>
            <w:r>
              <w:rPr>
                <w:b w:val="0"/>
                <w:sz w:val="17"/>
              </w:rPr>
              <w:t>DDTL draw mechanics: limited to three draws with a $10 million minimum</w:t>
            </w:r>
          </w:p>
        </w:tc>
        <w:tc>
          <w:tcPr>
            <w:tcW w:type="dxa" w:w="1800"/>
          </w:tcPr>
          <w:p>
            <w:pPr>
              <w:spacing w:after="0"/>
            </w:pPr>
            <w:r/>
            <w:r>
              <w:rPr>
                <w:b w:val="0"/>
                <w:sz w:val="16"/>
              </w:rPr>
              <w:t>TS §3.3 (Draw Mechanics)</w:t>
            </w:r>
          </w:p>
        </w:tc>
        <w:tc>
          <w:tcPr>
            <w:tcW w:type="dxa" w:w="1944"/>
          </w:tcPr>
          <w:p>
            <w:pPr>
              <w:spacing w:after="0"/>
            </w:pPr>
            <w:r/>
            <w:r>
              <w:rPr>
                <w:b w:val="0"/>
                <w:sz w:val="16"/>
              </w:rPr>
              <w:t>CA §2.03(b)</w:t>
            </w:r>
          </w:p>
        </w:tc>
      </w:tr>
      <w:tr>
        <w:tc>
          <w:tcPr>
            <w:tcW w:type="dxa" w:w="648"/>
          </w:tcPr>
          <w:p>
            <w:pPr>
              <w:spacing w:after="0"/>
            </w:pPr>
            <w:r/>
            <w:r>
              <w:rPr>
                <w:b/>
                <w:sz w:val="17"/>
              </w:rPr>
              <w:t>M-1</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Insurance and condemnation reinvestment period cut from 270 to 180 days; notice condition added</w:t>
            </w:r>
          </w:p>
        </w:tc>
        <w:tc>
          <w:tcPr>
            <w:tcW w:type="dxa" w:w="1800"/>
          </w:tcPr>
          <w:p>
            <w:pPr>
              <w:spacing w:after="0"/>
            </w:pPr>
            <w:r/>
            <w:r>
              <w:rPr>
                <w:b w:val="0"/>
                <w:sz w:val="16"/>
              </w:rPr>
              <w:t>TS §10.4</w:t>
            </w:r>
          </w:p>
        </w:tc>
        <w:tc>
          <w:tcPr>
            <w:tcW w:type="dxa" w:w="1944"/>
          </w:tcPr>
          <w:p>
            <w:pPr>
              <w:spacing w:after="0"/>
            </w:pPr>
            <w:r/>
            <w:r>
              <w:rPr>
                <w:b w:val="0"/>
                <w:sz w:val="16"/>
              </w:rPr>
              <w:t>CA §2.05(b)(iv)</w:t>
            </w:r>
          </w:p>
        </w:tc>
      </w:tr>
      <w:tr>
        <w:tc>
          <w:tcPr>
            <w:tcW w:type="dxa" w:w="648"/>
          </w:tcPr>
          <w:p>
            <w:pPr>
              <w:spacing w:after="0"/>
            </w:pPr>
            <w:r/>
            <w:r>
              <w:rPr>
                <w:b/>
                <w:sz w:val="17"/>
              </w:rPr>
              <w:t>M-2</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Asset sale reinvestment: notice condition added; 180-day committed extension omitted</w:t>
            </w:r>
          </w:p>
        </w:tc>
        <w:tc>
          <w:tcPr>
            <w:tcW w:type="dxa" w:w="1800"/>
          </w:tcPr>
          <w:p>
            <w:pPr>
              <w:spacing w:after="0"/>
            </w:pPr>
            <w:r/>
            <w:r>
              <w:rPr>
                <w:b w:val="0"/>
                <w:sz w:val="16"/>
              </w:rPr>
              <w:t>TS §9.6; §10.2</w:t>
            </w:r>
          </w:p>
        </w:tc>
        <w:tc>
          <w:tcPr>
            <w:tcW w:type="dxa" w:w="1944"/>
          </w:tcPr>
          <w:p>
            <w:pPr>
              <w:spacing w:after="0"/>
            </w:pPr>
            <w:r/>
            <w:r>
              <w:rPr>
                <w:b w:val="0"/>
                <w:sz w:val="16"/>
              </w:rPr>
              <w:t>CA §2.05(b)(ii)</w:t>
            </w:r>
          </w:p>
        </w:tc>
      </w:tr>
      <w:tr>
        <w:tc>
          <w:tcPr>
            <w:tcW w:type="dxa" w:w="648"/>
          </w:tcPr>
          <w:p>
            <w:pPr>
              <w:spacing w:after="0"/>
            </w:pPr>
            <w:r/>
            <w:r>
              <w:rPr>
                <w:b/>
                <w:sz w:val="17"/>
              </w:rPr>
              <w:t>M-3</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Grace period for interest and fees cut from 5 to 3 Business Days</w:t>
            </w:r>
          </w:p>
        </w:tc>
        <w:tc>
          <w:tcPr>
            <w:tcW w:type="dxa" w:w="1800"/>
          </w:tcPr>
          <w:p>
            <w:pPr>
              <w:spacing w:after="0"/>
            </w:pPr>
            <w:r/>
            <w:r>
              <w:rPr>
                <w:b w:val="0"/>
                <w:sz w:val="16"/>
              </w:rPr>
              <w:t>TS §12(a)</w:t>
            </w:r>
          </w:p>
        </w:tc>
        <w:tc>
          <w:tcPr>
            <w:tcW w:type="dxa" w:w="1944"/>
          </w:tcPr>
          <w:p>
            <w:pPr>
              <w:spacing w:after="0"/>
            </w:pPr>
            <w:r/>
            <w:r>
              <w:rPr>
                <w:b w:val="0"/>
                <w:sz w:val="16"/>
              </w:rPr>
              <w:t>CA §8.01(a)(ii)</w:t>
            </w:r>
          </w:p>
        </w:tc>
      </w:tr>
      <w:tr>
        <w:tc>
          <w:tcPr>
            <w:tcW w:type="dxa" w:w="648"/>
          </w:tcPr>
          <w:p>
            <w:pPr>
              <w:spacing w:after="0"/>
            </w:pPr>
            <w:r/>
            <w:r>
              <w:rPr>
                <w:b/>
                <w:sz w:val="17"/>
              </w:rPr>
              <w:t>M-4</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Judgment default: 30-day period (vs. 60) and insurer acknowledgment requirement</w:t>
            </w:r>
          </w:p>
        </w:tc>
        <w:tc>
          <w:tcPr>
            <w:tcW w:type="dxa" w:w="1800"/>
          </w:tcPr>
          <w:p>
            <w:pPr>
              <w:spacing w:after="0"/>
            </w:pPr>
            <w:r/>
            <w:r>
              <w:rPr>
                <w:b w:val="0"/>
                <w:sz w:val="16"/>
              </w:rPr>
              <w:t>TS §12(h)</w:t>
            </w:r>
          </w:p>
        </w:tc>
        <w:tc>
          <w:tcPr>
            <w:tcW w:type="dxa" w:w="1944"/>
          </w:tcPr>
          <w:p>
            <w:pPr>
              <w:spacing w:after="0"/>
            </w:pPr>
            <w:r/>
            <w:r>
              <w:rPr>
                <w:b w:val="0"/>
                <w:sz w:val="16"/>
              </w:rPr>
              <w:t>CA §8.01(g)</w:t>
            </w:r>
          </w:p>
        </w:tc>
      </w:tr>
      <w:tr>
        <w:tc>
          <w:tcPr>
            <w:tcW w:type="dxa" w:w="648"/>
          </w:tcPr>
          <w:p>
            <w:pPr>
              <w:spacing w:after="0"/>
            </w:pPr>
            <w:r/>
            <w:r>
              <w:rPr>
                <w:b/>
                <w:sz w:val="17"/>
              </w:rPr>
              <w:t>M-5</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Default interest applies to all Obligations, not only overdue amounts</w:t>
            </w:r>
          </w:p>
        </w:tc>
        <w:tc>
          <w:tcPr>
            <w:tcW w:type="dxa" w:w="1800"/>
          </w:tcPr>
          <w:p>
            <w:pPr>
              <w:spacing w:after="0"/>
            </w:pPr>
            <w:r/>
            <w:r>
              <w:rPr>
                <w:b w:val="0"/>
                <w:sz w:val="16"/>
              </w:rPr>
              <w:t>TS §4.1 (Default Rate); §4.2</w:t>
            </w:r>
          </w:p>
        </w:tc>
        <w:tc>
          <w:tcPr>
            <w:tcW w:type="dxa" w:w="1944"/>
          </w:tcPr>
          <w:p>
            <w:pPr>
              <w:spacing w:after="0"/>
            </w:pPr>
            <w:r/>
            <w:r>
              <w:rPr>
                <w:b w:val="0"/>
                <w:sz w:val="16"/>
              </w:rPr>
              <w:t>CA §2.08(b)</w:t>
            </w:r>
          </w:p>
        </w:tc>
      </w:tr>
      <w:tr>
        <w:tc>
          <w:tcPr>
            <w:tcW w:type="dxa" w:w="648"/>
          </w:tcPr>
          <w:p>
            <w:pPr>
              <w:spacing w:after="0"/>
            </w:pPr>
            <w:r/>
            <w:r>
              <w:rPr>
                <w:b/>
                <w:sz w:val="17"/>
              </w:rPr>
              <w:t>M-6</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New Environmental Event of Default; ERISA EoD threshold changed</w:t>
            </w:r>
          </w:p>
        </w:tc>
        <w:tc>
          <w:tcPr>
            <w:tcW w:type="dxa" w:w="1800"/>
          </w:tcPr>
          <w:p>
            <w:pPr>
              <w:spacing w:after="0"/>
            </w:pPr>
            <w:r/>
            <w:r>
              <w:rPr>
                <w:b w:val="0"/>
                <w:sz w:val="16"/>
              </w:rPr>
              <w:t>TS §12 (no environmental EoD); §12(i)</w:t>
            </w:r>
          </w:p>
        </w:tc>
        <w:tc>
          <w:tcPr>
            <w:tcW w:type="dxa" w:w="1944"/>
          </w:tcPr>
          <w:p>
            <w:pPr>
              <w:spacing w:after="0"/>
            </w:pPr>
            <w:r/>
            <w:r>
              <w:rPr>
                <w:b w:val="0"/>
                <w:sz w:val="16"/>
              </w:rPr>
              <w:t>CA §8.01(k); §8.01(h)</w:t>
            </w:r>
          </w:p>
        </w:tc>
      </w:tr>
      <w:tr>
        <w:tc>
          <w:tcPr>
            <w:tcW w:type="dxa" w:w="648"/>
          </w:tcPr>
          <w:p>
            <w:pPr>
              <w:spacing w:after="0"/>
            </w:pPr>
            <w:r/>
            <w:r>
              <w:rPr>
                <w:b/>
                <w:sz w:val="17"/>
              </w:rPr>
              <w:t>M-7</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Indemnity broader than TS: no bad-faith carve-out, no counsel limit, broad environmental coverage</w:t>
            </w:r>
          </w:p>
        </w:tc>
        <w:tc>
          <w:tcPr>
            <w:tcW w:type="dxa" w:w="1800"/>
          </w:tcPr>
          <w:p>
            <w:pPr>
              <w:spacing w:after="0"/>
            </w:pPr>
            <w:r/>
            <w:r>
              <w:rPr>
                <w:b w:val="0"/>
                <w:sz w:val="16"/>
              </w:rPr>
              <w:t>TS §15 (Indemnification; Expenses)</w:t>
            </w:r>
          </w:p>
        </w:tc>
        <w:tc>
          <w:tcPr>
            <w:tcW w:type="dxa" w:w="1944"/>
          </w:tcPr>
          <w:p>
            <w:pPr>
              <w:spacing w:after="0"/>
            </w:pPr>
            <w:r/>
            <w:r>
              <w:rPr>
                <w:b w:val="0"/>
                <w:sz w:val="16"/>
              </w:rPr>
              <w:t>CA §10.04(a), (b)</w:t>
            </w:r>
          </w:p>
        </w:tc>
      </w:tr>
      <w:tr>
        <w:tc>
          <w:tcPr>
            <w:tcW w:type="dxa" w:w="648"/>
          </w:tcPr>
          <w:p>
            <w:pPr>
              <w:spacing w:after="0"/>
            </w:pPr>
            <w:r/>
            <w:r>
              <w:rPr>
                <w:b/>
                <w:sz w:val="17"/>
              </w:rPr>
              <w:t>M-8</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Guarantee and collateral package lacks the TS exclusions</w:t>
            </w:r>
          </w:p>
        </w:tc>
        <w:tc>
          <w:tcPr>
            <w:tcW w:type="dxa" w:w="1800"/>
          </w:tcPr>
          <w:p>
            <w:pPr>
              <w:spacing w:after="0"/>
            </w:pPr>
            <w:r/>
            <w:r>
              <w:rPr>
                <w:b w:val="0"/>
                <w:sz w:val="16"/>
              </w:rPr>
              <w:t>TS §5 (Security; Guarantors)</w:t>
            </w:r>
          </w:p>
        </w:tc>
        <w:tc>
          <w:tcPr>
            <w:tcW w:type="dxa" w:w="1944"/>
          </w:tcPr>
          <w:p>
            <w:pPr>
              <w:spacing w:after="0"/>
            </w:pPr>
            <w:r/>
            <w:r>
              <w:rPr>
                <w:b w:val="0"/>
                <w:sz w:val="16"/>
              </w:rPr>
              <w:t>CA §5.11; Schedule 4.13 note; §3.01(a)(vi); §1.01 “Collateral”</w:t>
            </w:r>
          </w:p>
        </w:tc>
      </w:tr>
      <w:tr>
        <w:tc>
          <w:tcPr>
            <w:tcW w:type="dxa" w:w="648"/>
          </w:tcPr>
          <w:p>
            <w:pPr>
              <w:spacing w:after="0"/>
            </w:pPr>
            <w:r/>
            <w:r>
              <w:rPr>
                <w:b/>
                <w:sz w:val="17"/>
              </w:rPr>
              <w:t>M-9</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Unrestricted Cash and Liquidity tests can exclude cash at the Agent and cash during the DACA post-closing period</w:t>
            </w:r>
          </w:p>
        </w:tc>
        <w:tc>
          <w:tcPr>
            <w:tcW w:type="dxa" w:w="1800"/>
          </w:tcPr>
          <w:p>
            <w:pPr>
              <w:spacing w:after="0"/>
            </w:pPr>
            <w:r/>
            <w:r>
              <w:rPr>
                <w:b w:val="0"/>
                <w:sz w:val="16"/>
              </w:rPr>
              <w:t>TS §11.1 (Unrestricted Cash); §11.3 (Liquidity)</w:t>
            </w:r>
          </w:p>
        </w:tc>
        <w:tc>
          <w:tcPr>
            <w:tcW w:type="dxa" w:w="1944"/>
          </w:tcPr>
          <w:p>
            <w:pPr>
              <w:spacing w:after="0"/>
            </w:pPr>
            <w:r/>
            <w:r>
              <w:rPr>
                <w:b w:val="0"/>
                <w:sz w:val="16"/>
              </w:rPr>
              <w:t>CA §1.01 “Unrestricted Cash”, “Minimum Liquidity”; Schedule 5.12 item 1</w:t>
            </w:r>
          </w:p>
        </w:tc>
      </w:tr>
      <w:tr>
        <w:tc>
          <w:tcPr>
            <w:tcW w:type="dxa" w:w="648"/>
          </w:tcPr>
          <w:p>
            <w:pPr>
              <w:spacing w:after="0"/>
            </w:pPr>
            <w:r/>
            <w:r>
              <w:rPr>
                <w:b/>
                <w:sz w:val="17"/>
              </w:rPr>
              <w:t>M-10</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Revolver use of proceeds omits Permitted Acquisitions</w:t>
            </w:r>
          </w:p>
        </w:tc>
        <w:tc>
          <w:tcPr>
            <w:tcW w:type="dxa" w:w="1800"/>
          </w:tcPr>
          <w:p>
            <w:pPr>
              <w:spacing w:after="0"/>
            </w:pPr>
            <w:r/>
            <w:r>
              <w:rPr>
                <w:b w:val="0"/>
                <w:sz w:val="16"/>
              </w:rPr>
              <w:t>TS §3.2 (Use of Proceeds)</w:t>
            </w:r>
          </w:p>
        </w:tc>
        <w:tc>
          <w:tcPr>
            <w:tcW w:type="dxa" w:w="1944"/>
          </w:tcPr>
          <w:p>
            <w:pPr>
              <w:spacing w:after="0"/>
            </w:pPr>
            <w:r/>
            <w:r>
              <w:rPr>
                <w:b w:val="0"/>
                <w:sz w:val="16"/>
              </w:rPr>
              <w:t>CA Recitals; §4.20; §5.10; §7.09</w:t>
            </w:r>
          </w:p>
        </w:tc>
      </w:tr>
      <w:tr>
        <w:tc>
          <w:tcPr>
            <w:tcW w:type="dxa" w:w="648"/>
          </w:tcPr>
          <w:p>
            <w:pPr>
              <w:spacing w:after="0"/>
            </w:pPr>
            <w:r/>
            <w:r>
              <w:rPr>
                <w:b/>
                <w:sz w:val="17"/>
              </w:rPr>
              <w:t>M-11</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Closing conditions go beyond the TS list</w:t>
            </w:r>
          </w:p>
        </w:tc>
        <w:tc>
          <w:tcPr>
            <w:tcW w:type="dxa" w:w="1800"/>
          </w:tcPr>
          <w:p>
            <w:pPr>
              <w:spacing w:after="0"/>
            </w:pPr>
            <w:r/>
            <w:r>
              <w:rPr>
                <w:b w:val="0"/>
                <w:sz w:val="16"/>
              </w:rPr>
              <w:t>TS §6(a)–(n)</w:t>
            </w:r>
          </w:p>
        </w:tc>
        <w:tc>
          <w:tcPr>
            <w:tcW w:type="dxa" w:w="1944"/>
          </w:tcPr>
          <w:p>
            <w:pPr>
              <w:spacing w:after="0"/>
            </w:pPr>
            <w:r/>
            <w:r>
              <w:rPr>
                <w:b w:val="0"/>
                <w:sz w:val="16"/>
              </w:rPr>
              <w:t>CA §3.01(b), (f), (a)(vi), (r), lead-in</w:t>
            </w:r>
          </w:p>
        </w:tc>
      </w:tr>
      <w:tr>
        <w:tc>
          <w:tcPr>
            <w:tcW w:type="dxa" w:w="648"/>
          </w:tcPr>
          <w:p>
            <w:pPr>
              <w:spacing w:after="0"/>
            </w:pPr>
            <w:r/>
            <w:r>
              <w:rPr>
                <w:b/>
                <w:sz w:val="17"/>
              </w:rPr>
              <w:t>M-12</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Post-closing deadlines shorter than the 90-day TS period</w:t>
            </w:r>
          </w:p>
        </w:tc>
        <w:tc>
          <w:tcPr>
            <w:tcW w:type="dxa" w:w="1800"/>
          </w:tcPr>
          <w:p>
            <w:pPr>
              <w:spacing w:after="0"/>
            </w:pPr>
            <w:r/>
            <w:r>
              <w:rPr>
                <w:b w:val="0"/>
                <w:sz w:val="16"/>
              </w:rPr>
              <w:t>TS §8(p)</w:t>
            </w:r>
          </w:p>
        </w:tc>
        <w:tc>
          <w:tcPr>
            <w:tcW w:type="dxa" w:w="1944"/>
          </w:tcPr>
          <w:p>
            <w:pPr>
              <w:spacing w:after="0"/>
            </w:pPr>
            <w:r/>
            <w:r>
              <w:rPr>
                <w:b w:val="0"/>
                <w:sz w:val="16"/>
              </w:rPr>
              <w:t>CA §5.12; Schedule 5.12</w:t>
            </w:r>
          </w:p>
        </w:tc>
      </w:tr>
      <w:tr>
        <w:tc>
          <w:tcPr>
            <w:tcW w:type="dxa" w:w="648"/>
          </w:tcPr>
          <w:p>
            <w:pPr>
              <w:spacing w:after="0"/>
            </w:pPr>
            <w:r/>
            <w:r>
              <w:rPr>
                <w:b/>
                <w:sz w:val="17"/>
              </w:rPr>
              <w:t>M-13</w:t>
            </w:r>
          </w:p>
        </w:tc>
        <w:tc>
          <w:tcPr>
            <w:tcW w:type="dxa" w:w="1152"/>
            <w:shd w:val="clear" w:color="auto" w:fill="BF9000"/>
          </w:tcPr>
          <w:p>
            <w:pPr>
              <w:spacing w:after="0"/>
            </w:pPr>
            <w:r/>
            <w:r>
              <w:rPr>
                <w:b/>
                <w:color w:val="FFFFFF"/>
                <w:sz w:val="17"/>
              </w:rPr>
              <w:t>Medium</w:t>
            </w:r>
          </w:p>
        </w:tc>
        <w:tc>
          <w:tcPr>
            <w:tcW w:type="dxa" w:w="4104"/>
          </w:tcPr>
          <w:p>
            <w:pPr>
              <w:spacing w:after="0"/>
            </w:pPr>
            <w:r/>
            <w:r>
              <w:rPr>
                <w:b w:val="0"/>
                <w:sz w:val="17"/>
              </w:rPr>
              <w:t>Reporting and other covenants go beyond the Term Sheet</w:t>
            </w:r>
          </w:p>
        </w:tc>
        <w:tc>
          <w:tcPr>
            <w:tcW w:type="dxa" w:w="1800"/>
          </w:tcPr>
          <w:p>
            <w:pPr>
              <w:spacing w:after="0"/>
            </w:pPr>
            <w:r/>
            <w:r>
              <w:rPr>
                <w:b w:val="0"/>
                <w:sz w:val="16"/>
              </w:rPr>
              <w:t>TS §8(d), (h), (j); §9.7(d)</w:t>
            </w:r>
          </w:p>
        </w:tc>
        <w:tc>
          <w:tcPr>
            <w:tcW w:type="dxa" w:w="1944"/>
          </w:tcPr>
          <w:p>
            <w:pPr>
              <w:spacing w:after="0"/>
            </w:pPr>
            <w:r/>
            <w:r>
              <w:rPr>
                <w:b w:val="0"/>
                <w:sz w:val="16"/>
              </w:rPr>
              <w:t>CA §5.01(d); §5.02(d); §5.03; §5.07</w:t>
            </w:r>
          </w:p>
        </w:tc>
      </w:tr>
      <w:tr>
        <w:tc>
          <w:tcPr>
            <w:tcW w:type="dxa" w:w="648"/>
          </w:tcPr>
          <w:p>
            <w:pPr>
              <w:spacing w:after="0"/>
            </w:pPr>
            <w:r/>
            <w:r>
              <w:rPr>
                <w:b/>
                <w:sz w:val="17"/>
              </w:rPr>
              <w:t>L-1</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Debt and lien baskets narrower than or not specified in the Term Sheet</w:t>
            </w:r>
          </w:p>
        </w:tc>
        <w:tc>
          <w:tcPr>
            <w:tcW w:type="dxa" w:w="1800"/>
          </w:tcPr>
          <w:p>
            <w:pPr>
              <w:spacing w:after="0"/>
            </w:pPr>
            <w:r/>
            <w:r>
              <w:rPr>
                <w:b w:val="0"/>
                <w:sz w:val="16"/>
              </w:rPr>
              <w:t>TS §9.1(b), (e), (h); §9.2</w:t>
            </w:r>
          </w:p>
        </w:tc>
        <w:tc>
          <w:tcPr>
            <w:tcW w:type="dxa" w:w="1944"/>
          </w:tcPr>
          <w:p>
            <w:pPr>
              <w:spacing w:after="0"/>
            </w:pPr>
            <w:r/>
            <w:r>
              <w:rPr>
                <w:b w:val="0"/>
                <w:sz w:val="16"/>
              </w:rPr>
              <w:t>CA §7.02(c), (e), (j); §7.01(j); §7.03(h)</w:t>
            </w:r>
          </w:p>
        </w:tc>
      </w:tr>
      <w:tr>
        <w:tc>
          <w:tcPr>
            <w:tcW w:type="dxa" w:w="648"/>
          </w:tcPr>
          <w:p>
            <w:pPr>
              <w:spacing w:after="0"/>
            </w:pPr>
            <w:r/>
            <w:r>
              <w:rPr>
                <w:b/>
                <w:sz w:val="17"/>
              </w:rPr>
              <w:t>L-2</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Interest Periods: “other periods as agreed” omitted</w:t>
            </w:r>
          </w:p>
        </w:tc>
        <w:tc>
          <w:tcPr>
            <w:tcW w:type="dxa" w:w="1800"/>
          </w:tcPr>
          <w:p>
            <w:pPr>
              <w:spacing w:after="0"/>
            </w:pPr>
            <w:r/>
            <w:r>
              <w:rPr>
                <w:b w:val="0"/>
                <w:sz w:val="16"/>
              </w:rPr>
              <w:t>TS §4.1 (Interest Periods)</w:t>
            </w:r>
          </w:p>
        </w:tc>
        <w:tc>
          <w:tcPr>
            <w:tcW w:type="dxa" w:w="1944"/>
          </w:tcPr>
          <w:p>
            <w:pPr>
              <w:spacing w:after="0"/>
            </w:pPr>
            <w:r/>
            <w:r>
              <w:rPr>
                <w:b w:val="0"/>
                <w:sz w:val="16"/>
              </w:rPr>
              <w:t>CA §1.01 “Interest Period”</w:t>
            </w:r>
          </w:p>
        </w:tc>
      </w:tr>
      <w:tr>
        <w:tc>
          <w:tcPr>
            <w:tcW w:type="dxa" w:w="648"/>
          </w:tcPr>
          <w:p>
            <w:pPr>
              <w:spacing w:after="0"/>
            </w:pPr>
            <w:r/>
            <w:r>
              <w:rPr>
                <w:b/>
                <w:sz w:val="17"/>
              </w:rPr>
              <w:t>L-3</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Fee Letter date and parties inconsistent with the Term Sheet</w:t>
            </w:r>
          </w:p>
        </w:tc>
        <w:tc>
          <w:tcPr>
            <w:tcW w:type="dxa" w:w="1800"/>
          </w:tcPr>
          <w:p>
            <w:pPr>
              <w:spacing w:after="0"/>
            </w:pPr>
            <w:r/>
            <w:r>
              <w:rPr>
                <w:b w:val="0"/>
                <w:sz w:val="16"/>
              </w:rPr>
              <w:t>TS §17</w:t>
            </w:r>
          </w:p>
        </w:tc>
        <w:tc>
          <w:tcPr>
            <w:tcW w:type="dxa" w:w="1944"/>
          </w:tcPr>
          <w:p>
            <w:pPr>
              <w:spacing w:after="0"/>
            </w:pPr>
            <w:r/>
            <w:r>
              <w:rPr>
                <w:b w:val="0"/>
                <w:sz w:val="16"/>
              </w:rPr>
              <w:t>CA §1.01 “Fee Letter”</w:t>
            </w:r>
          </w:p>
        </w:tc>
      </w:tr>
      <w:tr>
        <w:tc>
          <w:tcPr>
            <w:tcW w:type="dxa" w:w="648"/>
          </w:tcPr>
          <w:p>
            <w:pPr>
              <w:spacing w:after="0"/>
            </w:pPr>
            <w:r/>
            <w:r>
              <w:rPr>
                <w:b/>
                <w:sz w:val="17"/>
              </w:rPr>
              <w:t>L-4</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Notice details and signature blocks contain errors</w:t>
            </w:r>
          </w:p>
        </w:tc>
        <w:tc>
          <w:tcPr>
            <w:tcW w:type="dxa" w:w="1800"/>
          </w:tcPr>
          <w:p>
            <w:pPr>
              <w:spacing w:after="0"/>
            </w:pPr>
            <w:r/>
            <w:r>
              <w:rPr>
                <w:b w:val="0"/>
                <w:sz w:val="16"/>
              </w:rPr>
              <w:t>TS §1 (parties); transmittal header</w:t>
            </w:r>
          </w:p>
        </w:tc>
        <w:tc>
          <w:tcPr>
            <w:tcW w:type="dxa" w:w="1944"/>
          </w:tcPr>
          <w:p>
            <w:pPr>
              <w:spacing w:after="0"/>
            </w:pPr>
            <w:r/>
            <w:r>
              <w:rPr>
                <w:b w:val="0"/>
                <w:sz w:val="16"/>
              </w:rPr>
              <w:t>CA §10.02(a); signature pages</w:t>
            </w:r>
          </w:p>
        </w:tc>
      </w:tr>
      <w:tr>
        <w:tc>
          <w:tcPr>
            <w:tcW w:type="dxa" w:w="648"/>
          </w:tcPr>
          <w:p>
            <w:pPr>
              <w:spacing w:after="0"/>
            </w:pPr>
            <w:r/>
            <w:r>
              <w:rPr>
                <w:b/>
                <w:sz w:val="17"/>
              </w:rPr>
              <w:t>L-5</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Governing law and forum wording differs slightly</w:t>
            </w:r>
          </w:p>
        </w:tc>
        <w:tc>
          <w:tcPr>
            <w:tcW w:type="dxa" w:w="1800"/>
          </w:tcPr>
          <w:p>
            <w:pPr>
              <w:spacing w:after="0"/>
            </w:pPr>
            <w:r/>
            <w:r>
              <w:rPr>
                <w:b w:val="0"/>
                <w:sz w:val="16"/>
              </w:rPr>
              <w:t>TS §16 (Governing Law; Jurisdiction)</w:t>
            </w:r>
          </w:p>
        </w:tc>
        <w:tc>
          <w:tcPr>
            <w:tcW w:type="dxa" w:w="1944"/>
          </w:tcPr>
          <w:p>
            <w:pPr>
              <w:spacing w:after="0"/>
            </w:pPr>
            <w:r/>
            <w:r>
              <w:rPr>
                <w:b w:val="0"/>
                <w:sz w:val="16"/>
              </w:rPr>
              <w:t>CA §10.13; §10.15</w:t>
            </w:r>
          </w:p>
        </w:tc>
      </w:tr>
      <w:tr>
        <w:tc>
          <w:tcPr>
            <w:tcW w:type="dxa" w:w="648"/>
          </w:tcPr>
          <w:p>
            <w:pPr>
              <w:spacing w:after="0"/>
            </w:pPr>
            <w:r/>
            <w:r>
              <w:rPr>
                <w:b/>
                <w:sz w:val="17"/>
              </w:rPr>
              <w:t>L-6</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Required Lenders and voting provisions use undefined terms; some TS unanimous items missing</w:t>
            </w:r>
          </w:p>
        </w:tc>
        <w:tc>
          <w:tcPr>
            <w:tcW w:type="dxa" w:w="1800"/>
          </w:tcPr>
          <w:p>
            <w:pPr>
              <w:spacing w:after="0"/>
            </w:pPr>
            <w:r/>
            <w:r>
              <w:rPr>
                <w:b w:val="0"/>
                <w:sz w:val="16"/>
              </w:rPr>
              <w:t>TS §14</w:t>
            </w:r>
          </w:p>
        </w:tc>
        <w:tc>
          <w:tcPr>
            <w:tcW w:type="dxa" w:w="1944"/>
          </w:tcPr>
          <w:p>
            <w:pPr>
              <w:spacing w:after="0"/>
            </w:pPr>
            <w:r/>
            <w:r>
              <w:rPr>
                <w:b w:val="0"/>
                <w:sz w:val="16"/>
              </w:rPr>
              <w:t>CA §1.01 “Required Lenders”; §10.01(a)</w:t>
            </w:r>
          </w:p>
        </w:tc>
      </w:tr>
      <w:tr>
        <w:tc>
          <w:tcPr>
            <w:tcW w:type="dxa" w:w="648"/>
          </w:tcPr>
          <w:p>
            <w:pPr>
              <w:spacing w:after="0"/>
            </w:pPr>
            <w:r/>
            <w:r>
              <w:rPr>
                <w:b/>
                <w:sz w:val="17"/>
              </w:rPr>
              <w:t>L-7</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Undefined or inconsistent defined terms throughout the draft</w:t>
            </w:r>
          </w:p>
        </w:tc>
        <w:tc>
          <w:tcPr>
            <w:tcW w:type="dxa" w:w="1800"/>
          </w:tcPr>
          <w:p>
            <w:pPr>
              <w:spacing w:after="0"/>
            </w:pPr>
            <w:r/>
            <w:r>
              <w:rPr>
                <w:b w:val="0"/>
                <w:sz w:val="16"/>
              </w:rPr>
              <w:t>—</w:t>
            </w:r>
          </w:p>
        </w:tc>
        <w:tc>
          <w:tcPr>
            <w:tcW w:type="dxa" w:w="1944"/>
          </w:tcPr>
          <w:p>
            <w:pPr>
              <w:spacing w:after="0"/>
            </w:pPr>
            <w:r/>
            <w:r>
              <w:rPr>
                <w:b w:val="0"/>
                <w:sz w:val="16"/>
              </w:rPr>
              <w:t>CA passim</w:t>
            </w:r>
          </w:p>
        </w:tc>
      </w:tr>
      <w:tr>
        <w:tc>
          <w:tcPr>
            <w:tcW w:type="dxa" w:w="648"/>
          </w:tcPr>
          <w:p>
            <w:pPr>
              <w:spacing w:after="0"/>
            </w:pPr>
            <w:r/>
            <w:r>
              <w:rPr>
                <w:b/>
                <w:sz w:val="17"/>
              </w:rPr>
              <w:t>L-8</w:t>
            </w:r>
          </w:p>
        </w:tc>
        <w:tc>
          <w:tcPr>
            <w:tcW w:type="dxa" w:w="1152"/>
            <w:shd w:val="clear" w:color="auto" w:fill="548235"/>
          </w:tcPr>
          <w:p>
            <w:pPr>
              <w:spacing w:after="0"/>
            </w:pPr>
            <w:r/>
            <w:r>
              <w:rPr>
                <w:b/>
                <w:color w:val="FFFFFF"/>
                <w:sz w:val="17"/>
              </w:rPr>
              <w:t>Low</w:t>
            </w:r>
          </w:p>
        </w:tc>
        <w:tc>
          <w:tcPr>
            <w:tcW w:type="dxa" w:w="4104"/>
          </w:tcPr>
          <w:p>
            <w:pPr>
              <w:spacing w:after="0"/>
            </w:pPr>
            <w:r/>
            <w:r>
              <w:rPr>
                <w:b w:val="0"/>
                <w:sz w:val="17"/>
              </w:rPr>
              <w:t>Incremental facility: $40 million, conditions and MFN sunset</w:t>
            </w:r>
          </w:p>
        </w:tc>
        <w:tc>
          <w:tcPr>
            <w:tcW w:type="dxa" w:w="1800"/>
          </w:tcPr>
          <w:p>
            <w:pPr>
              <w:spacing w:after="0"/>
            </w:pPr>
            <w:r/>
            <w:r>
              <w:rPr>
                <w:b w:val="0"/>
                <w:sz w:val="16"/>
              </w:rPr>
              <w:t>Not in TS (lender addition per transmittal item (iii))</w:t>
            </w:r>
          </w:p>
        </w:tc>
        <w:tc>
          <w:tcPr>
            <w:tcW w:type="dxa" w:w="1944"/>
          </w:tcPr>
          <w:p>
            <w:pPr>
              <w:spacing w:after="0"/>
            </w:pPr>
            <w:r/>
            <w:r>
              <w:rPr>
                <w:b w:val="0"/>
                <w:sz w:val="16"/>
              </w:rPr>
              <w:t>CA §2.14</w:t>
            </w:r>
          </w:p>
        </w:tc>
      </w:tr>
      <w:tr>
        <w:tc>
          <w:tcPr>
            <w:tcW w:type="dxa" w:w="648"/>
          </w:tcPr>
          <w:p>
            <w:pPr>
              <w:spacing w:after="0"/>
            </w:pPr>
            <w:r/>
            <w:r>
              <w:rPr>
                <w:b/>
                <w:sz w:val="17"/>
              </w:rPr>
              <w:t>F-1</w:t>
            </w:r>
          </w:p>
        </w:tc>
        <w:tc>
          <w:tcPr>
            <w:tcW w:type="dxa" w:w="1152"/>
            <w:shd w:val="clear" w:color="auto" w:fill="2E75B6"/>
          </w:tcPr>
          <w:p>
            <w:pPr>
              <w:spacing w:after="0"/>
            </w:pPr>
            <w:r/>
            <w:r>
              <w:rPr>
                <w:b/>
                <w:color w:val="FFFFFF"/>
                <w:sz w:val="17"/>
              </w:rPr>
              <w:t>Favorable</w:t>
            </w:r>
          </w:p>
        </w:tc>
        <w:tc>
          <w:tcPr>
            <w:tcW w:type="dxa" w:w="4104"/>
          </w:tcPr>
          <w:p>
            <w:pPr>
              <w:spacing w:after="0"/>
            </w:pPr>
            <w:r/>
            <w:r>
              <w:rPr>
                <w:b w:val="0"/>
                <w:sz w:val="17"/>
              </w:rPr>
              <w:t>TNLR step-downs occur one quarter later than in the Term Sheet</w:t>
            </w:r>
          </w:p>
        </w:tc>
        <w:tc>
          <w:tcPr>
            <w:tcW w:type="dxa" w:w="1800"/>
          </w:tcPr>
          <w:p>
            <w:pPr>
              <w:spacing w:after="0"/>
            </w:pPr>
            <w:r/>
            <w:r>
              <w:rPr>
                <w:b w:val="0"/>
                <w:sz w:val="16"/>
              </w:rPr>
              <w:t>TS §11.1; Exhibit B</w:t>
            </w:r>
          </w:p>
        </w:tc>
        <w:tc>
          <w:tcPr>
            <w:tcW w:type="dxa" w:w="1944"/>
          </w:tcPr>
          <w:p>
            <w:pPr>
              <w:spacing w:after="0"/>
            </w:pPr>
            <w:r/>
            <w:r>
              <w:rPr>
                <w:b w:val="0"/>
                <w:sz w:val="16"/>
              </w:rPr>
              <w:t>CA §7.11(a)</w:t>
            </w:r>
          </w:p>
        </w:tc>
      </w:tr>
      <w:tr>
        <w:tc>
          <w:tcPr>
            <w:tcW w:type="dxa" w:w="648"/>
          </w:tcPr>
          <w:p>
            <w:pPr>
              <w:spacing w:after="0"/>
            </w:pPr>
            <w:r/>
            <w:r>
              <w:rPr>
                <w:b/>
                <w:sz w:val="17"/>
              </w:rPr>
              <w:t>F-2</w:t>
            </w:r>
          </w:p>
        </w:tc>
        <w:tc>
          <w:tcPr>
            <w:tcW w:type="dxa" w:w="1152"/>
            <w:shd w:val="clear" w:color="auto" w:fill="2E75B6"/>
          </w:tcPr>
          <w:p>
            <w:pPr>
              <w:spacing w:after="0"/>
            </w:pPr>
            <w:r/>
            <w:r>
              <w:rPr>
                <w:b/>
                <w:color w:val="FFFFFF"/>
                <w:sz w:val="17"/>
              </w:rPr>
              <w:t>Favorable</w:t>
            </w:r>
          </w:p>
        </w:tc>
        <w:tc>
          <w:tcPr>
            <w:tcW w:type="dxa" w:w="4104"/>
          </w:tcPr>
          <w:p>
            <w:pPr>
              <w:spacing w:after="0"/>
            </w:pPr>
            <w:r/>
            <w:r>
              <w:rPr>
                <w:b w:val="0"/>
                <w:sz w:val="17"/>
              </w:rPr>
              <w:t>No stand-alone MAE Event of Default</w:t>
            </w:r>
          </w:p>
        </w:tc>
        <w:tc>
          <w:tcPr>
            <w:tcW w:type="dxa" w:w="1800"/>
          </w:tcPr>
          <w:p>
            <w:pPr>
              <w:spacing w:after="0"/>
            </w:pPr>
            <w:r/>
            <w:r>
              <w:rPr>
                <w:b w:val="0"/>
                <w:sz w:val="16"/>
              </w:rPr>
              <w:t>TS §12(l)</w:t>
            </w:r>
          </w:p>
        </w:tc>
        <w:tc>
          <w:tcPr>
            <w:tcW w:type="dxa" w:w="1944"/>
          </w:tcPr>
          <w:p>
            <w:pPr>
              <w:spacing w:after="0"/>
            </w:pPr>
            <w:r/>
            <w:r>
              <w:rPr>
                <w:b w:val="0"/>
                <w:sz w:val="16"/>
              </w:rPr>
              <w:t>CA §8.01 (no MAE EoD)</w:t>
            </w:r>
          </w:p>
        </w:tc>
      </w:tr>
      <w:tr>
        <w:tc>
          <w:tcPr>
            <w:tcW w:type="dxa" w:w="648"/>
          </w:tcPr>
          <w:p>
            <w:pPr>
              <w:spacing w:after="0"/>
            </w:pPr>
            <w:r/>
            <w:r>
              <w:rPr>
                <w:b/>
                <w:sz w:val="17"/>
              </w:rPr>
              <w:t>F-3</w:t>
            </w:r>
          </w:p>
        </w:tc>
        <w:tc>
          <w:tcPr>
            <w:tcW w:type="dxa" w:w="1152"/>
            <w:shd w:val="clear" w:color="auto" w:fill="2E75B6"/>
          </w:tcPr>
          <w:p>
            <w:pPr>
              <w:spacing w:after="0"/>
            </w:pPr>
            <w:r/>
            <w:r>
              <w:rPr>
                <w:b/>
                <w:color w:val="FFFFFF"/>
                <w:sz w:val="17"/>
              </w:rPr>
              <w:t>Favorable</w:t>
            </w:r>
          </w:p>
        </w:tc>
        <w:tc>
          <w:tcPr>
            <w:tcW w:type="dxa" w:w="4104"/>
          </w:tcPr>
          <w:p>
            <w:pPr>
              <w:spacing w:after="0"/>
            </w:pPr>
            <w:r/>
            <w:r>
              <w:rPr>
                <w:b w:val="0"/>
                <w:sz w:val="17"/>
              </w:rPr>
              <w:t>No-cure covenant list is narrower than “all negative covenants”</w:t>
            </w:r>
          </w:p>
        </w:tc>
        <w:tc>
          <w:tcPr>
            <w:tcW w:type="dxa" w:w="1800"/>
          </w:tcPr>
          <w:p>
            <w:pPr>
              <w:spacing w:after="0"/>
            </w:pPr>
            <w:r/>
            <w:r>
              <w:rPr>
                <w:b w:val="0"/>
                <w:sz w:val="16"/>
              </w:rPr>
              <w:t>TS §12(c)</w:t>
            </w:r>
          </w:p>
        </w:tc>
        <w:tc>
          <w:tcPr>
            <w:tcW w:type="dxa" w:w="1944"/>
          </w:tcPr>
          <w:p>
            <w:pPr>
              <w:spacing w:after="0"/>
            </w:pPr>
            <w:r/>
            <w:r>
              <w:rPr>
                <w:b w:val="0"/>
                <w:sz w:val="16"/>
              </w:rPr>
              <w:t>CA §8.01(b), (c)</w:t>
            </w:r>
          </w:p>
        </w:tc>
      </w:tr>
      <w:tr>
        <w:tc>
          <w:tcPr>
            <w:tcW w:type="dxa" w:w="648"/>
          </w:tcPr>
          <w:p>
            <w:pPr>
              <w:spacing w:after="0"/>
            </w:pPr>
            <w:r/>
            <w:r>
              <w:rPr>
                <w:b/>
                <w:sz w:val="17"/>
              </w:rPr>
              <w:t>F-4</w:t>
            </w:r>
          </w:p>
        </w:tc>
        <w:tc>
          <w:tcPr>
            <w:tcW w:type="dxa" w:w="1152"/>
            <w:shd w:val="clear" w:color="auto" w:fill="2E75B6"/>
          </w:tcPr>
          <w:p>
            <w:pPr>
              <w:spacing w:after="0"/>
            </w:pPr>
            <w:r/>
            <w:r>
              <w:rPr>
                <w:b/>
                <w:color w:val="FFFFFF"/>
                <w:sz w:val="17"/>
              </w:rPr>
              <w:t>Favorable</w:t>
            </w:r>
          </w:p>
        </w:tc>
        <w:tc>
          <w:tcPr>
            <w:tcW w:type="dxa" w:w="4104"/>
          </w:tcPr>
          <w:p>
            <w:pPr>
              <w:spacing w:after="0"/>
            </w:pPr>
            <w:r/>
            <w:r>
              <w:rPr>
                <w:b w:val="0"/>
                <w:sz w:val="17"/>
              </w:rPr>
              <w:t>Mandatory prepayments apply only to term loans; no revolver commitment reduction</w:t>
            </w:r>
          </w:p>
        </w:tc>
        <w:tc>
          <w:tcPr>
            <w:tcW w:type="dxa" w:w="1800"/>
          </w:tcPr>
          <w:p>
            <w:pPr>
              <w:spacing w:after="0"/>
            </w:pPr>
            <w:r/>
            <w:r>
              <w:rPr>
                <w:b w:val="0"/>
                <w:sz w:val="16"/>
              </w:rPr>
              <w:t>TS §10.5</w:t>
            </w:r>
          </w:p>
        </w:tc>
        <w:tc>
          <w:tcPr>
            <w:tcW w:type="dxa" w:w="1944"/>
          </w:tcPr>
          <w:p>
            <w:pPr>
              <w:spacing w:after="0"/>
            </w:pPr>
            <w:r/>
            <w:r>
              <w:rPr>
                <w:b w:val="0"/>
                <w:sz w:val="16"/>
              </w:rPr>
              <w:t>CA §2.05(b)(v)</w:t>
            </w:r>
          </w:p>
        </w:tc>
      </w:tr>
      <w:tr>
        <w:tc>
          <w:tcPr>
            <w:tcW w:type="dxa" w:w="648"/>
          </w:tcPr>
          <w:p>
            <w:pPr>
              <w:spacing w:after="0"/>
            </w:pPr>
            <w:r/>
            <w:r>
              <w:rPr>
                <w:b/>
                <w:sz w:val="17"/>
              </w:rPr>
              <w:t>F-5</w:t>
            </w:r>
          </w:p>
        </w:tc>
        <w:tc>
          <w:tcPr>
            <w:tcW w:type="dxa" w:w="1152"/>
            <w:shd w:val="clear" w:color="auto" w:fill="2E75B6"/>
          </w:tcPr>
          <w:p>
            <w:pPr>
              <w:spacing w:after="0"/>
            </w:pPr>
            <w:r/>
            <w:r>
              <w:rPr>
                <w:b/>
                <w:color w:val="FFFFFF"/>
                <w:sz w:val="17"/>
              </w:rPr>
              <w:t>Favorable</w:t>
            </w:r>
          </w:p>
        </w:tc>
        <w:tc>
          <w:tcPr>
            <w:tcW w:type="dxa" w:w="4104"/>
          </w:tcPr>
          <w:p>
            <w:pPr>
              <w:spacing w:after="0"/>
            </w:pPr>
            <w:r/>
            <w:r>
              <w:rPr>
                <w:b w:val="0"/>
                <w:sz w:val="17"/>
              </w:rPr>
              <w:t>Other provisions that favor the Borrower to keep</w:t>
            </w:r>
          </w:p>
        </w:tc>
        <w:tc>
          <w:tcPr>
            <w:tcW w:type="dxa" w:w="1800"/>
          </w:tcPr>
          <w:p>
            <w:pPr>
              <w:spacing w:after="0"/>
            </w:pPr>
            <w:r/>
            <w:r>
              <w:rPr>
                <w:b w:val="0"/>
                <w:sz w:val="16"/>
              </w:rPr>
              <w:t>TS §§3.1, 4.1, 8(j), 9.7(b), (d), (f), 11.3, 13(d), 12 (CoC (c))</w:t>
            </w:r>
          </w:p>
        </w:tc>
        <w:tc>
          <w:tcPr>
            <w:tcW w:type="dxa" w:w="1944"/>
          </w:tcPr>
          <w:p>
            <w:pPr>
              <w:spacing w:after="0"/>
            </w:pPr>
            <w:r/>
            <w:r>
              <w:rPr>
                <w:b w:val="0"/>
                <w:sz w:val="16"/>
              </w:rPr>
              <w:t>CA §2.05(a)(ii); §2.08(b); §5.09; §7.07; §7.11(c); §7.12; §10.06(b)(iv); §2.05(b)(iv); “Excess Cash Flow” (g)</w:t>
            </w:r>
          </w:p>
        </w:tc>
      </w:tr>
    </w:tbl>
    <w:p>
      <w:pPr>
        <w:pStyle w:val="Heading1"/>
      </w:pPr>
      <w:r>
        <w:t>4. Detailed Analysis and Borrower-Side Recommendations</w:t>
      </w:r>
    </w:p>
    <w:p>
      <w:pPr>
        <w:pStyle w:val="Heading2"/>
      </w:pPr>
      <w:r>
        <w:t>4.1 Critical Deviations</w:t>
      </w:r>
    </w:p>
    <w:p>
      <w:pPr>
        <w:pStyle w:val="Heading3"/>
      </w:pPr>
      <w:r>
        <w:t>C-1  Equity cure right omitted in its entirety</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C00000"/>
          </w:tcPr>
          <w:p>
            <w:pPr>
              <w:spacing w:after="0"/>
            </w:pPr>
            <w:r/>
            <w:r>
              <w:rPr>
                <w:b/>
                <w:color w:val="FFFFFF"/>
                <w:sz w:val="18"/>
              </w:rPr>
              <w:t>Critical</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§11.4; §12(b)   |   Draft CA: CA §7.11; §8.01(b) (no cure provision anywhere in draft)</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Sponsor may cure any financial covenant default by a cash equity contribution within 15 Business Days after delivery of the non-compliant Compliance Certificate; cure amount added to Adjusted EBITDA for the quarter and each four-quarter period including it. Limits: max 2 cures in any 4 consecutive quarters, 4 over the life of the facilities, no cures in consecutive quarters, cure amount limited to amount needed, unavailable during a Payment or Bankruptcy Event of Default. TS §12(b): financial covenant breach is an EoD “except as provided in the equity cure provisions of Section 11.4.”</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No equity cure provision. §8.01(b) makes any breach of §7.11 (Total Net Leverage, FCCR and Minimum Liquidity) an immediate Event of Default with no cure period. The transmittal letter does not mention the deletion.</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Removes the Sponsor’s main protection for a covenant shortfall. A single quarter’s EBITDA miss, or a one-day dip in Liquidity below $10.0 million, gives the Required Lenders acceleration rights, default interest, a revolver/DDTL draw-stop and leverage for repricing and amendment fees. This is a negotiated economic term of the executed Term Sheet, not a “customary and market adjustment.”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Reinstate a full §7.12 Equity Cure conforming to TS §11.4 verbatim (15 Business Days after the Compliance Certificate delivery date; 2-in-4 / 4-over-life / no consecutive quarters; added to Adjusted EBITDA). Also add customary mechanics the Term Sheet contemplates: (i) standstill: no Lender may accelerate, enforce or refuse to fund on account of the breach once the Borrower gives notice of intent to cure, until the cure deadline expires (allow funding blocks only if the parties agree); (ii) amend §8.01(b) to read “subject to Section 7.12”; (iii) state that the cure amount is not applied to reduce Funded Debt for that quarter, consistent with the Term Sheet (which credits EBITDA only). Make clear the Minimum Liquidity covenant can also be cured (TS §11.4 covers any “financial covenant default”).</w:t>
            </w:r>
          </w:p>
        </w:tc>
      </w:tr>
    </w:tbl>
    <w:p>
      <w:pPr>
        <w:spacing w:after="80"/>
      </w:pPr>
      <w:r>
        <w:rPr>
          <w:b w:val="0"/>
          <w:i w:val="0"/>
        </w:rPr>
      </w:r>
    </w:p>
    <w:p>
      <w:pPr>
        <w:pStyle w:val="Heading3"/>
      </w:pPr>
      <w:r>
        <w:t>C-2  DDTL Availability Period cut from 18 months to 12 months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C00000"/>
          </w:tcPr>
          <w:p>
            <w:pPr>
              <w:spacing w:after="0"/>
            </w:pPr>
            <w:r/>
            <w:r>
              <w:rPr>
                <w:b/>
                <w:color w:val="FFFFFF"/>
                <w:sz w:val="18"/>
              </w:rPr>
              <w:t>Critical</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§3.3 (Availability Period; Undrawn Commitments)   |   Draft CA: CA §1.01 “Availability Period”; §2.03(d); §3.02(d)(i)</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DDTL available from the Closing Date through and including November 30, 2026 – 18 months. The Term Sheet says the 18-month length three times (“For the avoidance of doubt, the DDTL Availability Period shall be eighteen (18) months in duration”).</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Availability Period ends May 30, 2026 (12 months), repeated in §2.03(d) and as a draw condition in §3.02(d)(i). Undrawn commitments terminate automatically on that date.</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Removes six months (one third) of committed acquisition capacity, the main growth facility in the Sponsor’s plan. Because of the 4.00x pro forma leverage test for Permitted Acquisitions (see C-4 and H-9) and closing leverage of about 4.0x–4.1x, the Borrower may not be able to complete any acquisition before May 30, 2026, so the shortened window may in practice make the DDTL unusable. The ticking fee saving (about $125,000, i.e., $50.0 million × 0.50% × 6 months) is small compared with the commitment lost. The transmittal letter describes this as “the Agent’s standard draw-down requirements.” It is a change to an express, three-times-repeated economic term.</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the Availability Period to “the period from and including the Closing Date to and including November 30, 2026 (the date that is eighteen (18) months after the Closing Date)” in §1.01, §2.03(d) and §3.02(d)(i). Make the ticking fee (§2.09(b)) run through the same date. Treat this as a non-negotiable conformity point.</w:t>
            </w:r>
          </w:p>
        </w:tc>
      </w:tr>
    </w:tbl>
    <w:p>
      <w:pPr>
        <w:spacing w:after="80"/>
      </w:pPr>
      <w:r>
        <w:rPr>
          <w:b w:val="0"/>
          <w:i w:val="0"/>
        </w:rPr>
      </w:r>
    </w:p>
    <w:p>
      <w:pPr>
        <w:pStyle w:val="Heading3"/>
      </w:pPr>
      <w:r>
        <w:t>C-3  No “SunGard”/certain-funds limited conditionality at closing; MAE condition uses the wrong definition</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C00000"/>
          </w:tcPr>
          <w:p>
            <w:pPr>
              <w:spacing w:after="0"/>
            </w:pPr>
            <w:r/>
            <w:r>
              <w:rPr>
                <w:b/>
                <w:color w:val="FFFFFF"/>
                <w:sz w:val="18"/>
              </w:rPr>
              <w:t>Critical</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§6(e), §6(n)   |   Draft CA: CA §3.01 (lead-in, (e), (q), (r)); §3.02; §1.01 “Material Adverse Effect”</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Closing conditionality is limited to Specified Representations and Specified Defaults under “customary ‘SunGard’ or ‘certain funds’” provisions (TS §6(n)). The no-MAE condition uses the MAE “as defined in the Acquisition Agreement” (TS §6(e)). Conditions may be waived by the Administrative Agent (TS §6 lead-in).</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No SunGard provision and no definition of Specified Representations or Specified Defaults. §3.01(e) requires an officer’s certificate that all Article IV representations are true in all material respects and that no Default exists. §3.01(q) uses the Credit Agreement MAE (which has no carve-outs and covers the Lenders’ “rights and remedies”), not the Acquisition Agreement MAE. New §3.01(r) adds an absence-of-litigation condition, including litigation that “could reasonably be expected to have a Material Adverse Effect.” Waiver requires the Administrative Agent and the Required Lenders.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Creates a financing-out mismatch with the Acquisition Agreement. The Lenders could refuse to fund at closing over a representation or default that would not allow the Buyer to walk away from the acquisition, leaving the Sponsor exposed under the SPA. This is the most important closing-certainty protection in a sponsor acquisition financing.</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Insert a full SunGard clause: (i) the only representations that are a condition to funding on the Closing Date are the Specified Representations (organization, power and authority, due authorization, execution and enforceability, no conflict with organizational documents, solvency, Federal Reserve margin regulations, Investment Company Act, use of proceeds/OFAC/PATRIOT Act, and creation (and, for UCC-filing and certificated-equity collateral, perfection) of security interests) plus the Specified Acquisition Agreement Representations (representations about the Target that are material to the Lenders, but only to the extent the Buyer can terminate the SPA because they are inaccurate); (ii) perfection of collateral beyond UCC filings and stock certificates moves to post-closing under §5.12; (iii) §3.01(q) refers to a “Company Material Adverse Effect” as defined in the Acquisition Agreement; (iv) delete §3.01(r) or limit it to injunctions restraining the Acquisition; (v) conditions waivable by the Administrative Agent alone (TS §6), not also the Required Lenders; (vi) limit the §3.01(e) officer’s certificate to the Specified Representations and Specified Defaults (payment and bankruptcy).</w:t>
            </w:r>
          </w:p>
        </w:tc>
      </w:tr>
    </w:tbl>
    <w:p>
      <w:pPr>
        <w:spacing w:after="80"/>
      </w:pPr>
      <w:r>
        <w:rPr>
          <w:b w:val="0"/>
          <w:i w:val="0"/>
        </w:rPr>
      </w:r>
    </w:p>
    <w:p>
      <w:pPr>
        <w:pStyle w:val="Heading3"/>
      </w:pPr>
      <w:r>
        <w:t>C-4  Unrestricted Cash netting cap in Total Net Leverage reduced from $15.0 million to $10.0 million</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C00000"/>
          </w:tcPr>
          <w:p>
            <w:pPr>
              <w:spacing w:after="0"/>
            </w:pPr>
            <w:r/>
            <w:r>
              <w:rPr>
                <w:b/>
                <w:color w:val="FFFFFF"/>
                <w:sz w:val="18"/>
              </w:rPr>
              <w:t>Critical</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§2 (Key Financial Metrics); §11.1 definition of Total Net Leverage Ratio   |   Draft CA: CA §1.01 “Total Net Leverage Ratio”; §7.11(a); Exhibit D ¶2(a)(ii)</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Unrestricted Cash netted against Total Funded Debt up to $15,000,000. The Term Sheet’s closing leverage illustration (4.01x) is built on that cap.</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Netting capped at $10,000,000, repeated in §7.11(a) (“For the avoidance of doubt … limited to $10,000,000”) and in the Compliance Certificate.</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Each leverage-based test gets tighter: the maintenance covenant, the ECF sweep tiers, the revolver pricing grid, and the 4.00x incurrence tests for Permitted Acquisitions (§1.01 clause (iii)) and acquisition debt (§7.02(h)). Using the Term Sheet’s own closing figures ($185.0 million debt; $14.0 million cash; $42.6 million LTM Adjusted EBITDA): TS = ($185.0 – $14.0) / $42.6 = 4.01x; Draft = ($185.0 – $10.0) / $42.6 = 4.11x. EBITDA headroom under the opening 4.75x covenant falls from about 15.5% to about 13.5%, and closing leverage moves further above the 4.00x acquisition gate. Each $1.0 million of cash that cannot be netted adds about 0.02x. The transmittal letter does not disclose the change.</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the $15,000,000 cap in the definition, §7.11(a) and Exhibit D. Also conform the definition of Unrestricted Cash (see M-9) so that cash at the Administrative Agent and cash during the DACA post-closing period counts.</w:t>
            </w:r>
          </w:p>
        </w:tc>
      </w:tr>
    </w:tbl>
    <w:p>
      <w:pPr>
        <w:spacing w:after="80"/>
      </w:pPr>
      <w:r>
        <w:rPr>
          <w:b w:val="0"/>
          <w:i w:val="0"/>
        </w:rPr>
      </w:r>
    </w:p>
    <w:p>
      <w:pPr>
        <w:pStyle w:val="Heading3"/>
      </w:pPr>
      <w:r>
        <w:t>C-5  Adjusted EBITDA narrowed below the Term Sheet’s add-back package</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C00000"/>
          </w:tcPr>
          <w:p>
            <w:pPr>
              <w:spacing w:after="0"/>
            </w:pPr>
            <w:r/>
            <w:r>
              <w:rPr>
                <w:b/>
                <w:color w:val="FFFFFF"/>
                <w:sz w:val="18"/>
              </w:rPr>
              <w:t>Critical</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§11.1 (LTM Adjusted EBITDA)   |   Draft CA: CA §1.01 “Adjusted EBITDA”</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Add-backs include (i) non-recurring charges, restructuring charges and transaction expenses (not limited to non-cash items); (ii) projected cost savings and synergies capped at 20% of Adjusted EBITDA, reasonably identifiable and reasonably anticipated to be realized within 18 months of the applicable action; (iii) stock-based compensation; and (iv) other items to be agreed.</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(1) No add-back for cash non-recurring or extraordinary charges, and restructuring is added back only if non-cash (clause (d)). (2) Acquisition transaction costs limited to amounts incurred in the first 12 months after closing (clause (e)). (3) Synergies must be “factually supportable,” certified by a Responsible Officer, net of benefits actually realized, and realized within 18 months of the “relevant determination date” (not of the action). (4) The 20% cap is measured against Adjusted EBITDA before the synergy add-back, which is a smaller base. (5) No basket for “other items to be agreed.” Also, no express pro forma add-back for acquired-business EBITDA beyond the Pro Forma Basis definition.</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Adjusted EBITDA drives every financial covenant, the pricing grid, the ECF sweep and every incremental and acquisition test, so each narrowing compounds C-4. Severance, integration costs, environmental remediation reserves paid in cash, litigation settlements and similar one-time cash costs, which are common for an environmental services platform making acquisitions, would reduce covenant EBITDA. The “determination date” test means synergy add-backs for actions taken early fall away sooner than the Term Sheet allows. The transmittal letter calls these changes refinements “to ensure consistency with prevailing lender requirements.” They change the economics.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Conform to TS §11.1: (a) add “non-recurring, extraordinary or unusual losses, charges or expenses (including restructuring, integration, severance, relocation and business optimization costs), whether cash or non-cash”; (b) delete the 12-month limit on Acquisition transaction costs; (c) synergies “reasonably identifiable and reasonably anticipated to be realized within 18 months after the date of the applicable action”; delete “factually supportable”; cap at 20% of Adjusted EBITDA calculated after giving effect to the add-back (the Term Sheet wording); (d) keep stock-based compensation; (e) add the Sponsor’s other agreed items, at a minimum management fees and expenses paid to the Sponsor under §7.06(b), letter of credit fees, earn-out and purchase-price adjustment expense, losses from discontinued operations, and the Sponsor’s quality of earnings adjustments reflected in the $42.6 million LTM figure; (f) add an express pro forma credit for acquired EBITDA for Permitted Acquisitions.</w:t>
            </w:r>
          </w:p>
        </w:tc>
      </w:tr>
    </w:tbl>
    <w:p>
      <w:pPr>
        <w:spacing w:after="80"/>
      </w:pPr>
      <w:r>
        <w:rPr>
          <w:b w:val="0"/>
          <w:i w:val="0"/>
        </w:rPr>
      </w:r>
    </w:p>
    <w:p>
      <w:pPr>
        <w:pStyle w:val="Heading3"/>
      </w:pPr>
      <w:r>
        <w:t>C-6  Cross-default to other debt instead of the cross-acceleration standard in the Term Sheet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C00000"/>
          </w:tcPr>
          <w:p>
            <w:pPr>
              <w:spacing w:after="0"/>
            </w:pPr>
            <w:r/>
            <w:r>
              <w:rPr>
                <w:b/>
                <w:color w:val="FFFFFF"/>
                <w:sz w:val="18"/>
              </w:rPr>
              <w:t>Critical</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§12(f)   |   Draft CA: CA §8.01(e)</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EoD only if a default under other material debt over $2,500,000 “results in the acceleration of such indebtedness or the failure to pay such indebtedness at maturity” (cross-acceleration / payment at maturity).</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EoD on (i) any payment failure “when due (whether by scheduled maturity, required prepayment, acceleration, demand, or otherwise)” on any other Indebtedness over $2,500,000, or (ii) any event that “enables the holder thereof to declare such Indebtedness due and payable” (pure cross-default, triggered whether or not the other creditor acts). The threshold counts undrawn committed amounts.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A technical default under a capital lease, a seller note or equipment financing, even one waived or never enforced by that creditor, becomes an immediate EoD under the $285 million facility. The Term Sheet standard was negotiated to avoid exactly this. Counting undrawn commitments toward the threshold also triggers the default sooner.</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Conform to TS §12(f): “any Loan Party or Subsidiary (i) fails to pay at final stated maturity (after giving effect to any applicable grace period) any principal of, or (ii) suffers an acceleration of, Material Indebtedness (other than the Obligations) having an aggregate outstanding principal amount in excess of $2,500,000.” Delete clause (ii) (“enables the holder”), delete the reference to undrawn amounts, and exclude Swap Contracts unless terminated because of a default by the Loan Party, and secured debt that becomes due because of a voluntary sale of the asset securing it.</w:t>
            </w:r>
          </w:p>
        </w:tc>
      </w:tr>
    </w:tbl>
    <w:p>
      <w:pPr>
        <w:spacing w:after="80"/>
      </w:pPr>
      <w:r>
        <w:rPr>
          <w:b w:val="0"/>
          <w:i w:val="0"/>
        </w:rPr>
      </w:r>
    </w:p>
    <w:p>
      <w:pPr>
        <w:pStyle w:val="Heading2"/>
      </w:pPr>
      <w:r>
        <w:t>4.2 High-Priority Deviations</w:t>
      </w:r>
    </w:p>
    <w:p>
      <w:pPr>
        <w:pStyle w:val="Heading3"/>
      </w:pPr>
      <w:r>
        <w:t>H-1  SOFR floor raised from 0.75% to 1.00%; overnight SOFR used instead of Term SOFR</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§4.1 (Applicable Rate; SOFR Floor; Interest Periods); §4.2   |   Draft CA: CA §1.01 “SOFR”; §1.06(b); §2.08(a); “Base Rate” clause (c)</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Term SOFR plus 3.75% for the TLA/DDTL, and Term SOFR plus the grid margin for the Revolver, each with a 0.75% floor. Interest Periods of 1, 3 or 6 months.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“SOFR” is defined as the overnight Secured Overnight Financing Rate published by the New York Fed (not forward-looking Term SOFR), with a 1.00% floor “for all purposes of this Agreement.” The 1.00% floor is repeated in §2.08(a) for every facility and carried into the Benchmark Replacement floor (§1.06(b)). Because the Base Rate includes one-month SOFR plus 1.00%, the floor also sets a 2.00% minimum Base Rate component.</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25 bps of extra cost whenever SOFR is below 1.00%: about $462,500 a year on the $185.0 million TLA and about $587,500 a year with the DDTL fully drawn, plus the Revolver. It removes downside rate protection negotiated in the Term Sheet. Using overnight SOFR with 1-, 3- and 6-month Interest Periods does not work mechanically (there is no forward-looking rate to fix for the period) and departs from the Term Sheet’s “Term SOFR.” The transmittal letter calls this “customary SOFR floor mechanics.”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Define “Term SOFR” as the CME Term SOFR Reference Rate for the applicable Interest Period (with customary lookback and fallback). Floor of 0.75% per annum in the definition, §2.08(a) and §1.06(b). State that the floor does not apply to clause (c) of the Base Rate beyond its own effect, or keep a 1.75% Base Rate floor at most. Confirm that no credit spread adjustment is added (the Term Sheet contains none).</w:t>
            </w:r>
          </w:p>
        </w:tc>
      </w:tr>
    </w:tbl>
    <w:p>
      <w:pPr>
        <w:spacing w:after="80"/>
      </w:pPr>
      <w:r>
        <w:rPr>
          <w:b w:val="0"/>
          <w:i w:val="0"/>
        </w:rPr>
      </w:r>
    </w:p>
    <w:p>
      <w:pPr>
        <w:pStyle w:val="Heading3"/>
      </w:pPr>
      <w:r>
        <w:t>H-2  Revolver pricing grid drops Level 3 (SOFR + 3.25%); adjustments delayed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§4.2; Exhibit C   |   Draft CA: CA §2.08(a) (Revolving Loans grid); Exhibit D ¶3</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Three levels: ≥3.50x = 3.75%; &lt;3.50x and ≥3.00x = 3.50%; &lt;3.00x = 3.25%. Changes take effect on the first Business Day after the Compliance Certificate is delivered.</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Two levels only: ≥3.50x = 3.75%; &lt;3.50x = 3.50%. The step-down to 3.25% below 3.00x is gone (and the Compliance Certificate form shows only two choices). Changes take effect on the fifth Business Day after delivery.</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The Borrower loses 25 bps of pricing benefit as it deleverages below 3.00x, on Revolving Loans and on LC participation fees (which track the Revolver Applicable Rate under §2.09(c)). The five-Business-Day lag delays each step-down. The transmittal letter says the grid has been “implemented consistent with the Term Sheet framework.” It has not.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Reinstate Level III (&lt;3.00:1.00 = SOFR + 3.25% / Base Rate + 2.25%), update Exhibit D ¶3, and make changes effective on the first Business Day after delivery of the Compliance Certificate (TS §4.2). Accept the Level I default pricing for late certificates (consistent with the Term Sheet).</w:t>
            </w:r>
          </w:p>
        </w:tc>
      </w:tr>
    </w:tbl>
    <w:p>
      <w:pPr>
        <w:spacing w:after="80"/>
      </w:pPr>
      <w:r>
        <w:rPr>
          <w:b w:val="0"/>
          <w:i w:val="0"/>
        </w:rPr>
      </w:r>
    </w:p>
    <w:p>
      <w:pPr>
        <w:pStyle w:val="Heading3"/>
      </w:pPr>
      <w:r>
        <w:t>H-3  Capital expenditure cap reduced to $10.5 million; carryforward and proration deleted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§9.4   |   Draft CA: CA §7.10; §1.01 “Capital Expenditures”</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Annual CapEx cap of $12,000,000; unused amounts carry forward one year up to 25% of the cap ($3,000,000); insurance/condemnation-funded capex excluded; cap prorated for partial years.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Annual cap of $10,500,000; no carryforward; no proration for the 2025 stub year. Insurance/condemnation-funded capex and Permitted Acquisition consideration are excluded.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$1.5 million a year less capacity, and up to $3.0 million of carryforward lost, for a capital-intensive fleet and equipment business across 14 states. A breach of §7.10 is an immediate EoD with no cure period (§8.01(b)). The transmittal letter describes basket changes as calibrated to “Ridgeline’s credit committee” parameters, but the cap is an agreed number in the executed Term Sheet.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the $12,000,000 cap with the 25% (maximum $3,000,000) one-year carryforward, applied on a “first-dollar” basis (carryforward amounts used first). Accept proration for FY2025 only if calculated from the Closing Date. Also exclude capex financed with Permitted Acquisition or DDTL proceeds, reinvested asset sale proceeds, and capex funded with equity contributions.</w:t>
            </w:r>
          </w:p>
        </w:tc>
      </w:tr>
    </w:tbl>
    <w:p>
      <w:pPr>
        <w:spacing w:after="80"/>
      </w:pPr>
      <w:r>
        <w:rPr>
          <w:b w:val="0"/>
          <w:i w:val="0"/>
        </w:rPr>
      </w:r>
    </w:p>
    <w:p>
      <w:pPr>
        <w:pStyle w:val="Heading3"/>
      </w:pPr>
      <w:r>
        <w:t>H-4  Sponsor management fee reduced to $1.0 million and blocked by any Default with no accrual</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§9.3(c)   |   Draft CA: CA §7.06(b), (e)</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Annual management, monitoring and advisory fee to Whitmore Capital Partners LLC up to $1,500,000 per fiscal year, payable in arrears; deferral or subordination only while an Event of Default exists.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Cap of $1,000,000 per fiscal year in equal quarterly installments; no payment while any Default or Event of Default exists (and §7.06(e) blocks all Restricted Payments on any Default). No accrual or catch-up of blocked fees.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$500,000 a year, or about $2.5 million over the five-year term, of agreed Sponsor economics. A blocking trigger based on Default (not Event of Default) can stop payment because of an unmatured technical issue. Without accrual, blocked fees are lost for good instead of deferred, which goes beyond the Term Sheet’s “subordination or deferral.”</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$1,500,000 per fiscal year; blocking only while an Event of Default exists (optionally limited to payment, bankruptcy or financial covenant EoDs); blocked fees accrue and may be paid once the EoD is cured or waived. Also permit reimbursement of Sponsor out-of-pocket expenses and customary transaction fees, and add both as Adjusted EBITDA add-backs.</w:t>
            </w:r>
          </w:p>
        </w:tc>
      </w:tr>
    </w:tbl>
    <w:p>
      <w:pPr>
        <w:spacing w:after="80"/>
      </w:pPr>
      <w:r>
        <w:rPr>
          <w:b w:val="0"/>
          <w:i w:val="0"/>
        </w:rPr>
      </w:r>
    </w:p>
    <w:p>
      <w:pPr>
        <w:pStyle w:val="Heading3"/>
      </w:pPr>
      <w:r>
        <w:t>H-5  Restricted payments: tax distributions can be blocked; no general distribution basket under TS §9.3(a)</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§9.3(a), (b)   |   Draft CA: CA §7.06(a), (e); §1.01 “Restricted Payment”</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Tax distributions are permitted “at all times” at the highest combined marginal rate applicable to any equity holder. Other dividends and distributions are permitted if no EoD exists or would result and the Borrower is in pro forma compliance with the financial covenants.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(1) The §7.06(e) “General Limitation” prohibits every Restricted Payment, including tax distributions, while any Default exists. (2) The tax rate is fixed at the highest rate for an individual resident in New York City, or the lower rate of the actual recipient. (3) There is no general Restricted Payment basket based on no-EoD and pro forma compliance. (4) The definition sweeps in payments on Subordinated Indebtedness.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Holdings is a pass-through LLC (Fund V plus Marcus Jennings’ 15% rollover). Blocking tax distributions leaves equity holders with phantom income and no cash to pay the tax, and could cause problems for the founder and LPs. Leaving out the TS §9.3(a) basket means the Borrower cannot make any distribution when it complies with the covenants, contrary to the agreed framework.</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 Carve tax distributions out of §7.06(e) so they are permitted “at all times” (TS §9.3(b)); use the “highest combined marginal federal, state and local rate applicable to any direct or indirect equity holder,” taking into account the character of income. (b) Add a §7.06(f) general basket: Restricted Payments permitted if no Event of Default exists or would result and the Borrower is in pro forma compliance with §7.11 (TS §9.3(a)). (c) Change the trigger in §7.06(b), (d) and (e) from “Default” to “Event of Default.” (d) Add Holdings overhead/franchise-tax distributions as a customary exception.</w:t>
            </w:r>
          </w:p>
        </w:tc>
      </w:tr>
    </w:tbl>
    <w:p>
      <w:pPr>
        <w:spacing w:after="80"/>
      </w:pPr>
      <w:r>
        <w:rPr>
          <w:b w:val="0"/>
          <w:i w:val="0"/>
        </w:rPr>
      </w:r>
    </w:p>
    <w:p>
      <w:pPr>
        <w:pStyle w:val="Heading3"/>
      </w:pPr>
      <w:r>
        <w:t>H-6  Annual audited financial statements due in 90 days instead of 120; no going-concern exception</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§8(a)   |   Draft CA: CA §5.01(a); §2.05(b)(i) (ECF timing tied to §5.01(a))</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Within 120 days after fiscal year-end (stated twice, “for the avoidance of doubt”). The opinion may carry a going-concern qualification arising solely from the approaching maturity of the facilities in the final year.</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Within 90 days. The report must not contain “any ‘going concern’ or similar qualification,” with no maturity exception.</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30 days less to complete the audit with Stonebridge Thornton. Late delivery is a covenant default (30-day cure under §8.01(c)) and also triggers Level I pricing default mechanics and moves the ECF payment date earlier. Without the maturity exception the Borrower would be in default in FY2029 just because the loans mature in May 2030.</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120 days (and, for FY2025 only, consider 150 days given the transaction year). Add: “other than any qualification or exception resulting solely from (i) an upcoming maturity date of any Indebtedness occurring within one year of the date of the report, or (ii) any actual or prospective breach of a financial covenant.”</w:t>
            </w:r>
          </w:p>
        </w:tc>
      </w:tr>
    </w:tbl>
    <w:p>
      <w:pPr>
        <w:spacing w:after="80"/>
      </w:pPr>
      <w:r>
        <w:rPr>
          <w:b w:val="0"/>
          <w:i w:val="0"/>
        </w:rPr>
      </w:r>
    </w:p>
    <w:p>
      <w:pPr>
        <w:pStyle w:val="Heading3"/>
      </w:pPr>
      <w:r>
        <w:t>H-7  Excess Cash Flow: $2.0 million minimum, voluntary prepayment credit and acquisition deduction omitted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§10.1   |   Draft CA: CA §1.01 “Excess Cash Flow”; §2.05(b)(i)</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ECF deducts cash consideration for Permitted Acquisitions (clause (g)). No sweep if gross ECF is below $2,000,000. Voluntary prepayments of the TLA/DDTL in the fiscal year reduce the ECF payment dollar for dollar.</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(1) No deduction for cash spent on Permitted Acquisitions. (2) No $2.0 million minimum threshold. (3) No credit for voluntary prepayments. The draft adds a deduction for cash restructuring/integration costs, capped at $3.0 million over the term (favorable, but small).</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Cash used for acquisitions with internally generated cash would be swept a second time. The Borrower would pay a sweep on even very small ECF amounts, and voluntary prepayments would not reduce the sweep, so the same dollars could effectively be paid twice. At closing leverage of about 4.0x–4.1x the 50% tier applies, so the effect is material in FY2025–FY2026. The transmittal letter says the sweep is “fully built out from the framework.” It leaves out three agreed elements.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Add to the ECF definition: (i) “minus cash consideration paid for Permitted Acquisitions and permitted Investments (other than with proceeds of long-term Indebtedness),” including amounts committed during the year and paid within 90 days after year-end; (ii) in §2.05(b)(i), “no prepayment shall be required for any fiscal year in which Excess Cash Flow is less than $2,000,000”; (iii) “reduced dollar-for-dollar by voluntary prepayments of Term Loans (and voluntary permanent reductions of Revolving Commitments to the extent accompanied by a prepayment) made during such fiscal year or after year-end and before the ECF payment date (without double counting).” Keep the restructuring deduction and remove the $3.0 million cap. Also deduct Restricted Payments made under §7.06 (tax distributions, management fees).</w:t>
            </w:r>
          </w:p>
        </w:tc>
      </w:tr>
    </w:tbl>
    <w:p>
      <w:pPr>
        <w:spacing w:after="80"/>
      </w:pPr>
      <w:r>
        <w:rPr>
          <w:b w:val="0"/>
          <w:i w:val="0"/>
        </w:rPr>
      </w:r>
    </w:p>
    <w:p>
      <w:pPr>
        <w:pStyle w:val="Heading3"/>
      </w:pPr>
      <w:r>
        <w:t>H-8  Change of Control tightened: 50.1% threshold, key-person trigger, narrower permitted holders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 (Change of Control definition)   |   Draft CA: CA §1.01 “Change of Control”; §4.13(b); §8.01(j)</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CoC if Fund V “(and/or its affiliates, co-investors, and related funds)” ceases to own at least 50% of the voting equity of Holdings; Holdings ceases to own 100% of the Borrower; or a change of control under other material indebtedness occurs. “For the avoidance of doubt, the Change of Control definition is limited to the ownership threshold and structural control provisions set forth above.”</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(a) Threshold raised to 50.1%; permitted holders limited to Fund V “and its Affiliates,” dropping co-investors and related funds. (c) Limited to Subordinated Indebtedness (narrower, which helps the Borrower). New (d): a CoC occurs if “David Whitmore ceas[es] to be actively involved in the management and investment activities of the Sponsor and its Affiliates.”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The key-person trigger directly contradicts the Term Sheet’s “for the avoidance of doubt” limitation. It makes the Borrower’s financing depend on one individual’s health, retirement or role at the Sponsor, which the Borrower cannot control and which has nothing to do with credit quality. A CoC is an immediate EoD with no cure. Dropping co-investors and related funds restricts the Sponsor’s ability to syndicate equity and could cause a CoC on a co-investment.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Delete clause (d) in full. Revert to “at least 50%” and define “Permitted Holders” as the Sponsor, Fund V and their Affiliates, co-investors, related funds and managed accounts (and management, including Marcus Jennings), consistent with the Term Sheet. Keep clause (c) as limited to Subordinated Indebtedness, or match TS (c) using “Material Indebtedness” if the Lenders insist. Conform the §4.13(b) representation to 50%.</w:t>
            </w:r>
          </w:p>
        </w:tc>
      </w:tr>
    </w:tbl>
    <w:p>
      <w:pPr>
        <w:spacing w:after="80"/>
      </w:pPr>
      <w:r>
        <w:rPr>
          <w:b w:val="0"/>
          <w:i w:val="0"/>
        </w:rPr>
      </w:r>
    </w:p>
    <w:p>
      <w:pPr>
        <w:pStyle w:val="Heading3"/>
      </w:pPr>
      <w:r>
        <w:t>H-9  Permitted Acquisition conditions tightened: $20 million cap, 15 Business Days’ notice, QoE requirement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§9.5   |   Draft CA: CA §1.01 “Permitted Acquisition” (iv), (vi), (vii)</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Individual cap $25,000,000; aggregate cap $60,000,000; pro forma TNLR ≤ 4.00x; pro forma Compliance Certificate 10 Business Days before closing (or shorter period agreed by Agent); no quality-of-earnings requirement.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Individual cap $20,000,000 (consideration includes earn-outs and deferred purchase price); 15 Business Days’ prior notice with target description and material terms; a quality of earnings report from a recognized firm for any acquisition over $10,000,000. No express “or such shorter period as the Administrative Agent may agree.”</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A 20% smaller individual cap limits the deal size the $50 million DDTL was sized for. Longer notice and a mandatory QoE add time and cost and can make the Borrower less competitive in auctions. Counting contingent earn-outs at full face value further reduces capacity.</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$25,000,000 per acquisition; 10 Business Days’ notice “or such shorter period as the Administrative Agent may agree”; delete the QoE requirement (or raise it to $15,000,000 and allow a Sponsor-prepared or buy-side diligence QoE). Count earn-outs at the amount reasonably expected to be paid (GAAP fair value), and exclude consideration paid in Holdings equity or with equity contributions from both caps. Confirm the TS rule that acquisitions above the caps need Required Lender consent (not unanimous).</w:t>
            </w:r>
          </w:p>
        </w:tc>
      </w:tr>
    </w:tbl>
    <w:p>
      <w:pPr>
        <w:spacing w:after="80"/>
      </w:pPr>
      <w:r>
        <w:rPr>
          <w:b w:val="0"/>
          <w:i w:val="0"/>
        </w:rPr>
      </w:r>
    </w:p>
    <w:p>
      <w:pPr>
        <w:pStyle w:val="Heading3"/>
      </w:pPr>
      <w:r>
        <w:t>H-10  Disqualified Institutions protection omitted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§13(e)   |   Draft CA: CA §10.06(b); no definition of “Disqualified Institution”</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No assignment to any person designated as a “Disqualified Institution” on a list provided by the Borrower on or before the Closing Date, as updated under the Credit Agreement.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No Disqualified Institution concept. Participations (§10.06(d)) may be sold to “any Person” without consent, and confidential information may be shared with prospective assignees and participants (§10.07(f)).</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Lets loans or information go to competitors of Cascade, distressed or loan-to-own investors, or other parties the Sponsor has blacklisted. The risk is greater because Borrower consent falls away entirely during any Event of Default. This is an agreed sponsor protection under the Term Sheet.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Add a full DQ Institution regime: definition (competitors and their Affiliates, and institutions designated in writing by the Borrower before the Closing Date, with later updates for competitors); prohibition on assignments and participations to DQ Institutions even during an EoD; voiding of or remedies for non-compliant transfers (forced sale at the lower of par and cost, no voting, no access to information); posting of the DQ list to all Lenders; and a bar on sharing Information with DQ Institutions under §10.07.</w:t>
            </w:r>
          </w:p>
        </w:tc>
      </w:tr>
    </w:tbl>
    <w:p>
      <w:pPr>
        <w:spacing w:after="80"/>
      </w:pPr>
      <w:r>
        <w:rPr>
          <w:b w:val="0"/>
          <w:i w:val="0"/>
        </w:rPr>
      </w:r>
    </w:p>
    <w:p>
      <w:pPr>
        <w:pStyle w:val="Heading3"/>
      </w:pPr>
      <w:r>
        <w:t>H-11  Material Adverse Effect definition has no carve-outs and is brought down at every borrowing</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§7(e); §12(l) and MAE paragraph; §6(e)   |   Draft CA: CA §1.01 “Material Adverse Effect”; §4.05(b); §3.02(b)</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MAE to be defined “in a manner consistent with customary MAE definitions for leveraged acquisition financings,” with “customary carve-outs consistent with market practice” (TS §12(l) and MAE paragraph).</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Broad three-prong MAE (business/condition; ability to perform payment “or other material obligations”; rights and remedies of the Agent and Lenders) with no carve-outs at all. The no-MAE-since-12/31/2024 representation (§4.05(b)) is brought down on every Revolving and DDTL borrowing under §3.02(b).</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The MAE standard is used throughout: litigation, environmental, ERISA and compliance representations; the environmental EoD (§8.01(k)); the notice covenant; and the draw conditions. Without carve-outs (general economic, industry or regulatory conditions, changes in law or GAAP, acts of war, terrorism or pandemics, the announcement of the transaction, failure to meet projections), industry-wide events for environmental services could stop revolver and DDTL access. A rolling no-MAE bring-down effectively gives the Lenders a discretionary draw-stop.</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Narrow prong (b) to “the ability of the Loan Parties, taken as a whole, to perform their payment obligations under the Loan Documents,” and prong (c) to “the material rights and remedies … taken as a whole” (excluding matters caused by the Agent or Lenders). Add customary carve-outs (with a disproportionate-effect exception, consistent with market). Make the §4.05(b) MAE representation only on the Closing Date (exclude it from the §3.02(b) bring-down). Since the draft (helpfully) has no stand-alone MAE Event of Default, resist reinstating TS §12(l). See F-2.</w:t>
            </w:r>
          </w:p>
        </w:tc>
      </w:tr>
    </w:tbl>
    <w:p>
      <w:pPr>
        <w:spacing w:after="80"/>
      </w:pPr>
      <w:r>
        <w:rPr>
          <w:b w:val="0"/>
          <w:i w:val="0"/>
        </w:rPr>
      </w:r>
    </w:p>
    <w:p>
      <w:pPr>
        <w:pStyle w:val="Heading3"/>
      </w:pPr>
      <w:r>
        <w:t>H-12  DDTL draw mechanics: limited to three draws with a $10 million minimum</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E46C0A"/>
          </w:tcPr>
          <w:p>
            <w:pPr>
              <w:spacing w:after="0"/>
            </w:pPr>
            <w:r/>
            <w:r>
              <w:rPr>
                <w:b/>
                <w:color w:val="FFFFFF"/>
                <w:sz w:val="18"/>
              </w:rPr>
              <w:t>High</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§3.3 (Draw Mechanics)   |   Draft CA: CA §2.03(b)</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DDTL may be drawn in “one or more draws” during the Availability Period, minimum $5,000,000 per draw. No cap on the number of draws.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“Up to three (3) separate draws,” each at least $10,000,000 (or the remaining commitment).</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With an individual acquisition cap of $20–25 million and a series of tuck-in acquisitions, a $10 million minimum and three draws means the Borrower would have to over-borrow (and pay interest on unused cash) or fund smaller deals from the Revolver. Together with C-2, this greatly reduces the practical use of the DDTL.</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Conform to TS §3.3: “one or more borrowings … each in a minimum principal amount of $5,000,000 (or, if less, the remaining DDTL Commitment),” with no limit on the number of draws (or at least six). Confirm the DDTL draw conditions in §3.02(d) are limited to those in TS §3.3, and consider limited-conditionality (SunGard-style) protection for DDTL draws that fund signed acquisitions.</w:t>
            </w:r>
          </w:p>
        </w:tc>
      </w:tr>
    </w:tbl>
    <w:p>
      <w:pPr>
        <w:spacing w:after="80"/>
      </w:pPr>
      <w:r>
        <w:rPr>
          <w:b w:val="0"/>
          <w:i w:val="0"/>
        </w:rPr>
      </w:r>
    </w:p>
    <w:p>
      <w:pPr>
        <w:pStyle w:val="Heading2"/>
      </w:pPr>
      <w:r>
        <w:t>4.3 Medium-Priority Deviations</w:t>
      </w:r>
    </w:p>
    <w:p>
      <w:pPr>
        <w:pStyle w:val="Heading3"/>
      </w:pPr>
      <w:r>
        <w:t>M-1  Insurance and condemnation reinvestment period cut from 270 to 180 days; notice condition added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§10.4   |   Draft CA: CA §2.05(b)(iv)</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100% of Net Cash Proceeds over $500,000 per occurrence, subject to a 270-day reinvestment period starting on receipt; no notice condition.</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Reinvestment period of 180 days; the Borrower must deliver a written reinvestment notice within 10 Business Days of receipt or lose the right to reinvest. (The draft helpfully excludes business interruption proceeds and allows reinvestment in “other assets useful in the business.”)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Repair or replacement of specialized remediation equipment, treatment facilities or fleet after a casualty can easily take longer than six months. A missed 10-Business-Day notice forces a prepayment.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270 days from receipt, and add the TS §10.2-style extension of 180 more days if committed within the period. Delete the notice condition (or allow notice at any time before the end of the period). Keep the business-interruption carve-out and the broader reinvestment uses.</w:t>
            </w:r>
          </w:p>
        </w:tc>
      </w:tr>
    </w:tbl>
    <w:p>
      <w:pPr>
        <w:spacing w:after="80"/>
      </w:pPr>
      <w:r>
        <w:rPr>
          <w:b w:val="0"/>
          <w:i w:val="0"/>
        </w:rPr>
      </w:r>
    </w:p>
    <w:p>
      <w:pPr>
        <w:pStyle w:val="Heading3"/>
      </w:pPr>
      <w:r>
        <w:t>M-2  Asset sale reinvestment: notice condition added; 180-day committed extension omitted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§9.6; §10.2   |   Draft CA: CA §2.05(b)(ii)</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365-day reinvestment period; if committed in writing within 365 days, a further 180 days to complete. No notice condition.</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365-day reinvestment period, but only if a reinvestment notice is delivered within 10 Business Days after receipt; no 180-day extension for committed reinvestments; unreinvested proceeds due within 5 Business Days after the period ends.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A tight procedural trap and loss of the agreed committed-reinvestment extension.</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Delete the 10-Business-Day notice condition; add “or, if the Borrower or any Subsidiary has entered into a binding commitment to reinvest within such 365-day period, within 180 days after the end of such period.” Confirm the $1,000,000 per-transaction and $3,000,000 annual thresholds apply as in TS §10.2.</w:t>
            </w:r>
          </w:p>
        </w:tc>
      </w:tr>
    </w:tbl>
    <w:p>
      <w:pPr>
        <w:spacing w:after="80"/>
      </w:pPr>
      <w:r>
        <w:rPr>
          <w:b w:val="0"/>
          <w:i w:val="0"/>
        </w:rPr>
      </w:r>
    </w:p>
    <w:p>
      <w:pPr>
        <w:pStyle w:val="Heading3"/>
      </w:pPr>
      <w:r>
        <w:t>M-3  Grace period for interest and fees cut from 5 to 3 Business Days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§12(a)   |   Draft CA: CA §8.01(a)(ii)</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Failure to pay interest, fees or other amounts within 5 Business Days after due date.</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3 Business Days for interest and fees (other Obligations: 5 Business Days after demand).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Less room for administrative or wire errors before an immediate EoD.</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5 Business Days for interest, fees and other amounts (TS §12(a)).</w:t>
            </w:r>
          </w:p>
        </w:tc>
      </w:tr>
    </w:tbl>
    <w:p>
      <w:pPr>
        <w:spacing w:after="80"/>
      </w:pPr>
      <w:r>
        <w:rPr>
          <w:b w:val="0"/>
          <w:i w:val="0"/>
        </w:rPr>
      </w:r>
    </w:p>
    <w:p>
      <w:pPr>
        <w:pStyle w:val="Heading3"/>
      </w:pPr>
      <w:r>
        <w:t>M-4  Judgment default: 30-day period (vs. 60) and insurer acknowledgment requirement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§12(h)   |   Draft CA: CA §8.01(g)</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Final, non-appealable judgments over $2,500,000 (to the extent not covered by insurance or indemnity) that remain undischarged, unvacated, unstayed and unsatisfied for 60 consecutive days.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30 consecutive days after the judgments become final. Insurance counts only if the insurer has acknowledged coverage in writing. Indemnity coverage does not count. Adds “unbonded.” Judgments against any Loan Party (rather than the Borrower or any Subsidiary).</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Environmental and tort litigation is common in this industry. Coverage acknowledgments often take time, and seller indemnities under the SPA would not count.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Restore 60 days; count insurance where the insurer has been notified and has not denied coverage, and count third-party indemnities (including SPA indemnity and R&amp;W insurance).</w:t>
            </w:r>
          </w:p>
        </w:tc>
      </w:tr>
    </w:tbl>
    <w:p>
      <w:pPr>
        <w:spacing w:after="80"/>
      </w:pPr>
      <w:r>
        <w:rPr>
          <w:b w:val="0"/>
          <w:i w:val="0"/>
        </w:rPr>
      </w:r>
    </w:p>
    <w:p>
      <w:pPr>
        <w:pStyle w:val="Heading3"/>
      </w:pPr>
      <w:r>
        <w:t>M-5  Default interest applies to all Obligations, not only overdue amounts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§4.1 (Default Rate); §4.2   |   Draft CA: CA §2.08(b)</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While an EoD continues, interest on “all overdue amounts” accrues at +2.00%.</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While any EoD continues, all outstanding Obligations (principal, interest and fees) bear the Default Rate at the election of the Required Lenders, automatically for bankruptcy EoDs, accruing from the date of the EoD.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For a non-payment EoD (for example a covenant breach), the Default Rate would apply to the full $185–285 million outstanding: about $3.7 million a year on the TLA alone, instead of only on overdue amounts. (The Required Lender election requirement favors the Borrower; see F-6.)</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Limit the Default Rate to overdue amounts (TS), or at most to all Obligations only for payment and bankruptcy EoDs. Keep the Required Lender election. Accrue from the date of the election or notice, not retroactively from the date of the EoD.</w:t>
            </w:r>
          </w:p>
        </w:tc>
      </w:tr>
    </w:tbl>
    <w:p>
      <w:pPr>
        <w:spacing w:after="80"/>
      </w:pPr>
      <w:r>
        <w:rPr>
          <w:b w:val="0"/>
          <w:i w:val="0"/>
        </w:rPr>
      </w:r>
    </w:p>
    <w:p>
      <w:pPr>
        <w:pStyle w:val="Heading3"/>
      </w:pPr>
      <w:r>
        <w:t>M-6  New Environmental Event of Default; ERISA EoD threshold changed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 (no environmental EoD); §12(i)   |   Draft CA: CA §8.01(k); §8.01(h)</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No stand-alone environmental EoD; environmental matters are handled through enhanced representations and covenants (TS §7(s), §8(o)). ERISA EoD only on an MAE.</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New §8.01(k): EoD if any Environmental Liability “is asserted” that “could reasonably be expected to result in” an MAE. ERISA EoD at $5,000,000 of liability (no MAE standard).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For a remediation and waste company, claims under Environmental Laws are part of ordinary operations. An EoD triggered just by an assertion, combined with an MAE definition that has no carve-outs, is a backdoor MAE default the Term Sheet did not include. A $5 million ERISA trigger is likely lower than the TS MAE standard.</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Delete §8.01(k) (the environmental representations, covenants and notices already protect the Lenders). If it is kept, require a final judgment or binding order and an actual MAE. Conform the ERISA EoD to the TS MAE standard.</w:t>
            </w:r>
          </w:p>
        </w:tc>
      </w:tr>
    </w:tbl>
    <w:p>
      <w:pPr>
        <w:spacing w:after="80"/>
      </w:pPr>
      <w:r>
        <w:rPr>
          <w:b w:val="0"/>
          <w:i w:val="0"/>
        </w:rPr>
      </w:r>
    </w:p>
    <w:p>
      <w:pPr>
        <w:pStyle w:val="Heading3"/>
      </w:pPr>
      <w:r>
        <w:t>M-7  Indemnity broader than TS: no bad-faith carve-out, no counsel limit, broad environmental coverage</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§15 (Indemnification; Expenses)   |   Draft CA: CA §10.04(a), (b)</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Legal fees limited to one primary counsel to all Indemnified Parties plus one local counsel per relevant jurisdiction. Exclusion for gross negligence, bad faith or willful misconduct. Environmental indemnity for hazardous materials on property owned, leased or operated by the Borrower.</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Fees of “any counsel for any Indemnitee” (no limit). Carve-out only for gross negligence or willful misconduct (bad faith deleted). Environmental indemnity covers “any Environmental Liability related in any way to the Borrower or any Subsidiary.” Expenses include syndication costs and every amendment or waiver.</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Uncapped counsel costs for four lenders and their Related Parties. Deleting bad faith narrows the agreed exclusion. Without the customary exclusions for disputes solely among Indemnitees and for material breach by the Indemnitee, the Borrower could pay for intra-lender disputes.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Conform to TS §15: one primary counsel plus one local counsel per jurisdiction (plus one conflict counsel); add “bad faith”; add exclusions for (i) material breach of the Loan Documents by the Indemnitee and (ii) disputes solely among Indemnitees not arising from any act of a Loan Party (other than claims against the Agent in that capacity); limit the environmental prong to properties owned, leased or operated and to the Borrower’s operations; exclude Taxes (handled under §2.18). Remove syndication costs or limit them to the Fee Letter.</w:t>
            </w:r>
          </w:p>
        </w:tc>
      </w:tr>
    </w:tbl>
    <w:p>
      <w:pPr>
        <w:spacing w:after="80"/>
      </w:pPr>
      <w:r>
        <w:rPr>
          <w:b w:val="0"/>
          <w:i w:val="0"/>
        </w:rPr>
      </w:r>
    </w:p>
    <w:p>
      <w:pPr>
        <w:pStyle w:val="Heading3"/>
      </w:pPr>
      <w:r>
        <w:t>M-8  Guarantee and collateral package lacks the TS exclusions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§5 (Security; Guarantors)   |   Draft CA: CA §5.11; Schedule 4.13 note; §3.01(a)(vi); §1.01 “Collateral”</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Exclusions for immaterial subsidiaries (&lt;5% of consolidated total assets), excluded subsidiaries (foreign, unrestricted, special-purpose). Pledge of 65% of voting stock of first-tier foreign subsidiaries. Real property only above $2,500,000 FMV, with post-closing delivery.</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Every new Subsidiary must guarantee and grant a first-priority lien on “all assets” (§5.11(a)). Schedule 4.13 states “All Subsidiaries are required to become Guarantors.” No Excluded Subsidiary, Excluded Asset or 65% foreign limit. Mortgages on “any material owned real property” are a closing deliverable (§3.01(a)(vi)), with no $2.5 million threshold. §5.11(b) covers “any material assets.”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Adds collateral cost and possible adverse tax consequences (IRC §956 for any foreign subsidiary) and conflicts with the SunGard approach (C-3). It also removes the agreed immaterial-subsidiary and real-estate thresholds.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Add defined Excluded Subsidiaries (immaterial &lt;5% of consolidated total assets individually, with an aggregate cap if needed; foreign subsidiaries and FSHCOs; unrestricted, special-purpose and non-wholly-owned subsidiaries) and Excluded Assets (real property with FMV ≤ $2,500,000, leaseholds, vehicles below a threshold, assets where the cost of perfection is excessive, 35% of foreign voting stock). Move mortgages to post-closing (90 days) under §5.12. Conform the Schedule 4.13 note.</w:t>
            </w:r>
          </w:p>
        </w:tc>
      </w:tr>
    </w:tbl>
    <w:p>
      <w:pPr>
        <w:spacing w:after="80"/>
      </w:pPr>
      <w:r>
        <w:rPr>
          <w:b w:val="0"/>
          <w:i w:val="0"/>
        </w:rPr>
      </w:r>
    </w:p>
    <w:p>
      <w:pPr>
        <w:pStyle w:val="Heading3"/>
      </w:pPr>
      <w:r>
        <w:t>M-9  Unrestricted Cash and Liquidity tests can exclude cash at the Agent and cash during the DACA post-closing period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§11.1 (Unrestricted Cash); §11.3 (Liquidity)   |   Draft CA: CA §1.01 “Unrestricted Cash”, “Minimum Liquidity”; Schedule 5.12 item 1</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Cash in deposit or securities accounts subject to a first-priority perfected lien in favor of the Agent.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Cash counts only if held in deposit accounts “subject to a Control Agreement.” Schedule 5.12 requires DACAs only for accounts at banks other than the Agent (accounts at Ridgeline are perfected by control without a separate agreement) and gives 60 days after closing to deliver them. Securities accounts are not counted for Minimum Liquidity. Cash held outside the United States is excluded.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Technically, cash held at Ridgeline itself, and all other cash until DACAs are delivered, may not count. That could cause a Minimum Liquidity breach (tested at all times, immediate EoD) and reduce leverage netting at the first test dates.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Define Unrestricted Cash and Liquidity as cash and Cash Equivalents in deposit or securities accounts in which the Agent has a perfected first-priority security interest (including accounts maintained with the Agent), and deem all accounts compliant during the Schedule 5.12 post-closing period. Include securities accounts in Liquidity. Remove the foreign-cash exclusion or replace it with a cap.</w:t>
            </w:r>
          </w:p>
        </w:tc>
      </w:tr>
    </w:tbl>
    <w:p>
      <w:pPr>
        <w:spacing w:after="80"/>
      </w:pPr>
      <w:r>
        <w:rPr>
          <w:b w:val="0"/>
          <w:i w:val="0"/>
        </w:rPr>
      </w:r>
    </w:p>
    <w:p>
      <w:pPr>
        <w:pStyle w:val="Heading3"/>
      </w:pPr>
      <w:r>
        <w:t>M-10  Revolver use of proceeds omits Permitted Acquisitions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§3.2 (Use of Proceeds)   |   Draft CA: CA Recitals; §4.20; §5.10; §7.09</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Revolver proceeds for working capital, general corporate purposes and other permitted purposes, “including the funding of Permitted Acquisitions.”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Revolver proceeds for “working capital and general corporate purposes” only. §5.10 and §7.09 limit use “solely” to the §4.20 purposes.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Particularly important given C-2 and H-12: without express language, using the Revolver to fund acquisitions (alone or together with the DDTL) could be challenged.</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Add “including Permitted Acquisitions, Investments, Restricted Payments and capital expenditures, in each case to the extent permitted hereunder” to §4.20 and the Recitals. Also confirm that TLA proceeds may refinance existing indebtedness and pay transaction costs (TS §2 Sources and Uses).</w:t>
            </w:r>
          </w:p>
        </w:tc>
      </w:tr>
    </w:tbl>
    <w:p>
      <w:pPr>
        <w:spacing w:after="80"/>
      </w:pPr>
      <w:r>
        <w:rPr>
          <w:b w:val="0"/>
          <w:i w:val="0"/>
        </w:rPr>
      </w:r>
    </w:p>
    <w:p>
      <w:pPr>
        <w:pStyle w:val="Heading3"/>
      </w:pPr>
      <w:r>
        <w:t>M-11  Closing conditions go beyond the TS list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§6(a)–(n)   |   Draft CA: CA §3.01(b), (f), (a)(vi), (r), lead-in</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Borrower’s counsel opinion only; audited FY2024 financial statements plus interim quarters; post-closing real estate; Agent waiver.</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Adds opinions of Ohio and Delaware local counsel (§3.01(b)(ii)); audited statements for FY2022, FY2023 and FY2024, each with an unqualified opinion (§3.01(f)); mortgages at closing (§3.01(a)(vi)); absence-of-litigation condition (§3.01(r)); waiver by the Agent and the Required Lenders.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More conditions and more cost, and more conditionality risk that sits outside SunGard (see C-3).</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Confirm with the Company whether the FY2022–FY2023 audits exist with unqualified opinions. If not, limit the condition to FY2024 (TS §6(g)). Hargrove can cover Delaware LLC matters; limit local counsel to Ohio if needed. Delete the litigation condition (or limit it to injunctions against the Acquisition). Move mortgages to post-closing. Waiver by the Agent alone.</w:t>
            </w:r>
          </w:p>
        </w:tc>
      </w:tr>
    </w:tbl>
    <w:p>
      <w:pPr>
        <w:spacing w:after="80"/>
      </w:pPr>
      <w:r>
        <w:rPr>
          <w:b w:val="0"/>
          <w:i w:val="0"/>
        </w:rPr>
      </w:r>
    </w:p>
    <w:p>
      <w:pPr>
        <w:pStyle w:val="Heading3"/>
      </w:pPr>
      <w:r>
        <w:t>M-12  Post-closing deadlines shorter than the 90-day TS period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§8(p)   |   Draft CA: CA §5.12; Schedule 5.12</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Post-closing deliverables within 90 days after the Closing Date, or a longer period the Agent agrees to in its reasonable discretion.</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UCC filings and insurance endorsements at 30 days; DACAs at 60 days; landlord consents at 90 days; vehicle title notations at 120 days. Failure is an EoD after the 30-day cure. No express Agent extension right.</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The 30- and 60-day deadlines are tighter than agreed, and the DACA deadline also affects the cash tests (M-9).</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Set every item at no less than 90 days “or such later date as the Administrative Agent may agree in its reasonable discretion” (keep 120 days for vehicles). Limit landlord consents to commercially reasonable efforts for material leased locations.</w:t>
            </w:r>
          </w:p>
        </w:tc>
      </w:tr>
    </w:tbl>
    <w:p>
      <w:pPr>
        <w:spacing w:after="80"/>
      </w:pPr>
      <w:r>
        <w:rPr>
          <w:b w:val="0"/>
          <w:i w:val="0"/>
        </w:rPr>
      </w:r>
    </w:p>
    <w:p>
      <w:pPr>
        <w:pStyle w:val="Heading3"/>
      </w:pPr>
      <w:r>
        <w:t>M-13  Reporting and other covenants go beyond the Term Sheet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BF9000"/>
          </w:tcPr>
          <w:p>
            <w:pPr>
              <w:spacing w:after="0"/>
            </w:pPr>
            <w:r/>
            <w:r>
              <w:rPr>
                <w:b/>
                <w:color w:val="FFFFFF"/>
                <w:sz w:val="18"/>
              </w:rPr>
              <w:t>Medium</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§8(d), (h), (j); §9.7(d)   |   Draft CA: CA §5.01(d); §5.02(d); §5.03; §5.07</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Annual budget with quarterly breakdowns; insurance customary for similar companies; inspection rights; information reasonably requested by the Agent.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Budget “prepared on a monthly basis” (§5.01(d)). Information on “prospects” at the request of the Agent or “any Lender” (§5.02(d)). Notice within 5 Business Days of any litigation over $1,000,000 and of “any material environmental matter” (§5.03). Specified insurance lines (including environmental liability) with limits “acceptable to the Administrative Agent” (§5.07).</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More reporting work, and a subjective insurance standard that could turn into a covenant default.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Quarterly budget breakdowns (TS §8(d)); delete “prospects” and route requests through the Agent; raise the litigation notice threshold to $2,500,000 (to match the judgment EoD) and tie environmental notices to matters that could reasonably be expected to result in liability over a threshold; insurance “consistent with past practice or customary for similarly situated companies” (TS §8(h)), with no Agent-approval standard. Limit inspections to once a year at the Borrower’s expense absent an EoD.</w:t>
            </w:r>
          </w:p>
        </w:tc>
      </w:tr>
    </w:tbl>
    <w:p>
      <w:pPr>
        <w:spacing w:after="80"/>
      </w:pPr>
      <w:r>
        <w:rPr>
          <w:b w:val="0"/>
          <w:i w:val="0"/>
        </w:rPr>
      </w:r>
    </w:p>
    <w:p>
      <w:pPr>
        <w:pStyle w:val="Heading2"/>
      </w:pPr>
      <w:r>
        <w:t>4.4 Low-Priority / Drafting and Conformity Items</w:t>
      </w:r>
    </w:p>
    <w:p>
      <w:pPr>
        <w:pStyle w:val="Heading3"/>
      </w:pPr>
      <w:r>
        <w:t>L-1  Debt and lien baskets narrower than or not specified in the Term Sheet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§9.1(b), (e), (h); §9.2   |   Draft CA: CA §7.02(c), (e), (j); §7.01(j); §7.03(h)</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General debt basket of $5,000,000 (not limited to unsecured); purchase money basket “customary” (to be agreed); refinancing debt and other customary exceptions.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General basket limited to unsecured debt; purchase money $3,000,000; other debt $1,000,000; general lien basket $2,000,000; general investments $3,000,000 over the life of the deal.</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Small but real limits on operating flexibility (fleet and equipment financing).</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Delete “unsecured” from §7.02(c) (supported by a matching lien basket); propose a purchase money/capital lease basket of $10,000,000 combined or $7,500,000 plus $5,000,000; make the general investment basket $3,000,000 per fiscal year or a grower; add refinancing of all permitted debt (not only scheduled debt).</w:t>
            </w:r>
          </w:p>
        </w:tc>
      </w:tr>
    </w:tbl>
    <w:p>
      <w:pPr>
        <w:spacing w:after="80"/>
      </w:pPr>
      <w:r>
        <w:rPr>
          <w:b w:val="0"/>
          <w:i w:val="0"/>
        </w:rPr>
      </w:r>
    </w:p>
    <w:p>
      <w:pPr>
        <w:pStyle w:val="Heading3"/>
      </w:pPr>
      <w:r>
        <w:t>L-2  Interest Periods: “other periods as agreed” omitted</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§4.1 (Interest Periods)   |   Draft CA: CA §1.01 “Interest Period”</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1, 3 or 6 months “or, to the extent available, such other periods as may be agreed upon by the Borrower and the Administrative Agent.”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1, 3 or 6 months only.</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Minor flexibility point (for example a short stub period at closing).</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Add the TS flexibility and an initial stub period ending on the first quarter-end.</w:t>
            </w:r>
          </w:p>
        </w:tc>
      </w:tr>
    </w:tbl>
    <w:p>
      <w:pPr>
        <w:spacing w:after="80"/>
      </w:pPr>
      <w:r>
        <w:rPr>
          <w:b w:val="0"/>
          <w:i w:val="0"/>
        </w:rPr>
      </w:r>
    </w:p>
    <w:p>
      <w:pPr>
        <w:pStyle w:val="Heading3"/>
      </w:pPr>
      <w:r>
        <w:t>L-3  Fee Letter date and parties inconsistent with the Term Sheet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§17   |   Draft CA: CA §1.01 “Fee Letter”</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Fee Letter among the Borrower, the Sponsor and the Administrative Agent, “executed concurrently herewith on March 14, 2025.”</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Fee Letter “dated as of March 28, 2025, among the Borrower, Holdings, and Ridgeline National Bank, N.A.”</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Either the definition refers to a document that does not exist or there is a second fee letter the Borrower has not reviewed. Fee Letter terms flow through §2.09(d)–(e) and §3.01(p).</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Correct to the March 14, 2025 Fee Letter and its actual parties. Ask Lender’s counsel to confirm that no other fee letter exists.</w:t>
            </w:r>
          </w:p>
        </w:tc>
      </w:tr>
    </w:tbl>
    <w:p>
      <w:pPr>
        <w:spacing w:after="80"/>
      </w:pPr>
      <w:r>
        <w:rPr>
          <w:b w:val="0"/>
          <w:i w:val="0"/>
        </w:rPr>
      </w:r>
    </w:p>
    <w:p>
      <w:pPr>
        <w:pStyle w:val="Heading3"/>
      </w:pPr>
      <w:r>
        <w:t>L-4  Notice details and signature blocks contain errors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 (parties); transmittal header   |   Draft CA: CA §10.02(a); signature pages</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Hargrove: Rebecca Thayer (rthayer@hargrovepl.com); Caldwell Strauss: pgranville@caldwellstrauss.com; Ridgeline: katherine.fulton@ridgelinenational.com; Holdings signatory on the TS: David Whitmore, Authorized Signatory.</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Notice emails listed as rthayer@hpllaw.com, pgranville@csmlaw.com and kfulton@ridgelinenational.com, and jdelvecchio@ridgelinenational.com (domains and formats differ from the transmittal). Holdings signs through “Thomas Elridge, Vice President.” Katherine Fulton is shown as “Managing Director” (TS: Senior Vice President).</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Under §10.02(b), email notices are effective on transmission unless a failure notice comes back, so a wrong address could mean the Borrower does not receive default notices.</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Correct all notice addresses (confirm Borrower CFO email); add a Sponsor copy notice; confirm Holdings’ authorized signatory and officer titles.</w:t>
            </w:r>
          </w:p>
        </w:tc>
      </w:tr>
    </w:tbl>
    <w:p>
      <w:pPr>
        <w:spacing w:after="80"/>
      </w:pPr>
      <w:r>
        <w:rPr>
          <w:b w:val="0"/>
          <w:i w:val="0"/>
        </w:rPr>
      </w:r>
    </w:p>
    <w:p>
      <w:pPr>
        <w:pStyle w:val="Heading3"/>
      </w:pPr>
      <w:r>
        <w:t>L-5  Governing law and forum wording differs slightly</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§16 (Governing Law; Jurisdiction)   |   Draft CA: CA §10.13; §10.15</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NY law “without regard to conflicts of law principles (other than Section 5-1401 of the New York General Obligations Law)”; exclusive SDNY jurisdiction, with NY Supreme Court (Manhattan) only if SDNY lacks subject-matter jurisdiction.</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NY law with no 5-1401 reference; concurrent exclusive jurisdiction of NY Supreme Court and SDNY. §10.15(c) preserves each party’s right to serve process in other ways.</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Minor, but the TS forum order was agreed.</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Conform to TS §16 and add the GOL §5-1401/5-1402 references.</w:t>
            </w:r>
          </w:p>
        </w:tc>
      </w:tr>
    </w:tbl>
    <w:p>
      <w:pPr>
        <w:spacing w:after="80"/>
      </w:pPr>
      <w:r>
        <w:rPr>
          <w:b w:val="0"/>
          <w:i w:val="0"/>
        </w:rPr>
      </w:r>
    </w:p>
    <w:p>
      <w:pPr>
        <w:pStyle w:val="Heading3"/>
      </w:pPr>
      <w:r>
        <w:t>L-6  Required Lenders and voting provisions use undefined terms; some TS unanimous items missing</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§14   |   Draft CA: CA §1.01 “Required Lenders”; §10.01(a)</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Required Lenders: more than 50% of outstanding loans plus unfunded commitments. Each-affected-Lender consent for, among other things, postponing amortization, increasing aggregate commitments and subordinating liens. Agent may make technical amendments without Lender consent.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Required Lenders based on “Total Credit Exposures” (undefined). No express Agent technical-amendment right. No unanimous-consent item for lien subordination. §10.01(a)(v) protects only the increase of an individual Lender’s commitment (consistent with the incremental in §2.14).</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Voting math is uncertain until the term is defined. Defaulting Lenders are disregarded only as to Revolving exposure (§2.15(a)(ii)).</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Define Total Credit Exposure as outstanding Loans plus unused Commitments (TS §14), excluding Defaulting Lenders for every facility. Add the Agent and Borrower’s right to correct ambiguities and technical errors (TS §14), which helps the Borrower. Keep §10.01(a)(v) as drafted so the §2.14 incremental is not blocked by TS §14(d).</w:t>
            </w:r>
          </w:p>
        </w:tc>
      </w:tr>
    </w:tbl>
    <w:p>
      <w:pPr>
        <w:spacing w:after="80"/>
      </w:pPr>
      <w:r>
        <w:rPr>
          <w:b w:val="0"/>
          <w:i w:val="0"/>
        </w:rPr>
      </w:r>
    </w:p>
    <w:p>
      <w:pPr>
        <w:pStyle w:val="Heading3"/>
      </w:pPr>
      <w:r>
        <w:t>L-7  Undefined or inconsistent defined terms throughout the draft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   |   Draft CA: CA passim</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Capitalized terms used but not defined include: Eligible Assignee, Approved Fund, Subordinated Indebtedness, Pledge Agreement, Security Agreement, Guarantee Agreement, IP Security Agreement, Mortgage, Incremental Loans (vs. “Incremental Term Loan”), Investment, Capital Lease Obligations, Revolving Credit Exposure, Total Credit Exposures, LC Exposure, SOFR Loan, Base Rate Loan, Change in Law, Borrowing Request, Credit Extension, Benchmark Replacement Date, Bail-In Action, BHC Act Affiliate and Covered Entity. “Applicable Rate” is used both for the margin and the all-in rate. §2.19(c) cross-refers to replacement of Defaulting Lenders as “Section 2.19.” §2.15(a)(v) and the §7.05(c) mechanics are circular. Article VI is “Reserved,” but TS §8 reporting is in Article V (the transmittal letter refers to “Article VI”).</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Several of these terms carry substance (for example “Subordinated Indebtedness” in the CoC and the RP definition, and “Eligible Assignee” for assignments and DQ protection).</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Ask Lender’s counsel to circulate a conformed draft with all definitions, and reserve the right to comment on the new definitions. Propose Borrower-side definitions for Eligible Assignee (excluding DQ Institutions, natural persons, and Loan Parties and their Affiliates, other than as permitted) and Subordinated Indebtedness (subordinated on terms reasonably satisfactory to the Agent and the Borrower).</w:t>
            </w:r>
          </w:p>
        </w:tc>
      </w:tr>
    </w:tbl>
    <w:p>
      <w:pPr>
        <w:spacing w:after="80"/>
      </w:pPr>
      <w:r>
        <w:rPr>
          <w:b w:val="0"/>
          <w:i w:val="0"/>
        </w:rPr>
      </w:r>
    </w:p>
    <w:p>
      <w:pPr>
        <w:pStyle w:val="Heading3"/>
      </w:pPr>
      <w:r>
        <w:t>L-8  Incremental facility: $40 million, conditions and MFN sunset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548235"/>
          </w:tcPr>
          <w:p>
            <w:pPr>
              <w:spacing w:after="0"/>
            </w:pPr>
            <w:r/>
            <w:r>
              <w:rPr>
                <w:b/>
                <w:color w:val="FFFFFF"/>
                <w:sz w:val="18"/>
              </w:rPr>
              <w:t>Low</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Not in TS (lender addition per transmittal item (iii))   |   Draft CA: CA §2.14</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The Term Sheet has no incremental facility (and TS §14(d) requires each Lender’s consent to any increase in aggregate commitments).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$40,000,000 incremental term loans; no Default; pro forma compliance with all financial covenants; MFN of 50 bps for six months; maturity no earlier and amortization no more onerous than the TLA; terms reasonably satisfactory to the Agent; no other Lender consent needed.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Helps the Borrower and should be kept, although the conditions could be more flexible.</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Accept. Ask for (i) an incurrence test of TNLR ≤ the then-applicable covenant level minus 0.25x (or a freebie amount plus a ratio-based amount), (ii) a “no Event of Default” condition only (and for acquisition-related incrementals, a no payment/bankruptcy EoD condition tested at signing), (iii) incremental revolving commitments, and (iv) deletion of “reasonably satisfactory to the Agent” for terms no more restrictive than the existing facility.</w:t>
            </w:r>
          </w:p>
        </w:tc>
      </w:tr>
    </w:tbl>
    <w:p>
      <w:pPr>
        <w:spacing w:after="80"/>
      </w:pPr>
      <w:r>
        <w:rPr>
          <w:b w:val="0"/>
          <w:i w:val="0"/>
        </w:rPr>
      </w:r>
    </w:p>
    <w:p>
      <w:pPr>
        <w:pStyle w:val="Heading1"/>
      </w:pPr>
      <w:r>
        <w:t>5. Provisions the Transmittal Describes as “Not Expressly Addressed in the Term Sheet”</w:t>
      </w:r>
    </w:p>
    <w:tbl>
      <w:tblPr>
        <w:tblStyle w:val="TableGrid"/>
        <w:tblW w:type="auto" w:w="0"/>
        <w:tblLook w:firstColumn="1" w:firstRow="1" w:lastColumn="0" w:lastRow="0" w:noHBand="0" w:noVBand="1" w:val="04A0"/>
      </w:tblPr>
      <w:tblGrid>
        <w:gridCol w:w="3216"/>
        <w:gridCol w:w="3216"/>
        <w:gridCol w:w="3216"/>
      </w:tblGrid>
      <w:tr>
        <w:tc>
          <w:tcPr>
            <w:tcW w:type="dxa" w:w="2448"/>
            <w:shd w:val="clear" w:color="auto" w:fill="1F3A5F"/>
          </w:tcPr>
          <w:p>
            <w:pPr>
              <w:spacing w:after="0"/>
            </w:pPr>
            <w:r/>
            <w:r>
              <w:rPr>
                <w:b/>
                <w:color w:val="FFFFFF"/>
                <w:sz w:val="18"/>
              </w:rPr>
              <w:t>Lender addition</w:t>
            </w:r>
          </w:p>
        </w:tc>
        <w:tc>
          <w:tcPr>
            <w:tcW w:type="dxa" w:w="3744"/>
            <w:shd w:val="clear" w:color="auto" w:fill="1F3A5F"/>
          </w:tcPr>
          <w:p>
            <w:pPr>
              <w:spacing w:after="0"/>
            </w:pPr>
            <w:r/>
            <w:r>
              <w:rPr>
                <w:b/>
                <w:color w:val="FFFFFF"/>
                <w:sz w:val="18"/>
              </w:rPr>
              <w:t>Observation</w:t>
            </w:r>
          </w:p>
        </w:tc>
        <w:tc>
          <w:tcPr>
            <w:tcW w:type="dxa" w:w="3456"/>
            <w:shd w:val="clear" w:color="auto" w:fill="1F3A5F"/>
          </w:tcPr>
          <w:p>
            <w:pPr>
              <w:spacing w:after="0"/>
            </w:pPr>
            <w:r/>
            <w:r>
              <w:rPr>
                <w:b/>
                <w:color w:val="FFFFFF"/>
                <w:sz w:val="18"/>
              </w:rPr>
              <w:t>Borrower position</w:t>
            </w:r>
          </w:p>
        </w:tc>
      </w:tr>
      <w:tr>
        <w:tc>
          <w:tcPr>
            <w:tcW w:type="dxa" w:w="2448"/>
          </w:tcPr>
          <w:p>
            <w:pPr>
              <w:spacing w:after="0"/>
            </w:pPr>
            <w:r/>
            <w:r>
              <w:rPr>
                <w:b/>
                <w:sz w:val="18"/>
              </w:rPr>
              <w:t>(i) SOFR benchmark replacement (§1.06)</w:t>
            </w:r>
          </w:p>
        </w:tc>
        <w:tc>
          <w:tcPr>
            <w:tcW w:type="dxa" w:w="3744"/>
          </w:tcPr>
          <w:p>
            <w:pPr>
              <w:spacing w:after="0"/>
            </w:pPr>
            <w:r/>
            <w:r>
              <w:rPr>
                <w:b w:val="0"/>
                <w:sz w:val="18"/>
              </w:rPr>
              <w:t>Replacement chosen by the Agent and the Borrower, subject to Required Lender negative consent. The Agent alone may make Conforming Changes. The replacement rate is floored at 1.00%.</w:t>
            </w:r>
          </w:p>
        </w:tc>
        <w:tc>
          <w:tcPr>
            <w:tcW w:type="dxa" w:w="3456"/>
          </w:tcPr>
          <w:p>
            <w:pPr>
              <w:spacing w:after="0"/>
            </w:pPr>
            <w:r/>
            <w:r>
              <w:rPr>
                <w:b w:val="0"/>
                <w:sz w:val="18"/>
              </w:rPr>
              <w:t>Acceptable in concept. Conform the floor to 0.75% (H-1), require consultation with the Borrower on Conforming Changes, and confirm the adjustment is chosen to minimize any value transfer.</w:t>
            </w:r>
          </w:p>
        </w:tc>
      </w:tr>
      <w:tr>
        <w:tc>
          <w:tcPr>
            <w:tcW w:type="dxa" w:w="2448"/>
          </w:tcPr>
          <w:p>
            <w:pPr>
              <w:spacing w:after="0"/>
            </w:pPr>
            <w:r/>
            <w:r>
              <w:rPr>
                <w:b/>
                <w:sz w:val="18"/>
              </w:rPr>
              <w:t>(ii) Defaulting Lender provisions (§2.15)</w:t>
            </w:r>
          </w:p>
        </w:tc>
        <w:tc>
          <w:tcPr>
            <w:tcW w:type="dxa" w:w="3744"/>
          </w:tcPr>
          <w:p>
            <w:pPr>
              <w:spacing w:after="0"/>
            </w:pPr>
            <w:r/>
            <w:r>
              <w:rPr>
                <w:b w:val="0"/>
                <w:sz w:val="18"/>
              </w:rPr>
              <w:t>Mostly customary. The commitment fee stops accruing only for Revolver and DDTL. Cash collateral is due within 1 Business Day. The Borrower may replace the Lender (cross-reference error to §2.19).</w:t>
            </w:r>
          </w:p>
        </w:tc>
        <w:tc>
          <w:tcPr>
            <w:tcW w:type="dxa" w:w="3456"/>
          </w:tcPr>
          <w:p>
            <w:pPr>
              <w:spacing w:after="0"/>
            </w:pPr>
            <w:r/>
            <w:r>
              <w:rPr>
                <w:b w:val="0"/>
                <w:sz w:val="18"/>
              </w:rPr>
              <w:t>Accept, but add that ticking fees stop accruing on a Defaulting Lender’s DDTL commitment, allow 2 Business Days for cash collateral, give the Borrower the right to terminate a Defaulting Lender’s unused commitments, and fix the cross-reference.</w:t>
            </w:r>
          </w:p>
        </w:tc>
      </w:tr>
      <w:tr>
        <w:tc>
          <w:tcPr>
            <w:tcW w:type="dxa" w:w="2448"/>
          </w:tcPr>
          <w:p>
            <w:pPr>
              <w:spacing w:after="0"/>
            </w:pPr>
            <w:r/>
            <w:r>
              <w:rPr>
                <w:b/>
                <w:sz w:val="18"/>
              </w:rPr>
              <w:t>(iii) $40M incremental facility (§2.14)</w:t>
            </w:r>
          </w:p>
        </w:tc>
        <w:tc>
          <w:tcPr>
            <w:tcW w:type="dxa" w:w="3744"/>
          </w:tcPr>
          <w:p>
            <w:pPr>
              <w:spacing w:after="0"/>
            </w:pPr>
            <w:r/>
            <w:r>
              <w:rPr>
                <w:b w:val="0"/>
                <w:sz w:val="18"/>
              </w:rPr>
              <w:t>Helps the Borrower, as the letter says. Conditions include full pro forma covenant compliance and Agent-satisfactory terms. MFN sunsets after 6 months.</w:t>
            </w:r>
          </w:p>
        </w:tc>
        <w:tc>
          <w:tcPr>
            <w:tcW w:type="dxa" w:w="3456"/>
          </w:tcPr>
          <w:p>
            <w:pPr>
              <w:spacing w:after="0"/>
            </w:pPr>
            <w:r/>
            <w:r>
              <w:rPr>
                <w:b w:val="0"/>
                <w:sz w:val="18"/>
              </w:rPr>
              <w:t>Accept and improve as described in L-8. Do not let the Lenders use the incremental as a reason to keep the Critical and High deviations.</w:t>
            </w:r>
          </w:p>
        </w:tc>
      </w:tr>
      <w:tr>
        <w:tc>
          <w:tcPr>
            <w:tcW w:type="dxa" w:w="2448"/>
          </w:tcPr>
          <w:p>
            <w:pPr>
              <w:spacing w:after="0"/>
            </w:pPr>
            <w:r/>
            <w:r>
              <w:rPr>
                <w:b/>
                <w:sz w:val="18"/>
              </w:rPr>
              <w:t>(iv) 1/3/6-month Interest Periods</w:t>
            </w:r>
          </w:p>
        </w:tc>
        <w:tc>
          <w:tcPr>
            <w:tcW w:type="dxa" w:w="3744"/>
          </w:tcPr>
          <w:p>
            <w:pPr>
              <w:spacing w:after="0"/>
            </w:pPr>
            <w:r/>
            <w:r>
              <w:rPr>
                <w:b w:val="0"/>
                <w:sz w:val="18"/>
              </w:rPr>
              <w:t>Consistent with the TS, but the draft uses overnight SOFR (H-1) and drops “other periods as agreed” (L-2).</w:t>
            </w:r>
          </w:p>
        </w:tc>
        <w:tc>
          <w:tcPr>
            <w:tcW w:type="dxa" w:w="3456"/>
          </w:tcPr>
          <w:p>
            <w:pPr>
              <w:spacing w:after="0"/>
            </w:pPr>
            <w:r/>
            <w:r>
              <w:rPr>
                <w:b w:val="0"/>
                <w:sz w:val="18"/>
              </w:rPr>
              <w:t>Conform to Term SOFR and add flexibility.</w:t>
            </w:r>
          </w:p>
        </w:tc>
      </w:tr>
      <w:tr>
        <w:tc>
          <w:tcPr>
            <w:tcW w:type="dxa" w:w="2448"/>
          </w:tcPr>
          <w:p>
            <w:pPr>
              <w:spacing w:after="0"/>
            </w:pPr>
            <w:r/>
            <w:r>
              <w:rPr>
                <w:b/>
                <w:sz w:val="18"/>
              </w:rPr>
              <w:t>Not disclosed in the transmittal</w:t>
            </w:r>
          </w:p>
        </w:tc>
        <w:tc>
          <w:tcPr>
            <w:tcW w:type="dxa" w:w="3744"/>
          </w:tcPr>
          <w:p>
            <w:pPr>
              <w:spacing w:after="0"/>
            </w:pPr>
            <w:r/>
            <w:r>
              <w:rPr>
                <w:b w:val="0"/>
                <w:sz w:val="18"/>
              </w:rPr>
              <w:t>New Environmental EoD (M-6); key-person CoC (H-8); absence-of-litigation CP (C-3/M-11); QoE requirement (H-9); deletion of equity cure (C-1) and DQ list (H-10).</w:t>
            </w:r>
          </w:p>
        </w:tc>
        <w:tc>
          <w:tcPr>
            <w:tcW w:type="dxa" w:w="3456"/>
          </w:tcPr>
          <w:p>
            <w:pPr>
              <w:spacing w:after="0"/>
            </w:pPr>
            <w:r/>
            <w:r>
              <w:rPr>
                <w:b w:val="0"/>
                <w:sz w:val="18"/>
              </w:rPr>
              <w:t>Raise expressly in the cover note. These are substantive additions or deletions, not “customary and market adjustments.”</w:t>
            </w:r>
          </w:p>
        </w:tc>
      </w:tr>
    </w:tbl>
    <w:p>
      <w:pPr>
        <w:pStyle w:val="Heading1"/>
      </w:pPr>
      <w:r>
        <w:t>6. Deviations Favorable to the Borrower (Keep)</w:t>
      </w:r>
    </w:p>
    <w:p>
      <w:pPr>
        <w:spacing w:after="80"/>
      </w:pPr>
      <w:r>
        <w:rPr>
          <w:b w:val="0"/>
          <w:i/>
        </w:rPr>
        <w:t>These items depart from the Term Sheet in the Borrower’s favor. We recommend keeping them without comment in the markup. Several will probably be corrected by Lender’s counsel, and we have noted where they could be traded.</w:t>
      </w:r>
    </w:p>
    <w:p>
      <w:pPr>
        <w:pStyle w:val="Heading3"/>
      </w:pPr>
      <w:r>
        <w:t>F-1  TNLR step-downs occur one quarter later than in the Term Sheet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2E75B6"/>
          </w:tcPr>
          <w:p>
            <w:pPr>
              <w:spacing w:after="0"/>
            </w:pPr>
            <w:r/>
            <w:r>
              <w:rPr>
                <w:b/>
                <w:color w:val="FFFFFF"/>
                <w:sz w:val="18"/>
              </w:rPr>
              <w:t>Favorable</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§11.1; Exhibit B   |   Draft CA: CA §7.11(a)</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4.75x through Q1 2026; 4.50x Q2–Q3 2026; 4.25x Q4 2026–Q3 2027; 4.00x from Q4 2027.</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4.75x through Q2 2026; 4.50x Q3–Q4 2026; 4.25x Q1–Q4 2027; 4.00x from Q1 2028. The result is a looser level at three test dates (Q2 2026: 4.75x vs 4.50x; Q4 2026: 4.50x vs 4.25x; Q4 2027: 4.25x vs 4.00x).</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Favorable to the Borrower. Lender’s counsel will probably correct it once the conformity review is done, and the Lenders could argue the Term Sheet schedule reflects the parties’ intent.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Do not raise it in the markup. Keep the draft schedule. If the Lenders try to conform it, consider using it as a trade for one of the Critical or High points. Advise the client that this is a known deviation in its favor.</w:t>
            </w:r>
          </w:p>
        </w:tc>
      </w:tr>
    </w:tbl>
    <w:p>
      <w:pPr>
        <w:spacing w:after="80"/>
      </w:pPr>
      <w:r>
        <w:rPr>
          <w:b w:val="0"/>
          <w:i w:val="0"/>
        </w:rPr>
      </w:r>
    </w:p>
    <w:p>
      <w:pPr>
        <w:pStyle w:val="Heading3"/>
      </w:pPr>
      <w:r>
        <w:t>F-2  No stand-alone MAE Event of Default</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2E75B6"/>
          </w:tcPr>
          <w:p>
            <w:pPr>
              <w:spacing w:after="0"/>
            </w:pPr>
            <w:r/>
            <w:r>
              <w:rPr>
                <w:b/>
                <w:color w:val="FFFFFF"/>
                <w:sz w:val="18"/>
              </w:rPr>
              <w:t>Favorable</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§12(l)   |   Draft CA: CA §8.01 (no MAE EoD)</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The Term Sheet includes the occurrence of an MAE as an Event of Default.</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No MAE Event of Default.</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Removes a subjective acceleration right. Sponsor deals generally do not include an MAE default.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Keep as drafted. If the Lenders try to reinstate it, resist (offer at most a narrowed MAE definition, see H-11).</w:t>
            </w:r>
          </w:p>
        </w:tc>
      </w:tr>
    </w:tbl>
    <w:p>
      <w:pPr>
        <w:spacing w:after="80"/>
      </w:pPr>
      <w:r>
        <w:rPr>
          <w:b w:val="0"/>
          <w:i w:val="0"/>
        </w:rPr>
      </w:r>
    </w:p>
    <w:p>
      <w:pPr>
        <w:pStyle w:val="Heading3"/>
      </w:pPr>
      <w:r>
        <w:t>F-3  No-cure covenant list is narrower than “all negative covenants”</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2E75B6"/>
          </w:tcPr>
          <w:p>
            <w:pPr>
              <w:spacing w:after="0"/>
            </w:pPr>
            <w:r/>
            <w:r>
              <w:rPr>
                <w:b/>
                <w:color w:val="FFFFFF"/>
                <w:sz w:val="18"/>
              </w:rPr>
              <w:t>Favorable</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§12(c)   |   Draft CA: CA §8.01(b), (c)</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Breach of any negative covenant under TS §9 is an EoD with no grace period.</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No-cure list limited to §§7.01, 7.02, 7.04, 7.06, 7.10 and 7.11. Other negative covenants (investments, dispositions, affiliate transactions, burdensome agreements and fiscal year) get the 30-day cure after notice.</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Favorable to the Borrower.</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Keep as drafted (after the equity cure is added under §8.01(b)).</w:t>
            </w:r>
          </w:p>
        </w:tc>
      </w:tr>
    </w:tbl>
    <w:p>
      <w:pPr>
        <w:spacing w:after="80"/>
      </w:pPr>
      <w:r>
        <w:rPr>
          <w:b w:val="0"/>
          <w:i w:val="0"/>
        </w:rPr>
      </w:r>
    </w:p>
    <w:p>
      <w:pPr>
        <w:pStyle w:val="Heading3"/>
      </w:pPr>
      <w:r>
        <w:t>F-4  Mandatory prepayments apply only to term loans; no revolver commitment reduction</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2E75B6"/>
          </w:tcPr>
          <w:p>
            <w:pPr>
              <w:spacing w:after="0"/>
            </w:pPr>
            <w:r/>
            <w:r>
              <w:rPr>
                <w:b/>
                <w:color w:val="FFFFFF"/>
                <w:sz w:val="18"/>
              </w:rPr>
              <w:t>Favorable</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§10.5   |   Draft CA: CA §2.05(b)(v)</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Prepayments applied first to TLA, then DDTL, then Revolver borrowings. Asset sale and debt proceeds permanently reduce Revolver commitments.</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Applied pro rata to the TLA and DDTL only, in direct order of maturity; no application to the Revolver and no commitment reduction.</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Keeps Revolver liquidity, which matters for the Minimum Liquidity covenant.</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Keep as drafted. (Ask, if useful, for the Borrower to be allowed to choose the order of application to remaining installments, as with voluntary prepayments.)</w:t>
            </w:r>
          </w:p>
        </w:tc>
      </w:tr>
    </w:tbl>
    <w:p>
      <w:pPr>
        <w:spacing w:after="80"/>
      </w:pPr>
      <w:r>
        <w:rPr>
          <w:b w:val="0"/>
          <w:i w:val="0"/>
        </w:rPr>
      </w:r>
    </w:p>
    <w:p>
      <w:pPr>
        <w:pStyle w:val="Heading3"/>
      </w:pPr>
      <w:r>
        <w:t>F-5  Other provisions that favor the Borrower to keep</w:t>
      </w:r>
    </w:p>
    <w:tbl>
      <w:tblPr>
        <w:tblStyle w:val="TableGrid"/>
        <w:tblW w:type="auto" w:w="0"/>
        <w:tblLook w:firstColumn="1" w:firstRow="1" w:lastColumn="0" w:lastRow="0" w:noHBand="0" w:noVBand="1" w:val="04A0"/>
      </w:tblPr>
      <w:tblGrid>
        <w:gridCol w:w="4824"/>
        <w:gridCol w:w="4824"/>
      </w:tblGrid>
      <w:tr>
        <w:tc>
          <w:tcPr>
            <w:tcW w:type="dxa" w:w="1944"/>
            <w:shd w:val="clear" w:color="auto" w:fill="F2F2F2"/>
          </w:tcPr>
          <w:p>
            <w:pPr>
              <w:spacing w:after="0"/>
            </w:pPr>
            <w:r/>
            <w:r>
              <w:rPr>
                <w:b/>
                <w:sz w:val="18"/>
              </w:rPr>
              <w:t>Priority</w:t>
            </w:r>
          </w:p>
        </w:tc>
        <w:tc>
          <w:tcPr>
            <w:tcW w:type="dxa" w:w="7704"/>
            <w:shd w:val="clear" w:color="auto" w:fill="2E75B6"/>
          </w:tcPr>
          <w:p>
            <w:pPr>
              <w:spacing w:after="0"/>
            </w:pPr>
            <w:r/>
            <w:r>
              <w:rPr>
                <w:b/>
                <w:color w:val="FFFFFF"/>
                <w:sz w:val="18"/>
              </w:rPr>
              <w:t>Favorable</w:t>
            </w:r>
          </w:p>
        </w:tc>
      </w:tr>
      <w:tr>
        <w:tc>
          <w:tcPr>
            <w:tcW w:type="dxa" w:w="1944"/>
            <w:shd w:val="clear" w:color="auto" w:fill="F2F2F2"/>
          </w:tcPr>
          <w:p>
            <w:pPr>
              <w:spacing w:after="0"/>
            </w:pPr>
            <w:r/>
            <w:r>
              <w:rPr>
                <w:b/>
                <w:sz w:val="18"/>
              </w:rPr>
              <w:t>References</w:t>
            </w:r>
          </w:p>
        </w:tc>
        <w:tc>
          <w:tcPr>
            <w:tcW w:type="dxa" w:w="7704"/>
          </w:tcPr>
          <w:p>
            <w:pPr>
              <w:spacing w:after="0"/>
            </w:pPr>
            <w:r/>
            <w:r>
              <w:rPr>
                <w:b w:val="0"/>
                <w:sz w:val="18"/>
              </w:rPr>
              <w:t>Term Sheet: TS §§3.1, 4.1, 8(j), 9.7(b), (d), (f), 11.3, 13(d), 12 (CoC (c))   |   Draft CA: CA §2.05(a)(ii); §2.08(b); §5.09; §7.07; §7.11(c); §7.12; §10.06(b)(iv); §2.05(b)(iv); “Excess Cash Flow” (g)</w:t>
            </w:r>
          </w:p>
        </w:tc>
      </w:tr>
      <w:tr>
        <w:tc>
          <w:tcPr>
            <w:tcW w:type="dxa" w:w="1944"/>
            <w:shd w:val="clear" w:color="auto" w:fill="F2F2F2"/>
          </w:tcPr>
          <w:p>
            <w:pPr>
              <w:spacing w:after="0"/>
            </w:pPr>
            <w:r/>
            <w:r>
              <w:rPr>
                <w:b/>
                <w:sz w:val="18"/>
              </w:rPr>
              <w:t>Term Sheet</w:t>
            </w:r>
          </w:p>
        </w:tc>
        <w:tc>
          <w:tcPr>
            <w:tcW w:type="dxa" w:w="7704"/>
          </w:tcPr>
          <w:p>
            <w:pPr>
              <w:spacing w:after="0"/>
            </w:pPr>
            <w:r/>
            <w:r>
              <w:rPr>
                <w:b w:val="0"/>
                <w:sz w:val="18"/>
              </w:rPr>
              <w:t>See the Term Sheet references listed.</w:t>
            </w:r>
          </w:p>
        </w:tc>
      </w:tr>
      <w:tr>
        <w:tc>
          <w:tcPr>
            <w:tcW w:type="dxa" w:w="1944"/>
            <w:shd w:val="clear" w:color="auto" w:fill="F2F2F2"/>
          </w:tcPr>
          <w:p>
            <w:pPr>
              <w:spacing w:after="0"/>
            </w:pPr>
            <w:r/>
            <w:r>
              <w:rPr>
                <w:b/>
                <w:sz w:val="18"/>
              </w:rPr>
              <w:t>Draft Credit Agreement</w:t>
            </w:r>
          </w:p>
        </w:tc>
        <w:tc>
          <w:tcPr>
            <w:tcW w:type="dxa" w:w="7704"/>
          </w:tcPr>
          <w:p>
            <w:pPr>
              <w:spacing w:after="0"/>
            </w:pPr>
            <w:r/>
            <w:r>
              <w:rPr>
                <w:b w:val="0"/>
                <w:sz w:val="18"/>
              </w:rPr>
              <w:t>(a) Borrower may elect inverse-order application of voluntary prepayments without Agent consent; (b) Default Rate applies only when the Required Lenders elect it (except bankruptcy); (c) inspection rights belong to the Agent only; (d) no affiliate-transaction board-approval threshold; (e) Minimum Liquidity is satisfied on an end-of-day basis; (f) fiscal year change needs Agent consent (not unreasonably withheld) instead of Required Lenders; (g) Borrower consent needed even for assignments to Lenders, Affiliates and Approved Funds (absent an EoD); (h) business interruption insurance proceeds excluded from the sweep; (i) ECF deduction for restructuring costs; (j) no line-of-business or sale-leaseback covenant; (k) CoC cross-trigger limited to Subordinated Indebtedness; (l) auditor may be “regionally” recognized.</w:t>
            </w:r>
          </w:p>
        </w:tc>
      </w:tr>
      <w:tr>
        <w:tc>
          <w:tcPr>
            <w:tcW w:type="dxa" w:w="1944"/>
            <w:shd w:val="clear" w:color="auto" w:fill="F2F2F2"/>
          </w:tcPr>
          <w:p>
            <w:pPr>
              <w:spacing w:after="0"/>
            </w:pPr>
            <w:r/>
            <w:r>
              <w:rPr>
                <w:b/>
                <w:sz w:val="18"/>
              </w:rPr>
              <w:t>Impact on Borrower</w:t>
            </w:r>
          </w:p>
        </w:tc>
        <w:tc>
          <w:tcPr>
            <w:tcW w:type="dxa" w:w="7704"/>
          </w:tcPr>
          <w:p>
            <w:pPr>
              <w:spacing w:after="0"/>
            </w:pPr>
            <w:r/>
            <w:r>
              <w:rPr>
                <w:b w:val="0"/>
                <w:sz w:val="18"/>
              </w:rPr>
              <w:t>Favorable to the Borrower.</w:t>
            </w:r>
          </w:p>
        </w:tc>
      </w:tr>
      <w:tr>
        <w:tc>
          <w:tcPr>
            <w:tcW w:type="dxa" w:w="1944"/>
            <w:shd w:val="clear" w:color="auto" w:fill="F2F2F2"/>
          </w:tcPr>
          <w:p>
            <w:pPr>
              <w:spacing w:after="0"/>
            </w:pPr>
            <w:r/>
            <w:r>
              <w:rPr>
                <w:b/>
                <w:sz w:val="18"/>
              </w:rPr>
              <w:t>Recommendation</w:t>
            </w:r>
          </w:p>
        </w:tc>
        <w:tc>
          <w:tcPr>
            <w:tcW w:type="dxa" w:w="7704"/>
          </w:tcPr>
          <w:p>
            <w:pPr>
              <w:spacing w:after="0"/>
            </w:pPr>
            <w:r/>
            <w:r>
              <w:rPr>
                <w:b/>
                <w:sz w:val="18"/>
              </w:rPr>
              <w:t>Keep all of these. Do not draw attention to them in the issues list. Be ready to concede (c), (g) or (j) as trades if needed.</w:t>
            </w:r>
          </w:p>
        </w:tc>
      </w:tr>
    </w:tbl>
    <w:p>
      <w:pPr>
        <w:spacing w:after="80"/>
      </w:pPr>
      <w:r>
        <w:rPr>
          <w:b w:val="0"/>
          <w:i w:val="0"/>
        </w:rPr>
      </w:r>
    </w:p>
    <w:p>
      <w:pPr>
        <w:pStyle w:val="Heading1"/>
      </w:pPr>
      <w:r>
        <w:t>7. Illustrative Economic Impact of Key Deviations</w:t>
      </w:r>
    </w:p>
    <w:tbl>
      <w:tblPr>
        <w:tblStyle w:val="TableGrid"/>
        <w:tblW w:type="auto" w:w="0"/>
        <w:tblLook w:firstColumn="1" w:firstRow="1" w:lastColumn="0" w:lastRow="0" w:noHBand="0" w:noVBand="1" w:val="04A0"/>
      </w:tblPr>
      <w:tblGrid>
        <w:gridCol w:w="2412"/>
        <w:gridCol w:w="2412"/>
        <w:gridCol w:w="2412"/>
        <w:gridCol w:w="2412"/>
      </w:tblGrid>
      <w:tr>
        <w:tc>
          <w:tcPr>
            <w:tcW w:type="dxa" w:w="2232"/>
            <w:shd w:val="clear" w:color="auto" w:fill="1F3A5F"/>
          </w:tcPr>
          <w:p>
            <w:pPr>
              <w:spacing w:after="0"/>
            </w:pPr>
            <w:r/>
            <w:r>
              <w:rPr>
                <w:b/>
                <w:color w:val="FFFFFF"/>
                <w:sz w:val="18"/>
              </w:rPr>
              <w:t>Item</w:t>
            </w:r>
          </w:p>
        </w:tc>
        <w:tc>
          <w:tcPr>
            <w:tcW w:type="dxa" w:w="2304"/>
            <w:shd w:val="clear" w:color="auto" w:fill="1F3A5F"/>
          </w:tcPr>
          <w:p>
            <w:pPr>
              <w:spacing w:after="0"/>
            </w:pPr>
            <w:r/>
            <w:r>
              <w:rPr>
                <w:b/>
                <w:color w:val="FFFFFF"/>
                <w:sz w:val="18"/>
              </w:rPr>
              <w:t>Term Sheet</w:t>
            </w:r>
          </w:p>
        </w:tc>
        <w:tc>
          <w:tcPr>
            <w:tcW w:type="dxa" w:w="2304"/>
            <w:shd w:val="clear" w:color="auto" w:fill="1F3A5F"/>
          </w:tcPr>
          <w:p>
            <w:pPr>
              <w:spacing w:after="0"/>
            </w:pPr>
            <w:r/>
            <w:r>
              <w:rPr>
                <w:b/>
                <w:color w:val="FFFFFF"/>
                <w:sz w:val="18"/>
              </w:rPr>
              <w:t>Draft CA</w:t>
            </w:r>
          </w:p>
        </w:tc>
        <w:tc>
          <w:tcPr>
            <w:tcW w:type="dxa" w:w="2808"/>
            <w:shd w:val="clear" w:color="auto" w:fill="1F3A5F"/>
          </w:tcPr>
          <w:p>
            <w:pPr>
              <w:spacing w:after="0"/>
            </w:pPr>
            <w:r/>
            <w:r>
              <w:rPr>
                <w:b/>
                <w:color w:val="FFFFFF"/>
                <w:sz w:val="18"/>
              </w:rPr>
              <w:t>Illustrative effect</w:t>
            </w:r>
          </w:p>
        </w:tc>
      </w:tr>
      <w:tr>
        <w:tc>
          <w:tcPr>
            <w:tcW w:type="dxa" w:w="2232"/>
          </w:tcPr>
          <w:p>
            <w:pPr>
              <w:spacing w:after="0"/>
            </w:pPr>
            <w:r/>
            <w:r>
              <w:rPr>
                <w:b/>
                <w:sz w:val="17"/>
              </w:rPr>
              <w:t>Closing Total Net Leverage</w:t>
            </w:r>
          </w:p>
        </w:tc>
        <w:tc>
          <w:tcPr>
            <w:tcW w:type="dxa" w:w="2304"/>
          </w:tcPr>
          <w:p>
            <w:pPr>
              <w:spacing w:after="0"/>
            </w:pPr>
            <w:r/>
            <w:r>
              <w:rPr>
                <w:b w:val="0"/>
                <w:sz w:val="17"/>
              </w:rPr>
              <w:t>($185.0 – $14.0) / $42.6 = 4.01x</w:t>
            </w:r>
          </w:p>
        </w:tc>
        <w:tc>
          <w:tcPr>
            <w:tcW w:type="dxa" w:w="2304"/>
          </w:tcPr>
          <w:p>
            <w:pPr>
              <w:spacing w:after="0"/>
            </w:pPr>
            <w:r/>
            <w:r>
              <w:rPr>
                <w:b w:val="0"/>
                <w:sz w:val="17"/>
              </w:rPr>
              <w:t>($185.0 – $10.0) / $42.6 = 4.11x</w:t>
            </w:r>
          </w:p>
        </w:tc>
        <w:tc>
          <w:tcPr>
            <w:tcW w:type="dxa" w:w="2808"/>
          </w:tcPr>
          <w:p>
            <w:pPr>
              <w:spacing w:after="0"/>
            </w:pPr>
            <w:r/>
            <w:r>
              <w:rPr>
                <w:b w:val="0"/>
                <w:sz w:val="17"/>
              </w:rPr>
              <w:t>+0.10x; EBITDA headroom vs. 4.75x falls from ~15.5% to ~13.5%</w:t>
            </w:r>
          </w:p>
        </w:tc>
      </w:tr>
      <w:tr>
        <w:tc>
          <w:tcPr>
            <w:tcW w:type="dxa" w:w="2232"/>
          </w:tcPr>
          <w:p>
            <w:pPr>
              <w:spacing w:after="0"/>
            </w:pPr>
            <w:r/>
            <w:r>
              <w:rPr>
                <w:b/>
                <w:sz w:val="17"/>
              </w:rPr>
              <w:t>SOFR floor</w:t>
            </w:r>
          </w:p>
        </w:tc>
        <w:tc>
          <w:tcPr>
            <w:tcW w:type="dxa" w:w="2304"/>
          </w:tcPr>
          <w:p>
            <w:pPr>
              <w:spacing w:after="0"/>
            </w:pPr>
            <w:r/>
            <w:r>
              <w:rPr>
                <w:b w:val="0"/>
                <w:sz w:val="17"/>
              </w:rPr>
              <w:t>0.75%</w:t>
            </w:r>
          </w:p>
        </w:tc>
        <w:tc>
          <w:tcPr>
            <w:tcW w:type="dxa" w:w="2304"/>
          </w:tcPr>
          <w:p>
            <w:pPr>
              <w:spacing w:after="0"/>
            </w:pPr>
            <w:r/>
            <w:r>
              <w:rPr>
                <w:b w:val="0"/>
                <w:sz w:val="17"/>
              </w:rPr>
              <w:t>1.00%</w:t>
            </w:r>
          </w:p>
        </w:tc>
        <w:tc>
          <w:tcPr>
            <w:tcW w:type="dxa" w:w="2808"/>
          </w:tcPr>
          <w:p>
            <w:pPr>
              <w:spacing w:after="0"/>
            </w:pPr>
            <w:r/>
            <w:r>
              <w:rPr>
                <w:b w:val="0"/>
                <w:sz w:val="17"/>
              </w:rPr>
              <w:t>~$462,500/yr on the TLA; ~$587,500/yr with the DDTL fully drawn (when SOFR &lt; 1.00%)</w:t>
            </w:r>
          </w:p>
        </w:tc>
      </w:tr>
      <w:tr>
        <w:tc>
          <w:tcPr>
            <w:tcW w:type="dxa" w:w="2232"/>
          </w:tcPr>
          <w:p>
            <w:pPr>
              <w:spacing w:after="0"/>
            </w:pPr>
            <w:r/>
            <w:r>
              <w:rPr>
                <w:b/>
                <w:sz w:val="17"/>
              </w:rPr>
              <w:t>Revolver margin below 3.00x</w:t>
            </w:r>
          </w:p>
        </w:tc>
        <w:tc>
          <w:tcPr>
            <w:tcW w:type="dxa" w:w="2304"/>
          </w:tcPr>
          <w:p>
            <w:pPr>
              <w:spacing w:after="0"/>
            </w:pPr>
            <w:r/>
            <w:r>
              <w:rPr>
                <w:b w:val="0"/>
                <w:sz w:val="17"/>
              </w:rPr>
              <w:t>SOFR + 3.25%</w:t>
            </w:r>
          </w:p>
        </w:tc>
        <w:tc>
          <w:tcPr>
            <w:tcW w:type="dxa" w:w="2304"/>
          </w:tcPr>
          <w:p>
            <w:pPr>
              <w:spacing w:after="0"/>
            </w:pPr>
            <w:r/>
            <w:r>
              <w:rPr>
                <w:b w:val="0"/>
                <w:sz w:val="17"/>
              </w:rPr>
              <w:t>SOFR + 3.50%</w:t>
            </w:r>
          </w:p>
        </w:tc>
        <w:tc>
          <w:tcPr>
            <w:tcW w:type="dxa" w:w="2808"/>
          </w:tcPr>
          <w:p>
            <w:pPr>
              <w:spacing w:after="0"/>
            </w:pPr>
            <w:r/>
            <w:r>
              <w:rPr>
                <w:b w:val="0"/>
                <w:sz w:val="17"/>
              </w:rPr>
              <w:t>25 bps on drawn Revolver and LC fees; up to ~$125,000/yr on $50.0M</w:t>
            </w:r>
          </w:p>
        </w:tc>
      </w:tr>
      <w:tr>
        <w:tc>
          <w:tcPr>
            <w:tcW w:type="dxa" w:w="2232"/>
          </w:tcPr>
          <w:p>
            <w:pPr>
              <w:spacing w:after="0"/>
            </w:pPr>
            <w:r/>
            <w:r>
              <w:rPr>
                <w:b/>
                <w:sz w:val="17"/>
              </w:rPr>
              <w:t>DDTL availability</w:t>
            </w:r>
          </w:p>
        </w:tc>
        <w:tc>
          <w:tcPr>
            <w:tcW w:type="dxa" w:w="2304"/>
          </w:tcPr>
          <w:p>
            <w:pPr>
              <w:spacing w:after="0"/>
            </w:pPr>
            <w:r/>
            <w:r>
              <w:rPr>
                <w:b w:val="0"/>
                <w:sz w:val="17"/>
              </w:rPr>
              <w:t>18 months (to Nov. 30, 2026)</w:t>
            </w:r>
          </w:p>
        </w:tc>
        <w:tc>
          <w:tcPr>
            <w:tcW w:type="dxa" w:w="2304"/>
          </w:tcPr>
          <w:p>
            <w:pPr>
              <w:spacing w:after="0"/>
            </w:pPr>
            <w:r/>
            <w:r>
              <w:rPr>
                <w:b w:val="0"/>
                <w:sz w:val="17"/>
              </w:rPr>
              <w:t>12 months (to May 30, 2026)</w:t>
            </w:r>
          </w:p>
        </w:tc>
        <w:tc>
          <w:tcPr>
            <w:tcW w:type="dxa" w:w="2808"/>
          </w:tcPr>
          <w:p>
            <w:pPr>
              <w:spacing w:after="0"/>
            </w:pPr>
            <w:r/>
            <w:r>
              <w:rPr>
                <w:b w:val="0"/>
                <w:sz w:val="17"/>
              </w:rPr>
              <w:t>Loss of 6 months of committed acquisition capacity ($50.0M)</w:t>
            </w:r>
          </w:p>
        </w:tc>
      </w:tr>
      <w:tr>
        <w:tc>
          <w:tcPr>
            <w:tcW w:type="dxa" w:w="2232"/>
          </w:tcPr>
          <w:p>
            <w:pPr>
              <w:spacing w:after="0"/>
            </w:pPr>
            <w:r/>
            <w:r>
              <w:rPr>
                <w:b/>
                <w:sz w:val="17"/>
              </w:rPr>
              <w:t>DDTL draws</w:t>
            </w:r>
          </w:p>
        </w:tc>
        <w:tc>
          <w:tcPr>
            <w:tcW w:type="dxa" w:w="2304"/>
          </w:tcPr>
          <w:p>
            <w:pPr>
              <w:spacing w:after="0"/>
            </w:pPr>
            <w:r/>
            <w:r>
              <w:rPr>
                <w:b w:val="0"/>
                <w:sz w:val="17"/>
              </w:rPr>
              <w:t>Unlimited; $5.0M minimum</w:t>
            </w:r>
          </w:p>
        </w:tc>
        <w:tc>
          <w:tcPr>
            <w:tcW w:type="dxa" w:w="2304"/>
          </w:tcPr>
          <w:p>
            <w:pPr>
              <w:spacing w:after="0"/>
            </w:pPr>
            <w:r/>
            <w:r>
              <w:rPr>
                <w:b w:val="0"/>
                <w:sz w:val="17"/>
              </w:rPr>
              <w:t>Max 3; $10.0M minimum</w:t>
            </w:r>
          </w:p>
        </w:tc>
        <w:tc>
          <w:tcPr>
            <w:tcW w:type="dxa" w:w="2808"/>
          </w:tcPr>
          <w:p>
            <w:pPr>
              <w:spacing w:after="0"/>
            </w:pPr>
            <w:r/>
            <w:r>
              <w:rPr>
                <w:b w:val="0"/>
                <w:sz w:val="17"/>
              </w:rPr>
              <w:t>Forces over-borrowing or Revolver use for tuck-ins</w:t>
            </w:r>
          </w:p>
        </w:tc>
      </w:tr>
      <w:tr>
        <w:tc>
          <w:tcPr>
            <w:tcW w:type="dxa" w:w="2232"/>
          </w:tcPr>
          <w:p>
            <w:pPr>
              <w:spacing w:after="0"/>
            </w:pPr>
            <w:r/>
            <w:r>
              <w:rPr>
                <w:b/>
                <w:sz w:val="17"/>
              </w:rPr>
              <w:t>Annual CapEx cap</w:t>
            </w:r>
          </w:p>
        </w:tc>
        <w:tc>
          <w:tcPr>
            <w:tcW w:type="dxa" w:w="2304"/>
          </w:tcPr>
          <w:p>
            <w:pPr>
              <w:spacing w:after="0"/>
            </w:pPr>
            <w:r/>
            <w:r>
              <w:rPr>
                <w:b w:val="0"/>
                <w:sz w:val="17"/>
              </w:rPr>
              <w:t>$12.0M + up to $3.0M carryforward</w:t>
            </w:r>
          </w:p>
        </w:tc>
        <w:tc>
          <w:tcPr>
            <w:tcW w:type="dxa" w:w="2304"/>
          </w:tcPr>
          <w:p>
            <w:pPr>
              <w:spacing w:after="0"/>
            </w:pPr>
            <w:r/>
            <w:r>
              <w:rPr>
                <w:b w:val="0"/>
                <w:sz w:val="17"/>
              </w:rPr>
              <w:t>$10.5M; no carryforward</w:t>
            </w:r>
          </w:p>
        </w:tc>
        <w:tc>
          <w:tcPr>
            <w:tcW w:type="dxa" w:w="2808"/>
          </w:tcPr>
          <w:p>
            <w:pPr>
              <w:spacing w:after="0"/>
            </w:pPr>
            <w:r/>
            <w:r>
              <w:rPr>
                <w:b w:val="0"/>
                <w:sz w:val="17"/>
              </w:rPr>
              <w:t>$1.5M to $4.5M less capacity per year</w:t>
            </w:r>
          </w:p>
        </w:tc>
      </w:tr>
      <w:tr>
        <w:tc>
          <w:tcPr>
            <w:tcW w:type="dxa" w:w="2232"/>
          </w:tcPr>
          <w:p>
            <w:pPr>
              <w:spacing w:after="0"/>
            </w:pPr>
            <w:r/>
            <w:r>
              <w:rPr>
                <w:b/>
                <w:sz w:val="17"/>
              </w:rPr>
              <w:t>Sponsor management fee</w:t>
            </w:r>
          </w:p>
        </w:tc>
        <w:tc>
          <w:tcPr>
            <w:tcW w:type="dxa" w:w="2304"/>
          </w:tcPr>
          <w:p>
            <w:pPr>
              <w:spacing w:after="0"/>
            </w:pPr>
            <w:r/>
            <w:r>
              <w:rPr>
                <w:b w:val="0"/>
                <w:sz w:val="17"/>
              </w:rPr>
              <w:t>$1.5M/yr; deferral on EoD</w:t>
            </w:r>
          </w:p>
        </w:tc>
        <w:tc>
          <w:tcPr>
            <w:tcW w:type="dxa" w:w="2304"/>
          </w:tcPr>
          <w:p>
            <w:pPr>
              <w:spacing w:after="0"/>
            </w:pPr>
            <w:r/>
            <w:r>
              <w:rPr>
                <w:b w:val="0"/>
                <w:sz w:val="17"/>
              </w:rPr>
              <w:t>$1.0M/yr; blocked on any Default; no accrual</w:t>
            </w:r>
          </w:p>
        </w:tc>
        <w:tc>
          <w:tcPr>
            <w:tcW w:type="dxa" w:w="2808"/>
          </w:tcPr>
          <w:p>
            <w:pPr>
              <w:spacing w:after="0"/>
            </w:pPr>
            <w:r/>
            <w:r>
              <w:rPr>
                <w:b w:val="0"/>
                <w:sz w:val="17"/>
              </w:rPr>
              <w:t>$0.5M/yr; ~$2.5M over the term</w:t>
            </w:r>
          </w:p>
        </w:tc>
      </w:tr>
      <w:tr>
        <w:tc>
          <w:tcPr>
            <w:tcW w:type="dxa" w:w="2232"/>
          </w:tcPr>
          <w:p>
            <w:pPr>
              <w:spacing w:after="0"/>
            </w:pPr>
            <w:r/>
            <w:r>
              <w:rPr>
                <w:b/>
                <w:sz w:val="17"/>
              </w:rPr>
              <w:t>Individual acquisition cap</w:t>
            </w:r>
          </w:p>
        </w:tc>
        <w:tc>
          <w:tcPr>
            <w:tcW w:type="dxa" w:w="2304"/>
          </w:tcPr>
          <w:p>
            <w:pPr>
              <w:spacing w:after="0"/>
            </w:pPr>
            <w:r/>
            <w:r>
              <w:rPr>
                <w:b w:val="0"/>
                <w:sz w:val="17"/>
              </w:rPr>
              <w:t>$25.0M</w:t>
            </w:r>
          </w:p>
        </w:tc>
        <w:tc>
          <w:tcPr>
            <w:tcW w:type="dxa" w:w="2304"/>
          </w:tcPr>
          <w:p>
            <w:pPr>
              <w:spacing w:after="0"/>
            </w:pPr>
            <w:r/>
            <w:r>
              <w:rPr>
                <w:b w:val="0"/>
                <w:sz w:val="17"/>
              </w:rPr>
              <w:t>$20.0M</w:t>
            </w:r>
          </w:p>
        </w:tc>
        <w:tc>
          <w:tcPr>
            <w:tcW w:type="dxa" w:w="2808"/>
          </w:tcPr>
          <w:p>
            <w:pPr>
              <w:spacing w:after="0"/>
            </w:pPr>
            <w:r/>
            <w:r>
              <w:rPr>
                <w:b w:val="0"/>
                <w:sz w:val="17"/>
              </w:rPr>
              <w:t>20% smaller deal capacity; plus QoE &gt;$10M</w:t>
            </w:r>
          </w:p>
        </w:tc>
      </w:tr>
      <w:tr>
        <w:tc>
          <w:tcPr>
            <w:tcW w:type="dxa" w:w="2232"/>
          </w:tcPr>
          <w:p>
            <w:pPr>
              <w:spacing w:after="0"/>
            </w:pPr>
            <w:r/>
            <w:r>
              <w:rPr>
                <w:b/>
                <w:sz w:val="17"/>
              </w:rPr>
              <w:t>Default interest (non-payment EoD)</w:t>
            </w:r>
          </w:p>
        </w:tc>
        <w:tc>
          <w:tcPr>
            <w:tcW w:type="dxa" w:w="2304"/>
          </w:tcPr>
          <w:p>
            <w:pPr>
              <w:spacing w:after="0"/>
            </w:pPr>
            <w:r/>
            <w:r>
              <w:rPr>
                <w:b w:val="0"/>
                <w:sz w:val="17"/>
              </w:rPr>
              <w:t>+2.00% on overdue amounts</w:t>
            </w:r>
          </w:p>
        </w:tc>
        <w:tc>
          <w:tcPr>
            <w:tcW w:type="dxa" w:w="2304"/>
          </w:tcPr>
          <w:p>
            <w:pPr>
              <w:spacing w:after="0"/>
            </w:pPr>
            <w:r/>
            <w:r>
              <w:rPr>
                <w:b w:val="0"/>
                <w:sz w:val="17"/>
              </w:rPr>
              <w:t>+2.00% on all Obligations</w:t>
            </w:r>
          </w:p>
        </w:tc>
        <w:tc>
          <w:tcPr>
            <w:tcW w:type="dxa" w:w="2808"/>
          </w:tcPr>
          <w:p>
            <w:pPr>
              <w:spacing w:after="0"/>
            </w:pPr>
            <w:r/>
            <w:r>
              <w:rPr>
                <w:b w:val="0"/>
                <w:sz w:val="17"/>
              </w:rPr>
              <w:t>~$3.7M/yr on the $185.0M TLA alone</w:t>
            </w:r>
          </w:p>
        </w:tc>
      </w:tr>
      <w:tr>
        <w:tc>
          <w:tcPr>
            <w:tcW w:type="dxa" w:w="2232"/>
          </w:tcPr>
          <w:p>
            <w:pPr>
              <w:spacing w:after="0"/>
            </w:pPr>
            <w:r/>
            <w:r>
              <w:rPr>
                <w:b/>
                <w:sz w:val="17"/>
              </w:rPr>
              <w:t>Audited financials</w:t>
            </w:r>
          </w:p>
        </w:tc>
        <w:tc>
          <w:tcPr>
            <w:tcW w:type="dxa" w:w="2304"/>
          </w:tcPr>
          <w:p>
            <w:pPr>
              <w:spacing w:after="0"/>
            </w:pPr>
            <w:r/>
            <w:r>
              <w:rPr>
                <w:b w:val="0"/>
                <w:sz w:val="17"/>
              </w:rPr>
              <w:t>120 days</w:t>
            </w:r>
          </w:p>
        </w:tc>
        <w:tc>
          <w:tcPr>
            <w:tcW w:type="dxa" w:w="2304"/>
          </w:tcPr>
          <w:p>
            <w:pPr>
              <w:spacing w:after="0"/>
            </w:pPr>
            <w:r/>
            <w:r>
              <w:rPr>
                <w:b w:val="0"/>
                <w:sz w:val="17"/>
              </w:rPr>
              <w:t>90 days</w:t>
            </w:r>
          </w:p>
        </w:tc>
        <w:tc>
          <w:tcPr>
            <w:tcW w:type="dxa" w:w="2808"/>
          </w:tcPr>
          <w:p>
            <w:pPr>
              <w:spacing w:after="0"/>
            </w:pPr>
            <w:r/>
            <w:r>
              <w:rPr>
                <w:b w:val="0"/>
                <w:sz w:val="17"/>
              </w:rPr>
              <w:t>30 days less for the audit; earlier ECF payment</w:t>
            </w:r>
          </w:p>
        </w:tc>
      </w:tr>
    </w:tbl>
    <w:p>
      <w:pPr>
        <w:pStyle w:val="Heading1"/>
      </w:pPr>
      <w:r>
        <w:t>8. Recommended Negotiation Strategy and Next Steps</w:t>
      </w:r>
    </w:p>
    <w:p>
      <w:pPr>
        <w:pStyle w:val="ListBullet"/>
        <w:spacing w:after="40"/>
      </w:pPr>
      <w:r>
        <w:rPr>
          <w:b/>
        </w:rPr>
        <w:t xml:space="preserve">Respond on the baseline now. </w:t>
      </w:r>
      <w:r>
        <w:t>Before or with the markup, write to Philip Granville (copying Ridgeline) noting that the draft departs from the executed Term Sheet in the respects listed in Sections 4.1 and 4.2, and that the Sponsor expects the definitive documentation to conform to the Term Sheet. Ridgeline’s credit approval should therefore be measured against the Term Sheet, not the April 18 draft.</w:t>
      </w:r>
    </w:p>
    <w:p>
      <w:pPr>
        <w:pStyle w:val="ListBullet"/>
        <w:spacing w:after="40"/>
      </w:pPr>
      <w:r>
        <w:rPr>
          <w:b/>
        </w:rPr>
        <w:t xml:space="preserve">Two-tier issues list. </w:t>
      </w:r>
      <w:r>
        <w:t>Tier 1 (“Term Sheet conformity”): C-1 to C-6 and H-1 to H-12. Tier 2 (“commercial and drafting”): M- and L-items. Present Tier 1 as corrections rather than asks.</w:t>
      </w:r>
    </w:p>
    <w:p>
      <w:pPr>
        <w:pStyle w:val="ListBullet"/>
        <w:spacing w:after="40"/>
      </w:pPr>
      <w:r>
        <w:rPr>
          <w:b/>
        </w:rPr>
        <w:t xml:space="preserve">Client inputs needed. </w:t>
      </w:r>
      <w:r>
        <w:t>(a) Sponsor’s Disqualified Institution list (H-10); (b) confirmation of the add-backs underlying the $42.6M LTM Adjusted EBITDA (QoE bridge) to draft C-5; (c) whether FY2022–FY2023 audits exist with unqualified opinions (M-11); (d) foreign or immaterial subsidiaries and owned real property above $2.5M (M-8); (e) where deposit accounts are held, for the DACA plan (M-9); (f) the acquisition pipeline and expected timing, to support C-2 and H-12; (g) confirmation of the Fee Letter date and parties (L-3).</w:t>
      </w:r>
    </w:p>
    <w:p>
      <w:pPr>
        <w:pStyle w:val="ListBullet"/>
        <w:spacing w:after="40"/>
      </w:pPr>
      <w:r>
        <w:rPr>
          <w:b/>
        </w:rPr>
        <w:t xml:space="preserve">Coordinate with M&amp;A counsel. </w:t>
      </w:r>
      <w:r>
        <w:t>Make sure the SunGard provisions (C-3) match the SPA (Company MAE definition, termination rights for representation inaccuracy, outside date), and that the June 30, 2025 Term Sheet Outside Date and the May 30, 2025 closing target leave time for a second turn.</w:t>
      </w:r>
    </w:p>
    <w:p>
      <w:pPr>
        <w:pStyle w:val="ListBullet"/>
        <w:spacing w:after="40"/>
      </w:pPr>
      <w:r>
        <w:rPr>
          <w:b/>
        </w:rPr>
        <w:t xml:space="preserve">Ancillary documents. </w:t>
      </w:r>
      <w:r>
        <w:t>The security, pledge and guarantee agreements and the closing checklist have not yet been circulated. Reserve all comments and make sure the Excluded Assets and Excluded Subsidiaries concepts (M-8) and the SunGard perfection limits carry through into them.</w:t>
      </w:r>
    </w:p>
    <w:p>
      <w:pPr>
        <w:pStyle w:val="ListBullet"/>
        <w:spacing w:after="40"/>
      </w:pPr>
      <w:r>
        <w:rPr>
          <w:b/>
        </w:rPr>
        <w:t xml:space="preserve">Timing. </w:t>
      </w:r>
      <w:r>
        <w:t>Target delivery of the markup and issues list by May 2, 2025 as requested. Propose an all-hands call with Katherine Fulton and James Delvecchio early that week to resolve the Tier 1 items commercially.</w:t>
      </w:r>
    </w:p>
    <w:p>
      <w:pPr>
        <w:spacing w:after="120"/>
      </w:pPr>
      <w:r>
        <w:rPr>
          <w:b w:val="0"/>
          <w:i w:val="0"/>
        </w:rPr>
      </w:r>
    </w:p>
    <w:p>
      <w:pPr>
        <w:spacing w:after="80"/>
      </w:pPr>
      <w:r>
        <w:rPr>
          <w:b w:val="0"/>
          <w:i/>
          <w:sz w:val="17"/>
        </w:rPr>
        <w:t>This report is based solely on the three documents listed above. It does not review the Fee Letter, the Acquisition Agreement, or ancillary collateral documents, none of which were provided. The Disqualified Institution, SunGard and EBITDA recommendations should be confirmed against those documents when available.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