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6"/>
        </w:rPr>
        <w:t>PEMBERTON &amp; HALE LLP</w:t>
      </w:r>
    </w:p>
    <w:p>
      <w:pPr>
        <w:spacing w:after="200"/>
        <w:jc w:val="center"/>
      </w:pPr>
      <w:r>
        <w:rPr>
          <w:b w:val="0"/>
          <w:i/>
          <w:sz w:val="18"/>
        </w:rPr>
        <w:t>PRIVILEGED &amp; CONFIDENTIAL — ATTORNEY WORK PRODUCT</w:t>
      </w:r>
    </w:p>
    <w:p>
      <w:pPr>
        <w:spacing w:after="200"/>
        <w:jc w:val="center"/>
      </w:pPr>
      <w:r>
        <w:rPr>
          <w:b/>
          <w:i w:val="0"/>
          <w:sz w:val="32"/>
        </w:rPr>
        <w:t>MEMORANDUM</w:t>
      </w:r>
    </w:p>
    <w:tbl>
      <w:tblPr>
        <w:tblStyle w:val="TableGrid"/>
        <w:tblW w:type="auto" w:w="0"/>
        <w:jc w:val="center"/>
        <w:tblLook w:firstColumn="1" w:firstRow="1" w:lastColumn="0" w:lastRow="0" w:noHBand="0" w:noVBand="1" w:val="04A0"/>
      </w:tblPr>
      <w:tblGrid>
        <w:gridCol w:w="4680"/>
        <w:gridCol w:w="4680"/>
      </w:tblGrid>
      <w:tr>
        <w:tc>
          <w:tcPr>
            <w:tcW w:type="dxa" w:w="1296"/>
            <w:shd w:val="clear" w:color="auto" w:fill="FFFFFF"/>
          </w:tcPr>
          <w:p>
            <w:r/>
            <w:r>
              <w:rPr>
                <w:b/>
                <w:color w:val="FFFFFF"/>
                <w:sz w:val="18"/>
              </w:rPr>
            </w:r>
          </w:p>
        </w:tc>
        <w:tc>
          <w:tcPr>
            <w:tcW w:type="dxa" w:w="8064"/>
            <w:shd w:val="clear" w:color="auto" w:fill="FFFFFF"/>
          </w:tcPr>
          <w:p>
            <w:r/>
            <w:r>
              <w:rPr>
                <w:b/>
                <w:color w:val="FFFFFF"/>
                <w:sz w:val="18"/>
              </w:rPr>
            </w:r>
          </w:p>
        </w:tc>
      </w:tr>
      <w:tr>
        <w:tc>
          <w:tcPr>
            <w:tcW w:type="dxa" w:w="1296"/>
          </w:tcPr>
          <w:p>
            <w:r/>
            <w:r>
              <w:rPr>
                <w:b w:val="0"/>
                <w:sz w:val="18"/>
              </w:rPr>
              <w:t>TO:</w:t>
            </w:r>
          </w:p>
        </w:tc>
        <w:tc>
          <w:tcPr>
            <w:tcW w:type="dxa" w:w="8064"/>
          </w:tcPr>
          <w:p>
            <w:r/>
            <w:r>
              <w:rPr>
                <w:b w:val="0"/>
                <w:sz w:val="18"/>
              </w:rPr>
              <w:t>Catherine Liang</w:t>
            </w:r>
          </w:p>
        </w:tc>
      </w:tr>
      <w:tr>
        <w:tc>
          <w:tcPr>
            <w:tcW w:type="dxa" w:w="1296"/>
          </w:tcPr>
          <w:p>
            <w:r/>
            <w:r>
              <w:rPr>
                <w:b w:val="0"/>
                <w:sz w:val="18"/>
              </w:rPr>
              <w:t>CC:</w:t>
            </w:r>
          </w:p>
        </w:tc>
        <w:tc>
          <w:tcPr>
            <w:tcW w:type="dxa" w:w="8064"/>
          </w:tcPr>
          <w:p>
            <w:r/>
            <w:r>
              <w:rPr>
                <w:b w:val="0"/>
                <w:sz w:val="18"/>
              </w:rPr>
              <w:t>James Okubo</w:t>
            </w:r>
          </w:p>
        </w:tc>
      </w:tr>
      <w:tr>
        <w:tc>
          <w:tcPr>
            <w:tcW w:type="dxa" w:w="1296"/>
          </w:tcPr>
          <w:p>
            <w:r/>
            <w:r>
              <w:rPr>
                <w:b w:val="0"/>
                <w:sz w:val="18"/>
              </w:rPr>
              <w:t>FROM:</w:t>
            </w:r>
          </w:p>
        </w:tc>
        <w:tc>
          <w:tcPr>
            <w:tcW w:type="dxa" w:w="8064"/>
          </w:tcPr>
          <w:p>
            <w:r/>
            <w:r>
              <w:rPr>
                <w:b w:val="0"/>
                <w:sz w:val="18"/>
              </w:rPr>
              <w:t>Thornfield / Ridgeline deal team</w:t>
            </w:r>
          </w:p>
        </w:tc>
      </w:tr>
      <w:tr>
        <w:tc>
          <w:tcPr>
            <w:tcW w:type="dxa" w:w="1296"/>
          </w:tcPr>
          <w:p>
            <w:r/>
            <w:r>
              <w:rPr>
                <w:b w:val="0"/>
                <w:sz w:val="18"/>
              </w:rPr>
              <w:t>DATE:</w:t>
            </w:r>
          </w:p>
        </w:tc>
        <w:tc>
          <w:tcPr>
            <w:tcW w:type="dxa" w:w="8064"/>
          </w:tcPr>
          <w:p>
            <w:r/>
            <w:r>
              <w:rPr>
                <w:b w:val="0"/>
                <w:sz w:val="18"/>
              </w:rPr>
              <w:t>June 16, 2025</w:t>
            </w:r>
          </w:p>
        </w:tc>
      </w:tr>
      <w:tr>
        <w:tc>
          <w:tcPr>
            <w:tcW w:type="dxa" w:w="1296"/>
          </w:tcPr>
          <w:p>
            <w:r/>
            <w:r>
              <w:rPr>
                <w:b w:val="0"/>
                <w:sz w:val="18"/>
              </w:rPr>
              <w:t>RE:</w:t>
            </w:r>
          </w:p>
        </w:tc>
        <w:tc>
          <w:tcPr>
            <w:tcW w:type="dxa" w:w="8064"/>
          </w:tcPr>
          <w:p>
            <w:r/>
            <w:r>
              <w:rPr>
                <w:b w:val="0"/>
                <w:sz w:val="18"/>
              </w:rPr>
              <w:t>Thornfield Capital Group LLC — $185,000,000 Senior Secured Revolving Credit Facility (Ridgeline National Bank, as Administrative Agent) — Closing Issues Memo (Closing Checklist dated June 16, 2025 cross-referenced against Credit Agreement dated as of June 13, 2025 and deliverables received)</w:t>
            </w:r>
          </w:p>
        </w:tc>
      </w:tr>
    </w:tbl>
    <w:p>
      <w:pPr>
        <w:spacing w:after="40"/>
      </w:pPr>
    </w:p>
    <w:p>
      <w:pPr>
        <w:pStyle w:val="Heading1"/>
      </w:pPr>
      <w:r>
        <w:t>I. Purpose, Scope and Bottom Line</w:t>
      </w:r>
    </w:p>
    <w:p>
      <w:pPr>
        <w:spacing w:after="80"/>
      </w:pPr>
      <w:r>
        <w:rPr>
          <w:b w:val="0"/>
          <w:i w:val="0"/>
        </w:rPr>
        <w:t>You asked for a status summary of all closing deliverables ahead of your Wednesday (June 18) call with David Kessler and Priya Nair of Ridgeline and the scheduled Friday, June 20, 2025 Closing Date. We cross-referenced each of the 35 line items (and sub-items) in the June 16 Closing Checklist against (i) the conditions precedent in Section 7.01 and the related collateral, covenant and definitional provisions of the Senior Secured Revolving Credit Agreement dated as of June 13, 2025 (the "Credit Agreement" or "CA"), (ii) the Officer's Compliance Certificate prepared by Sandra Felton (the "Compliance Certificate"), and (iii) James Okubo's June 16 status email describing deliverables actually received. Capitalized terms have the meanings given in the Credit Agreement.</w:t>
      </w:r>
    </w:p>
    <w:p>
      <w:pPr>
        <w:spacing w:after="80"/>
      </w:pPr>
      <w:r>
        <w:rPr>
          <w:b/>
          <w:i w:val="0"/>
        </w:rPr>
        <w:t>Bottom line: we are not in a position to close on June 20 on the current record.</w:t>
      </w:r>
      <w:r>
        <w:rPr>
          <w:b w:val="0"/>
          <w:i w:val="0"/>
        </w:rPr>
        <w:t xml:space="preserve"> The checklist shows 26 of 35 items as "Complete," but our review identified ten Critical issues — conditions precedent that are unsatisfied or deliverables that are defective — several of which the checklist affirmatively mislabels as Complete. The most acute are: (1) no Mortgage, survey or flood determination for the Gastonia Material Real Property; (2) a stale Gastonia Phase I ESA (370 days old against a 180-day requirement); (3) a stale Delaware good standing for Thornfield Distribution Services LLC (63 days old against a 30-day requirement); (4) no Guarantee Agreement and no Virginia UCC-1 for Thornfield Advanced Materials Corp.; (5) no evidence of ESOP Trust (38% member) consent; (6) a Compliance Certificate that omits the Fixed Charge Coverage Ratio; (7) a Lender commitment and signature-page discrepancy for Aldersgate Bank &amp; Trust; (8) a flow of funds built on the $90,000,000 original Cornerstone principal rather than the $87,450,000 payoff amount, with no allocation for closing fees; and (9) a Borrowing Request deadline that, because Thursday June 19 (Juneteenth) is not a Business Day, falls at 1:00 p.m. Denver time today, Monday June 16.</w:t>
      </w:r>
    </w:p>
    <w:p>
      <w:pPr>
        <w:spacing w:after="80"/>
      </w:pPr>
      <w:r>
        <w:rPr>
          <w:b w:val="0"/>
          <w:i w:val="0"/>
        </w:rPr>
        <w:t>Each Critical item can be cured or, failing cure, waived in writing by the Required Lenders (Lenders holding more than 50% of Commitments; Ridgeline alone holds 40.54%, so at least one other Lender must join) under the lead-in to Section 7.01 and Section 13.02. Because the Credit Agreement is held in escrow by the Agent until all Section 7.01 conditions are satisfied or waived (Section 14.01), and terminates if the Closing Date has not occurred by July 31, 2025, any item that cannot be cured by Friday should be raised with Ridgeline on Wednesday as either a waiver/post-closing request or a reason to move the closing.</w:t>
      </w:r>
    </w:p>
    <w:p>
      <w:pPr>
        <w:pStyle w:val="Heading2"/>
      </w:pPr>
      <w:r>
        <w:t>Severity Legend</w:t>
      </w: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F3A5F"/>
          </w:tcPr>
          <w:p>
            <w:r/>
            <w:r>
              <w:rPr>
                <w:b/>
                <w:color w:val="FFFFFF"/>
                <w:sz w:val="18"/>
              </w:rPr>
              <w:t>Severity</w:t>
            </w:r>
          </w:p>
        </w:tc>
        <w:tc>
          <w:tcPr>
            <w:tcW w:type="dxa" w:w="7632"/>
            <w:shd w:val="clear" w:color="auto" w:fill="1F3A5F"/>
          </w:tcPr>
          <w:p>
            <w:r/>
            <w:r>
              <w:rPr>
                <w:b/>
                <w:color w:val="FFFFFF"/>
                <w:sz w:val="18"/>
              </w:rPr>
              <w:t>Meaning</w:t>
            </w:r>
          </w:p>
        </w:tc>
      </w:tr>
      <w:tr>
        <w:tc>
          <w:tcPr>
            <w:tcW w:type="dxa" w:w="1728"/>
          </w:tcPr>
          <w:p>
            <w:r/>
            <w:r>
              <w:rPr>
                <w:b/>
                <w:sz w:val="18"/>
              </w:rPr>
              <w:t>CRITICAL</w:t>
            </w:r>
          </w:p>
        </w:tc>
        <w:tc>
          <w:tcPr>
            <w:tcW w:type="dxa" w:w="7632"/>
          </w:tcPr>
          <w:p>
            <w:r/>
            <w:r>
              <w:rPr>
                <w:b w:val="0"/>
                <w:sz w:val="18"/>
              </w:rPr>
              <w:t>A Section 7.01 condition precedent is unsatisfied, a core Loan Document is missing or defective, or a funding mechanic will fail. Closing cannot occur absent cure or a written Required Lender waiver.</w:t>
            </w:r>
          </w:p>
        </w:tc>
      </w:tr>
      <w:tr>
        <w:tc>
          <w:tcPr>
            <w:tcW w:type="dxa" w:w="1728"/>
          </w:tcPr>
          <w:p>
            <w:r/>
            <w:r>
              <w:rPr>
                <w:b/>
                <w:sz w:val="18"/>
              </w:rPr>
              <w:t>HIGH</w:t>
            </w:r>
          </w:p>
        </w:tc>
        <w:tc>
          <w:tcPr>
            <w:tcW w:type="dxa" w:w="7632"/>
          </w:tcPr>
          <w:p>
            <w:r/>
            <w:r>
              <w:rPr>
                <w:b w:val="0"/>
                <w:sz w:val="18"/>
              </w:rPr>
              <w:t>A required deliverable is incomplete, mis-scoped or not in the form the Credit Agreement requires; curable before Friday but needs action this week.</w:t>
            </w:r>
          </w:p>
        </w:tc>
      </w:tr>
      <w:tr>
        <w:tc>
          <w:tcPr>
            <w:tcW w:type="dxa" w:w="1728"/>
          </w:tcPr>
          <w:p>
            <w:r/>
            <w:r>
              <w:rPr>
                <w:b/>
                <w:sz w:val="18"/>
              </w:rPr>
              <w:t>MODERATE</w:t>
            </w:r>
          </w:p>
        </w:tc>
        <w:tc>
          <w:tcPr>
            <w:tcW w:type="dxa" w:w="7632"/>
          </w:tcPr>
          <w:p>
            <w:r/>
            <w:r>
              <w:rPr>
                <w:b w:val="0"/>
                <w:sz w:val="18"/>
              </w:rPr>
              <w:t>Inaccuracy in the checklist or a deliverable that creates legal, credit or disclosure risk but is not itself a closing blocker.</w:t>
            </w:r>
          </w:p>
        </w:tc>
      </w:tr>
      <w:tr>
        <w:tc>
          <w:tcPr>
            <w:tcW w:type="dxa" w:w="1728"/>
          </w:tcPr>
          <w:p>
            <w:r/>
            <w:r>
              <w:rPr>
                <w:b/>
                <w:sz w:val="18"/>
              </w:rPr>
              <w:t>LOW</w:t>
            </w:r>
          </w:p>
        </w:tc>
        <w:tc>
          <w:tcPr>
            <w:tcW w:type="dxa" w:w="7632"/>
          </w:tcPr>
          <w:p>
            <w:r/>
            <w:r>
              <w:rPr>
                <w:b w:val="0"/>
                <w:sz w:val="18"/>
              </w:rPr>
              <w:t>Housekeeping, conforming changes and post-closing tracking items.</w:t>
            </w:r>
          </w:p>
        </w:tc>
      </w:tr>
    </w:tbl>
    <w:p>
      <w:pPr>
        <w:spacing w:after="40"/>
      </w:pPr>
    </w:p>
    <w:p>
      <w:pPr>
        <w:pStyle w:val="Heading1"/>
      </w:pPr>
      <w:r>
        <w:t>II. Summary of Issues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648"/>
            <w:shd w:val="clear" w:color="auto" w:fill="1F3A5F"/>
          </w:tcPr>
          <w:p>
            <w:r/>
            <w:r>
              <w:rPr>
                <w:b/>
                <w:color w:val="FFFFFF"/>
                <w:sz w:val="17"/>
              </w:rPr>
              <w:t>#</w:t>
            </w:r>
          </w:p>
        </w:tc>
        <w:tc>
          <w:tcPr>
            <w:tcW w:type="dxa" w:w="1224"/>
            <w:shd w:val="clear" w:color="auto" w:fill="1F3A5F"/>
          </w:tcPr>
          <w:p>
            <w:r/>
            <w:r>
              <w:rPr>
                <w:b/>
                <w:color w:val="FFFFFF"/>
                <w:sz w:val="17"/>
              </w:rPr>
              <w:t>Severity</w:t>
            </w:r>
          </w:p>
        </w:tc>
        <w:tc>
          <w:tcPr>
            <w:tcW w:type="dxa" w:w="5328"/>
            <w:shd w:val="clear" w:color="auto" w:fill="1F3A5F"/>
          </w:tcPr>
          <w:p>
            <w:r/>
            <w:r>
              <w:rPr>
                <w:b/>
                <w:color w:val="FFFFFF"/>
                <w:sz w:val="17"/>
              </w:rPr>
              <w:t>Issue</w:t>
            </w:r>
          </w:p>
        </w:tc>
        <w:tc>
          <w:tcPr>
            <w:tcW w:type="dxa" w:w="2160"/>
            <w:shd w:val="clear" w:color="auto" w:fill="1F3A5F"/>
          </w:tcPr>
          <w:p>
            <w:r/>
            <w:r>
              <w:rPr>
                <w:b/>
                <w:color w:val="FFFFFF"/>
                <w:sz w:val="17"/>
              </w:rPr>
              <w:t>Checklist Item / CA Ref</w:t>
            </w:r>
          </w:p>
        </w:tc>
      </w:tr>
      <w:tr>
        <w:tc>
          <w:tcPr>
            <w:tcW w:type="dxa" w:w="648"/>
          </w:tcPr>
          <w:p>
            <w:r/>
            <w:r>
              <w:rPr>
                <w:b w:val="0"/>
                <w:sz w:val="17"/>
              </w:rPr>
              <w:t>C-1</w:t>
            </w:r>
          </w:p>
        </w:tc>
        <w:tc>
          <w:tcPr>
            <w:tcW w:type="dxa" w:w="1224"/>
          </w:tcPr>
          <w:p>
            <w:r/>
            <w:r>
              <w:rPr>
                <w:b w:val="0"/>
                <w:sz w:val="17"/>
              </w:rPr>
              <w:t>CRITICAL</w:t>
            </w:r>
          </w:p>
        </w:tc>
        <w:tc>
          <w:tcPr>
            <w:tcW w:type="dxa" w:w="5328"/>
          </w:tcPr>
          <w:p>
            <w:r/>
            <w:r>
              <w:rPr>
                <w:b w:val="0"/>
                <w:sz w:val="17"/>
              </w:rPr>
              <w:t>Gastonia property: no Mortgage, ALTA survey or Flood Hazard Determination; checklist marks Item 16 Complete</w:t>
            </w:r>
          </w:p>
        </w:tc>
        <w:tc>
          <w:tcPr>
            <w:tcW w:type="dxa" w:w="2160"/>
          </w:tcPr>
          <w:p>
            <w:r/>
            <w:r>
              <w:rPr>
                <w:b w:val="0"/>
                <w:sz w:val="17"/>
              </w:rPr>
              <w:t>16; CA 5.02, 7.01(c)</w:t>
            </w:r>
          </w:p>
        </w:tc>
      </w:tr>
      <w:tr>
        <w:tc>
          <w:tcPr>
            <w:tcW w:type="dxa" w:w="648"/>
          </w:tcPr>
          <w:p>
            <w:r/>
            <w:r>
              <w:rPr>
                <w:b w:val="0"/>
                <w:sz w:val="17"/>
              </w:rPr>
              <w:t>C-2</w:t>
            </w:r>
          </w:p>
        </w:tc>
        <w:tc>
          <w:tcPr>
            <w:tcW w:type="dxa" w:w="1224"/>
          </w:tcPr>
          <w:p>
            <w:r/>
            <w:r>
              <w:rPr>
                <w:b w:val="0"/>
                <w:sz w:val="17"/>
              </w:rPr>
              <w:t>CRITICAL</w:t>
            </w:r>
          </w:p>
        </w:tc>
        <w:tc>
          <w:tcPr>
            <w:tcW w:type="dxa" w:w="5328"/>
          </w:tcPr>
          <w:p>
            <w:r/>
            <w:r>
              <w:rPr>
                <w:b w:val="0"/>
                <w:sz w:val="17"/>
              </w:rPr>
              <w:t>Gastonia Phase I ESA dated June 15, 2024 is 370 days old (180-day limit)</w:t>
            </w:r>
          </w:p>
        </w:tc>
        <w:tc>
          <w:tcPr>
            <w:tcW w:type="dxa" w:w="2160"/>
          </w:tcPr>
          <w:p>
            <w:r/>
            <w:r>
              <w:rPr>
                <w:b w:val="0"/>
                <w:sz w:val="17"/>
              </w:rPr>
              <w:t>16(c); CA 7.01(i)</w:t>
            </w:r>
          </w:p>
        </w:tc>
      </w:tr>
      <w:tr>
        <w:tc>
          <w:tcPr>
            <w:tcW w:type="dxa" w:w="648"/>
          </w:tcPr>
          <w:p>
            <w:r/>
            <w:r>
              <w:rPr>
                <w:b w:val="0"/>
                <w:sz w:val="17"/>
              </w:rPr>
              <w:t>C-3</w:t>
            </w:r>
          </w:p>
        </w:tc>
        <w:tc>
          <w:tcPr>
            <w:tcW w:type="dxa" w:w="1224"/>
          </w:tcPr>
          <w:p>
            <w:r/>
            <w:r>
              <w:rPr>
                <w:b w:val="0"/>
                <w:sz w:val="17"/>
              </w:rPr>
              <w:t>CRITICAL</w:t>
            </w:r>
          </w:p>
        </w:tc>
        <w:tc>
          <w:tcPr>
            <w:tcW w:type="dxa" w:w="5328"/>
          </w:tcPr>
          <w:p>
            <w:r/>
            <w:r>
              <w:rPr>
                <w:b w:val="0"/>
                <w:sz w:val="17"/>
              </w:rPr>
              <w:t>TDS Delaware good standing dated April 18, 2025 is 63 days old (30-day limit)</w:t>
            </w:r>
          </w:p>
        </w:tc>
        <w:tc>
          <w:tcPr>
            <w:tcW w:type="dxa" w:w="2160"/>
          </w:tcPr>
          <w:p>
            <w:r/>
            <w:r>
              <w:rPr>
                <w:b w:val="0"/>
                <w:sz w:val="17"/>
              </w:rPr>
              <w:t>8(c); CA 7.01(d)</w:t>
            </w:r>
          </w:p>
        </w:tc>
      </w:tr>
      <w:tr>
        <w:tc>
          <w:tcPr>
            <w:tcW w:type="dxa" w:w="648"/>
          </w:tcPr>
          <w:p>
            <w:r/>
            <w:r>
              <w:rPr>
                <w:b w:val="0"/>
                <w:sz w:val="17"/>
              </w:rPr>
              <w:t>C-4</w:t>
            </w:r>
          </w:p>
        </w:tc>
        <w:tc>
          <w:tcPr>
            <w:tcW w:type="dxa" w:w="1224"/>
          </w:tcPr>
          <w:p>
            <w:r/>
            <w:r>
              <w:rPr>
                <w:b w:val="0"/>
                <w:sz w:val="17"/>
              </w:rPr>
              <w:t>CRITICAL</w:t>
            </w:r>
          </w:p>
        </w:tc>
        <w:tc>
          <w:tcPr>
            <w:tcW w:type="dxa" w:w="5328"/>
          </w:tcPr>
          <w:p>
            <w:r/>
            <w:r>
              <w:rPr>
                <w:b w:val="0"/>
                <w:sz w:val="17"/>
              </w:rPr>
              <w:t>No Guarantee Agreement from Thornfield Advanced Materials Corp.</w:t>
            </w:r>
          </w:p>
        </w:tc>
        <w:tc>
          <w:tcPr>
            <w:tcW w:type="dxa" w:w="2160"/>
          </w:tcPr>
          <w:p>
            <w:r/>
            <w:r>
              <w:rPr>
                <w:b w:val="0"/>
                <w:sz w:val="17"/>
              </w:rPr>
              <w:t>3; CA 6.01, 7.01(a)(ii)</w:t>
            </w:r>
          </w:p>
        </w:tc>
      </w:tr>
      <w:tr>
        <w:tc>
          <w:tcPr>
            <w:tcW w:type="dxa" w:w="648"/>
          </w:tcPr>
          <w:p>
            <w:r/>
            <w:r>
              <w:rPr>
                <w:b w:val="0"/>
                <w:sz w:val="17"/>
              </w:rPr>
              <w:t>C-5</w:t>
            </w:r>
          </w:p>
        </w:tc>
        <w:tc>
          <w:tcPr>
            <w:tcW w:type="dxa" w:w="1224"/>
          </w:tcPr>
          <w:p>
            <w:r/>
            <w:r>
              <w:rPr>
                <w:b w:val="0"/>
                <w:sz w:val="17"/>
              </w:rPr>
              <w:t>CRITICAL</w:t>
            </w:r>
          </w:p>
        </w:tc>
        <w:tc>
          <w:tcPr>
            <w:tcW w:type="dxa" w:w="5328"/>
          </w:tcPr>
          <w:p>
            <w:r/>
            <w:r>
              <w:rPr>
                <w:b w:val="0"/>
                <w:sz w:val="17"/>
              </w:rPr>
              <w:t>No UCC-1 filed against TAM with the Virginia SCC</w:t>
            </w:r>
          </w:p>
        </w:tc>
        <w:tc>
          <w:tcPr>
            <w:tcW w:type="dxa" w:w="2160"/>
          </w:tcPr>
          <w:p>
            <w:r/>
            <w:r>
              <w:rPr>
                <w:b w:val="0"/>
                <w:sz w:val="17"/>
              </w:rPr>
              <w:t>13; CA 5.01(a)(iii), 7.01(b)(iii)</w:t>
            </w:r>
          </w:p>
        </w:tc>
      </w:tr>
      <w:tr>
        <w:tc>
          <w:tcPr>
            <w:tcW w:type="dxa" w:w="648"/>
          </w:tcPr>
          <w:p>
            <w:r/>
            <w:r>
              <w:rPr>
                <w:b w:val="0"/>
                <w:sz w:val="17"/>
              </w:rPr>
              <w:t>C-6</w:t>
            </w:r>
          </w:p>
        </w:tc>
        <w:tc>
          <w:tcPr>
            <w:tcW w:type="dxa" w:w="1224"/>
          </w:tcPr>
          <w:p>
            <w:r/>
            <w:r>
              <w:rPr>
                <w:b w:val="0"/>
                <w:sz w:val="17"/>
              </w:rPr>
              <w:t>CRITICAL</w:t>
            </w:r>
          </w:p>
        </w:tc>
        <w:tc>
          <w:tcPr>
            <w:tcW w:type="dxa" w:w="5328"/>
          </w:tcPr>
          <w:p>
            <w:r/>
            <w:r>
              <w:rPr>
                <w:b w:val="0"/>
                <w:sz w:val="17"/>
              </w:rPr>
              <w:t>Member consent signed only by Managing Member (62%); no ESOP Trust (38%) consent / ERISA analysis</w:t>
            </w:r>
          </w:p>
        </w:tc>
        <w:tc>
          <w:tcPr>
            <w:tcW w:type="dxa" w:w="2160"/>
          </w:tcPr>
          <w:p>
            <w:r/>
            <w:r>
              <w:rPr>
                <w:b w:val="0"/>
                <w:sz w:val="17"/>
              </w:rPr>
              <w:t>11; CA 4.03, 4.08, 7.01(m)</w:t>
            </w:r>
          </w:p>
        </w:tc>
      </w:tr>
      <w:tr>
        <w:tc>
          <w:tcPr>
            <w:tcW w:type="dxa" w:w="648"/>
          </w:tcPr>
          <w:p>
            <w:r/>
            <w:r>
              <w:rPr>
                <w:b w:val="0"/>
                <w:sz w:val="17"/>
              </w:rPr>
              <w:t>C-7</w:t>
            </w:r>
          </w:p>
        </w:tc>
        <w:tc>
          <w:tcPr>
            <w:tcW w:type="dxa" w:w="1224"/>
          </w:tcPr>
          <w:p>
            <w:r/>
            <w:r>
              <w:rPr>
                <w:b w:val="0"/>
                <w:sz w:val="17"/>
              </w:rPr>
              <w:t>CRITICAL</w:t>
            </w:r>
          </w:p>
        </w:tc>
        <w:tc>
          <w:tcPr>
            <w:tcW w:type="dxa" w:w="5328"/>
          </w:tcPr>
          <w:p>
            <w:r/>
            <w:r>
              <w:rPr>
                <w:b w:val="0"/>
                <w:sz w:val="17"/>
              </w:rPr>
              <w:t>Compliance Certificate omits Fixed Charge Coverage Ratio; unsigned; not in Exhibit B form</w:t>
            </w:r>
          </w:p>
        </w:tc>
        <w:tc>
          <w:tcPr>
            <w:tcW w:type="dxa" w:w="2160"/>
          </w:tcPr>
          <w:p>
            <w:r/>
            <w:r>
              <w:rPr>
                <w:b w:val="0"/>
                <w:sz w:val="17"/>
              </w:rPr>
              <w:t>25; CA 7.01(j), 8.01(b), Exh. B</w:t>
            </w:r>
          </w:p>
        </w:tc>
      </w:tr>
      <w:tr>
        <w:tc>
          <w:tcPr>
            <w:tcW w:type="dxa" w:w="648"/>
          </w:tcPr>
          <w:p>
            <w:r/>
            <w:r>
              <w:rPr>
                <w:b w:val="0"/>
                <w:sz w:val="17"/>
              </w:rPr>
              <w:t>C-8</w:t>
            </w:r>
          </w:p>
        </w:tc>
        <w:tc>
          <w:tcPr>
            <w:tcW w:type="dxa" w:w="1224"/>
          </w:tcPr>
          <w:p>
            <w:r/>
            <w:r>
              <w:rPr>
                <w:b w:val="0"/>
                <w:sz w:val="17"/>
              </w:rPr>
              <w:t>CRITICAL</w:t>
            </w:r>
          </w:p>
        </w:tc>
        <w:tc>
          <w:tcPr>
            <w:tcW w:type="dxa" w:w="5328"/>
          </w:tcPr>
          <w:p>
            <w:r/>
            <w:r>
              <w:rPr>
                <w:b w:val="0"/>
                <w:sz w:val="17"/>
              </w:rPr>
              <w:t>Aldersgate Commitment is $25M (not $35M); $35M Note; checklist totals $195M; fourth Lender signature block reads "Crestview Bank &amp; Trust"</w:t>
            </w:r>
          </w:p>
        </w:tc>
        <w:tc>
          <w:tcPr>
            <w:tcW w:type="dxa" w:w="2160"/>
          </w:tcPr>
          <w:p>
            <w:r/>
            <w:r>
              <w:rPr>
                <w:b w:val="0"/>
                <w:sz w:val="17"/>
              </w:rPr>
              <w:t>Commitment table, 2(d), 35(d); CA 1.01, 2.01, Sch. 1.01(a), 7.01(a)(i)</w:t>
            </w:r>
          </w:p>
        </w:tc>
      </w:tr>
      <w:tr>
        <w:tc>
          <w:tcPr>
            <w:tcW w:type="dxa" w:w="648"/>
          </w:tcPr>
          <w:p>
            <w:r/>
            <w:r>
              <w:rPr>
                <w:b w:val="0"/>
                <w:sz w:val="17"/>
              </w:rPr>
              <w:t>C-9</w:t>
            </w:r>
          </w:p>
        </w:tc>
        <w:tc>
          <w:tcPr>
            <w:tcW w:type="dxa" w:w="1224"/>
          </w:tcPr>
          <w:p>
            <w:r/>
            <w:r>
              <w:rPr>
                <w:b w:val="0"/>
                <w:sz w:val="17"/>
              </w:rPr>
              <w:t>CRITICAL</w:t>
            </w:r>
          </w:p>
        </w:tc>
        <w:tc>
          <w:tcPr>
            <w:tcW w:type="dxa" w:w="5328"/>
          </w:tcPr>
          <w:p>
            <w:r/>
            <w:r>
              <w:rPr>
                <w:b w:val="0"/>
                <w:sz w:val="17"/>
              </w:rPr>
              <w:t>Flow of funds wires $90M to Cornerstone vs. $87.45M payoff; no allocation for $6.5M closing costs/fees</w:t>
            </w:r>
          </w:p>
        </w:tc>
        <w:tc>
          <w:tcPr>
            <w:tcW w:type="dxa" w:w="2160"/>
          </w:tcPr>
          <w:p>
            <w:r/>
            <w:r>
              <w:rPr>
                <w:b w:val="0"/>
                <w:sz w:val="17"/>
              </w:rPr>
              <w:t>21, 30, 31; CA 2.09, 7.01(h), 7.01(n)</w:t>
            </w:r>
          </w:p>
        </w:tc>
      </w:tr>
      <w:tr>
        <w:tc>
          <w:tcPr>
            <w:tcW w:type="dxa" w:w="648"/>
          </w:tcPr>
          <w:p>
            <w:r/>
            <w:r>
              <w:rPr>
                <w:b w:val="0"/>
                <w:sz w:val="17"/>
              </w:rPr>
              <w:t>C-10</w:t>
            </w:r>
          </w:p>
        </w:tc>
        <w:tc>
          <w:tcPr>
            <w:tcW w:type="dxa" w:w="1224"/>
          </w:tcPr>
          <w:p>
            <w:r/>
            <w:r>
              <w:rPr>
                <w:b w:val="0"/>
                <w:sz w:val="17"/>
              </w:rPr>
              <w:t>CRITICAL</w:t>
            </w:r>
          </w:p>
        </w:tc>
        <w:tc>
          <w:tcPr>
            <w:tcW w:type="dxa" w:w="5328"/>
          </w:tcPr>
          <w:p>
            <w:r/>
            <w:r>
              <w:rPr>
                <w:b w:val="0"/>
                <w:sz w:val="17"/>
              </w:rPr>
              <w:t>Borrowing Request (3 Business Days' notice) due by 1:00 p.m. Denver time Monday June 16 because June 19 is a holiday; not on checklist</w:t>
            </w:r>
          </w:p>
        </w:tc>
        <w:tc>
          <w:tcPr>
            <w:tcW w:type="dxa" w:w="2160"/>
          </w:tcPr>
          <w:p>
            <w:r/>
            <w:r>
              <w:rPr>
                <w:b w:val="0"/>
                <w:sz w:val="17"/>
              </w:rPr>
              <w:t>—; CA 2.02, 7.02(d), "Business Day"</w:t>
            </w:r>
          </w:p>
        </w:tc>
      </w:tr>
      <w:tr>
        <w:tc>
          <w:tcPr>
            <w:tcW w:type="dxa" w:w="648"/>
          </w:tcPr>
          <w:p>
            <w:r/>
            <w:r>
              <w:rPr>
                <w:b w:val="0"/>
                <w:sz w:val="17"/>
              </w:rPr>
              <w:t>H-1</w:t>
            </w:r>
          </w:p>
        </w:tc>
        <w:tc>
          <w:tcPr>
            <w:tcW w:type="dxa" w:w="1224"/>
          </w:tcPr>
          <w:p>
            <w:r/>
            <w:r>
              <w:rPr>
                <w:b w:val="0"/>
                <w:sz w:val="17"/>
              </w:rPr>
              <w:t>HIGH</w:t>
            </w:r>
          </w:p>
        </w:tc>
        <w:tc>
          <w:tcPr>
            <w:tcW w:type="dxa" w:w="5328"/>
          </w:tcPr>
          <w:p>
            <w:r/>
            <w:r>
              <w:rPr>
                <w:b w:val="0"/>
                <w:sz w:val="17"/>
              </w:rPr>
              <w:t>No local counsel opinion covering NC mortgage enforceability/recording; P&amp;H opinion omits Virginia perfection and mortgages; Stonebridge opinion wrongly shown Complete</w:t>
            </w:r>
          </w:p>
        </w:tc>
        <w:tc>
          <w:tcPr>
            <w:tcW w:type="dxa" w:w="2160"/>
          </w:tcPr>
          <w:p>
            <w:r/>
            <w:r>
              <w:rPr>
                <w:b w:val="0"/>
                <w:sz w:val="17"/>
              </w:rPr>
              <w:t>18–20; CA 7.01(f)</w:t>
            </w:r>
          </w:p>
        </w:tc>
      </w:tr>
      <w:tr>
        <w:tc>
          <w:tcPr>
            <w:tcW w:type="dxa" w:w="648"/>
          </w:tcPr>
          <w:p>
            <w:r/>
            <w:r>
              <w:rPr>
                <w:b w:val="0"/>
                <w:sz w:val="17"/>
              </w:rPr>
              <w:t>H-2</w:t>
            </w:r>
          </w:p>
        </w:tc>
        <w:tc>
          <w:tcPr>
            <w:tcW w:type="dxa" w:w="1224"/>
          </w:tcPr>
          <w:p>
            <w:r/>
            <w:r>
              <w:rPr>
                <w:b w:val="0"/>
                <w:sz w:val="17"/>
              </w:rPr>
              <w:t>HIGH</w:t>
            </w:r>
          </w:p>
        </w:tc>
        <w:tc>
          <w:tcPr>
            <w:tcW w:type="dxa" w:w="5328"/>
          </w:tcPr>
          <w:p>
            <w:r/>
            <w:r>
              <w:rPr>
                <w:b w:val="0"/>
                <w:sz w:val="17"/>
              </w:rPr>
              <w:t>Cornerstone UCC-3s and mortgage releases shown as "at or promptly after closing"; CA requires them in recordable form at closing; payoff letter content and per diem</w:t>
            </w:r>
          </w:p>
        </w:tc>
        <w:tc>
          <w:tcPr>
            <w:tcW w:type="dxa" w:w="2160"/>
          </w:tcPr>
          <w:p>
            <w:r/>
            <w:r>
              <w:rPr>
                <w:b w:val="0"/>
                <w:sz w:val="17"/>
              </w:rPr>
              <w:t>21–23; CA 7.01(h)</w:t>
            </w:r>
          </w:p>
        </w:tc>
      </w:tr>
      <w:tr>
        <w:tc>
          <w:tcPr>
            <w:tcW w:type="dxa" w:w="648"/>
          </w:tcPr>
          <w:p>
            <w:r/>
            <w:r>
              <w:rPr>
                <w:b w:val="0"/>
                <w:sz w:val="17"/>
              </w:rPr>
              <w:t>H-3</w:t>
            </w:r>
          </w:p>
        </w:tc>
        <w:tc>
          <w:tcPr>
            <w:tcW w:type="dxa" w:w="1224"/>
          </w:tcPr>
          <w:p>
            <w:r/>
            <w:r>
              <w:rPr>
                <w:b w:val="0"/>
                <w:sz w:val="17"/>
              </w:rPr>
              <w:t>HIGH</w:t>
            </w:r>
          </w:p>
        </w:tc>
        <w:tc>
          <w:tcPr>
            <w:tcW w:type="dxa" w:w="5328"/>
          </w:tcPr>
          <w:p>
            <w:r/>
            <w:r>
              <w:rPr>
                <w:b w:val="0"/>
                <w:sz w:val="17"/>
              </w:rPr>
              <w:t>Secretary's/Officer's Certificates shown Complete (June 16) but still being prepared; must be dated the Closing Date</w:t>
            </w:r>
          </w:p>
        </w:tc>
        <w:tc>
          <w:tcPr>
            <w:tcW w:type="dxa" w:w="2160"/>
          </w:tcPr>
          <w:p>
            <w:r/>
            <w:r>
              <w:rPr>
                <w:b w:val="0"/>
                <w:sz w:val="17"/>
              </w:rPr>
              <w:t>10; CA 7.01(e)</w:t>
            </w:r>
          </w:p>
        </w:tc>
      </w:tr>
      <w:tr>
        <w:tc>
          <w:tcPr>
            <w:tcW w:type="dxa" w:w="648"/>
          </w:tcPr>
          <w:p>
            <w:r/>
            <w:r>
              <w:rPr>
                <w:b w:val="0"/>
                <w:sz w:val="17"/>
              </w:rPr>
              <w:t>H-4</w:t>
            </w:r>
          </w:p>
        </w:tc>
        <w:tc>
          <w:tcPr>
            <w:tcW w:type="dxa" w:w="1224"/>
          </w:tcPr>
          <w:p>
            <w:r/>
            <w:r>
              <w:rPr>
                <w:b w:val="0"/>
                <w:sz w:val="17"/>
              </w:rPr>
              <w:t>HIGH</w:t>
            </w:r>
          </w:p>
        </w:tc>
        <w:tc>
          <w:tcPr>
            <w:tcW w:type="dxa" w:w="5328"/>
          </w:tcPr>
          <w:p>
            <w:r/>
            <w:r>
              <w:rPr>
                <w:b w:val="0"/>
                <w:sz w:val="17"/>
              </w:rPr>
              <w:t>Insurance certificate names "Ridgeline" rather than "Ridgeline National Bank, as Administrative Agent for the benefit of the Secured Parties"; endorsements and policy detail unconfirmed</w:t>
            </w:r>
          </w:p>
        </w:tc>
        <w:tc>
          <w:tcPr>
            <w:tcW w:type="dxa" w:w="2160"/>
          </w:tcPr>
          <w:p>
            <w:r/>
            <w:r>
              <w:rPr>
                <w:b w:val="0"/>
                <w:sz w:val="17"/>
              </w:rPr>
              <w:t>24; CA 5.03, 7.01(g)</w:t>
            </w:r>
          </w:p>
        </w:tc>
      </w:tr>
      <w:tr>
        <w:tc>
          <w:tcPr>
            <w:tcW w:type="dxa" w:w="648"/>
          </w:tcPr>
          <w:p>
            <w:r/>
            <w:r>
              <w:rPr>
                <w:b w:val="0"/>
                <w:sz w:val="17"/>
              </w:rPr>
              <w:t>H-5</w:t>
            </w:r>
          </w:p>
        </w:tc>
        <w:tc>
          <w:tcPr>
            <w:tcW w:type="dxa" w:w="1224"/>
          </w:tcPr>
          <w:p>
            <w:r/>
            <w:r>
              <w:rPr>
                <w:b w:val="0"/>
                <w:sz w:val="17"/>
              </w:rPr>
              <w:t>HIGH</w:t>
            </w:r>
          </w:p>
        </w:tc>
        <w:tc>
          <w:tcPr>
            <w:tcW w:type="dxa" w:w="5328"/>
          </w:tcPr>
          <w:p>
            <w:r/>
            <w:r>
              <w:rPr>
                <w:b w:val="0"/>
                <w:sz w:val="17"/>
              </w:rPr>
              <w:t>Only UCC searches obtained; tax lien, judgment and litigation searches required; bring-down needed</w:t>
            </w:r>
          </w:p>
        </w:tc>
        <w:tc>
          <w:tcPr>
            <w:tcW w:type="dxa" w:w="2160"/>
          </w:tcPr>
          <w:p>
            <w:r/>
            <w:r>
              <w:rPr>
                <w:b w:val="0"/>
                <w:sz w:val="17"/>
              </w:rPr>
              <w:t>14; CA 7.01(b)</w:t>
            </w:r>
          </w:p>
        </w:tc>
      </w:tr>
      <w:tr>
        <w:tc>
          <w:tcPr>
            <w:tcW w:type="dxa" w:w="648"/>
          </w:tcPr>
          <w:p>
            <w:r/>
            <w:r>
              <w:rPr>
                <w:b w:val="0"/>
                <w:sz w:val="17"/>
              </w:rPr>
              <w:t>H-6</w:t>
            </w:r>
          </w:p>
        </w:tc>
        <w:tc>
          <w:tcPr>
            <w:tcW w:type="dxa" w:w="1224"/>
          </w:tcPr>
          <w:p>
            <w:r/>
            <w:r>
              <w:rPr>
                <w:b w:val="0"/>
                <w:sz w:val="17"/>
              </w:rPr>
              <w:t>HIGH</w:t>
            </w:r>
          </w:p>
        </w:tc>
        <w:tc>
          <w:tcPr>
            <w:tcW w:type="dxa" w:w="5328"/>
          </w:tcPr>
          <w:p>
            <w:r/>
            <w:r>
              <w:rPr>
                <w:b w:val="0"/>
                <w:sz w:val="17"/>
              </w:rPr>
              <w:t>Compliance Certificate calculations: Liquidity cash must be in control-agreement accounts; Cornerstone balance and fee treatment inconsistent with payoff letter and flow of funds</w:t>
            </w:r>
          </w:p>
        </w:tc>
        <w:tc>
          <w:tcPr>
            <w:tcW w:type="dxa" w:w="2160"/>
          </w:tcPr>
          <w:p>
            <w:r/>
            <w:r>
              <w:rPr>
                <w:b w:val="0"/>
                <w:sz w:val="17"/>
              </w:rPr>
              <w:t>25, 30; CA "Minimum Liquidity," "Net Debt"</w:t>
            </w:r>
          </w:p>
        </w:tc>
      </w:tr>
      <w:tr>
        <w:tc>
          <w:tcPr>
            <w:tcW w:type="dxa" w:w="648"/>
          </w:tcPr>
          <w:p>
            <w:r/>
            <w:r>
              <w:rPr>
                <w:b w:val="0"/>
                <w:sz w:val="17"/>
              </w:rPr>
              <w:t>H-7</w:t>
            </w:r>
          </w:p>
        </w:tc>
        <w:tc>
          <w:tcPr>
            <w:tcW w:type="dxa" w:w="1224"/>
          </w:tcPr>
          <w:p>
            <w:r/>
            <w:r>
              <w:rPr>
                <w:b w:val="0"/>
                <w:sz w:val="17"/>
              </w:rPr>
              <w:t>HIGH</w:t>
            </w:r>
          </w:p>
        </w:tc>
        <w:tc>
          <w:tcPr>
            <w:tcW w:type="dxa" w:w="5328"/>
          </w:tcPr>
          <w:p>
            <w:r/>
            <w:r>
              <w:rPr>
                <w:b w:val="0"/>
                <w:sz w:val="17"/>
              </w:rPr>
              <w:t>No pledged stock certificates / stock powers for subsidiary equity on checklist</w:t>
            </w:r>
          </w:p>
        </w:tc>
        <w:tc>
          <w:tcPr>
            <w:tcW w:type="dxa" w:w="2160"/>
          </w:tcPr>
          <w:p>
            <w:r/>
            <w:r>
              <w:rPr>
                <w:b w:val="0"/>
                <w:sz w:val="17"/>
              </w:rPr>
              <w:t>—; CA 5.01(b)</w:t>
            </w:r>
          </w:p>
        </w:tc>
      </w:tr>
      <w:tr>
        <w:tc>
          <w:tcPr>
            <w:tcW w:type="dxa" w:w="648"/>
          </w:tcPr>
          <w:p>
            <w:r/>
            <w:r>
              <w:rPr>
                <w:b w:val="0"/>
                <w:sz w:val="17"/>
              </w:rPr>
              <w:t>H-8</w:t>
            </w:r>
          </w:p>
        </w:tc>
        <w:tc>
          <w:tcPr>
            <w:tcW w:type="dxa" w:w="1224"/>
          </w:tcPr>
          <w:p>
            <w:r/>
            <w:r>
              <w:rPr>
                <w:b w:val="0"/>
                <w:sz w:val="17"/>
              </w:rPr>
              <w:t>HIGH</w:t>
            </w:r>
          </w:p>
        </w:tc>
        <w:tc>
          <w:tcPr>
            <w:tcW w:type="dxa" w:w="5328"/>
          </w:tcPr>
          <w:p>
            <w:r/>
            <w:r>
              <w:rPr>
                <w:b w:val="0"/>
                <w:sz w:val="17"/>
              </w:rPr>
              <w:t>KYC: beneficial ownership certifications needed for each Guarantor; clearance from all four Lenders, not only Ridgeline</w:t>
            </w:r>
          </w:p>
        </w:tc>
        <w:tc>
          <w:tcPr>
            <w:tcW w:type="dxa" w:w="2160"/>
          </w:tcPr>
          <w:p>
            <w:r/>
            <w:r>
              <w:rPr>
                <w:b w:val="0"/>
                <w:sz w:val="17"/>
              </w:rPr>
              <w:t>29; CA 7.01(l)</w:t>
            </w:r>
          </w:p>
        </w:tc>
      </w:tr>
      <w:tr>
        <w:tc>
          <w:tcPr>
            <w:tcW w:type="dxa" w:w="648"/>
          </w:tcPr>
          <w:p>
            <w:r/>
            <w:r>
              <w:rPr>
                <w:b w:val="0"/>
                <w:sz w:val="17"/>
              </w:rPr>
              <w:t>M-1</w:t>
            </w:r>
          </w:p>
        </w:tc>
        <w:tc>
          <w:tcPr>
            <w:tcW w:type="dxa" w:w="1224"/>
          </w:tcPr>
          <w:p>
            <w:r/>
            <w:r>
              <w:rPr>
                <w:b w:val="0"/>
                <w:sz w:val="17"/>
              </w:rPr>
              <w:t>MODERATE</w:t>
            </w:r>
          </w:p>
        </w:tc>
        <w:tc>
          <w:tcPr>
            <w:tcW w:type="dxa" w:w="5328"/>
          </w:tcPr>
          <w:p>
            <w:r/>
            <w:r>
              <w:rPr>
                <w:b w:val="0"/>
                <w:sz w:val="17"/>
              </w:rPr>
              <w:t>Borrowing Base ($84.92M) caps practical availability at $120M, not $185M; checklist cites wrong section (2.14 vs. 2.07)</w:t>
            </w:r>
          </w:p>
        </w:tc>
        <w:tc>
          <w:tcPr>
            <w:tcW w:type="dxa" w:w="2160"/>
          </w:tcPr>
          <w:p>
            <w:r/>
            <w:r>
              <w:rPr>
                <w:b w:val="0"/>
                <w:sz w:val="17"/>
              </w:rPr>
              <w:t>26; CA 2.03(c)(ii), 2.07</w:t>
            </w:r>
          </w:p>
        </w:tc>
      </w:tr>
      <w:tr>
        <w:tc>
          <w:tcPr>
            <w:tcW w:type="dxa" w:w="648"/>
          </w:tcPr>
          <w:p>
            <w:r/>
            <w:r>
              <w:rPr>
                <w:b w:val="0"/>
                <w:sz w:val="17"/>
              </w:rPr>
              <w:t>M-2</w:t>
            </w:r>
          </w:p>
        </w:tc>
        <w:tc>
          <w:tcPr>
            <w:tcW w:type="dxa" w:w="1224"/>
          </w:tcPr>
          <w:p>
            <w:r/>
            <w:r>
              <w:rPr>
                <w:b w:val="0"/>
                <w:sz w:val="17"/>
              </w:rPr>
              <w:t>MODERATE</w:t>
            </w:r>
          </w:p>
        </w:tc>
        <w:tc>
          <w:tcPr>
            <w:tcW w:type="dxa" w:w="5328"/>
          </w:tcPr>
          <w:p>
            <w:r/>
            <w:r>
              <w:rPr>
                <w:b w:val="0"/>
                <w:sz w:val="17"/>
              </w:rPr>
              <w:t>Gastonia/Charlotte title commitments and surveys: confirm insured amounts, deletion of standard exceptions, certification; Gastonia surveyor identity</w:t>
            </w:r>
          </w:p>
        </w:tc>
        <w:tc>
          <w:tcPr>
            <w:tcW w:type="dxa" w:w="2160"/>
          </w:tcPr>
          <w:p>
            <w:r/>
            <w:r>
              <w:rPr>
                <w:b w:val="0"/>
                <w:sz w:val="17"/>
              </w:rPr>
              <w:t>15, 16; CA 7.01(c)(ii)–(iii)</w:t>
            </w:r>
          </w:p>
        </w:tc>
      </w:tr>
      <w:tr>
        <w:tc>
          <w:tcPr>
            <w:tcW w:type="dxa" w:w="648"/>
          </w:tcPr>
          <w:p>
            <w:r/>
            <w:r>
              <w:rPr>
                <w:b w:val="0"/>
                <w:sz w:val="17"/>
              </w:rPr>
              <w:t>M-3</w:t>
            </w:r>
          </w:p>
        </w:tc>
        <w:tc>
          <w:tcPr>
            <w:tcW w:type="dxa" w:w="1224"/>
          </w:tcPr>
          <w:p>
            <w:r/>
            <w:r>
              <w:rPr>
                <w:b w:val="0"/>
                <w:sz w:val="17"/>
              </w:rPr>
              <w:t>MODERATE</w:t>
            </w:r>
          </w:p>
        </w:tc>
        <w:tc>
          <w:tcPr>
            <w:tcW w:type="dxa" w:w="5328"/>
          </w:tcPr>
          <w:p>
            <w:r/>
            <w:r>
              <w:rPr>
                <w:b w:val="0"/>
                <w:sz w:val="17"/>
              </w:rPr>
              <w:t>Fee invoices to be delivered "at closing"; fees must be paid on or before Closing Date and be documented; support for $4.78M miscellaneous costs; Fee Letter other fees</w:t>
            </w:r>
          </w:p>
        </w:tc>
        <w:tc>
          <w:tcPr>
            <w:tcW w:type="dxa" w:w="2160"/>
          </w:tcPr>
          <w:p>
            <w:r/>
            <w:r>
              <w:rPr>
                <w:b w:val="0"/>
                <w:sz w:val="17"/>
              </w:rPr>
              <w:t>31; CA 2.06, 7.01(n), 13.04</w:t>
            </w:r>
          </w:p>
        </w:tc>
      </w:tr>
      <w:tr>
        <w:tc>
          <w:tcPr>
            <w:tcW w:type="dxa" w:w="648"/>
          </w:tcPr>
          <w:p>
            <w:r/>
            <w:r>
              <w:rPr>
                <w:b w:val="0"/>
                <w:sz w:val="17"/>
              </w:rPr>
              <w:t>M-4</w:t>
            </w:r>
          </w:p>
        </w:tc>
        <w:tc>
          <w:tcPr>
            <w:tcW w:type="dxa" w:w="1224"/>
          </w:tcPr>
          <w:p>
            <w:r/>
            <w:r>
              <w:rPr>
                <w:b w:val="0"/>
                <w:sz w:val="17"/>
              </w:rPr>
              <w:t>MODERATE</w:t>
            </w:r>
          </w:p>
        </w:tc>
        <w:tc>
          <w:tcPr>
            <w:tcW w:type="dxa" w:w="5328"/>
          </w:tcPr>
          <w:p>
            <w:r/>
            <w:r>
              <w:rPr>
                <w:b w:val="0"/>
                <w:sz w:val="17"/>
              </w:rPr>
              <w:t>Checklist status/description errors (Items 1, 3, 10, 13, 16, 20, 25, 35 and summary table) must be corrected before circulation to Whitmore Ridley</w:t>
            </w:r>
          </w:p>
        </w:tc>
        <w:tc>
          <w:tcPr>
            <w:tcW w:type="dxa" w:w="2160"/>
          </w:tcPr>
          <w:p>
            <w:r/>
            <w:r>
              <w:rPr>
                <w:b w:val="0"/>
                <w:sz w:val="17"/>
              </w:rPr>
              <w:t>Checklist generally</w:t>
            </w:r>
          </w:p>
        </w:tc>
      </w:tr>
      <w:tr>
        <w:tc>
          <w:tcPr>
            <w:tcW w:type="dxa" w:w="648"/>
          </w:tcPr>
          <w:p>
            <w:r/>
            <w:r>
              <w:rPr>
                <w:b w:val="0"/>
                <w:sz w:val="17"/>
              </w:rPr>
              <w:t>M-5</w:t>
            </w:r>
          </w:p>
        </w:tc>
        <w:tc>
          <w:tcPr>
            <w:tcW w:type="dxa" w:w="1224"/>
          </w:tcPr>
          <w:p>
            <w:r/>
            <w:r>
              <w:rPr>
                <w:b w:val="0"/>
                <w:sz w:val="17"/>
              </w:rPr>
              <w:t>MODERATE</w:t>
            </w:r>
          </w:p>
        </w:tc>
        <w:tc>
          <w:tcPr>
            <w:tcW w:type="dxa" w:w="5328"/>
          </w:tcPr>
          <w:p>
            <w:r/>
            <w:r>
              <w:rPr>
                <w:b w:val="0"/>
                <w:sz w:val="17"/>
              </w:rPr>
              <w:t>Binder copy of Credit Agreement bears "Draft" footer; Agreement held in escrow under 14.01; Guarantors not signatories to CA Article VI</w:t>
            </w:r>
          </w:p>
        </w:tc>
        <w:tc>
          <w:tcPr>
            <w:tcW w:type="dxa" w:w="2160"/>
          </w:tcPr>
          <w:p>
            <w:r/>
            <w:r>
              <w:rPr>
                <w:b w:val="0"/>
                <w:sz w:val="17"/>
              </w:rPr>
              <w:t>1; CA 6.01, 14.01</w:t>
            </w:r>
          </w:p>
        </w:tc>
      </w:tr>
      <w:tr>
        <w:tc>
          <w:tcPr>
            <w:tcW w:type="dxa" w:w="648"/>
          </w:tcPr>
          <w:p>
            <w:r/>
            <w:r>
              <w:rPr>
                <w:b w:val="0"/>
                <w:sz w:val="17"/>
              </w:rPr>
              <w:t>L-1</w:t>
            </w:r>
          </w:p>
        </w:tc>
        <w:tc>
          <w:tcPr>
            <w:tcW w:type="dxa" w:w="1224"/>
          </w:tcPr>
          <w:p>
            <w:r/>
            <w:r>
              <w:rPr>
                <w:b w:val="0"/>
                <w:sz w:val="17"/>
              </w:rPr>
              <w:t>LOW</w:t>
            </w:r>
          </w:p>
        </w:tc>
        <w:tc>
          <w:tcPr>
            <w:tcW w:type="dxa" w:w="5328"/>
          </w:tcPr>
          <w:p>
            <w:r/>
            <w:r>
              <w:rPr>
                <w:b w:val="0"/>
                <w:sz w:val="17"/>
              </w:rPr>
              <w:t>Weekend dates (June 14–15) on filings, opinion, payoff letter and insurance certificate — verify</w:t>
            </w:r>
          </w:p>
        </w:tc>
        <w:tc>
          <w:tcPr>
            <w:tcW w:type="dxa" w:w="2160"/>
          </w:tcPr>
          <w:p>
            <w:r/>
            <w:r>
              <w:rPr>
                <w:b w:val="0"/>
                <w:sz w:val="17"/>
              </w:rPr>
              <w:t>13, 20, 21, 24</w:t>
            </w:r>
          </w:p>
        </w:tc>
      </w:tr>
      <w:tr>
        <w:tc>
          <w:tcPr>
            <w:tcW w:type="dxa" w:w="648"/>
          </w:tcPr>
          <w:p>
            <w:r/>
            <w:r>
              <w:rPr>
                <w:b w:val="0"/>
                <w:sz w:val="17"/>
              </w:rPr>
              <w:t>L-2</w:t>
            </w:r>
          </w:p>
        </w:tc>
        <w:tc>
          <w:tcPr>
            <w:tcW w:type="dxa" w:w="1224"/>
          </w:tcPr>
          <w:p>
            <w:r/>
            <w:r>
              <w:rPr>
                <w:b w:val="0"/>
                <w:sz w:val="17"/>
              </w:rPr>
              <w:t>LOW</w:t>
            </w:r>
          </w:p>
        </w:tc>
        <w:tc>
          <w:tcPr>
            <w:tcW w:type="dxa" w:w="5328"/>
          </w:tcPr>
          <w:p>
            <w:r/>
            <w:r>
              <w:rPr>
                <w:b w:val="0"/>
                <w:sz w:val="17"/>
              </w:rPr>
              <w:t>Compliance Certificate cross-reference errors (7.01(m), 8.01(d)) and date</w:t>
            </w:r>
          </w:p>
        </w:tc>
        <w:tc>
          <w:tcPr>
            <w:tcW w:type="dxa" w:w="2160"/>
          </w:tcPr>
          <w:p>
            <w:r/>
            <w:r>
              <w:rPr>
                <w:b w:val="0"/>
                <w:sz w:val="17"/>
              </w:rPr>
              <w:t>25</w:t>
            </w:r>
          </w:p>
        </w:tc>
      </w:tr>
      <w:tr>
        <w:tc>
          <w:tcPr>
            <w:tcW w:type="dxa" w:w="648"/>
          </w:tcPr>
          <w:p>
            <w:r/>
            <w:r>
              <w:rPr>
                <w:b w:val="0"/>
                <w:sz w:val="17"/>
              </w:rPr>
              <w:t>L-3</w:t>
            </w:r>
          </w:p>
        </w:tc>
        <w:tc>
          <w:tcPr>
            <w:tcW w:type="dxa" w:w="1224"/>
          </w:tcPr>
          <w:p>
            <w:r/>
            <w:r>
              <w:rPr>
                <w:b w:val="0"/>
                <w:sz w:val="17"/>
              </w:rPr>
              <w:t>LOW</w:t>
            </w:r>
          </w:p>
        </w:tc>
        <w:tc>
          <w:tcPr>
            <w:tcW w:type="dxa" w:w="5328"/>
          </w:tcPr>
          <w:p>
            <w:r/>
            <w:r>
              <w:rPr>
                <w:b w:val="0"/>
                <w:sz w:val="17"/>
              </w:rPr>
              <w:t>P&amp;H notice address in CA 13.01 differs from checklist address</w:t>
            </w:r>
          </w:p>
        </w:tc>
        <w:tc>
          <w:tcPr>
            <w:tcW w:type="dxa" w:w="2160"/>
          </w:tcPr>
          <w:p>
            <w:r/>
            <w:r>
              <w:rPr>
                <w:b w:val="0"/>
                <w:sz w:val="17"/>
              </w:rPr>
              <w:t>CA 13.01</w:t>
            </w:r>
          </w:p>
        </w:tc>
      </w:tr>
      <w:tr>
        <w:tc>
          <w:tcPr>
            <w:tcW w:type="dxa" w:w="648"/>
          </w:tcPr>
          <w:p>
            <w:r/>
            <w:r>
              <w:rPr>
                <w:b w:val="0"/>
                <w:sz w:val="17"/>
              </w:rPr>
              <w:t>L-4</w:t>
            </w:r>
          </w:p>
        </w:tc>
        <w:tc>
          <w:tcPr>
            <w:tcW w:type="dxa" w:w="1224"/>
          </w:tcPr>
          <w:p>
            <w:r/>
            <w:r>
              <w:rPr>
                <w:b w:val="0"/>
                <w:sz w:val="17"/>
              </w:rPr>
              <w:t>LOW</w:t>
            </w:r>
          </w:p>
        </w:tc>
        <w:tc>
          <w:tcPr>
            <w:tcW w:type="dxa" w:w="5328"/>
          </w:tcPr>
          <w:p>
            <w:r/>
            <w:r>
              <w:rPr>
                <w:b w:val="0"/>
                <w:sz w:val="17"/>
              </w:rPr>
              <w:t>Post-closing items to add (control agreements within 90 days, release recordings, reporting calendar, Richmond landlord waiver)</w:t>
            </w:r>
          </w:p>
        </w:tc>
        <w:tc>
          <w:tcPr>
            <w:tcW w:type="dxa" w:w="2160"/>
          </w:tcPr>
          <w:p>
            <w:r/>
            <w:r>
              <w:rPr>
                <w:b w:val="0"/>
                <w:sz w:val="17"/>
              </w:rPr>
              <w:t>CA 8.02(j), 2.07(d), 8.02(f)</w:t>
            </w:r>
          </w:p>
        </w:tc>
      </w:tr>
    </w:tbl>
    <w:p>
      <w:pPr>
        <w:spacing w:after="40"/>
      </w:pPr>
    </w:p>
    <w:p>
      <w:pPr>
        <w:pStyle w:val="Heading1"/>
      </w:pPr>
      <w:r>
        <w:t>III. Critical Issues (Closing Blockers)</w:t>
      </w:r>
    </w:p>
    <w:p>
      <w:pPr>
        <w:pStyle w:val="Heading3"/>
      </w:pPr>
      <w:r>
        <w:t>C-1. Gastonia Property — Mortgage, ALTA Survey and Flood Hazard Determination Not Delivered; Checklist Item 16 Incorrectly Marked "Complete"</w:t>
      </w:r>
    </w:p>
    <w:tbl>
      <w:tblPr>
        <w:tblStyle w:val="TableGrid"/>
        <w:tblW w:type="auto" w:w="0"/>
        <w:tblLook w:firstColumn="1" w:firstRow="1" w:lastColumn="0" w:lastRow="0" w:noHBand="0" w:noVBand="1" w:val="04A0"/>
      </w:tblPr>
      <w:tblGrid>
        <w:gridCol w:w="4680"/>
        <w:gridCol w:w="4680"/>
      </w:tblGrid>
      <w:tr>
        <w:tc>
          <w:tcPr>
            <w:tcW w:type="dxa" w:w="2088"/>
            <w:shd w:val="clear" w:color="auto" w:fill="D9E2F3"/>
          </w:tcPr>
          <w:p>
            <w:r/>
            <w:r>
              <w:rPr>
                <w:b/>
                <w:sz w:val="18"/>
              </w:rPr>
              <w:t>Severity</w:t>
            </w:r>
          </w:p>
        </w:tc>
        <w:tc>
          <w:tcPr>
            <w:tcW w:type="dxa" w:w="7272"/>
            <w:shd w:val="clear" w:color="auto" w:fill="C00000"/>
          </w:tcPr>
          <w:p>
            <w:r/>
            <w:r>
              <w:rPr>
                <w:b/>
                <w:color w:val="FFFFFF"/>
                <w:sz w:val="18"/>
              </w:rPr>
              <w:t>CRITICAL</w:t>
            </w:r>
          </w:p>
        </w:tc>
      </w:tr>
      <w:tr>
        <w:tc>
          <w:tcPr>
            <w:tcW w:type="dxa" w:w="2088"/>
            <w:shd w:val="clear" w:color="auto" w:fill="D9E2F3"/>
          </w:tcPr>
          <w:p>
            <w:r/>
            <w:r>
              <w:rPr>
                <w:b/>
                <w:sz w:val="18"/>
              </w:rPr>
              <w:t>Checklist / source refs</w:t>
            </w:r>
          </w:p>
        </w:tc>
        <w:tc>
          <w:tcPr>
            <w:tcW w:type="dxa" w:w="7272"/>
          </w:tcPr>
          <w:p>
            <w:r/>
            <w:r>
              <w:rPr>
                <w:b w:val="0"/>
                <w:sz w:val="18"/>
              </w:rPr>
              <w:t>Checklist Item 16 (4401 Industrial Parkway, Gastonia, NC 28052; owned by Thornfield Specialty Chemicals Inc.; appraised $12,300,000); CA "Material Real Property," Sections 4.10, 5.02, 7.01(c); Schedule 4.10; June 16 email.</w:t>
            </w:r>
          </w:p>
        </w:tc>
      </w:tr>
      <w:tr>
        <w:tc>
          <w:tcPr>
            <w:tcW w:type="dxa" w:w="2088"/>
            <w:shd w:val="clear" w:color="auto" w:fill="D9E2F3"/>
          </w:tcPr>
          <w:p>
            <w:r/>
            <w:r>
              <w:rPr>
                <w:b/>
                <w:sz w:val="18"/>
              </w:rPr>
              <w:t>Finding</w:t>
            </w:r>
          </w:p>
        </w:tc>
        <w:tc>
          <w:tcPr>
            <w:tcW w:type="dxa" w:w="7272"/>
          </w:tcPr>
          <w:p>
            <w:r/>
            <w:r>
              <w:rPr>
                <w:b w:val="0"/>
                <w:sz w:val="18"/>
              </w:rPr>
              <w:t>Gastonia is Material Real Property (fee-owned by a Guarantor; appraised at $12.3M, above the $5,000,000 threshold) and Schedule 4.10 states "Mortgage Required? Yes." Section 7.01(c) requires, for each parcel, (i) a Mortgage duly executed and in recordable form, (ii) a Clearwater title commitment, (iii) an ALTA survey certified to the Agent and title company dated no more than 90 days before the Closing Date, (iv) a Flood Hazard Determination (and, if in a special flood hazard area, flood insurance and a borrower acknowledgment of the federal disaster relief notice), and (v) other customary documentation.</w:t>
            </w:r>
          </w:p>
          <w:p>
            <w:r>
              <w:rPr>
                <w:b w:val="0"/>
                <w:sz w:val="18"/>
              </w:rPr>
              <w:t>Item 16 lists only the title commitment, appraisal and Phase I, yet carries an overall status of "Complete." It omits the Mortgage, the survey and the flood determination entirely. James's email confirms the Mortgage cannot yet be drafted (the legal description is still with Sandra Felton's office) and the survey has no delivery date. Whitmore Ridley has confirmed the Agent needs the Mortgage before closing. Contrast Item 15 (Charlotte), which has all six deliverables.</w:t>
            </w:r>
          </w:p>
        </w:tc>
      </w:tr>
      <w:tr>
        <w:tc>
          <w:tcPr>
            <w:tcW w:type="dxa" w:w="2088"/>
            <w:shd w:val="clear" w:color="auto" w:fill="D9E2F3"/>
          </w:tcPr>
          <w:p>
            <w:r/>
            <w:r>
              <w:rPr>
                <w:b/>
                <w:sz w:val="18"/>
              </w:rPr>
              <w:t>Why it matters</w:t>
            </w:r>
          </w:p>
        </w:tc>
        <w:tc>
          <w:tcPr>
            <w:tcW w:type="dxa" w:w="7272"/>
          </w:tcPr>
          <w:p>
            <w:r/>
            <w:r>
              <w:rPr>
                <w:b w:val="0"/>
                <w:sz w:val="18"/>
              </w:rPr>
              <w:t>Failure of the Section 7.01(c) condition for a $12.3M parcel representing roughly 40% of the real estate collateral. Federal flood regulations also require the flood determination (and, for improved property in a special flood hazard area, flood insurance and timely borrower notice) before a regulated lender makes a loan secured by the property, so the Lenders cannot simply ignore item (iv).</w:t>
            </w:r>
          </w:p>
        </w:tc>
      </w:tr>
      <w:tr>
        <w:tc>
          <w:tcPr>
            <w:tcW w:type="dxa" w:w="2088"/>
            <w:shd w:val="clear" w:color="auto" w:fill="D9E2F3"/>
          </w:tcPr>
          <w:p>
            <w:r/>
            <w:r>
              <w:rPr>
                <w:b/>
                <w:sz w:val="18"/>
              </w:rPr>
              <w:t>Action required</w:t>
            </w:r>
          </w:p>
        </w:tc>
        <w:tc>
          <w:tcPr>
            <w:tcW w:type="dxa" w:w="7272"/>
          </w:tcPr>
          <w:p>
            <w:r/>
            <w:r>
              <w:rPr>
                <w:b w:val="0"/>
                <w:sz w:val="18"/>
              </w:rPr>
              <w:t>Answer to James's question 2: push hard, today. Get the legal description from Ms. Felton's office by Tuesday (the vesting deed and the Clearwater commitment's Schedule A legal description can be used as a starting point), circulate the North Carolina deed of trust to Whitmore Ridley Tuesday, and have it executed by TSC in recordable form by Thursday.</w:t>
            </w:r>
          </w:p>
          <w:p>
            <w:r>
              <w:rPr>
                <w:b w:val="0"/>
                <w:sz w:val="18"/>
              </w:rPr>
              <w:t>Order the Gastonia flood determination immediately (typically same-day) and, if the parcel is in a special flood hazard area, bind flood insurance and obtain the signed borrower notice.</w:t>
            </w:r>
          </w:p>
          <w:p>
            <w:r>
              <w:rPr>
                <w:b w:val="0"/>
                <w:sz w:val="18"/>
              </w:rPr>
              <w:t>Confirm the surveyor: the email says "Pinnacle Appraisal Group" is preparing the survey — Pinnacle is the appraiser; the ALTA survey must be prepared by a licensed North Carolina land surveyor and certified to the Agent and Clearwater (Henderson Surveying Associates did Charlotte). Obtain a firm delivery date.</w:t>
            </w:r>
          </w:p>
          <w:p>
            <w:r>
              <w:rPr>
                <w:b w:val="0"/>
                <w:sz w:val="18"/>
              </w:rPr>
              <w:t>If the Mortgage package cannot be completed by Friday, propose on Wednesday a Required Lender written waiver with a post-closing covenant (e.g., Mortgage, survey and title policy within 30–60 days, with an Event of Default for non-delivery) — but note the flood determination should be delivered pre-closing regardless.</w:t>
            </w:r>
          </w:p>
          <w:p>
            <w:r>
              <w:rPr>
                <w:b w:val="0"/>
                <w:sz w:val="18"/>
              </w:rPr>
              <w:t>Confirm TSC's June 12 board resolution (Item 12(a)) authorizes the Mortgage; if it covers only the Guarantee and Security Agreement, obtain a supplemental resolution.</w:t>
            </w:r>
          </w:p>
          <w:p>
            <w:r>
              <w:rPr>
                <w:b w:val="0"/>
                <w:sz w:val="18"/>
              </w:rPr>
              <w:t>Correct Item 16 to add sub-items for Mortgage, ALTA survey and Flood Hazard Determination and change status to Pending.</w:t>
            </w:r>
          </w:p>
        </w:tc>
      </w:tr>
      <w:tr>
        <w:tc>
          <w:tcPr>
            <w:tcW w:type="dxa" w:w="2088"/>
            <w:shd w:val="clear" w:color="auto" w:fill="D9E2F3"/>
          </w:tcPr>
          <w:p>
            <w:r/>
            <w:r>
              <w:rPr>
                <w:b/>
                <w:sz w:val="18"/>
              </w:rPr>
              <w:t>Owner / timing</w:t>
            </w:r>
          </w:p>
        </w:tc>
        <w:tc>
          <w:tcPr>
            <w:tcW w:type="dxa" w:w="7272"/>
          </w:tcPr>
          <w:p>
            <w:r/>
            <w:r>
              <w:rPr>
                <w:b w:val="0"/>
                <w:sz w:val="18"/>
              </w:rPr>
              <w:t>P&amp;H (real estate team), Borrower (S. Felton), surveyor, Clearwater; legal description by Tues. June 17; Mortgage executed by Thurs. June 19.</w:t>
            </w:r>
          </w:p>
        </w:tc>
      </w:tr>
    </w:tbl>
    <w:p>
      <w:pPr>
        <w:spacing w:after="40"/>
      </w:pPr>
    </w:p>
    <w:p>
      <w:pPr>
        <w:pStyle w:val="Heading3"/>
      </w:pPr>
      <w:r>
        <w:t>C-2. Gastonia Phase I ESA Is Stale (370 Days Old vs. 180-Day Requirement)</w:t>
      </w:r>
    </w:p>
    <w:tbl>
      <w:tblPr>
        <w:tblStyle w:val="TableGrid"/>
        <w:tblW w:type="auto" w:w="0"/>
        <w:tblLook w:firstColumn="1" w:firstRow="1" w:lastColumn="0" w:lastRow="0" w:noHBand="0" w:noVBand="1" w:val="04A0"/>
      </w:tblPr>
      <w:tblGrid>
        <w:gridCol w:w="4680"/>
        <w:gridCol w:w="4680"/>
      </w:tblGrid>
      <w:tr>
        <w:tc>
          <w:tcPr>
            <w:tcW w:type="dxa" w:w="2088"/>
            <w:shd w:val="clear" w:color="auto" w:fill="D9E2F3"/>
          </w:tcPr>
          <w:p>
            <w:r/>
            <w:r>
              <w:rPr>
                <w:b/>
                <w:sz w:val="18"/>
              </w:rPr>
              <w:t>Severity</w:t>
            </w:r>
          </w:p>
        </w:tc>
        <w:tc>
          <w:tcPr>
            <w:tcW w:type="dxa" w:w="7272"/>
            <w:shd w:val="clear" w:color="auto" w:fill="C00000"/>
          </w:tcPr>
          <w:p>
            <w:r/>
            <w:r>
              <w:rPr>
                <w:b/>
                <w:color w:val="FFFFFF"/>
                <w:sz w:val="18"/>
              </w:rPr>
              <w:t>CRITICAL</w:t>
            </w:r>
          </w:p>
        </w:tc>
      </w:tr>
      <w:tr>
        <w:tc>
          <w:tcPr>
            <w:tcW w:type="dxa" w:w="2088"/>
            <w:shd w:val="clear" w:color="auto" w:fill="D9E2F3"/>
          </w:tcPr>
          <w:p>
            <w:r/>
            <w:r>
              <w:rPr>
                <w:b/>
                <w:sz w:val="18"/>
              </w:rPr>
              <w:t>Checklist / source refs</w:t>
            </w:r>
          </w:p>
        </w:tc>
        <w:tc>
          <w:tcPr>
            <w:tcW w:type="dxa" w:w="7272"/>
          </w:tcPr>
          <w:p>
            <w:r/>
            <w:r>
              <w:rPr>
                <w:b w:val="0"/>
                <w:sz w:val="18"/>
              </w:rPr>
              <w:t>Checklist Item 16(c) (Trident Phase I dated June 15, 2024, marked "Complete"); CA 7.01(i), "Phase I ESA" definition; Section 4.09.</w:t>
            </w:r>
          </w:p>
        </w:tc>
      </w:tr>
      <w:tr>
        <w:tc>
          <w:tcPr>
            <w:tcW w:type="dxa" w:w="2088"/>
            <w:shd w:val="clear" w:color="auto" w:fill="D9E2F3"/>
          </w:tcPr>
          <w:p>
            <w:r/>
            <w:r>
              <w:rPr>
                <w:b/>
                <w:sz w:val="18"/>
              </w:rPr>
              <w:t>Finding</w:t>
            </w:r>
          </w:p>
        </w:tc>
        <w:tc>
          <w:tcPr>
            <w:tcW w:type="dxa" w:w="7272"/>
          </w:tcPr>
          <w:p>
            <w:r/>
            <w:r>
              <w:rPr>
                <w:b w:val="0"/>
                <w:sz w:val="18"/>
              </w:rPr>
              <w:t>Section 7.01(i) requires a Phase I for each parcel of Material Real Property "each dated within 180 days of the Closing Date." The Gastonia Phase I is dated June 15, 2024 — 370 days before June 20, 2025. To qualify it must be dated on or after December 22, 2024.</w:t>
            </w:r>
          </w:p>
          <w:p>
            <w:r>
              <w:rPr>
                <w:b w:val="0"/>
                <w:sz w:val="18"/>
              </w:rPr>
              <w:t>By contrast, the Charlotte Phase I (February 10, 2025) is 130 days old and compliant (it would go stale after August 9, 2025, should the closing slip materially). Neither the email nor the checklist flags the Gastonia problem; the email says "all good" only as to Charlotte.</w:t>
            </w:r>
          </w:p>
        </w:tc>
      </w:tr>
      <w:tr>
        <w:tc>
          <w:tcPr>
            <w:tcW w:type="dxa" w:w="2088"/>
            <w:shd w:val="clear" w:color="auto" w:fill="D9E2F3"/>
          </w:tcPr>
          <w:p>
            <w:r/>
            <w:r>
              <w:rPr>
                <w:b/>
                <w:sz w:val="18"/>
              </w:rPr>
              <w:t>Why it matters</w:t>
            </w:r>
          </w:p>
        </w:tc>
        <w:tc>
          <w:tcPr>
            <w:tcW w:type="dxa" w:w="7272"/>
          </w:tcPr>
          <w:p>
            <w:r/>
            <w:r>
              <w:rPr>
                <w:b w:val="0"/>
                <w:sz w:val="18"/>
              </w:rPr>
              <w:t>Unsatisfied condition precedent. The Gastonia site is a specialty chemicals facility, where environmental risk is most acute, and the Compliance Certificate itself refers to a 2024 "Gastonia facility optimization" (i.e., recent operational changes since the 2024 report).</w:t>
            </w:r>
          </w:p>
        </w:tc>
      </w:tr>
      <w:tr>
        <w:tc>
          <w:tcPr>
            <w:tcW w:type="dxa" w:w="2088"/>
            <w:shd w:val="clear" w:color="auto" w:fill="D9E2F3"/>
          </w:tcPr>
          <w:p>
            <w:r/>
            <w:r>
              <w:rPr>
                <w:b/>
                <w:sz w:val="18"/>
              </w:rPr>
              <w:t>Action required</w:t>
            </w:r>
          </w:p>
        </w:tc>
        <w:tc>
          <w:tcPr>
            <w:tcW w:type="dxa" w:w="7272"/>
          </w:tcPr>
          <w:p>
            <w:r/>
            <w:r>
              <w:rPr>
                <w:b w:val="0"/>
                <w:sz w:val="18"/>
              </w:rPr>
              <w:t>Engage Trident Environmental Consulting today for an updated Phase I (or a records/site-reconnaissance update that re-dates the report under ASTM E1527-21) and ask whether it can be delivered by Thursday. A one-year-old report generally can be updated rather than redone, but timing is tight.</w:t>
            </w:r>
          </w:p>
          <w:p>
            <w:r>
              <w:rPr>
                <w:b w:val="0"/>
                <w:sz w:val="18"/>
              </w:rPr>
              <w:t>If Trident cannot deliver by Friday, seek a Required Lender waiver with a short post-closing deadline, or tie the Gastonia Mortgage post-closing package (C-1) to delivery of the updated Phase I.</w:t>
            </w:r>
          </w:p>
          <w:p>
            <w:r>
              <w:rPr>
                <w:b w:val="0"/>
                <w:sz w:val="18"/>
              </w:rPr>
              <w:t>Confirm both reports were prepared under ASTM E1527-21 and disclose no recognized environmental conditions (as Section 7.01(i) requires). Change Item 16(c) status to Pending.</w:t>
            </w:r>
          </w:p>
        </w:tc>
      </w:tr>
      <w:tr>
        <w:tc>
          <w:tcPr>
            <w:tcW w:type="dxa" w:w="2088"/>
            <w:shd w:val="clear" w:color="auto" w:fill="D9E2F3"/>
          </w:tcPr>
          <w:p>
            <w:r/>
            <w:r>
              <w:rPr>
                <w:b/>
                <w:sz w:val="18"/>
              </w:rPr>
              <w:t>Owner / timing</w:t>
            </w:r>
          </w:p>
        </w:tc>
        <w:tc>
          <w:tcPr>
            <w:tcW w:type="dxa" w:w="7272"/>
          </w:tcPr>
          <w:p>
            <w:r/>
            <w:r>
              <w:rPr>
                <w:b w:val="0"/>
                <w:sz w:val="18"/>
              </w:rPr>
              <w:t>Borrower / P&amp;H with Trident; engagement today; report by Thurs. June 19 if possible.</w:t>
            </w:r>
          </w:p>
        </w:tc>
      </w:tr>
    </w:tbl>
    <w:p>
      <w:pPr>
        <w:spacing w:after="40"/>
      </w:pPr>
    </w:p>
    <w:p>
      <w:pPr>
        <w:pStyle w:val="Heading3"/>
      </w:pPr>
      <w:r>
        <w:t>C-3. TDS Delaware Good Standing Certificate Is Outside the 30-Day Window</w:t>
      </w:r>
    </w:p>
    <w:tbl>
      <w:tblPr>
        <w:tblStyle w:val="TableGrid"/>
        <w:tblW w:type="auto" w:w="0"/>
        <w:tblLook w:firstColumn="1" w:firstRow="1" w:lastColumn="0" w:lastRow="0" w:noHBand="0" w:noVBand="1" w:val="04A0"/>
      </w:tblPr>
      <w:tblGrid>
        <w:gridCol w:w="4680"/>
        <w:gridCol w:w="4680"/>
      </w:tblGrid>
      <w:tr>
        <w:tc>
          <w:tcPr>
            <w:tcW w:type="dxa" w:w="2088"/>
            <w:shd w:val="clear" w:color="auto" w:fill="D9E2F3"/>
          </w:tcPr>
          <w:p>
            <w:r/>
            <w:r>
              <w:rPr>
                <w:b/>
                <w:sz w:val="18"/>
              </w:rPr>
              <w:t>Severity</w:t>
            </w:r>
          </w:p>
        </w:tc>
        <w:tc>
          <w:tcPr>
            <w:tcW w:type="dxa" w:w="7272"/>
            <w:shd w:val="clear" w:color="auto" w:fill="C00000"/>
          </w:tcPr>
          <w:p>
            <w:r/>
            <w:r>
              <w:rPr>
                <w:b/>
                <w:color w:val="FFFFFF"/>
                <w:sz w:val="18"/>
              </w:rPr>
              <w:t>CRITICAL</w:t>
            </w:r>
          </w:p>
        </w:tc>
      </w:tr>
      <w:tr>
        <w:tc>
          <w:tcPr>
            <w:tcW w:type="dxa" w:w="2088"/>
            <w:shd w:val="clear" w:color="auto" w:fill="D9E2F3"/>
          </w:tcPr>
          <w:p>
            <w:r/>
            <w:r>
              <w:rPr>
                <w:b/>
                <w:sz w:val="18"/>
              </w:rPr>
              <w:t>Checklist / source refs</w:t>
            </w:r>
          </w:p>
        </w:tc>
        <w:tc>
          <w:tcPr>
            <w:tcW w:type="dxa" w:w="7272"/>
          </w:tcPr>
          <w:p>
            <w:r/>
            <w:r>
              <w:rPr>
                <w:b w:val="0"/>
                <w:sz w:val="18"/>
              </w:rPr>
              <w:t>Checklist Item 8(c) (dated April 18, 2025, marked "Complete"); CA 7.01(d); June 16 email, open question 1.</w:t>
            </w:r>
          </w:p>
        </w:tc>
      </w:tr>
      <w:tr>
        <w:tc>
          <w:tcPr>
            <w:tcW w:type="dxa" w:w="2088"/>
            <w:shd w:val="clear" w:color="auto" w:fill="D9E2F3"/>
          </w:tcPr>
          <w:p>
            <w:r/>
            <w:r>
              <w:rPr>
                <w:b/>
                <w:sz w:val="18"/>
              </w:rPr>
              <w:t>Finding</w:t>
            </w:r>
          </w:p>
        </w:tc>
        <w:tc>
          <w:tcPr>
            <w:tcW w:type="dxa" w:w="7272"/>
          </w:tcPr>
          <w:p>
            <w:r/>
            <w:r>
              <w:rPr>
                <w:b w:val="0"/>
                <w:sz w:val="18"/>
              </w:rPr>
              <w:t>Section 7.01(d) requires good standing certificates for the Borrower and each Guarantor "each dated not more than thirty (30) days prior to the Closing Date." Measured from June 20, 2025, a certificate must be dated May 21, 2025 or later. The TDS certificate (April 18, 2025) is 63 days old.</w:t>
            </w:r>
          </w:p>
          <w:p>
            <w:r>
              <w:rPr>
                <w:b w:val="0"/>
                <w:sz w:val="18"/>
              </w:rPr>
              <w:t>The remaining certificates are compliant: TCG (Delaware, June 2) — 18 days; TSC (North Carolina, May 28) — 23 days; TAM (Virginia, June 5) — 15 days.</w:t>
            </w:r>
          </w:p>
        </w:tc>
      </w:tr>
      <w:tr>
        <w:tc>
          <w:tcPr>
            <w:tcW w:type="dxa" w:w="2088"/>
            <w:shd w:val="clear" w:color="auto" w:fill="D9E2F3"/>
          </w:tcPr>
          <w:p>
            <w:r/>
            <w:r>
              <w:rPr>
                <w:b/>
                <w:sz w:val="18"/>
              </w:rPr>
              <w:t>Why it matters</w:t>
            </w:r>
          </w:p>
        </w:tc>
        <w:tc>
          <w:tcPr>
            <w:tcW w:type="dxa" w:w="7272"/>
          </w:tcPr>
          <w:p>
            <w:r/>
            <w:r>
              <w:rPr>
                <w:b w:val="0"/>
                <w:sz w:val="18"/>
              </w:rPr>
              <w:t>Unsatisfied condition precedent. Easily curable, but the TDS certificate must be replaced, not merely updated by bring-down.</w:t>
            </w:r>
          </w:p>
        </w:tc>
      </w:tr>
      <w:tr>
        <w:tc>
          <w:tcPr>
            <w:tcW w:type="dxa" w:w="2088"/>
            <w:shd w:val="clear" w:color="auto" w:fill="D9E2F3"/>
          </w:tcPr>
          <w:p>
            <w:r/>
            <w:r>
              <w:rPr>
                <w:b/>
                <w:sz w:val="18"/>
              </w:rPr>
              <w:t>Action required</w:t>
            </w:r>
          </w:p>
        </w:tc>
        <w:tc>
          <w:tcPr>
            <w:tcW w:type="dxa" w:w="7272"/>
          </w:tcPr>
          <w:p>
            <w:r/>
            <w:r>
              <w:rPr>
                <w:b w:val="0"/>
                <w:sz w:val="18"/>
              </w:rPr>
              <w:t>Answer to James's question 1: yes, it must be refreshed — it is not "tight," it is already out of compliance by more than a month. Ask Capitol Registered Agents today to obtain a new Delaware certificate of good standing for TDS (file no. 5523017); Delaware certificates can be ordered online for same-day delivery.</w:t>
            </w:r>
          </w:p>
          <w:p>
            <w:r>
              <w:rPr>
                <w:b w:val="0"/>
                <w:sz w:val="18"/>
              </w:rPr>
              <w:t>As a precaution, consider ordering bring-down good standings for all four entities dated on or about June 19–20 if the closing slips past June 22 (TSC's May 28 certificate goes stale after June 27).</w:t>
            </w:r>
          </w:p>
          <w:p>
            <w:r>
              <w:rPr>
                <w:b w:val="0"/>
                <w:sz w:val="18"/>
              </w:rPr>
              <w:t>Correct Item 8(c) to Pending until the new certificate is received.</w:t>
            </w:r>
          </w:p>
        </w:tc>
      </w:tr>
      <w:tr>
        <w:tc>
          <w:tcPr>
            <w:tcW w:type="dxa" w:w="2088"/>
            <w:shd w:val="clear" w:color="auto" w:fill="D9E2F3"/>
          </w:tcPr>
          <w:p>
            <w:r/>
            <w:r>
              <w:rPr>
                <w:b/>
                <w:sz w:val="18"/>
              </w:rPr>
              <w:t>Owner / timing</w:t>
            </w:r>
          </w:p>
        </w:tc>
        <w:tc>
          <w:tcPr>
            <w:tcW w:type="dxa" w:w="7272"/>
          </w:tcPr>
          <w:p>
            <w:r/>
            <w:r>
              <w:rPr>
                <w:b w:val="0"/>
                <w:sz w:val="18"/>
              </w:rPr>
              <w:t>P&amp;H (J. Okubo) / Capitol Registered Agents; order today; in hand by Wed. June 18.</w:t>
            </w:r>
          </w:p>
        </w:tc>
      </w:tr>
    </w:tbl>
    <w:p>
      <w:pPr>
        <w:spacing w:after="40"/>
      </w:pPr>
    </w:p>
    <w:p>
      <w:pPr>
        <w:pStyle w:val="Heading3"/>
      </w:pPr>
      <w:r>
        <w:t>C-4. No Guarantee Agreement from Thornfield Advanced Materials Corp.</w:t>
      </w:r>
    </w:p>
    <w:tbl>
      <w:tblPr>
        <w:tblStyle w:val="TableGrid"/>
        <w:tblW w:type="auto" w:w="0"/>
        <w:tblLook w:firstColumn="1" w:firstRow="1" w:lastColumn="0" w:lastRow="0" w:noHBand="0" w:noVBand="1" w:val="04A0"/>
      </w:tblPr>
      <w:tblGrid>
        <w:gridCol w:w="4680"/>
        <w:gridCol w:w="4680"/>
      </w:tblGrid>
      <w:tr>
        <w:tc>
          <w:tcPr>
            <w:tcW w:type="dxa" w:w="2088"/>
            <w:shd w:val="clear" w:color="auto" w:fill="D9E2F3"/>
          </w:tcPr>
          <w:p>
            <w:r/>
            <w:r>
              <w:rPr>
                <w:b/>
                <w:sz w:val="18"/>
              </w:rPr>
              <w:t>Severity</w:t>
            </w:r>
          </w:p>
        </w:tc>
        <w:tc>
          <w:tcPr>
            <w:tcW w:type="dxa" w:w="7272"/>
            <w:shd w:val="clear" w:color="auto" w:fill="C00000"/>
          </w:tcPr>
          <w:p>
            <w:r/>
            <w:r>
              <w:rPr>
                <w:b/>
                <w:color w:val="FFFFFF"/>
                <w:sz w:val="18"/>
              </w:rPr>
              <w:t>CRITICAL</w:t>
            </w:r>
          </w:p>
        </w:tc>
      </w:tr>
      <w:tr>
        <w:tc>
          <w:tcPr>
            <w:tcW w:type="dxa" w:w="2088"/>
            <w:shd w:val="clear" w:color="auto" w:fill="D9E2F3"/>
          </w:tcPr>
          <w:p>
            <w:r/>
            <w:r>
              <w:rPr>
                <w:b/>
                <w:sz w:val="18"/>
              </w:rPr>
              <w:t>Checklist / source refs</w:t>
            </w:r>
          </w:p>
        </w:tc>
        <w:tc>
          <w:tcPr>
            <w:tcW w:type="dxa" w:w="7272"/>
          </w:tcPr>
          <w:p>
            <w:r/>
            <w:r>
              <w:rPr>
                <w:b w:val="0"/>
                <w:sz w:val="18"/>
              </w:rPr>
              <w:t>Checklist Item 3 (lists only TSC and TDS); CA "Guarantor" definition, Sections 6.01, 7.01(a)(ii); checklist Items 4, 9, 12(c), 20; June 16 email.</w:t>
            </w:r>
          </w:p>
        </w:tc>
      </w:tr>
      <w:tr>
        <w:tc>
          <w:tcPr>
            <w:tcW w:type="dxa" w:w="2088"/>
            <w:shd w:val="clear" w:color="auto" w:fill="D9E2F3"/>
          </w:tcPr>
          <w:p>
            <w:r/>
            <w:r>
              <w:rPr>
                <w:b/>
                <w:sz w:val="18"/>
              </w:rPr>
              <w:t>Finding</w:t>
            </w:r>
          </w:p>
        </w:tc>
        <w:tc>
          <w:tcPr>
            <w:tcW w:type="dxa" w:w="7272"/>
          </w:tcPr>
          <w:p>
            <w:r/>
            <w:r>
              <w:rPr>
                <w:b w:val="0"/>
                <w:sz w:val="18"/>
              </w:rPr>
              <w:t>Section 7.01(a)(ii) requires a Guarantee Agreement "duly executed by each Subsidiary Guarantor (i.e., Thornfield Specialty Chemicals Inc., Thornfield Distribution Services LLC, and Thornfield Advanced Materials Corp.)." Section 6.01 confirms TAM is a Guarantor as of the Closing Date. Item 3 lists Guarantee Agreements only from TSC and TDS and is marked Complete; James's email likewise lists only those two.</w:t>
            </w:r>
          </w:p>
          <w:p>
            <w:r>
              <w:rPr>
                <w:b w:val="0"/>
                <w:sz w:val="18"/>
              </w:rPr>
              <w:t>The record is internally inconsistent: TAM executed the Security Agreement (Item 4), TAM's board resolution (Item 12(c)) authorizes it to enter into "the Guarantee Agreement," and Stonebridge's Virginia opinion (Item 20) is to cover "enforceability of the Guarantee Agreement ... as to Thornfield Advanced Materials Corp." — a document that does not appear to exist in executed form.</w:t>
            </w:r>
          </w:p>
        </w:tc>
      </w:tr>
      <w:tr>
        <w:tc>
          <w:tcPr>
            <w:tcW w:type="dxa" w:w="2088"/>
            <w:shd w:val="clear" w:color="auto" w:fill="D9E2F3"/>
          </w:tcPr>
          <w:p>
            <w:r/>
            <w:r>
              <w:rPr>
                <w:b/>
                <w:sz w:val="18"/>
              </w:rPr>
              <w:t>Why it matters</w:t>
            </w:r>
          </w:p>
        </w:tc>
        <w:tc>
          <w:tcPr>
            <w:tcW w:type="dxa" w:w="7272"/>
          </w:tcPr>
          <w:p>
            <w:r/>
            <w:r>
              <w:rPr>
                <w:b w:val="0"/>
                <w:sz w:val="18"/>
              </w:rPr>
              <w:t>Unsatisfied condition precedent and a gap in the credit support: TAM (the Richmond operating subsidiary) would not be liable for the Obligations. Section 13.02(e) shows the Lenders treat the value of the guarantee as a sacred right.</w:t>
            </w:r>
          </w:p>
        </w:tc>
      </w:tr>
      <w:tr>
        <w:tc>
          <w:tcPr>
            <w:tcW w:type="dxa" w:w="2088"/>
            <w:shd w:val="clear" w:color="auto" w:fill="D9E2F3"/>
          </w:tcPr>
          <w:p>
            <w:r/>
            <w:r>
              <w:rPr>
                <w:b/>
                <w:sz w:val="18"/>
              </w:rPr>
              <w:t>Action required</w:t>
            </w:r>
          </w:p>
        </w:tc>
        <w:tc>
          <w:tcPr>
            <w:tcW w:type="dxa" w:w="7272"/>
          </w:tcPr>
          <w:p>
            <w:r/>
            <w:r>
              <w:rPr>
                <w:b w:val="0"/>
                <w:sz w:val="18"/>
              </w:rPr>
              <w:t>Confirm immediately whether TAM signed a Guarantee Agreement that was simply omitted from the checklist and the binder. If not, prepare a TAM Guarantee Agreement (or a joinder to the existing Guarantee Agreement), obtain execution, and confirm the June 12 TAM resolution covers it.</w:t>
            </w:r>
          </w:p>
          <w:p>
            <w:r>
              <w:rPr>
                <w:b w:val="0"/>
                <w:sz w:val="18"/>
              </w:rPr>
              <w:t>Ensure Stonebridge's opinion addresses the executed TAM Guarantee and that the TAM Secretary's Certificate (Item 10(d)) certifies the resolution and the incumbency of the signer.</w:t>
            </w:r>
          </w:p>
          <w:p>
            <w:r>
              <w:rPr>
                <w:b w:val="0"/>
                <w:sz w:val="18"/>
              </w:rPr>
              <w:t>Add Item 3(c) for TAM and change Item 3 status to Pending.</w:t>
            </w:r>
          </w:p>
        </w:tc>
      </w:tr>
      <w:tr>
        <w:tc>
          <w:tcPr>
            <w:tcW w:type="dxa" w:w="2088"/>
            <w:shd w:val="clear" w:color="auto" w:fill="D9E2F3"/>
          </w:tcPr>
          <w:p>
            <w:r/>
            <w:r>
              <w:rPr>
                <w:b/>
                <w:sz w:val="18"/>
              </w:rPr>
              <w:t>Owner / timing</w:t>
            </w:r>
          </w:p>
        </w:tc>
        <w:tc>
          <w:tcPr>
            <w:tcW w:type="dxa" w:w="7272"/>
          </w:tcPr>
          <w:p>
            <w:r/>
            <w:r>
              <w:rPr>
                <w:b w:val="0"/>
                <w:sz w:val="18"/>
              </w:rPr>
              <w:t>P&amp;H; execution by Wed. June 18 so Stonebridge can finalize.</w:t>
            </w:r>
          </w:p>
        </w:tc>
      </w:tr>
    </w:tbl>
    <w:p>
      <w:pPr>
        <w:spacing w:after="40"/>
      </w:pPr>
    </w:p>
    <w:p>
      <w:pPr>
        <w:pStyle w:val="Heading3"/>
      </w:pPr>
      <w:r>
        <w:t>C-5. No UCC-1 Financing Statement Filed Against TAM in Virginia</w:t>
      </w:r>
    </w:p>
    <w:tbl>
      <w:tblPr>
        <w:tblStyle w:val="TableGrid"/>
        <w:tblW w:type="auto" w:w="0"/>
        <w:tblLook w:firstColumn="1" w:firstRow="1" w:lastColumn="0" w:lastRow="0" w:noHBand="0" w:noVBand="1" w:val="04A0"/>
      </w:tblPr>
      <w:tblGrid>
        <w:gridCol w:w="4680"/>
        <w:gridCol w:w="4680"/>
      </w:tblGrid>
      <w:tr>
        <w:tc>
          <w:tcPr>
            <w:tcW w:type="dxa" w:w="2088"/>
            <w:shd w:val="clear" w:color="auto" w:fill="D9E2F3"/>
          </w:tcPr>
          <w:p>
            <w:r/>
            <w:r>
              <w:rPr>
                <w:b/>
                <w:sz w:val="18"/>
              </w:rPr>
              <w:t>Severity</w:t>
            </w:r>
          </w:p>
        </w:tc>
        <w:tc>
          <w:tcPr>
            <w:tcW w:type="dxa" w:w="7272"/>
            <w:shd w:val="clear" w:color="auto" w:fill="C00000"/>
          </w:tcPr>
          <w:p>
            <w:r/>
            <w:r>
              <w:rPr>
                <w:b/>
                <w:color w:val="FFFFFF"/>
                <w:sz w:val="18"/>
              </w:rPr>
              <w:t>CRITICAL</w:t>
            </w:r>
          </w:p>
        </w:tc>
      </w:tr>
      <w:tr>
        <w:tc>
          <w:tcPr>
            <w:tcW w:type="dxa" w:w="2088"/>
            <w:shd w:val="clear" w:color="auto" w:fill="D9E2F3"/>
          </w:tcPr>
          <w:p>
            <w:r/>
            <w:r>
              <w:rPr>
                <w:b/>
                <w:sz w:val="18"/>
              </w:rPr>
              <w:t>Checklist / source refs</w:t>
            </w:r>
          </w:p>
        </w:tc>
        <w:tc>
          <w:tcPr>
            <w:tcW w:type="dxa" w:w="7272"/>
          </w:tcPr>
          <w:p>
            <w:r/>
            <w:r>
              <w:rPr>
                <w:b w:val="0"/>
                <w:sz w:val="18"/>
              </w:rPr>
              <w:t>Checklist Item 13 (filings only for TCG and TDS in Delaware and TSC in North Carolina); CA 5.01(a)(iii), 7.01(b)(iii); checklist Items 14(d), 18, 22(d).</w:t>
            </w:r>
          </w:p>
        </w:tc>
      </w:tr>
      <w:tr>
        <w:tc>
          <w:tcPr>
            <w:tcW w:type="dxa" w:w="2088"/>
            <w:shd w:val="clear" w:color="auto" w:fill="D9E2F3"/>
          </w:tcPr>
          <w:p>
            <w:r/>
            <w:r>
              <w:rPr>
                <w:b/>
                <w:sz w:val="18"/>
              </w:rPr>
              <w:t>Finding</w:t>
            </w:r>
          </w:p>
        </w:tc>
        <w:tc>
          <w:tcPr>
            <w:tcW w:type="dxa" w:w="7272"/>
          </w:tcPr>
          <w:p>
            <w:r/>
            <w:r>
              <w:rPr>
                <w:b w:val="0"/>
                <w:sz w:val="18"/>
              </w:rPr>
              <w:t>Sections 5.01(a)(iii) and 7.01(b)(iii) require a UCC-1 against TAM with the Virginia State Corporation Commission (TAM's jurisdiction of organization; a registered organization is located in its state of organization under UCC 9-307(e)), filed "in no event later than the Closing Date." Item 13 shows three filings; there is no TAM filing. James's email also confirms only three filings and three acknowledgments.</w:t>
            </w:r>
          </w:p>
          <w:p>
            <w:r>
              <w:rPr>
                <w:b w:val="0"/>
                <w:sz w:val="18"/>
              </w:rPr>
              <w:t>The omission is plainly an oversight: the checklist already includes a Virginia lien search against TAM (Item 14(d)) and a Virginia UCC-3 termination for Cornerstone's existing TAM financing statement (Item 22(d)) — i.e., the existing lender perfected against TAM in Virginia, and we have not.</w:t>
            </w:r>
          </w:p>
        </w:tc>
      </w:tr>
      <w:tr>
        <w:tc>
          <w:tcPr>
            <w:tcW w:type="dxa" w:w="2088"/>
            <w:shd w:val="clear" w:color="auto" w:fill="D9E2F3"/>
          </w:tcPr>
          <w:p>
            <w:r/>
            <w:r>
              <w:rPr>
                <w:b/>
                <w:sz w:val="18"/>
              </w:rPr>
              <w:t>Why it matters</w:t>
            </w:r>
          </w:p>
        </w:tc>
        <w:tc>
          <w:tcPr>
            <w:tcW w:type="dxa" w:w="7272"/>
          </w:tcPr>
          <w:p>
            <w:r/>
            <w:r>
              <w:rPr>
                <w:b w:val="0"/>
                <w:sz w:val="18"/>
              </w:rPr>
              <w:t>Without the filing, the Agent's security interest in TAM's personal property (including receivables and inventory that drive the Borrowing Base) is unperfected and would be subordinate to a lien creditor or bankruptcy trustee. Section 9.01(k) makes failure of a first-priority perfected Lien an Event of Default.</w:t>
            </w:r>
          </w:p>
        </w:tc>
      </w:tr>
      <w:tr>
        <w:tc>
          <w:tcPr>
            <w:tcW w:type="dxa" w:w="2088"/>
            <w:shd w:val="clear" w:color="auto" w:fill="D9E2F3"/>
          </w:tcPr>
          <w:p>
            <w:r/>
            <w:r>
              <w:rPr>
                <w:b/>
                <w:sz w:val="18"/>
              </w:rPr>
              <w:t>Action required</w:t>
            </w:r>
          </w:p>
        </w:tc>
        <w:tc>
          <w:tcPr>
            <w:tcW w:type="dxa" w:w="7272"/>
          </w:tcPr>
          <w:p>
            <w:r/>
            <w:r>
              <w:rPr>
                <w:b w:val="0"/>
                <w:sz w:val="18"/>
              </w:rPr>
              <w:t>File the TAM UCC-1 with the Virginia SCC (VA SCC ID 08741562) immediately (the filing may precede closing because the Security Agreement has been executed) and obtain the filing acknowledgment.</w:t>
            </w:r>
          </w:p>
          <w:p>
            <w:r>
              <w:rPr>
                <w:b w:val="0"/>
                <w:sz w:val="18"/>
              </w:rPr>
              <w:t>Expand the P&amp;H opinion (Item 18), which currently covers UCC perfection only for Delaware and North Carolina filings, or have Stonebridge cover Virginia filing-office perfection (see H-1).</w:t>
            </w:r>
          </w:p>
          <w:p>
            <w:r>
              <w:rPr>
                <w:b w:val="0"/>
                <w:sz w:val="18"/>
              </w:rPr>
              <w:t>Add Item 13(d) for TAM; change Item 13 status to Pending.</w:t>
            </w:r>
          </w:p>
        </w:tc>
      </w:tr>
      <w:tr>
        <w:tc>
          <w:tcPr>
            <w:tcW w:type="dxa" w:w="2088"/>
            <w:shd w:val="clear" w:color="auto" w:fill="D9E2F3"/>
          </w:tcPr>
          <w:p>
            <w:r/>
            <w:r>
              <w:rPr>
                <w:b/>
                <w:sz w:val="18"/>
              </w:rPr>
              <w:t>Owner / timing</w:t>
            </w:r>
          </w:p>
        </w:tc>
        <w:tc>
          <w:tcPr>
            <w:tcW w:type="dxa" w:w="7272"/>
          </w:tcPr>
          <w:p>
            <w:r/>
            <w:r>
              <w:rPr>
                <w:b w:val="0"/>
                <w:sz w:val="18"/>
              </w:rPr>
              <w:t>P&amp;H; file Tues. June 17; acknowledgment by Thurs. June 19.</w:t>
            </w:r>
          </w:p>
        </w:tc>
      </w:tr>
    </w:tbl>
    <w:p>
      <w:pPr>
        <w:spacing w:after="40"/>
      </w:pPr>
    </w:p>
    <w:p>
      <w:pPr>
        <w:pStyle w:val="Heading3"/>
      </w:pPr>
      <w:r>
        <w:t>C-6. Borrower Member Authorization — No ESOP Trust Consent; ERISA Not Addressed</w:t>
      </w:r>
    </w:p>
    <w:tbl>
      <w:tblPr>
        <w:tblStyle w:val="TableGrid"/>
        <w:tblW w:type="auto" w:w="0"/>
        <w:tblLook w:firstColumn="1" w:firstRow="1" w:lastColumn="0" w:lastRow="0" w:noHBand="0" w:noVBand="1" w:val="04A0"/>
      </w:tblPr>
      <w:tblGrid>
        <w:gridCol w:w="4680"/>
        <w:gridCol w:w="4680"/>
      </w:tblGrid>
      <w:tr>
        <w:tc>
          <w:tcPr>
            <w:tcW w:type="dxa" w:w="2088"/>
            <w:shd w:val="clear" w:color="auto" w:fill="D9E2F3"/>
          </w:tcPr>
          <w:p>
            <w:r/>
            <w:r>
              <w:rPr>
                <w:b/>
                <w:sz w:val="18"/>
              </w:rPr>
              <w:t>Severity</w:t>
            </w:r>
          </w:p>
        </w:tc>
        <w:tc>
          <w:tcPr>
            <w:tcW w:type="dxa" w:w="7272"/>
            <w:shd w:val="clear" w:color="auto" w:fill="C00000"/>
          </w:tcPr>
          <w:p>
            <w:r/>
            <w:r>
              <w:rPr>
                <w:b/>
                <w:color w:val="FFFFFF"/>
                <w:sz w:val="18"/>
              </w:rPr>
              <w:t>CRITICAL</w:t>
            </w:r>
          </w:p>
        </w:tc>
      </w:tr>
      <w:tr>
        <w:tc>
          <w:tcPr>
            <w:tcW w:type="dxa" w:w="2088"/>
            <w:shd w:val="clear" w:color="auto" w:fill="D9E2F3"/>
          </w:tcPr>
          <w:p>
            <w:r/>
            <w:r>
              <w:rPr>
                <w:b/>
                <w:sz w:val="18"/>
              </w:rPr>
              <w:t>Checklist / source refs</w:t>
            </w:r>
          </w:p>
        </w:tc>
        <w:tc>
          <w:tcPr>
            <w:tcW w:type="dxa" w:w="7272"/>
          </w:tcPr>
          <w:p>
            <w:r/>
            <w:r>
              <w:rPr>
                <w:b w:val="0"/>
                <w:sz w:val="18"/>
              </w:rPr>
              <w:t>Checklist Item 11 (consent signed by Marcus Thornfield as Managing Member, 62%); CA "ESOP Trust," Sections 4.03, 4.07, 4.08, 7.01(m); June 16 email.</w:t>
            </w:r>
          </w:p>
        </w:tc>
      </w:tr>
      <w:tr>
        <w:tc>
          <w:tcPr>
            <w:tcW w:type="dxa" w:w="2088"/>
            <w:shd w:val="clear" w:color="auto" w:fill="D9E2F3"/>
          </w:tcPr>
          <w:p>
            <w:r/>
            <w:r>
              <w:rPr>
                <w:b/>
                <w:sz w:val="18"/>
              </w:rPr>
              <w:t>Finding</w:t>
            </w:r>
          </w:p>
        </w:tc>
        <w:tc>
          <w:tcPr>
            <w:tcW w:type="dxa" w:w="7272"/>
          </w:tcPr>
          <w:p>
            <w:r/>
            <w:r>
              <w:rPr>
                <w:b w:val="0"/>
                <w:sz w:val="18"/>
              </w:rPr>
              <w:t>The Borrower is owned 62% by Marcus Thornfield and 38% by the ESOP Trust (Hanes Fiduciary Services LLC, Gregory Hanes, trustee). Section 4.03 represents that the Managing Member "and each other holder of membership interests in the Borrower, including the ESOP Trust ... have consented to the transactions contemplated hereby to the extent required by the Borrower's limited liability company operating agreement and Applicable Law," and Section 7.01(m) conditions closing on evidence of all member consents required by the operating agreement "or by Applicable Law (including, without limitation, ERISA to the extent applicable)," expressly including for "the granting of Liens on the assets of the Borrower and its Subsidiaries."</w:t>
            </w:r>
          </w:p>
          <w:p>
            <w:r>
              <w:rPr>
                <w:b w:val="0"/>
                <w:sz w:val="18"/>
              </w:rPr>
              <w:t>Item 11 is a consent of the Managing Member only. James's email relies on the operating agreement's "majority-member-approval provision for debt incurrence." That provision, on its face, addresses debt incurrence; it does not establish that a majority suffices for the grant of liens on substantially all assets, the mortgage of the Charlotte property, or upstream guarantees by the subsidiaries — matters that LLC agreements commonly reserve for supermajority or unanimous approval or that trigger ESOP pass-through or trustee approval rights. No one appears to have reviewed this against the operating agreement (Item 6(b)) or obtained the trustee's position on ERISA.</w:t>
            </w:r>
          </w:p>
        </w:tc>
      </w:tr>
      <w:tr>
        <w:tc>
          <w:tcPr>
            <w:tcW w:type="dxa" w:w="2088"/>
            <w:shd w:val="clear" w:color="auto" w:fill="D9E2F3"/>
          </w:tcPr>
          <w:p>
            <w:r/>
            <w:r>
              <w:rPr>
                <w:b/>
                <w:sz w:val="18"/>
              </w:rPr>
              <w:t>Why it matters</w:t>
            </w:r>
          </w:p>
        </w:tc>
        <w:tc>
          <w:tcPr>
            <w:tcW w:type="dxa" w:w="7272"/>
          </w:tcPr>
          <w:p>
            <w:r/>
            <w:r>
              <w:rPr>
                <w:b w:val="0"/>
                <w:sz w:val="18"/>
              </w:rPr>
              <w:t>If ESOP Trust approval was required, the Loan Documents may not be duly authorized (Section 4.02), the Section 4.03 and 4.08 (no prohibited transaction) representations would be untrue when made — an Event of Default under Section 9.01(d) — and P&amp;H's due-authorization opinion would be exposed. The Lenders will expect this to be airtight given the express ESOP language in the Credit Agreement.</w:t>
            </w:r>
          </w:p>
        </w:tc>
      </w:tr>
      <w:tr>
        <w:tc>
          <w:tcPr>
            <w:tcW w:type="dxa" w:w="2088"/>
            <w:shd w:val="clear" w:color="auto" w:fill="D9E2F3"/>
          </w:tcPr>
          <w:p>
            <w:r/>
            <w:r>
              <w:rPr>
                <w:b/>
                <w:sz w:val="18"/>
              </w:rPr>
              <w:t>Action required</w:t>
            </w:r>
          </w:p>
        </w:tc>
        <w:tc>
          <w:tcPr>
            <w:tcW w:type="dxa" w:w="7272"/>
          </w:tcPr>
          <w:p>
            <w:r/>
            <w:r>
              <w:rPr>
                <w:b w:val="0"/>
                <w:sz w:val="18"/>
              </w:rPr>
              <w:t>Review the TCG Operating Agreement today for approval thresholds covering (a) indebtedness, (b) encumbrance of all or substantially all assets, (c) guarantees/credit support, and (d) any ESOP or trustee consent rights.</w:t>
            </w:r>
          </w:p>
          <w:p>
            <w:r>
              <w:rPr>
                <w:b w:val="0"/>
                <w:sz w:val="18"/>
              </w:rPr>
              <w:t>Regardless of the outcome, recommend obtaining a written consent or acknowledgment from Hanes Fiduciary Services LLC, as trustee of the ESOP Trust, consenting to the transactions (with any ERISA fiduciary review the trustee requires). This is the cleanest way to satisfy Section 7.01(m) and support the Section 4.08 representation.</w:t>
            </w:r>
          </w:p>
          <w:p>
            <w:r>
              <w:rPr>
                <w:b w:val="0"/>
                <w:sz w:val="18"/>
              </w:rPr>
              <w:t>Revise Item 11 to include the ESOP Trust consent as a sub-item (Pending), and have the TCG Secretary's Certificate certify both consents and the operating agreement.</w:t>
            </w:r>
          </w:p>
        </w:tc>
      </w:tr>
      <w:tr>
        <w:tc>
          <w:tcPr>
            <w:tcW w:type="dxa" w:w="2088"/>
            <w:shd w:val="clear" w:color="auto" w:fill="D9E2F3"/>
          </w:tcPr>
          <w:p>
            <w:r/>
            <w:r>
              <w:rPr>
                <w:b/>
                <w:sz w:val="18"/>
              </w:rPr>
              <w:t>Owner / timing</w:t>
            </w:r>
          </w:p>
        </w:tc>
        <w:tc>
          <w:tcPr>
            <w:tcW w:type="dxa" w:w="7272"/>
          </w:tcPr>
          <w:p>
            <w:r/>
            <w:r>
              <w:rPr>
                <w:b w:val="0"/>
                <w:sz w:val="18"/>
              </w:rPr>
              <w:t>P&amp;H (C. Liang) with Borrower and Hanes Fiduciary Services; operating agreement review today; trustee consent by Thurs. June 19. Raise with Ridgeline Wednesday.</w:t>
            </w:r>
          </w:p>
        </w:tc>
      </w:tr>
    </w:tbl>
    <w:p>
      <w:pPr>
        <w:spacing w:after="40"/>
      </w:pPr>
    </w:p>
    <w:p>
      <w:pPr>
        <w:pStyle w:val="Heading3"/>
      </w:pPr>
      <w:r>
        <w:t>C-7. Officer's Compliance Certificate Omits the Fixed Charge Coverage Ratio and Is Not in Final Form</w:t>
      </w:r>
    </w:p>
    <w:tbl>
      <w:tblPr>
        <w:tblStyle w:val="TableGrid"/>
        <w:tblW w:type="auto" w:w="0"/>
        <w:tblLook w:firstColumn="1" w:firstRow="1" w:lastColumn="0" w:lastRow="0" w:noHBand="0" w:noVBand="1" w:val="04A0"/>
      </w:tblPr>
      <w:tblGrid>
        <w:gridCol w:w="4680"/>
        <w:gridCol w:w="4680"/>
      </w:tblGrid>
      <w:tr>
        <w:tc>
          <w:tcPr>
            <w:tcW w:type="dxa" w:w="2088"/>
            <w:shd w:val="clear" w:color="auto" w:fill="D9E2F3"/>
          </w:tcPr>
          <w:p>
            <w:r/>
            <w:r>
              <w:rPr>
                <w:b/>
                <w:sz w:val="18"/>
              </w:rPr>
              <w:t>Severity</w:t>
            </w:r>
          </w:p>
        </w:tc>
        <w:tc>
          <w:tcPr>
            <w:tcW w:type="dxa" w:w="7272"/>
            <w:shd w:val="clear" w:color="auto" w:fill="C00000"/>
          </w:tcPr>
          <w:p>
            <w:r/>
            <w:r>
              <w:rPr>
                <w:b/>
                <w:color w:val="FFFFFF"/>
                <w:sz w:val="18"/>
              </w:rPr>
              <w:t>CRITICAL</w:t>
            </w:r>
          </w:p>
        </w:tc>
      </w:tr>
      <w:tr>
        <w:tc>
          <w:tcPr>
            <w:tcW w:type="dxa" w:w="2088"/>
            <w:shd w:val="clear" w:color="auto" w:fill="D9E2F3"/>
          </w:tcPr>
          <w:p>
            <w:r/>
            <w:r>
              <w:rPr>
                <w:b/>
                <w:sz w:val="18"/>
              </w:rPr>
              <w:t>Checklist / source refs</w:t>
            </w:r>
          </w:p>
        </w:tc>
        <w:tc>
          <w:tcPr>
            <w:tcW w:type="dxa" w:w="7272"/>
          </w:tcPr>
          <w:p>
            <w:r/>
            <w:r>
              <w:rPr>
                <w:b w:val="0"/>
                <w:sz w:val="18"/>
              </w:rPr>
              <w:t>Checklist Item 25 (marked "Complete," received June 16); Compliance Certificate; CA 7.01(j), 8.01(b), "Fixed Charge Coverage Ratio," Exhibit B.</w:t>
            </w:r>
          </w:p>
        </w:tc>
      </w:tr>
      <w:tr>
        <w:tc>
          <w:tcPr>
            <w:tcW w:type="dxa" w:w="2088"/>
            <w:shd w:val="clear" w:color="auto" w:fill="D9E2F3"/>
          </w:tcPr>
          <w:p>
            <w:r/>
            <w:r>
              <w:rPr>
                <w:b/>
                <w:sz w:val="18"/>
              </w:rPr>
              <w:t>Finding</w:t>
            </w:r>
          </w:p>
        </w:tc>
        <w:tc>
          <w:tcPr>
            <w:tcW w:type="dxa" w:w="7272"/>
          </w:tcPr>
          <w:p>
            <w:r/>
            <w:r>
              <w:rPr>
                <w:b w:val="0"/>
                <w:sz w:val="18"/>
              </w:rPr>
              <w:t>Section 7.01(j) requires a certificate, substantially in the form of Exhibit B, certifying pro forma compliance with each Financial Covenant, "including (i) the Maximum Total Net Leverage Ratio, (ii) the Minimum Fixed Charge Coverage Ratio, and (iii) the Minimum Liquidity requirement." The certificate addresses only Total Net Leverage (1.646x vs. 3.75x maximum) and Minimum Liquidity ($102.7M vs. $15M minimum). It contains no FCCR calculation (Adjusted EBITDA less Maintenance Capital Expenditures less cash taxes, over scheduled principal, cash interest and Restricted Payments; minimum 1.25x under Section 8.01(b)). Both the checklist and James's email repeat the omission ("covering Total Net Leverage Ratio and Minimum Liquidity. Both compliant.").</w:t>
            </w:r>
          </w:p>
          <w:p>
            <w:r>
              <w:rPr>
                <w:b w:val="0"/>
                <w:sz w:val="18"/>
              </w:rPr>
              <w:t>The certificate also lacks the supporting schedules required by paragraph 4 of Exhibit B, the signature line is blank, and it is dated June 20, 2025 — so what we hold is a draft, not an executed deliverable, notwithstanding the "Complete" status.</w:t>
            </w:r>
          </w:p>
        </w:tc>
      </w:tr>
      <w:tr>
        <w:tc>
          <w:tcPr>
            <w:tcW w:type="dxa" w:w="2088"/>
            <w:shd w:val="clear" w:color="auto" w:fill="D9E2F3"/>
          </w:tcPr>
          <w:p>
            <w:r/>
            <w:r>
              <w:rPr>
                <w:b/>
                <w:sz w:val="18"/>
              </w:rPr>
              <w:t>Why it matters</w:t>
            </w:r>
          </w:p>
        </w:tc>
        <w:tc>
          <w:tcPr>
            <w:tcW w:type="dxa" w:w="7272"/>
          </w:tcPr>
          <w:p>
            <w:r/>
            <w:r>
              <w:rPr>
                <w:b w:val="0"/>
                <w:sz w:val="18"/>
              </w:rPr>
              <w:t>Unsatisfied condition precedent. FCCR is also the covenant most sensitive to the ESOP (Restricted Payments include ESOP distributions and tax distributions) and to post-closing interest on a $110M draw, so the Lenders will scrutinize it.</w:t>
            </w:r>
          </w:p>
        </w:tc>
      </w:tr>
      <w:tr>
        <w:tc>
          <w:tcPr>
            <w:tcW w:type="dxa" w:w="2088"/>
            <w:shd w:val="clear" w:color="auto" w:fill="D9E2F3"/>
          </w:tcPr>
          <w:p>
            <w:r/>
            <w:r>
              <w:rPr>
                <w:b/>
                <w:sz w:val="18"/>
              </w:rPr>
              <w:t>Action required</w:t>
            </w:r>
          </w:p>
        </w:tc>
        <w:tc>
          <w:tcPr>
            <w:tcW w:type="dxa" w:w="7272"/>
          </w:tcPr>
          <w:p>
            <w:r/>
            <w:r>
              <w:rPr>
                <w:b w:val="0"/>
                <w:sz w:val="18"/>
              </w:rPr>
              <w:t>Ask Ms. Felton to add a Section 3.3 FCCR calculation in the Exhibit B format (TTM March 31, 2025 Maintenance Capital Expenditures, cash taxes, scheduled principal, pro forma cash interest on the Revolving Loans at Term SOFR + 2.50% (Level II), and Restricted Payments including ESOP and tax distributions), with supporting schedules.</w:t>
            </w:r>
          </w:p>
          <w:p>
            <w:r>
              <w:rPr>
                <w:b w:val="0"/>
                <w:sz w:val="18"/>
              </w:rPr>
              <w:t>Correct the other calculation issues noted in H-6 and the cross-references in L-2 at the same time.</w:t>
            </w:r>
          </w:p>
          <w:p>
            <w:r>
              <w:rPr>
                <w:b w:val="0"/>
                <w:sz w:val="18"/>
              </w:rPr>
              <w:t>Execute and deliver the final certificate on the Closing Date; change Item 25 to "Draft Received."</w:t>
            </w:r>
          </w:p>
        </w:tc>
      </w:tr>
      <w:tr>
        <w:tc>
          <w:tcPr>
            <w:tcW w:type="dxa" w:w="2088"/>
            <w:shd w:val="clear" w:color="auto" w:fill="D9E2F3"/>
          </w:tcPr>
          <w:p>
            <w:r/>
            <w:r>
              <w:rPr>
                <w:b/>
                <w:sz w:val="18"/>
              </w:rPr>
              <w:t>Owner / timing</w:t>
            </w:r>
          </w:p>
        </w:tc>
        <w:tc>
          <w:tcPr>
            <w:tcW w:type="dxa" w:w="7272"/>
          </w:tcPr>
          <w:p>
            <w:r/>
            <w:r>
              <w:rPr>
                <w:b w:val="0"/>
                <w:sz w:val="18"/>
              </w:rPr>
              <w:t>Borrower (S. Felton) with P&amp;H review; revised draft by Wed. June 18 for the Ridgeline call.</w:t>
            </w:r>
          </w:p>
        </w:tc>
      </w:tr>
    </w:tbl>
    <w:p>
      <w:pPr>
        <w:spacing w:after="40"/>
      </w:pPr>
    </w:p>
    <w:p>
      <w:pPr>
        <w:pStyle w:val="Heading3"/>
      </w:pPr>
      <w:r>
        <w:t>C-8. Aldersgate Bank &amp; Trust — Commitment Amount and Signature Page Discrepancies</w:t>
      </w:r>
    </w:p>
    <w:tbl>
      <w:tblPr>
        <w:tblStyle w:val="TableGrid"/>
        <w:tblW w:type="auto" w:w="0"/>
        <w:tblLook w:firstColumn="1" w:firstRow="1" w:lastColumn="0" w:lastRow="0" w:noHBand="0" w:noVBand="1" w:val="04A0"/>
      </w:tblPr>
      <w:tblGrid>
        <w:gridCol w:w="4680"/>
        <w:gridCol w:w="4680"/>
      </w:tblGrid>
      <w:tr>
        <w:tc>
          <w:tcPr>
            <w:tcW w:type="dxa" w:w="2088"/>
            <w:shd w:val="clear" w:color="auto" w:fill="D9E2F3"/>
          </w:tcPr>
          <w:p>
            <w:r/>
            <w:r>
              <w:rPr>
                <w:b/>
                <w:sz w:val="18"/>
              </w:rPr>
              <w:t>Severity</w:t>
            </w:r>
          </w:p>
        </w:tc>
        <w:tc>
          <w:tcPr>
            <w:tcW w:type="dxa" w:w="7272"/>
            <w:shd w:val="clear" w:color="auto" w:fill="C00000"/>
          </w:tcPr>
          <w:p>
            <w:r/>
            <w:r>
              <w:rPr>
                <w:b/>
                <w:color w:val="FFFFFF"/>
                <w:sz w:val="18"/>
              </w:rPr>
              <w:t>CRITICAL</w:t>
            </w:r>
          </w:p>
        </w:tc>
      </w:tr>
      <w:tr>
        <w:tc>
          <w:tcPr>
            <w:tcW w:type="dxa" w:w="2088"/>
            <w:shd w:val="clear" w:color="auto" w:fill="D9E2F3"/>
          </w:tcPr>
          <w:p>
            <w:r/>
            <w:r>
              <w:rPr>
                <w:b/>
                <w:sz w:val="18"/>
              </w:rPr>
              <w:t>Checklist / source refs</w:t>
            </w:r>
          </w:p>
        </w:tc>
        <w:tc>
          <w:tcPr>
            <w:tcW w:type="dxa" w:w="7272"/>
          </w:tcPr>
          <w:p>
            <w:r/>
            <w:r>
              <w:rPr>
                <w:b w:val="0"/>
                <w:sz w:val="18"/>
              </w:rPr>
              <w:t>Checklist Commitment Summary, Item 2(d), Item 35(d); CA "Commitment," Section 2.01, Schedule 1.01(a), Section 7.01(a)(i), signature pages, Section 13.01.</w:t>
            </w:r>
          </w:p>
        </w:tc>
      </w:tr>
      <w:tr>
        <w:tc>
          <w:tcPr>
            <w:tcW w:type="dxa" w:w="2088"/>
            <w:shd w:val="clear" w:color="auto" w:fill="D9E2F3"/>
          </w:tcPr>
          <w:p>
            <w:r/>
            <w:r>
              <w:rPr>
                <w:b/>
                <w:sz w:val="18"/>
              </w:rPr>
              <w:t>Finding</w:t>
            </w:r>
          </w:p>
        </w:tc>
        <w:tc>
          <w:tcPr>
            <w:tcW w:type="dxa" w:w="7272"/>
          </w:tcPr>
          <w:p>
            <w:r/>
            <w:r>
              <w:rPr>
                <w:b/>
                <w:sz w:val="18"/>
              </w:rPr>
              <w:t>Commitment amount.</w:t>
            </w:r>
            <w:r>
              <w:rPr>
                <w:b w:val="0"/>
                <w:sz w:val="18"/>
              </w:rPr>
              <w:t xml:space="preserve"> The Credit Agreement fixes Aldersgate's Commitment at </w:t>
            </w:r>
            <w:r>
              <w:rPr>
                <w:b/>
                <w:sz w:val="18"/>
              </w:rPr>
              <w:t>$25,000,000</w:t>
            </w:r>
            <w:r>
              <w:rPr>
                <w:b w:val="0"/>
                <w:sz w:val="18"/>
              </w:rPr>
              <w:t xml:space="preserve"> in three places (the "Commitment" definition, Section 2.01 and Schedule 1.01(a), which shows a 13.51% Pro Rata Share). The checklist shows </w:t>
            </w:r>
            <w:r>
              <w:rPr>
                <w:b/>
                <w:sz w:val="18"/>
              </w:rPr>
              <w:t>$35,000,000</w:t>
            </w:r>
            <w:r>
              <w:rPr>
                <w:b w:val="0"/>
                <w:sz w:val="18"/>
              </w:rPr>
              <w:t xml:space="preserve">, and Item 2(d) records a Revolving Credit Note to Aldersgate in the principal amount of $35,000,000. The checklist's Commitment Summary does not foot: $75M + $45M + $40M + $35M = </w:t>
            </w:r>
            <w:r>
              <w:rPr>
                <w:b/>
                <w:sz w:val="18"/>
              </w:rPr>
              <w:t>$195,000,000</w:t>
            </w:r>
            <w:r>
              <w:rPr>
                <w:b w:val="0"/>
                <w:sz w:val="18"/>
              </w:rPr>
              <w:t>, not the $185,000,000 total it states. The Credit Agreement figures ($75M + $45M + $40M + $25M = $185M) are internally consistent and control.</w:t>
            </w:r>
          </w:p>
          <w:p>
            <w:r>
              <w:rPr>
                <w:b/>
                <w:sz w:val="18"/>
              </w:rPr>
              <w:t>Signature page.</w:t>
            </w:r>
            <w:r>
              <w:rPr>
                <w:b w:val="0"/>
                <w:sz w:val="18"/>
              </w:rPr>
              <w:t xml:space="preserve"> The fourth Lender signature block in the Credit Agreement reads "</w:t>
            </w:r>
            <w:r>
              <w:rPr>
                <w:b/>
                <w:sz w:val="18"/>
              </w:rPr>
              <w:t>CRESTVIEW BANK &amp; TRUST</w:t>
            </w:r>
            <w:r>
              <w:rPr>
                <w:b w:val="0"/>
                <w:sz w:val="18"/>
              </w:rPr>
              <w:t>, as a Lender," signed by Allison Pratt, Vice President — yet Ms. Pratt is Aldersgate's notice contact under Section 13.01 and Aldersgate is the Lender named throughout. Item 35(d) and the email record an Aldersgate signature page as received and "confirmed." Either the wrong entity name was printed on the page or the page was signed by a different institution.</w:t>
            </w:r>
          </w:p>
        </w:tc>
      </w:tr>
      <w:tr>
        <w:tc>
          <w:tcPr>
            <w:tcW w:type="dxa" w:w="2088"/>
            <w:shd w:val="clear" w:color="auto" w:fill="D9E2F3"/>
          </w:tcPr>
          <w:p>
            <w:r/>
            <w:r>
              <w:rPr>
                <w:b/>
                <w:sz w:val="18"/>
              </w:rPr>
              <w:t>Why it matters</w:t>
            </w:r>
          </w:p>
        </w:tc>
        <w:tc>
          <w:tcPr>
            <w:tcW w:type="dxa" w:w="7272"/>
          </w:tcPr>
          <w:p>
            <w:r/>
            <w:r>
              <w:rPr>
                <w:b w:val="0"/>
                <w:sz w:val="18"/>
              </w:rPr>
              <w:t>Section 7.01(a)(i) requires the Agreement to be duly executed by each Lender. A signature in the name of a non-party leaves Aldersgate's execution in doubt. The $35M note overstates Aldersgate's claim by $10M and is inconsistent with its several Commitment; the incorrect commitment table will also corrupt funding (Pro Rata Share of the $110M draw is $14,864,865, not $20.8M) and Required Lender calculations.</w:t>
            </w:r>
          </w:p>
        </w:tc>
      </w:tr>
      <w:tr>
        <w:tc>
          <w:tcPr>
            <w:tcW w:type="dxa" w:w="2088"/>
            <w:shd w:val="clear" w:color="auto" w:fill="D9E2F3"/>
          </w:tcPr>
          <w:p>
            <w:r/>
            <w:r>
              <w:rPr>
                <w:b/>
                <w:sz w:val="18"/>
              </w:rPr>
              <w:t>Action required</w:t>
            </w:r>
          </w:p>
        </w:tc>
        <w:tc>
          <w:tcPr>
            <w:tcW w:type="dxa" w:w="7272"/>
          </w:tcPr>
          <w:p>
            <w:r/>
            <w:r>
              <w:rPr>
                <w:b w:val="0"/>
                <w:sz w:val="18"/>
              </w:rPr>
              <w:t>Obtain a corrected Aldersgate signature page in the correct legal name (with Aldersgate confirming whether "Crestview" is a former or affiliated name; if Crestview is a different legal entity, it is not a Lender and Aldersgate must sign).</w:t>
            </w:r>
          </w:p>
          <w:p>
            <w:r>
              <w:rPr>
                <w:b w:val="0"/>
                <w:sz w:val="18"/>
              </w:rPr>
              <w:t>Void and replace the Aldersgate note with a $25,000,000 note; confirm the other three notes match ($75M / $45M / $40M).</w:t>
            </w:r>
          </w:p>
          <w:p>
            <w:r>
              <w:rPr>
                <w:b w:val="0"/>
                <w:sz w:val="18"/>
              </w:rPr>
              <w:t>Correct the checklist Commitment Summary and Item 2(d); confirm each Lender's funding amount for the $110M draw with the Agent: Ridgeline $44,594,595; Sagebrush $26,756,757; Ironwood $23,783,784; Aldersgate $14,864,865 (Pro Rata Shares per Schedule 1.01(a), subject to the Agent's rounding).</w:t>
            </w:r>
          </w:p>
        </w:tc>
      </w:tr>
      <w:tr>
        <w:tc>
          <w:tcPr>
            <w:tcW w:type="dxa" w:w="2088"/>
            <w:shd w:val="clear" w:color="auto" w:fill="D9E2F3"/>
          </w:tcPr>
          <w:p>
            <w:r/>
            <w:r>
              <w:rPr>
                <w:b/>
                <w:sz w:val="18"/>
              </w:rPr>
              <w:t>Owner / timing</w:t>
            </w:r>
          </w:p>
        </w:tc>
        <w:tc>
          <w:tcPr>
            <w:tcW w:type="dxa" w:w="7272"/>
          </w:tcPr>
          <w:p>
            <w:r/>
            <w:r>
              <w:rPr>
                <w:b w:val="0"/>
                <w:sz w:val="18"/>
              </w:rPr>
              <w:t>Whitmore Ridley / Agent (signature page), P&amp;H (note, checklist); before Wednesday call.</w:t>
            </w:r>
          </w:p>
        </w:tc>
      </w:tr>
    </w:tbl>
    <w:p>
      <w:pPr>
        <w:spacing w:after="40"/>
      </w:pPr>
    </w:p>
    <w:p>
      <w:pPr>
        <w:pStyle w:val="Heading3"/>
      </w:pPr>
      <w:r>
        <w:t>C-9. Flow of Funds Does Not Match the Payoff Letter and Omits Fees</w:t>
      </w:r>
    </w:p>
    <w:tbl>
      <w:tblPr>
        <w:tblStyle w:val="TableGrid"/>
        <w:tblW w:type="auto" w:w="0"/>
        <w:tblLook w:firstColumn="1" w:firstRow="1" w:lastColumn="0" w:lastRow="0" w:noHBand="0" w:noVBand="1" w:val="04A0"/>
      </w:tblPr>
      <w:tblGrid>
        <w:gridCol w:w="4680"/>
        <w:gridCol w:w="4680"/>
      </w:tblGrid>
      <w:tr>
        <w:tc>
          <w:tcPr>
            <w:tcW w:type="dxa" w:w="2088"/>
            <w:shd w:val="clear" w:color="auto" w:fill="D9E2F3"/>
          </w:tcPr>
          <w:p>
            <w:r/>
            <w:r>
              <w:rPr>
                <w:b/>
                <w:sz w:val="18"/>
              </w:rPr>
              <w:t>Severity</w:t>
            </w:r>
          </w:p>
        </w:tc>
        <w:tc>
          <w:tcPr>
            <w:tcW w:type="dxa" w:w="7272"/>
            <w:shd w:val="clear" w:color="auto" w:fill="C00000"/>
          </w:tcPr>
          <w:p>
            <w:r/>
            <w:r>
              <w:rPr>
                <w:b/>
                <w:color w:val="FFFFFF"/>
                <w:sz w:val="18"/>
              </w:rPr>
              <w:t>CRITICAL</w:t>
            </w:r>
          </w:p>
        </w:tc>
      </w:tr>
      <w:tr>
        <w:tc>
          <w:tcPr>
            <w:tcW w:type="dxa" w:w="2088"/>
            <w:shd w:val="clear" w:color="auto" w:fill="D9E2F3"/>
          </w:tcPr>
          <w:p>
            <w:r/>
            <w:r>
              <w:rPr>
                <w:b/>
                <w:sz w:val="18"/>
              </w:rPr>
              <w:t>Checklist / source refs</w:t>
            </w:r>
          </w:p>
        </w:tc>
        <w:tc>
          <w:tcPr>
            <w:tcW w:type="dxa" w:w="7272"/>
          </w:tcPr>
          <w:p>
            <w:r/>
            <w:r>
              <w:rPr>
                <w:b w:val="0"/>
                <w:sz w:val="18"/>
              </w:rPr>
              <w:t>Checklist Items 21, 30, 31; Compliance Certificate Section 3.1; CA Sections 2.06(a), 2.09, 7.01(h), 7.01(n); June 16 email.</w:t>
            </w:r>
          </w:p>
        </w:tc>
      </w:tr>
      <w:tr>
        <w:tc>
          <w:tcPr>
            <w:tcW w:type="dxa" w:w="2088"/>
            <w:shd w:val="clear" w:color="auto" w:fill="D9E2F3"/>
          </w:tcPr>
          <w:p>
            <w:r/>
            <w:r>
              <w:rPr>
                <w:b/>
                <w:sz w:val="18"/>
              </w:rPr>
              <w:t>Finding</w:t>
            </w:r>
          </w:p>
        </w:tc>
        <w:tc>
          <w:tcPr>
            <w:tcW w:type="dxa" w:w="7272"/>
          </w:tcPr>
          <w:p>
            <w:r/>
            <w:r>
              <w:rPr>
                <w:b w:val="0"/>
                <w:sz w:val="18"/>
              </w:rPr>
              <w:t xml:space="preserve">The Cornerstone payoff letter states a payoff amount of </w:t>
            </w:r>
            <w:r>
              <w:rPr>
                <w:b/>
                <w:sz w:val="18"/>
              </w:rPr>
              <w:t>$87,450,000</w:t>
            </w:r>
            <w:r>
              <w:rPr>
                <w:b w:val="0"/>
                <w:sz w:val="18"/>
              </w:rPr>
              <w:t xml:space="preserve">, good through June 20, 2025 (Item 21). The flow of funds memo (Item 30) and the email allocate </w:t>
            </w:r>
            <w:r>
              <w:rPr>
                <w:b/>
                <w:sz w:val="18"/>
              </w:rPr>
              <w:t>$90,000,000</w:t>
            </w:r>
            <w:r>
              <w:rPr>
                <w:b w:val="0"/>
                <w:sz w:val="18"/>
              </w:rPr>
              <w:t xml:space="preserve"> to Cornerstone — the original 2020 principal amount of the term loan, not the payoff amount. That over-wires Cornerstone by $2,550,000.</w:t>
            </w:r>
          </w:p>
          <w:p>
            <w:r>
              <w:rPr>
                <w:b w:val="0"/>
                <w:sz w:val="18"/>
              </w:rPr>
              <w:t>The flow of funds splits the $110M draw entirely between Cornerstone ($90M) and the operating account ($20M), with nothing for the $925,000 upfront fee (which Item 31(a) says will be "paid at closing from initial draw proceeds"), the P&amp;H ($485,000) and Whitmore Ridley ($310,000) fees, or the $4,780,000 of title, survey, recording, environmental, appraisal and other costs — $6,500,000 in total. Section 7.01(n) requires those fees to be paid in full on or before the Closing Date, and Section 2.09 permits closing-date proceeds to be used only for the Cornerstone refinancing and transaction fees and expenses.</w:t>
            </w:r>
          </w:p>
        </w:tc>
      </w:tr>
      <w:tr>
        <w:tc>
          <w:tcPr>
            <w:tcW w:type="dxa" w:w="2088"/>
            <w:shd w:val="clear" w:color="auto" w:fill="D9E2F3"/>
          </w:tcPr>
          <w:p>
            <w:r/>
            <w:r>
              <w:rPr>
                <w:b/>
                <w:sz w:val="18"/>
              </w:rPr>
              <w:t>Why it matters</w:t>
            </w:r>
          </w:p>
        </w:tc>
        <w:tc>
          <w:tcPr>
            <w:tcW w:type="dxa" w:w="7272"/>
          </w:tcPr>
          <w:p>
            <w:r/>
            <w:r>
              <w:rPr>
                <w:b w:val="0"/>
                <w:sz w:val="18"/>
              </w:rPr>
              <w:t>The disbursement mechanics will not reconcile at closing; Section 7.01(n) cannot be shown satisfied; and the Compliance Certificate (which assumes $90M to Cornerstone and separately deducts $6.5M of fees) is inconsistent with the funds flow. If the payoff letter amount is correct, the existing principal is at most $87.45M (inclusive of interest and fees), so the $90M "outstanding principal" recited in the Compliance Certificate is also wrong.</w:t>
            </w:r>
          </w:p>
        </w:tc>
      </w:tr>
      <w:tr>
        <w:tc>
          <w:tcPr>
            <w:tcW w:type="dxa" w:w="2088"/>
            <w:shd w:val="clear" w:color="auto" w:fill="D9E2F3"/>
          </w:tcPr>
          <w:p>
            <w:r/>
            <w:r>
              <w:rPr>
                <w:b/>
                <w:sz w:val="18"/>
              </w:rPr>
              <w:t>Action required</w:t>
            </w:r>
          </w:p>
        </w:tc>
        <w:tc>
          <w:tcPr>
            <w:tcW w:type="dxa" w:w="7272"/>
          </w:tcPr>
          <w:p>
            <w:r/>
            <w:r>
              <w:rPr>
                <w:b w:val="0"/>
                <w:sz w:val="18"/>
              </w:rPr>
              <w:t>Rebuild the flow of funds: $87,450,000 to Cornerstone per its wire instructions (plus per diem if funding slips), $925,000 to Ridgeline, $485,000 to P&amp;H, $310,000 to Whitmore Ridley, itemized third-party costs (Clearwater, surveyors, Trident, Pinnacle, recording taxes and fees), and the balance (approximately $16,050,000 if all $6.5M is funded from the draw) to the Borrower's operating account. Confirm whether the Borrower will fund any costs from cash on hand.</w:t>
            </w:r>
          </w:p>
          <w:p>
            <w:r>
              <w:rPr>
                <w:b w:val="0"/>
                <w:sz w:val="18"/>
              </w:rPr>
              <w:t>Obtain written confirmation from Diana Marsh that $87,450,000 includes all principal, accrued interest, fees, prepayment premium and breakage (Section 7.01(h)(i)) and a per diem amount.</w:t>
            </w:r>
          </w:p>
          <w:p>
            <w:r>
              <w:rPr>
                <w:b w:val="0"/>
                <w:sz w:val="18"/>
              </w:rPr>
              <w:t>Circulate the revised flow of funds to the Agent and Whitmore Ridley by Wednesday and conform the Compliance Certificate (see H-6). Change Item 30 to "Draft Received."</w:t>
            </w:r>
          </w:p>
        </w:tc>
      </w:tr>
      <w:tr>
        <w:tc>
          <w:tcPr>
            <w:tcW w:type="dxa" w:w="2088"/>
            <w:shd w:val="clear" w:color="auto" w:fill="D9E2F3"/>
          </w:tcPr>
          <w:p>
            <w:r/>
            <w:r>
              <w:rPr>
                <w:b/>
                <w:sz w:val="18"/>
              </w:rPr>
              <w:t>Owner / timing</w:t>
            </w:r>
          </w:p>
        </w:tc>
        <w:tc>
          <w:tcPr>
            <w:tcW w:type="dxa" w:w="7272"/>
          </w:tcPr>
          <w:p>
            <w:r/>
            <w:r>
              <w:rPr>
                <w:b w:val="0"/>
                <w:sz w:val="18"/>
              </w:rPr>
              <w:t>P&amp;H / Borrower; revised funds flow by Wed. June 18.</w:t>
            </w:r>
          </w:p>
        </w:tc>
      </w:tr>
    </w:tbl>
    <w:p>
      <w:pPr>
        <w:spacing w:after="40"/>
      </w:pPr>
    </w:p>
    <w:p>
      <w:pPr>
        <w:pStyle w:val="Heading3"/>
      </w:pPr>
      <w:r>
        <w:t>C-10. Borrowing Request Deadline — Juneteenth Moves It to Today</w:t>
      </w:r>
    </w:p>
    <w:tbl>
      <w:tblPr>
        <w:tblStyle w:val="TableGrid"/>
        <w:tblW w:type="auto" w:w="0"/>
        <w:tblLook w:firstColumn="1" w:firstRow="1" w:lastColumn="0" w:lastRow="0" w:noHBand="0" w:noVBand="1" w:val="04A0"/>
      </w:tblPr>
      <w:tblGrid>
        <w:gridCol w:w="4680"/>
        <w:gridCol w:w="4680"/>
      </w:tblGrid>
      <w:tr>
        <w:tc>
          <w:tcPr>
            <w:tcW w:type="dxa" w:w="2088"/>
            <w:shd w:val="clear" w:color="auto" w:fill="D9E2F3"/>
          </w:tcPr>
          <w:p>
            <w:r/>
            <w:r>
              <w:rPr>
                <w:b/>
                <w:sz w:val="18"/>
              </w:rPr>
              <w:t>Severity</w:t>
            </w:r>
          </w:p>
        </w:tc>
        <w:tc>
          <w:tcPr>
            <w:tcW w:type="dxa" w:w="7272"/>
            <w:shd w:val="clear" w:color="auto" w:fill="C00000"/>
          </w:tcPr>
          <w:p>
            <w:r/>
            <w:r>
              <w:rPr>
                <w:b/>
                <w:color w:val="FFFFFF"/>
                <w:sz w:val="18"/>
              </w:rPr>
              <w:t>CRITICAL</w:t>
            </w:r>
          </w:p>
        </w:tc>
      </w:tr>
      <w:tr>
        <w:tc>
          <w:tcPr>
            <w:tcW w:type="dxa" w:w="2088"/>
            <w:shd w:val="clear" w:color="auto" w:fill="D9E2F3"/>
          </w:tcPr>
          <w:p>
            <w:r/>
            <w:r>
              <w:rPr>
                <w:b/>
                <w:sz w:val="18"/>
              </w:rPr>
              <w:t>Checklist / source refs</w:t>
            </w:r>
          </w:p>
        </w:tc>
        <w:tc>
          <w:tcPr>
            <w:tcW w:type="dxa" w:w="7272"/>
          </w:tcPr>
          <w:p>
            <w:r/>
            <w:r>
              <w:rPr>
                <w:b w:val="0"/>
                <w:sz w:val="18"/>
              </w:rPr>
              <w:t>Not on checklist; CA Section 2.02, Section 7.02(d), "Business Day," Exhibit A.</w:t>
            </w:r>
          </w:p>
        </w:tc>
      </w:tr>
      <w:tr>
        <w:tc>
          <w:tcPr>
            <w:tcW w:type="dxa" w:w="2088"/>
            <w:shd w:val="clear" w:color="auto" w:fill="D9E2F3"/>
          </w:tcPr>
          <w:p>
            <w:r/>
            <w:r>
              <w:rPr>
                <w:b/>
                <w:sz w:val="18"/>
              </w:rPr>
              <w:t>Finding</w:t>
            </w:r>
          </w:p>
        </w:tc>
        <w:tc>
          <w:tcPr>
            <w:tcW w:type="dxa" w:w="7272"/>
          </w:tcPr>
          <w:p>
            <w:r/>
            <w:r>
              <w:rPr>
                <w:b w:val="0"/>
                <w:sz w:val="18"/>
              </w:rPr>
              <w:t>The initial borrowing is conditioned on the Agent's receipt of a Borrowing Request (Section 7.02(d), which by its terms applies to the initial borrowing on the Closing Date). Under Section 2.02, a Borrowing Request for Term SOFR Loans (the only loan type the facility offers) must be received "no later than 1:00 p.m. (Denver time) at least three (3) Business Days prior to the requested Borrowing Date."</w:t>
            </w:r>
          </w:p>
          <w:p>
            <w:r>
              <w:rPr>
                <w:b w:val="0"/>
                <w:sz w:val="18"/>
              </w:rPr>
              <w:t xml:space="preserve">Thursday, June 19, 2025 (Juneteenth) is a federal holiday on which banks in New York and Denver may close and SIFMA recommends a full close, so it is not a Business Day. Counting back from Friday, June 20: Wednesday June 18 (1), Tuesday June 17 (2), Monday June 16 (3). The Borrowing Request was therefore due by </w:t>
            </w:r>
            <w:r>
              <w:rPr>
                <w:b/>
                <w:sz w:val="18"/>
              </w:rPr>
              <w:t>1:00 p.m. Denver time (3:00 p.m. Eastern) on Monday, June 16, 2025</w:t>
            </w:r>
            <w:r>
              <w:rPr>
                <w:b w:val="0"/>
                <w:sz w:val="18"/>
              </w:rPr>
              <w:t xml:space="preserve"> — today. The checklist has no Borrowing Request item and the email does not mention it.</w:t>
            </w:r>
          </w:p>
        </w:tc>
      </w:tr>
      <w:tr>
        <w:tc>
          <w:tcPr>
            <w:tcW w:type="dxa" w:w="2088"/>
            <w:shd w:val="clear" w:color="auto" w:fill="D9E2F3"/>
          </w:tcPr>
          <w:p>
            <w:r/>
            <w:r>
              <w:rPr>
                <w:b/>
                <w:sz w:val="18"/>
              </w:rPr>
              <w:t>Why it matters</w:t>
            </w:r>
          </w:p>
        </w:tc>
        <w:tc>
          <w:tcPr>
            <w:tcW w:type="dxa" w:w="7272"/>
          </w:tcPr>
          <w:p>
            <w:r/>
            <w:r>
              <w:rPr>
                <w:b w:val="0"/>
                <w:sz w:val="18"/>
              </w:rPr>
              <w:t>If the notice was not timely delivered, the Lenders are not obligated to fund on June 20. The Borrowing Request must also satisfy the $5,000,000 minimum / $1,000,000 multiple requirement ($110,000,000 does) and specify the Interest Period.</w:t>
            </w:r>
          </w:p>
        </w:tc>
      </w:tr>
      <w:tr>
        <w:tc>
          <w:tcPr>
            <w:tcW w:type="dxa" w:w="2088"/>
            <w:shd w:val="clear" w:color="auto" w:fill="D9E2F3"/>
          </w:tcPr>
          <w:p>
            <w:r/>
            <w:r>
              <w:rPr>
                <w:b/>
                <w:sz w:val="18"/>
              </w:rPr>
              <w:t>Action required</w:t>
            </w:r>
          </w:p>
        </w:tc>
        <w:tc>
          <w:tcPr>
            <w:tcW w:type="dxa" w:w="7272"/>
          </w:tcPr>
          <w:p>
            <w:r/>
            <w:r>
              <w:rPr>
                <w:b w:val="0"/>
                <w:sz w:val="18"/>
              </w:rPr>
              <w:t>Confirm immediately with Ms. Felton whether a Borrowing Request (Exhibit A form: $110,000,000; Term SOFR Loan; Interest Period selection) has been delivered to David Kessler. If not, deliver it now and ask Ridgeline (and, through it, the Required Lenders) to accept shortened notice in writing; raise expressly on Wednesday's call.</w:t>
            </w:r>
          </w:p>
          <w:p>
            <w:r>
              <w:rPr>
                <w:b w:val="0"/>
                <w:sz w:val="18"/>
              </w:rPr>
              <w:t>Add a checklist item for the Borrowing Request (Borrower; due June 16) and note that its delivery is a deemed representation that the Section 7.02(a)–(c) conditions are satisfied.</w:t>
            </w:r>
          </w:p>
        </w:tc>
      </w:tr>
      <w:tr>
        <w:tc>
          <w:tcPr>
            <w:tcW w:type="dxa" w:w="2088"/>
            <w:shd w:val="clear" w:color="auto" w:fill="D9E2F3"/>
          </w:tcPr>
          <w:p>
            <w:r/>
            <w:r>
              <w:rPr>
                <w:b/>
                <w:sz w:val="18"/>
              </w:rPr>
              <w:t>Owner / timing</w:t>
            </w:r>
          </w:p>
        </w:tc>
        <w:tc>
          <w:tcPr>
            <w:tcW w:type="dxa" w:w="7272"/>
          </w:tcPr>
          <w:p>
            <w:r/>
            <w:r>
              <w:rPr>
                <w:b w:val="0"/>
                <w:sz w:val="18"/>
              </w:rPr>
              <w:t>Borrower (S. Felton) / P&amp;H; today.</w:t>
            </w:r>
          </w:p>
        </w:tc>
      </w:tr>
    </w:tbl>
    <w:p>
      <w:pPr>
        <w:spacing w:after="40"/>
      </w:pPr>
    </w:p>
    <w:p>
      <w:pPr>
        <w:pStyle w:val="Heading1"/>
      </w:pPr>
      <w:r>
        <w:t>IV. High-Priority Issues</w:t>
      </w:r>
    </w:p>
    <w:p>
      <w:pPr>
        <w:pStyle w:val="Heading3"/>
      </w:pPr>
      <w:r>
        <w:t>H-1. Legal Opinions — Missing North Carolina Real Estate Opinion; Scope Gaps; Misstated Status</w:t>
      </w:r>
    </w:p>
    <w:tbl>
      <w:tblPr>
        <w:tblStyle w:val="TableGrid"/>
        <w:tblW w:type="auto" w:w="0"/>
        <w:tblLook w:firstColumn="1" w:firstRow="1" w:lastColumn="0" w:lastRow="0" w:noHBand="0" w:noVBand="1" w:val="04A0"/>
      </w:tblPr>
      <w:tblGrid>
        <w:gridCol w:w="4680"/>
        <w:gridCol w:w="4680"/>
      </w:tblGrid>
      <w:tr>
        <w:tc>
          <w:tcPr>
            <w:tcW w:type="dxa" w:w="2088"/>
            <w:shd w:val="clear" w:color="auto" w:fill="D9E2F3"/>
          </w:tcPr>
          <w:p>
            <w:r/>
            <w:r>
              <w:rPr>
                <w:b/>
                <w:sz w:val="18"/>
              </w:rPr>
              <w:t>Severity</w:t>
            </w:r>
          </w:p>
        </w:tc>
        <w:tc>
          <w:tcPr>
            <w:tcW w:type="dxa" w:w="7272"/>
            <w:shd w:val="clear" w:color="auto" w:fill="E26B0A"/>
          </w:tcPr>
          <w:p>
            <w:r/>
            <w:r>
              <w:rPr>
                <w:b/>
                <w:color w:val="FFFFFF"/>
                <w:sz w:val="18"/>
              </w:rPr>
              <w:t>HIGH</w:t>
            </w:r>
          </w:p>
        </w:tc>
      </w:tr>
      <w:tr>
        <w:tc>
          <w:tcPr>
            <w:tcW w:type="dxa" w:w="2088"/>
            <w:shd w:val="clear" w:color="auto" w:fill="D9E2F3"/>
          </w:tcPr>
          <w:p>
            <w:r/>
            <w:r>
              <w:rPr>
                <w:b/>
                <w:sz w:val="18"/>
              </w:rPr>
              <w:t>Checklist / source refs</w:t>
            </w:r>
          </w:p>
        </w:tc>
        <w:tc>
          <w:tcPr>
            <w:tcW w:type="dxa" w:w="7272"/>
          </w:tcPr>
          <w:p>
            <w:r/>
            <w:r>
              <w:rPr>
                <w:b w:val="0"/>
                <w:sz w:val="18"/>
              </w:rPr>
              <w:t>Checklist Items 18, 19, 20; CA 7.01(f)(i)–(ii); June 16 email.</w:t>
            </w:r>
          </w:p>
        </w:tc>
      </w:tr>
      <w:tr>
        <w:tc>
          <w:tcPr>
            <w:tcW w:type="dxa" w:w="2088"/>
            <w:shd w:val="clear" w:color="auto" w:fill="D9E2F3"/>
          </w:tcPr>
          <w:p>
            <w:r/>
            <w:r>
              <w:rPr>
                <w:b/>
                <w:sz w:val="18"/>
              </w:rPr>
              <w:t>Finding</w:t>
            </w:r>
          </w:p>
        </w:tc>
        <w:tc>
          <w:tcPr>
            <w:tcW w:type="dxa" w:w="7272"/>
          </w:tcPr>
          <w:p>
            <w:r/>
            <w:r>
              <w:rPr>
                <w:b/>
                <w:sz w:val="18"/>
              </w:rPr>
              <w:t>Real estate local counsel opinion missing.</w:t>
            </w:r>
            <w:r>
              <w:rPr>
                <w:b w:val="0"/>
                <w:sz w:val="18"/>
              </w:rPr>
              <w:t xml:space="preserve"> Section 7.01(f)(ii) requires legal opinions "of local counsel in each state where real property collateral is located," covering mortgage enforceability, title matters and recording requirements. The real property collateral (Charlotte and Gastonia) is in North Carolina. No North Carolina real estate opinion is on the checklist. The only local counsel opinion (Stonebridge, Virginia) covers entity-level and Guarantee/Security Agreement matters for TAM; Virginia has no real property collateral (Richmond is leased), so the Stonebridge opinion does not satisfy Section 7.01(f)(ii).</w:t>
            </w:r>
          </w:p>
          <w:p>
            <w:r>
              <w:rPr>
                <w:b/>
                <w:sz w:val="18"/>
              </w:rPr>
              <w:t>P&amp;H opinion scope.</w:t>
            </w:r>
            <w:r>
              <w:rPr>
                <w:b w:val="0"/>
                <w:sz w:val="18"/>
              </w:rPr>
              <w:t xml:space="preserve"> Item 18 covers UCC perfection "with respect to Delaware and North Carolina filings" only. Once the TAM Virginia UCC-1 is filed (C-5), Virginia filing-office perfection must be covered by P&amp;H or Stonebridge. The P&amp;H opinion also does not mention the Mortgages; if P&amp;H (a Charlotte firm) will serve as North Carolina local counsel, its opinion must add mortgage enforceability, form for recording and recording requirements for both deeds of trust. It must be dated the Closing Date and address the Agent and the Lenders.</w:t>
            </w:r>
          </w:p>
          <w:p>
            <w:r>
              <w:rPr>
                <w:b/>
                <w:sz w:val="18"/>
              </w:rPr>
              <w:t>Status conflicts.</w:t>
            </w:r>
            <w:r>
              <w:rPr>
                <w:b w:val="0"/>
                <w:sz w:val="18"/>
              </w:rPr>
              <w:t xml:space="preserve"> Item 20 (Stonebridge) is marked "Complete — June 14, 2025," but the email says only a draft has circulated with a final expected Wednesday. Item 18 says the P&amp;H opinion draft circulated June 14 for final at closing; the email says it is still being finalized for Thursday.</w:t>
            </w:r>
          </w:p>
          <w:p>
            <w:r>
              <w:rPr>
                <w:b/>
                <w:sz w:val="18"/>
              </w:rPr>
              <w:t>Whitmore Ridley opinion (Item 19).</w:t>
            </w:r>
            <w:r>
              <w:rPr>
                <w:b w:val="0"/>
                <w:sz w:val="18"/>
              </w:rPr>
              <w:t xml:space="preserve"> The Credit Agreement does not require an opinion from Agent's counsel, and counsel to the Agent ordinarily does not opine to its own client group on enforceability. Confirm with Whitmore Ridley whether this item is real; if not, delete it so it does not hold up closing.</w:t>
            </w:r>
          </w:p>
        </w:tc>
      </w:tr>
      <w:tr>
        <w:tc>
          <w:tcPr>
            <w:tcW w:type="dxa" w:w="2088"/>
            <w:shd w:val="clear" w:color="auto" w:fill="D9E2F3"/>
          </w:tcPr>
          <w:p>
            <w:r/>
            <w:r>
              <w:rPr>
                <w:b/>
                <w:sz w:val="18"/>
              </w:rPr>
              <w:t>Why it matters</w:t>
            </w:r>
          </w:p>
        </w:tc>
        <w:tc>
          <w:tcPr>
            <w:tcW w:type="dxa" w:w="7272"/>
          </w:tcPr>
          <w:p>
            <w:r/>
            <w:r>
              <w:rPr>
                <w:b w:val="0"/>
                <w:sz w:val="18"/>
              </w:rPr>
              <w:t>Section 7.01(f) is unsatisfied absent a North Carolina real estate opinion; opinion scope must match the collateral package actually delivered.</w:t>
            </w:r>
          </w:p>
        </w:tc>
      </w:tr>
      <w:tr>
        <w:tc>
          <w:tcPr>
            <w:tcW w:type="dxa" w:w="2088"/>
            <w:shd w:val="clear" w:color="auto" w:fill="D9E2F3"/>
          </w:tcPr>
          <w:p>
            <w:r/>
            <w:r>
              <w:rPr>
                <w:b/>
                <w:sz w:val="18"/>
              </w:rPr>
              <w:t>Action required</w:t>
            </w:r>
          </w:p>
        </w:tc>
        <w:tc>
          <w:tcPr>
            <w:tcW w:type="dxa" w:w="7272"/>
          </w:tcPr>
          <w:p>
            <w:r/>
            <w:r>
              <w:rPr>
                <w:b w:val="0"/>
                <w:sz w:val="18"/>
              </w:rPr>
              <w:t>Decide today whether P&amp;H will give the North Carolina real estate opinion (add it to Item 18) or engage separate local counsel; circulate a draft to Whitmore Ridley by Wednesday.</w:t>
            </w:r>
          </w:p>
          <w:p>
            <w:r>
              <w:rPr>
                <w:b w:val="0"/>
                <w:sz w:val="18"/>
              </w:rPr>
              <w:t>Add Virginia UCC perfection to the P&amp;H or Stonebridge opinion; confirm Stonebridge covers the TAM Guarantee once executed (C-4).</w:t>
            </w:r>
          </w:p>
          <w:p>
            <w:r>
              <w:rPr>
                <w:b w:val="0"/>
                <w:sz w:val="18"/>
              </w:rPr>
              <w:t>Change Item 20 to "Draft Received" and confirm with Whitmore Ridley whether Item 19 is required.</w:t>
            </w:r>
          </w:p>
        </w:tc>
      </w:tr>
      <w:tr>
        <w:tc>
          <w:tcPr>
            <w:tcW w:type="dxa" w:w="2088"/>
            <w:shd w:val="clear" w:color="auto" w:fill="D9E2F3"/>
          </w:tcPr>
          <w:p>
            <w:r/>
            <w:r>
              <w:rPr>
                <w:b/>
                <w:sz w:val="18"/>
              </w:rPr>
              <w:t>Owner / timing</w:t>
            </w:r>
          </w:p>
        </w:tc>
        <w:tc>
          <w:tcPr>
            <w:tcW w:type="dxa" w:w="7272"/>
          </w:tcPr>
          <w:p>
            <w:r/>
            <w:r>
              <w:rPr>
                <w:b w:val="0"/>
                <w:sz w:val="18"/>
              </w:rPr>
              <w:t>P&amp;H (C. Liang) / Stonebridge / WR; drafts by Wed. June 18, finals dated June 20.</w:t>
            </w:r>
          </w:p>
        </w:tc>
      </w:tr>
    </w:tbl>
    <w:p>
      <w:pPr>
        <w:spacing w:after="40"/>
      </w:pPr>
    </w:p>
    <w:p>
      <w:pPr>
        <w:pStyle w:val="Heading3"/>
      </w:pPr>
      <w:r>
        <w:t>H-2. Cornerstone Payoff and Lien Releases — Releases Must Be in Hand at Closing</w:t>
      </w:r>
    </w:p>
    <w:tbl>
      <w:tblPr>
        <w:tblStyle w:val="TableGrid"/>
        <w:tblW w:type="auto" w:w="0"/>
        <w:tblLook w:firstColumn="1" w:firstRow="1" w:lastColumn="0" w:lastRow="0" w:noHBand="0" w:noVBand="1" w:val="04A0"/>
      </w:tblPr>
      <w:tblGrid>
        <w:gridCol w:w="4680"/>
        <w:gridCol w:w="4680"/>
      </w:tblGrid>
      <w:tr>
        <w:tc>
          <w:tcPr>
            <w:tcW w:type="dxa" w:w="2088"/>
            <w:shd w:val="clear" w:color="auto" w:fill="D9E2F3"/>
          </w:tcPr>
          <w:p>
            <w:r/>
            <w:r>
              <w:rPr>
                <w:b/>
                <w:sz w:val="18"/>
              </w:rPr>
              <w:t>Severity</w:t>
            </w:r>
          </w:p>
        </w:tc>
        <w:tc>
          <w:tcPr>
            <w:tcW w:type="dxa" w:w="7272"/>
            <w:shd w:val="clear" w:color="auto" w:fill="E26B0A"/>
          </w:tcPr>
          <w:p>
            <w:r/>
            <w:r>
              <w:rPr>
                <w:b/>
                <w:color w:val="FFFFFF"/>
                <w:sz w:val="18"/>
              </w:rPr>
              <w:t>HIGH</w:t>
            </w:r>
          </w:p>
        </w:tc>
      </w:tr>
      <w:tr>
        <w:tc>
          <w:tcPr>
            <w:tcW w:type="dxa" w:w="2088"/>
            <w:shd w:val="clear" w:color="auto" w:fill="D9E2F3"/>
          </w:tcPr>
          <w:p>
            <w:r/>
            <w:r>
              <w:rPr>
                <w:b/>
                <w:sz w:val="18"/>
              </w:rPr>
              <w:t>Checklist / source refs</w:t>
            </w:r>
          </w:p>
        </w:tc>
        <w:tc>
          <w:tcPr>
            <w:tcW w:type="dxa" w:w="7272"/>
          </w:tcPr>
          <w:p>
            <w:r/>
            <w:r>
              <w:rPr>
                <w:b w:val="0"/>
                <w:sz w:val="18"/>
              </w:rPr>
              <w:t>Checklist Items 21, 22, 23; CA 7.01(h); Item 14.</w:t>
            </w:r>
          </w:p>
        </w:tc>
      </w:tr>
      <w:tr>
        <w:tc>
          <w:tcPr>
            <w:tcW w:type="dxa" w:w="2088"/>
            <w:shd w:val="clear" w:color="auto" w:fill="D9E2F3"/>
          </w:tcPr>
          <w:p>
            <w:r/>
            <w:r>
              <w:rPr>
                <w:b/>
                <w:sz w:val="18"/>
              </w:rPr>
              <w:t>Finding</w:t>
            </w:r>
          </w:p>
        </w:tc>
        <w:tc>
          <w:tcPr>
            <w:tcW w:type="dxa" w:w="7272"/>
          </w:tcPr>
          <w:p>
            <w:r/>
            <w:r>
              <w:rPr>
                <w:b w:val="0"/>
                <w:sz w:val="18"/>
              </w:rPr>
              <w:t>Section 7.01(h)(ii) requires, as a closing condition, evidence that upon receipt of the payoff amount all Cornerstone Liens will be released, "including UCC-3 termination statements and mortgage release documents in recordable form." Items 22 and 23 say these will be "delivered at or promptly after closing." Post-closing delivery does not satisfy the condition; the documents (or Agent-authorized filing authority) must be held in escrow at closing.</w:t>
            </w:r>
          </w:p>
          <w:p>
            <w:r>
              <w:rPr>
                <w:b w:val="0"/>
                <w:sz w:val="18"/>
              </w:rPr>
              <w:t>Section 7.01(h)(i) requires the payoff letter to set out principal, accrued interest, fees, any prepayment premium or breakage, and wire instructions. Item 21 records only a gross figure ($87,450,000) good through June 20, with no per diem.</w:t>
            </w:r>
          </w:p>
        </w:tc>
      </w:tr>
      <w:tr>
        <w:tc>
          <w:tcPr>
            <w:tcW w:type="dxa" w:w="2088"/>
            <w:shd w:val="clear" w:color="auto" w:fill="D9E2F3"/>
          </w:tcPr>
          <w:p>
            <w:r/>
            <w:r>
              <w:rPr>
                <w:b/>
                <w:sz w:val="18"/>
              </w:rPr>
              <w:t>Why it matters</w:t>
            </w:r>
          </w:p>
        </w:tc>
        <w:tc>
          <w:tcPr>
            <w:tcW w:type="dxa" w:w="7272"/>
          </w:tcPr>
          <w:p>
            <w:r/>
            <w:r>
              <w:rPr>
                <w:b w:val="0"/>
                <w:sz w:val="18"/>
              </w:rPr>
              <w:t>Without recordable releases at closing the Agent cannot be assured of first-priority Liens on the Charlotte and Gastonia properties and the personal property, and Clearwater will not delete the Cornerstone mortgages from the title commitments.</w:t>
            </w:r>
          </w:p>
        </w:tc>
      </w:tr>
      <w:tr>
        <w:tc>
          <w:tcPr>
            <w:tcW w:type="dxa" w:w="2088"/>
            <w:shd w:val="clear" w:color="auto" w:fill="D9E2F3"/>
          </w:tcPr>
          <w:p>
            <w:r/>
            <w:r>
              <w:rPr>
                <w:b/>
                <w:sz w:val="18"/>
              </w:rPr>
              <w:t>Action required</w:t>
            </w:r>
          </w:p>
        </w:tc>
        <w:tc>
          <w:tcPr>
            <w:tcW w:type="dxa" w:w="7272"/>
          </w:tcPr>
          <w:p>
            <w:r/>
            <w:r>
              <w:rPr>
                <w:b w:val="0"/>
                <w:sz w:val="18"/>
              </w:rPr>
              <w:t>Ask Diana Marsh for (a) a payoff letter confirming the components of $87,450,000, per diem interest and wire instructions, and an undertaking to release upon receipt; (b) executed UCC-3 terminations (or authorization for the Agent/P&amp;H to file them) for TCG and TDS (Delaware), TSC (North Carolina) and TAM (Virginia); and (c) executed, recordable deeds of trust cancellations/satisfactions for the Charlotte (Mecklenburg County) and Gastonia (Gaston County) mortgages, all to be held in escrow.</w:t>
            </w:r>
          </w:p>
          <w:p>
            <w:r>
              <w:rPr>
                <w:b w:val="0"/>
                <w:sz w:val="18"/>
              </w:rPr>
              <w:t>Revise Items 22 and 23 to "Pending — to be delivered in escrow prior to closing."</w:t>
            </w:r>
          </w:p>
        </w:tc>
      </w:tr>
      <w:tr>
        <w:tc>
          <w:tcPr>
            <w:tcW w:type="dxa" w:w="2088"/>
            <w:shd w:val="clear" w:color="auto" w:fill="D9E2F3"/>
          </w:tcPr>
          <w:p>
            <w:r/>
            <w:r>
              <w:rPr>
                <w:b/>
                <w:sz w:val="18"/>
              </w:rPr>
              <w:t>Owner / timing</w:t>
            </w:r>
          </w:p>
        </w:tc>
        <w:tc>
          <w:tcPr>
            <w:tcW w:type="dxa" w:w="7272"/>
          </w:tcPr>
          <w:p>
            <w:r/>
            <w:r>
              <w:rPr>
                <w:b w:val="0"/>
                <w:sz w:val="18"/>
              </w:rPr>
              <w:t>P&amp;H / Cornerstone (D. Marsh); by Thurs. June 19.</w:t>
            </w:r>
          </w:p>
        </w:tc>
      </w:tr>
    </w:tbl>
    <w:p>
      <w:pPr>
        <w:spacing w:after="40"/>
      </w:pPr>
    </w:p>
    <w:p>
      <w:pPr>
        <w:pStyle w:val="Heading3"/>
      </w:pPr>
      <w:r>
        <w:t>H-3. Secretary's / Officer's Certificates — Status and Dating</w:t>
      </w:r>
    </w:p>
    <w:tbl>
      <w:tblPr>
        <w:tblStyle w:val="TableGrid"/>
        <w:tblW w:type="auto" w:w="0"/>
        <w:tblLook w:firstColumn="1" w:firstRow="1" w:lastColumn="0" w:lastRow="0" w:noHBand="0" w:noVBand="1" w:val="04A0"/>
      </w:tblPr>
      <w:tblGrid>
        <w:gridCol w:w="4680"/>
        <w:gridCol w:w="4680"/>
      </w:tblGrid>
      <w:tr>
        <w:tc>
          <w:tcPr>
            <w:tcW w:type="dxa" w:w="2088"/>
            <w:shd w:val="clear" w:color="auto" w:fill="D9E2F3"/>
          </w:tcPr>
          <w:p>
            <w:r/>
            <w:r>
              <w:rPr>
                <w:b/>
                <w:sz w:val="18"/>
              </w:rPr>
              <w:t>Severity</w:t>
            </w:r>
          </w:p>
        </w:tc>
        <w:tc>
          <w:tcPr>
            <w:tcW w:type="dxa" w:w="7272"/>
            <w:shd w:val="clear" w:color="auto" w:fill="E26B0A"/>
          </w:tcPr>
          <w:p>
            <w:r/>
            <w:r>
              <w:rPr>
                <w:b/>
                <w:color w:val="FFFFFF"/>
                <w:sz w:val="18"/>
              </w:rPr>
              <w:t>HIGH</w:t>
            </w:r>
          </w:p>
        </w:tc>
      </w:tr>
      <w:tr>
        <w:tc>
          <w:tcPr>
            <w:tcW w:type="dxa" w:w="2088"/>
            <w:shd w:val="clear" w:color="auto" w:fill="D9E2F3"/>
          </w:tcPr>
          <w:p>
            <w:r/>
            <w:r>
              <w:rPr>
                <w:b/>
                <w:sz w:val="18"/>
              </w:rPr>
              <w:t>Checklist / source refs</w:t>
            </w:r>
          </w:p>
        </w:tc>
        <w:tc>
          <w:tcPr>
            <w:tcW w:type="dxa" w:w="7272"/>
          </w:tcPr>
          <w:p>
            <w:r/>
            <w:r>
              <w:rPr>
                <w:b w:val="0"/>
                <w:sz w:val="18"/>
              </w:rPr>
              <w:t>Checklist Item 10 (all four marked "Complete — June 16, 2025"); CA 7.01(e); June 16 email.</w:t>
            </w:r>
          </w:p>
        </w:tc>
      </w:tr>
      <w:tr>
        <w:tc>
          <w:tcPr>
            <w:tcW w:type="dxa" w:w="2088"/>
            <w:shd w:val="clear" w:color="auto" w:fill="D9E2F3"/>
          </w:tcPr>
          <w:p>
            <w:r/>
            <w:r>
              <w:rPr>
                <w:b/>
                <w:sz w:val="18"/>
              </w:rPr>
              <w:t>Finding</w:t>
            </w:r>
          </w:p>
        </w:tc>
        <w:tc>
          <w:tcPr>
            <w:tcW w:type="dxa" w:w="7272"/>
          </w:tcPr>
          <w:p>
            <w:r/>
            <w:r>
              <w:rPr>
                <w:b w:val="0"/>
                <w:sz w:val="18"/>
              </w:rPr>
              <w:t>The checklist shows all four Secretary's/Officer's Certificates as Complete on June 16, but James's email says they are "being prepared for all entities — expect those by Thursday." Section 7.01(e) also requires each certificate to be "dated as of the Closing Date" (June 20) and to attach organizational documents "as in effect on the Closing Date," resolutions and incumbency/specimen signatures. A June 16-dated certificate would not comply.</w:t>
            </w:r>
          </w:p>
        </w:tc>
      </w:tr>
      <w:tr>
        <w:tc>
          <w:tcPr>
            <w:tcW w:type="dxa" w:w="2088"/>
            <w:shd w:val="clear" w:color="auto" w:fill="D9E2F3"/>
          </w:tcPr>
          <w:p>
            <w:r/>
            <w:r>
              <w:rPr>
                <w:b/>
                <w:sz w:val="18"/>
              </w:rPr>
              <w:t>Why it matters</w:t>
            </w:r>
          </w:p>
        </w:tc>
        <w:tc>
          <w:tcPr>
            <w:tcW w:type="dxa" w:w="7272"/>
          </w:tcPr>
          <w:p>
            <w:r/>
            <w:r>
              <w:rPr>
                <w:b w:val="0"/>
                <w:sz w:val="18"/>
              </w:rPr>
              <w:t>The checklist overstates readiness to the Agent's counsel; the certificates must also pick up the ESOP consent (C-6), the TAM Guarantee (C-4) and the Gastonia Mortgage authorization (C-1).</w:t>
            </w:r>
          </w:p>
        </w:tc>
      </w:tr>
      <w:tr>
        <w:tc>
          <w:tcPr>
            <w:tcW w:type="dxa" w:w="2088"/>
            <w:shd w:val="clear" w:color="auto" w:fill="D9E2F3"/>
          </w:tcPr>
          <w:p>
            <w:r/>
            <w:r>
              <w:rPr>
                <w:b/>
                <w:sz w:val="18"/>
              </w:rPr>
              <w:t>Action required</w:t>
            </w:r>
          </w:p>
        </w:tc>
        <w:tc>
          <w:tcPr>
            <w:tcW w:type="dxa" w:w="7272"/>
          </w:tcPr>
          <w:p>
            <w:r/>
            <w:r>
              <w:rPr>
                <w:b w:val="0"/>
                <w:sz w:val="18"/>
              </w:rPr>
              <w:t>Change Item 10 to Pending; prepare certificates dated June 20 for TCG, TSC, TDS and TAM attaching the certified charter documents (Items 6–9), the Item 11/12 resolutions (plus any supplemental resolutions), and incumbency for Marcus Thornfield, Sandra Felton and each other signatory.</w:t>
            </w:r>
          </w:p>
        </w:tc>
      </w:tr>
      <w:tr>
        <w:tc>
          <w:tcPr>
            <w:tcW w:type="dxa" w:w="2088"/>
            <w:shd w:val="clear" w:color="auto" w:fill="D9E2F3"/>
          </w:tcPr>
          <w:p>
            <w:r/>
            <w:r>
              <w:rPr>
                <w:b/>
                <w:sz w:val="18"/>
              </w:rPr>
              <w:t>Owner / timing</w:t>
            </w:r>
          </w:p>
        </w:tc>
        <w:tc>
          <w:tcPr>
            <w:tcW w:type="dxa" w:w="7272"/>
          </w:tcPr>
          <w:p>
            <w:r/>
            <w:r>
              <w:rPr>
                <w:b w:val="0"/>
                <w:sz w:val="18"/>
              </w:rPr>
              <w:t>Borrower / P&amp;H; drafts to WR by Wed. June 18; execute at closing.</w:t>
            </w:r>
          </w:p>
        </w:tc>
      </w:tr>
    </w:tbl>
    <w:p>
      <w:pPr>
        <w:spacing w:after="40"/>
      </w:pPr>
    </w:p>
    <w:p>
      <w:pPr>
        <w:pStyle w:val="Heading3"/>
      </w:pPr>
      <w:r>
        <w:t>H-4. Insurance Certificate — Loss Payee / Additional Insured Designation and Required Detail</w:t>
      </w:r>
    </w:p>
    <w:tbl>
      <w:tblPr>
        <w:tblStyle w:val="TableGrid"/>
        <w:tblW w:type="auto" w:w="0"/>
        <w:tblLook w:firstColumn="1" w:firstRow="1" w:lastColumn="0" w:lastRow="0" w:noHBand="0" w:noVBand="1" w:val="04A0"/>
      </w:tblPr>
      <w:tblGrid>
        <w:gridCol w:w="4680"/>
        <w:gridCol w:w="4680"/>
      </w:tblGrid>
      <w:tr>
        <w:tc>
          <w:tcPr>
            <w:tcW w:type="dxa" w:w="2088"/>
            <w:shd w:val="clear" w:color="auto" w:fill="D9E2F3"/>
          </w:tcPr>
          <w:p>
            <w:r/>
            <w:r>
              <w:rPr>
                <w:b/>
                <w:sz w:val="18"/>
              </w:rPr>
              <w:t>Severity</w:t>
            </w:r>
          </w:p>
        </w:tc>
        <w:tc>
          <w:tcPr>
            <w:tcW w:type="dxa" w:w="7272"/>
            <w:shd w:val="clear" w:color="auto" w:fill="E26B0A"/>
          </w:tcPr>
          <w:p>
            <w:r/>
            <w:r>
              <w:rPr>
                <w:b/>
                <w:color w:val="FFFFFF"/>
                <w:sz w:val="18"/>
              </w:rPr>
              <w:t>HIGH</w:t>
            </w:r>
          </w:p>
        </w:tc>
      </w:tr>
      <w:tr>
        <w:tc>
          <w:tcPr>
            <w:tcW w:type="dxa" w:w="2088"/>
            <w:shd w:val="clear" w:color="auto" w:fill="D9E2F3"/>
          </w:tcPr>
          <w:p>
            <w:r/>
            <w:r>
              <w:rPr>
                <w:b/>
                <w:sz w:val="18"/>
              </w:rPr>
              <w:t>Checklist / source refs</w:t>
            </w:r>
          </w:p>
        </w:tc>
        <w:tc>
          <w:tcPr>
            <w:tcW w:type="dxa" w:w="7272"/>
          </w:tcPr>
          <w:p>
            <w:r/>
            <w:r>
              <w:rPr>
                <w:b w:val="0"/>
                <w:sz w:val="18"/>
              </w:rPr>
              <w:t>Checklist Item 24; CA 5.03, 7.01(g), 7.01(c)(iv); June 16 email.</w:t>
            </w:r>
          </w:p>
        </w:tc>
      </w:tr>
      <w:tr>
        <w:tc>
          <w:tcPr>
            <w:tcW w:type="dxa" w:w="2088"/>
            <w:shd w:val="clear" w:color="auto" w:fill="D9E2F3"/>
          </w:tcPr>
          <w:p>
            <w:r/>
            <w:r>
              <w:rPr>
                <w:b/>
                <w:sz w:val="18"/>
              </w:rPr>
              <w:t>Finding</w:t>
            </w:r>
          </w:p>
        </w:tc>
        <w:tc>
          <w:tcPr>
            <w:tcW w:type="dxa" w:w="7272"/>
          </w:tcPr>
          <w:p>
            <w:r/>
            <w:r>
              <w:rPr>
                <w:b w:val="0"/>
                <w:sz w:val="18"/>
              </w:rPr>
              <w:t>Section 5.03 and Section 7.01(g) require property policies to name "Ridgeline National Bank, as Administrative Agent for the benefit of the Secured Parties" as loss payee under a standard mortgagee clause (real property) or lender's loss payable endorsement (personal property), and liability policies to name the Administrative Agent as additional insured. The Allegheny certificate, per the checklist and email, names "Ridgeline National Bank" / "Ridgeline" — i.e., in its individual capacity, without the agency capacity or the Secured Parties.</w:t>
            </w:r>
          </w:p>
          <w:p>
            <w:r>
              <w:rPr>
                <w:b w:val="0"/>
                <w:sz w:val="18"/>
              </w:rPr>
              <w:t>Section 7.01(g) also requires the certificates to identify insurer, policy number, limits, deductibles and expiration dates; the checklist does not confirm these. The certificate must cover the Gastonia property and, if either parcel lies in a special flood hazard area, flood insurance (7.01(c)(iv)).</w:t>
            </w:r>
          </w:p>
        </w:tc>
      </w:tr>
      <w:tr>
        <w:tc>
          <w:tcPr>
            <w:tcW w:type="dxa" w:w="2088"/>
            <w:shd w:val="clear" w:color="auto" w:fill="D9E2F3"/>
          </w:tcPr>
          <w:p>
            <w:r/>
            <w:r>
              <w:rPr>
                <w:b/>
                <w:sz w:val="18"/>
              </w:rPr>
              <w:t>Why it matters</w:t>
            </w:r>
          </w:p>
        </w:tc>
        <w:tc>
          <w:tcPr>
            <w:tcW w:type="dxa" w:w="7272"/>
          </w:tcPr>
          <w:p>
            <w:r/>
            <w:r>
              <w:rPr>
                <w:b w:val="0"/>
                <w:sz w:val="18"/>
              </w:rPr>
              <w:t>Section 5.03 itself contemplates amendment where a certificate conflicts with its requirements; an individual-capacity designation can leave other Lenders outside the loss payable protection.</w:t>
            </w:r>
          </w:p>
        </w:tc>
      </w:tr>
      <w:tr>
        <w:tc>
          <w:tcPr>
            <w:tcW w:type="dxa" w:w="2088"/>
            <w:shd w:val="clear" w:color="auto" w:fill="D9E2F3"/>
          </w:tcPr>
          <w:p>
            <w:r/>
            <w:r>
              <w:rPr>
                <w:b/>
                <w:sz w:val="18"/>
              </w:rPr>
              <w:t>Action required</w:t>
            </w:r>
          </w:p>
        </w:tc>
        <w:tc>
          <w:tcPr>
            <w:tcW w:type="dxa" w:w="7272"/>
          </w:tcPr>
          <w:p>
            <w:r/>
            <w:r>
              <w:rPr>
                <w:b w:val="0"/>
                <w:sz w:val="18"/>
              </w:rPr>
              <w:t>Ask Allegheny Insurance Brokers for a revised certificate (ACORD 25 and 28/evidence of property) with the exact Section 5.03 designation, mortgagee clause and lender's loss payable endorsements (with copies of the endorsements), covering both NC properties, and listing the required policy detail.</w:t>
            </w:r>
          </w:p>
          <w:p>
            <w:r>
              <w:rPr>
                <w:b w:val="0"/>
                <w:sz w:val="18"/>
              </w:rPr>
              <w:t>Change Item 24 to Pending until the conforming certificate is received.</w:t>
            </w:r>
          </w:p>
        </w:tc>
      </w:tr>
      <w:tr>
        <w:tc>
          <w:tcPr>
            <w:tcW w:type="dxa" w:w="2088"/>
            <w:shd w:val="clear" w:color="auto" w:fill="D9E2F3"/>
          </w:tcPr>
          <w:p>
            <w:r/>
            <w:r>
              <w:rPr>
                <w:b/>
                <w:sz w:val="18"/>
              </w:rPr>
              <w:t>Owner / timing</w:t>
            </w:r>
          </w:p>
        </w:tc>
        <w:tc>
          <w:tcPr>
            <w:tcW w:type="dxa" w:w="7272"/>
          </w:tcPr>
          <w:p>
            <w:r/>
            <w:r>
              <w:rPr>
                <w:b w:val="0"/>
                <w:sz w:val="18"/>
              </w:rPr>
              <w:t>Borrower / Allegheny; by Thurs. June 19.</w:t>
            </w:r>
          </w:p>
        </w:tc>
      </w:tr>
    </w:tbl>
    <w:p>
      <w:pPr>
        <w:spacing w:after="40"/>
      </w:pPr>
    </w:p>
    <w:p>
      <w:pPr>
        <w:pStyle w:val="Heading3"/>
      </w:pPr>
      <w:r>
        <w:t>H-5. Searches — Tax Lien, Judgment and Litigation Searches Not Obtained; Bring-Down</w:t>
      </w:r>
    </w:p>
    <w:tbl>
      <w:tblPr>
        <w:tblStyle w:val="TableGrid"/>
        <w:tblW w:type="auto" w:w="0"/>
        <w:tblLook w:firstColumn="1" w:firstRow="1" w:lastColumn="0" w:lastRow="0" w:noHBand="0" w:noVBand="1" w:val="04A0"/>
      </w:tblPr>
      <w:tblGrid>
        <w:gridCol w:w="4680"/>
        <w:gridCol w:w="4680"/>
      </w:tblGrid>
      <w:tr>
        <w:tc>
          <w:tcPr>
            <w:tcW w:type="dxa" w:w="2088"/>
            <w:shd w:val="clear" w:color="auto" w:fill="D9E2F3"/>
          </w:tcPr>
          <w:p>
            <w:r/>
            <w:r>
              <w:rPr>
                <w:b/>
                <w:sz w:val="18"/>
              </w:rPr>
              <w:t>Severity</w:t>
            </w:r>
          </w:p>
        </w:tc>
        <w:tc>
          <w:tcPr>
            <w:tcW w:type="dxa" w:w="7272"/>
            <w:shd w:val="clear" w:color="auto" w:fill="E26B0A"/>
          </w:tcPr>
          <w:p>
            <w:r/>
            <w:r>
              <w:rPr>
                <w:b/>
                <w:color w:val="FFFFFF"/>
                <w:sz w:val="18"/>
              </w:rPr>
              <w:t>HIGH</w:t>
            </w:r>
          </w:p>
        </w:tc>
      </w:tr>
      <w:tr>
        <w:tc>
          <w:tcPr>
            <w:tcW w:type="dxa" w:w="2088"/>
            <w:shd w:val="clear" w:color="auto" w:fill="D9E2F3"/>
          </w:tcPr>
          <w:p>
            <w:r/>
            <w:r>
              <w:rPr>
                <w:b/>
                <w:sz w:val="18"/>
              </w:rPr>
              <w:t>Checklist / source refs</w:t>
            </w:r>
          </w:p>
        </w:tc>
        <w:tc>
          <w:tcPr>
            <w:tcW w:type="dxa" w:w="7272"/>
          </w:tcPr>
          <w:p>
            <w:r/>
            <w:r>
              <w:rPr>
                <w:b w:val="0"/>
                <w:sz w:val="18"/>
              </w:rPr>
              <w:t>Checklist Item 14; CA 7.01(b); Schedule 4.06.</w:t>
            </w:r>
          </w:p>
        </w:tc>
      </w:tr>
      <w:tr>
        <w:tc>
          <w:tcPr>
            <w:tcW w:type="dxa" w:w="2088"/>
            <w:shd w:val="clear" w:color="auto" w:fill="D9E2F3"/>
          </w:tcPr>
          <w:p>
            <w:r/>
            <w:r>
              <w:rPr>
                <w:b/>
                <w:sz w:val="18"/>
              </w:rPr>
              <w:t>Finding</w:t>
            </w:r>
          </w:p>
        </w:tc>
        <w:tc>
          <w:tcPr>
            <w:tcW w:type="dxa" w:w="7272"/>
          </w:tcPr>
          <w:p>
            <w:r/>
            <w:r>
              <w:rPr>
                <w:b w:val="0"/>
                <w:sz w:val="18"/>
              </w:rPr>
              <w:t>Section 7.01(b) requires "the results of UCC, tax lien, judgment, and pending litigation searches in each such jurisdiction, reflecting no Liens other than Permitted Liens." Item 14 covers UCC searches only (dated June 10, 2025).</w:t>
            </w:r>
          </w:p>
          <w:p>
            <w:r>
              <w:rPr>
                <w:b w:val="0"/>
                <w:sz w:val="18"/>
              </w:rPr>
              <w:t>The searches identify the existing Cornerstone lien (to be released), confirming Cornerstone has a financing statement against TAM in Virginia (see C-5).</w:t>
            </w:r>
          </w:p>
        </w:tc>
      </w:tr>
      <w:tr>
        <w:tc>
          <w:tcPr>
            <w:tcW w:type="dxa" w:w="2088"/>
            <w:shd w:val="clear" w:color="auto" w:fill="D9E2F3"/>
          </w:tcPr>
          <w:p>
            <w:r/>
            <w:r>
              <w:rPr>
                <w:b/>
                <w:sz w:val="18"/>
              </w:rPr>
              <w:t>Why it matters</w:t>
            </w:r>
          </w:p>
        </w:tc>
        <w:tc>
          <w:tcPr>
            <w:tcW w:type="dxa" w:w="7272"/>
          </w:tcPr>
          <w:p>
            <w:r/>
            <w:r>
              <w:rPr>
                <w:b w:val="0"/>
                <w:sz w:val="18"/>
              </w:rPr>
              <w:t>Unsatisfied condition (in part); a federal or state tax lien or judgment lien would prime or impair the Agent's first-priority position and must be disclosed against Schedule 4.06 and the Permitted Liens basket ($2,500,000).</w:t>
            </w:r>
          </w:p>
        </w:tc>
      </w:tr>
      <w:tr>
        <w:tc>
          <w:tcPr>
            <w:tcW w:type="dxa" w:w="2088"/>
            <w:shd w:val="clear" w:color="auto" w:fill="D9E2F3"/>
          </w:tcPr>
          <w:p>
            <w:r/>
            <w:r>
              <w:rPr>
                <w:b/>
                <w:sz w:val="18"/>
              </w:rPr>
              <w:t>Action required</w:t>
            </w:r>
          </w:p>
        </w:tc>
        <w:tc>
          <w:tcPr>
            <w:tcW w:type="dxa" w:w="7272"/>
          </w:tcPr>
          <w:p>
            <w:r/>
            <w:r>
              <w:rPr>
                <w:b w:val="0"/>
                <w:sz w:val="18"/>
              </w:rPr>
              <w:t>Order federal and state tax lien, judgment and pending litigation (state and federal court) searches for all four Loan Parties in Delaware, North Carolina (including Mecklenburg and Gaston Counties) and Virginia (including Richmond); order bring-down UCC searches to reflect the June filings and confirm no intervening liens.</w:t>
            </w:r>
          </w:p>
          <w:p>
            <w:r>
              <w:rPr>
                <w:b w:val="0"/>
                <w:sz w:val="18"/>
              </w:rPr>
              <w:t>Add sub-items to Item 14.</w:t>
            </w:r>
          </w:p>
        </w:tc>
      </w:tr>
      <w:tr>
        <w:tc>
          <w:tcPr>
            <w:tcW w:type="dxa" w:w="2088"/>
            <w:shd w:val="clear" w:color="auto" w:fill="D9E2F3"/>
          </w:tcPr>
          <w:p>
            <w:r/>
            <w:r>
              <w:rPr>
                <w:b/>
                <w:sz w:val="18"/>
              </w:rPr>
              <w:t>Owner / timing</w:t>
            </w:r>
          </w:p>
        </w:tc>
        <w:tc>
          <w:tcPr>
            <w:tcW w:type="dxa" w:w="7272"/>
          </w:tcPr>
          <w:p>
            <w:r/>
            <w:r>
              <w:rPr>
                <w:b w:val="0"/>
                <w:sz w:val="18"/>
              </w:rPr>
              <w:t>P&amp;H; order today; results by Thurs. June 19.</w:t>
            </w:r>
          </w:p>
        </w:tc>
      </w:tr>
    </w:tbl>
    <w:p>
      <w:pPr>
        <w:spacing w:after="40"/>
      </w:pPr>
    </w:p>
    <w:p>
      <w:pPr>
        <w:pStyle w:val="Heading3"/>
      </w:pPr>
      <w:r>
        <w:t>H-6. Compliance Certificate — Calculation and Definitional Inconsistencies</w:t>
      </w:r>
    </w:p>
    <w:tbl>
      <w:tblPr>
        <w:tblStyle w:val="TableGrid"/>
        <w:tblW w:type="auto" w:w="0"/>
        <w:tblLook w:firstColumn="1" w:firstRow="1" w:lastColumn="0" w:lastRow="0" w:noHBand="0" w:noVBand="1" w:val="04A0"/>
      </w:tblPr>
      <w:tblGrid>
        <w:gridCol w:w="4680"/>
        <w:gridCol w:w="4680"/>
      </w:tblGrid>
      <w:tr>
        <w:tc>
          <w:tcPr>
            <w:tcW w:type="dxa" w:w="2088"/>
            <w:shd w:val="clear" w:color="auto" w:fill="D9E2F3"/>
          </w:tcPr>
          <w:p>
            <w:r/>
            <w:r>
              <w:rPr>
                <w:b/>
                <w:sz w:val="18"/>
              </w:rPr>
              <w:t>Severity</w:t>
            </w:r>
          </w:p>
        </w:tc>
        <w:tc>
          <w:tcPr>
            <w:tcW w:type="dxa" w:w="7272"/>
            <w:shd w:val="clear" w:color="auto" w:fill="E26B0A"/>
          </w:tcPr>
          <w:p>
            <w:r/>
            <w:r>
              <w:rPr>
                <w:b/>
                <w:color w:val="FFFFFF"/>
                <w:sz w:val="18"/>
              </w:rPr>
              <w:t>HIGH</w:t>
            </w:r>
          </w:p>
        </w:tc>
      </w:tr>
      <w:tr>
        <w:tc>
          <w:tcPr>
            <w:tcW w:type="dxa" w:w="2088"/>
            <w:shd w:val="clear" w:color="auto" w:fill="D9E2F3"/>
          </w:tcPr>
          <w:p>
            <w:r/>
            <w:r>
              <w:rPr>
                <w:b/>
                <w:sz w:val="18"/>
              </w:rPr>
              <w:t>Checklist / source refs</w:t>
            </w:r>
          </w:p>
        </w:tc>
        <w:tc>
          <w:tcPr>
            <w:tcW w:type="dxa" w:w="7272"/>
          </w:tcPr>
          <w:p>
            <w:r/>
            <w:r>
              <w:rPr>
                <w:b w:val="0"/>
                <w:sz w:val="18"/>
              </w:rPr>
              <w:t>Checklist Items 25, 30; Compliance Certificate Sections 3.1–3.2; CA definitions of "Minimum Liquidity," "Net Debt," "Adjusted EBITDA"; Section 8.02(j).</w:t>
            </w:r>
          </w:p>
        </w:tc>
      </w:tr>
      <w:tr>
        <w:tc>
          <w:tcPr>
            <w:tcW w:type="dxa" w:w="2088"/>
            <w:shd w:val="clear" w:color="auto" w:fill="D9E2F3"/>
          </w:tcPr>
          <w:p>
            <w:r/>
            <w:r>
              <w:rPr>
                <w:b/>
                <w:sz w:val="18"/>
              </w:rPr>
              <w:t>Finding</w:t>
            </w:r>
          </w:p>
        </w:tc>
        <w:tc>
          <w:tcPr>
            <w:tcW w:type="dxa" w:w="7272"/>
          </w:tcPr>
          <w:p>
            <w:r/>
            <w:r>
              <w:rPr>
                <w:b/>
                <w:sz w:val="18"/>
              </w:rPr>
              <w:t>Minimum Liquidity cash component.</w:t>
            </w:r>
            <w:r>
              <w:rPr>
                <w:b w:val="0"/>
                <w:sz w:val="18"/>
              </w:rPr>
              <w:t xml:space="preserve"> The certificate defines Liquidity as Unrestricted Cash plus "Undrawn Availability." The Credit Agreement definition counts only unrestricted cash and Cash Equivalents "held in deposit accounts subject to a control agreement in favor of the Administrative Agent," plus the excess of Total Commitments over Total Revolving Outstandings. Control agreements are not due until 90 days after closing (Section 8.02(j)), so unless control agreements are in place at closing (or the accounts are held at Ridgeline such that the Agent has control), the cash component should be $0 and Liquidity is $75,000,000 — still well above the $15,000,000 minimum, but the $102,700,000 figure (repeated in the checklist) is overstated.</w:t>
            </w:r>
          </w:p>
          <w:p>
            <w:r>
              <w:rPr>
                <w:b/>
                <w:sz w:val="18"/>
              </w:rPr>
              <w:t>Cornerstone balance and funds flow.</w:t>
            </w:r>
            <w:r>
              <w:rPr>
                <w:b w:val="0"/>
                <w:sz w:val="18"/>
              </w:rPr>
              <w:t xml:space="preserve"> The certificate assumes $90,000,000 of Cornerstone principal repaid and $20,000,000 of "excess proceeds," then deducts $6,500,000 of fees from cash. If the payoff is $87,450,000 and fees are funded from the draw (C-9), pro forma cash is approximately $14.2M + ($110M − $87.45M − $6.5M) = $30.25M; Net Debt $79.75M; Total Net Leverage approximately 1.60x. Even giving no cash credit, leverage is $110M / $50M = 2.20x. Covenant compliance is not in doubt, and pricing stays at Level II (&gt; 1.50x) either way, but the certificate must be internally consistent with the payoff letter and funds flow.</w:t>
            </w:r>
          </w:p>
          <w:p>
            <w:r>
              <w:rPr>
                <w:b/>
                <w:sz w:val="18"/>
              </w:rPr>
              <w:t>Other Funded Indebtedness = $0.</w:t>
            </w:r>
            <w:r>
              <w:rPr>
                <w:b w:val="0"/>
                <w:sz w:val="18"/>
              </w:rPr>
              <w:t xml:space="preserve"> Confirm against Schedule 8.03(a) and the balance sheet (capital leases and guarantees count as Funded Debt).</w:t>
            </w:r>
          </w:p>
          <w:p>
            <w:r>
              <w:rPr>
                <w:b/>
                <w:sz w:val="18"/>
              </w:rPr>
              <w:t>Adjusted EBITDA.</w:t>
            </w:r>
            <w:r>
              <w:rPr>
                <w:b w:val="0"/>
                <w:sz w:val="18"/>
              </w:rPr>
              <w:t xml:space="preserve"> The $50,000,000 figure matches the Credit Agreement's own illustration and the 15% cap on projected cost savings is easily met ($1,800,000 = 3.8% of $47,200,000); the litigation (Q2 2024) and severance (Q3 2024) charges fall within the April 1, 2024–March 31, 2025 Test Period. We see no issue, but supporting schedules should evidence that the Gastonia savings are "factually supportable" and not already reflected in TTM EBITDA.</w:t>
            </w:r>
          </w:p>
        </w:tc>
      </w:tr>
      <w:tr>
        <w:tc>
          <w:tcPr>
            <w:tcW w:type="dxa" w:w="2088"/>
            <w:shd w:val="clear" w:color="auto" w:fill="D9E2F3"/>
          </w:tcPr>
          <w:p>
            <w:r/>
            <w:r>
              <w:rPr>
                <w:b/>
                <w:sz w:val="18"/>
              </w:rPr>
              <w:t>Why it matters</w:t>
            </w:r>
          </w:p>
        </w:tc>
        <w:tc>
          <w:tcPr>
            <w:tcW w:type="dxa" w:w="7272"/>
          </w:tcPr>
          <w:p>
            <w:r/>
            <w:r>
              <w:rPr>
                <w:b w:val="0"/>
                <w:sz w:val="18"/>
              </w:rPr>
              <w:t>A certificate the Lenders can show to be internally inconsistent undermines the Section 9.01(d) protection the Borrower needs and invites questions on Wednesday.</w:t>
            </w:r>
          </w:p>
        </w:tc>
      </w:tr>
      <w:tr>
        <w:tc>
          <w:tcPr>
            <w:tcW w:type="dxa" w:w="2088"/>
            <w:shd w:val="clear" w:color="auto" w:fill="D9E2F3"/>
          </w:tcPr>
          <w:p>
            <w:r/>
            <w:r>
              <w:rPr>
                <w:b/>
                <w:sz w:val="18"/>
              </w:rPr>
              <w:t>Action required</w:t>
            </w:r>
          </w:p>
        </w:tc>
        <w:tc>
          <w:tcPr>
            <w:tcW w:type="dxa" w:w="7272"/>
          </w:tcPr>
          <w:p>
            <w:r/>
            <w:r>
              <w:rPr>
                <w:b w:val="0"/>
                <w:sz w:val="18"/>
              </w:rPr>
              <w:t>Have Ms. Felton conform Sections 3.1–3.2 to the Credit Agreement definitions and the revised funds flow, add supporting schedules, and add the FCCR (C-7).</w:t>
            </w:r>
          </w:p>
          <w:p>
            <w:r>
              <w:rPr>
                <w:b w:val="0"/>
                <w:sz w:val="18"/>
              </w:rPr>
              <w:t>Update the Item 25 description in the checklist after the certificate is final.</w:t>
            </w:r>
          </w:p>
        </w:tc>
      </w:tr>
      <w:tr>
        <w:tc>
          <w:tcPr>
            <w:tcW w:type="dxa" w:w="2088"/>
            <w:shd w:val="clear" w:color="auto" w:fill="D9E2F3"/>
          </w:tcPr>
          <w:p>
            <w:r/>
            <w:r>
              <w:rPr>
                <w:b/>
                <w:sz w:val="18"/>
              </w:rPr>
              <w:t>Owner / timing</w:t>
            </w:r>
          </w:p>
        </w:tc>
        <w:tc>
          <w:tcPr>
            <w:tcW w:type="dxa" w:w="7272"/>
          </w:tcPr>
          <w:p>
            <w:r/>
            <w:r>
              <w:rPr>
                <w:b w:val="0"/>
                <w:sz w:val="18"/>
              </w:rPr>
              <w:t>Borrower (S. Felton) / P&amp;H; with C-7.</w:t>
            </w:r>
          </w:p>
        </w:tc>
      </w:tr>
    </w:tbl>
    <w:p>
      <w:pPr>
        <w:spacing w:after="40"/>
      </w:pPr>
    </w:p>
    <w:p>
      <w:pPr>
        <w:pStyle w:val="Heading3"/>
      </w:pPr>
      <w:r>
        <w:t>H-7. Pledged Equity — Stock Certificates and Stock Powers Not Tracked</w:t>
      </w:r>
    </w:p>
    <w:tbl>
      <w:tblPr>
        <w:tblStyle w:val="TableGrid"/>
        <w:tblW w:type="auto" w:w="0"/>
        <w:tblLook w:firstColumn="1" w:firstRow="1" w:lastColumn="0" w:lastRow="0" w:noHBand="0" w:noVBand="1" w:val="04A0"/>
      </w:tblPr>
      <w:tblGrid>
        <w:gridCol w:w="4680"/>
        <w:gridCol w:w="4680"/>
      </w:tblGrid>
      <w:tr>
        <w:tc>
          <w:tcPr>
            <w:tcW w:type="dxa" w:w="2088"/>
            <w:shd w:val="clear" w:color="auto" w:fill="D9E2F3"/>
          </w:tcPr>
          <w:p>
            <w:r/>
            <w:r>
              <w:rPr>
                <w:b/>
                <w:sz w:val="18"/>
              </w:rPr>
              <w:t>Severity</w:t>
            </w:r>
          </w:p>
        </w:tc>
        <w:tc>
          <w:tcPr>
            <w:tcW w:type="dxa" w:w="7272"/>
            <w:shd w:val="clear" w:color="auto" w:fill="E26B0A"/>
          </w:tcPr>
          <w:p>
            <w:r/>
            <w:r>
              <w:rPr>
                <w:b/>
                <w:color w:val="FFFFFF"/>
                <w:sz w:val="18"/>
              </w:rPr>
              <w:t>HIGH</w:t>
            </w:r>
          </w:p>
        </w:tc>
      </w:tr>
      <w:tr>
        <w:tc>
          <w:tcPr>
            <w:tcW w:type="dxa" w:w="2088"/>
            <w:shd w:val="clear" w:color="auto" w:fill="D9E2F3"/>
          </w:tcPr>
          <w:p>
            <w:r/>
            <w:r>
              <w:rPr>
                <w:b/>
                <w:sz w:val="18"/>
              </w:rPr>
              <w:t>Checklist / source refs</w:t>
            </w:r>
          </w:p>
        </w:tc>
        <w:tc>
          <w:tcPr>
            <w:tcW w:type="dxa" w:w="7272"/>
          </w:tcPr>
          <w:p>
            <w:r/>
            <w:r>
              <w:rPr>
                <w:b w:val="0"/>
                <w:sz w:val="18"/>
              </w:rPr>
              <w:t>Not on checklist; CA 5.01(b), 7.01(a)(iii); Section 4.07.</w:t>
            </w:r>
          </w:p>
        </w:tc>
      </w:tr>
      <w:tr>
        <w:tc>
          <w:tcPr>
            <w:tcW w:type="dxa" w:w="2088"/>
            <w:shd w:val="clear" w:color="auto" w:fill="D9E2F3"/>
          </w:tcPr>
          <w:p>
            <w:r/>
            <w:r>
              <w:rPr>
                <w:b/>
                <w:sz w:val="18"/>
              </w:rPr>
              <w:t>Finding</w:t>
            </w:r>
          </w:p>
        </w:tc>
        <w:tc>
          <w:tcPr>
            <w:tcW w:type="dxa" w:w="7272"/>
          </w:tcPr>
          <w:p>
            <w:r/>
            <w:r>
              <w:rPr>
                <w:b w:val="0"/>
                <w:sz w:val="18"/>
              </w:rPr>
              <w:t>Section 5.01(b) contemplates perfection by "delivery of possession of certificated securities and instruments to the Administrative Agent." The Borrower owns 100% of TSC and TAM (corporations, whose shares are typically certificated) and TDS (an LLC; confirm whether interests are certificated/opted into Article 8). The checklist has no item for original stock certificates and undated stock powers (or LLC interest certificates).</w:t>
            </w:r>
          </w:p>
        </w:tc>
      </w:tr>
      <w:tr>
        <w:tc>
          <w:tcPr>
            <w:tcW w:type="dxa" w:w="2088"/>
            <w:shd w:val="clear" w:color="auto" w:fill="D9E2F3"/>
          </w:tcPr>
          <w:p>
            <w:r/>
            <w:r>
              <w:rPr>
                <w:b/>
                <w:sz w:val="18"/>
              </w:rPr>
              <w:t>Why it matters</w:t>
            </w:r>
          </w:p>
        </w:tc>
        <w:tc>
          <w:tcPr>
            <w:tcW w:type="dxa" w:w="7272"/>
          </w:tcPr>
          <w:p>
            <w:r/>
            <w:r>
              <w:rPr>
                <w:b w:val="0"/>
                <w:sz w:val="18"/>
              </w:rPr>
              <w:t>Perfection by control of certificated securities gives the Agent priority over a filed security interest and is customary for a first-priority pledge.</w:t>
            </w:r>
          </w:p>
        </w:tc>
      </w:tr>
      <w:tr>
        <w:tc>
          <w:tcPr>
            <w:tcW w:type="dxa" w:w="2088"/>
            <w:shd w:val="clear" w:color="auto" w:fill="D9E2F3"/>
          </w:tcPr>
          <w:p>
            <w:r/>
            <w:r>
              <w:rPr>
                <w:b/>
                <w:sz w:val="18"/>
              </w:rPr>
              <w:t>Action required</w:t>
            </w:r>
          </w:p>
        </w:tc>
        <w:tc>
          <w:tcPr>
            <w:tcW w:type="dxa" w:w="7272"/>
          </w:tcPr>
          <w:p>
            <w:r/>
            <w:r>
              <w:rPr>
                <w:b w:val="0"/>
                <w:sz w:val="18"/>
              </w:rPr>
              <w:t>Add a checklist item; obtain originals and executed blank stock powers for TSC and TAM (and TDS if certificated) for delivery to Whitmore Ridley at closing; confirm Schedule 4.07 data.</w:t>
            </w:r>
          </w:p>
        </w:tc>
      </w:tr>
      <w:tr>
        <w:tc>
          <w:tcPr>
            <w:tcW w:type="dxa" w:w="2088"/>
            <w:shd w:val="clear" w:color="auto" w:fill="D9E2F3"/>
          </w:tcPr>
          <w:p>
            <w:r/>
            <w:r>
              <w:rPr>
                <w:b/>
                <w:sz w:val="18"/>
              </w:rPr>
              <w:t>Owner / timing</w:t>
            </w:r>
          </w:p>
        </w:tc>
        <w:tc>
          <w:tcPr>
            <w:tcW w:type="dxa" w:w="7272"/>
          </w:tcPr>
          <w:p>
            <w:r/>
            <w:r>
              <w:rPr>
                <w:b w:val="0"/>
                <w:sz w:val="18"/>
              </w:rPr>
              <w:t>Borrower / P&amp;H; deliver to WR by closing.</w:t>
            </w:r>
          </w:p>
        </w:tc>
      </w:tr>
    </w:tbl>
    <w:p>
      <w:pPr>
        <w:spacing w:after="40"/>
      </w:pPr>
    </w:p>
    <w:p>
      <w:pPr>
        <w:pStyle w:val="Heading3"/>
      </w:pPr>
      <w:r>
        <w:t>H-8. KYC / Beneficial Ownership — Guarantor Certifications and All-Lender Sign-Off</w:t>
      </w:r>
    </w:p>
    <w:tbl>
      <w:tblPr>
        <w:tblStyle w:val="TableGrid"/>
        <w:tblW w:type="auto" w:w="0"/>
        <w:tblLook w:firstColumn="1" w:firstRow="1" w:lastColumn="0" w:lastRow="0" w:noHBand="0" w:noVBand="1" w:val="04A0"/>
      </w:tblPr>
      <w:tblGrid>
        <w:gridCol w:w="4680"/>
        <w:gridCol w:w="4680"/>
      </w:tblGrid>
      <w:tr>
        <w:tc>
          <w:tcPr>
            <w:tcW w:type="dxa" w:w="2088"/>
            <w:shd w:val="clear" w:color="auto" w:fill="D9E2F3"/>
          </w:tcPr>
          <w:p>
            <w:r/>
            <w:r>
              <w:rPr>
                <w:b/>
                <w:sz w:val="18"/>
              </w:rPr>
              <w:t>Severity</w:t>
            </w:r>
          </w:p>
        </w:tc>
        <w:tc>
          <w:tcPr>
            <w:tcW w:type="dxa" w:w="7272"/>
            <w:shd w:val="clear" w:color="auto" w:fill="E26B0A"/>
          </w:tcPr>
          <w:p>
            <w:r/>
            <w:r>
              <w:rPr>
                <w:b/>
                <w:color w:val="FFFFFF"/>
                <w:sz w:val="18"/>
              </w:rPr>
              <w:t>HIGH</w:t>
            </w:r>
          </w:p>
        </w:tc>
      </w:tr>
      <w:tr>
        <w:tc>
          <w:tcPr>
            <w:tcW w:type="dxa" w:w="2088"/>
            <w:shd w:val="clear" w:color="auto" w:fill="D9E2F3"/>
          </w:tcPr>
          <w:p>
            <w:r/>
            <w:r>
              <w:rPr>
                <w:b/>
                <w:sz w:val="18"/>
              </w:rPr>
              <w:t>Checklist / source refs</w:t>
            </w:r>
          </w:p>
        </w:tc>
        <w:tc>
          <w:tcPr>
            <w:tcW w:type="dxa" w:w="7272"/>
          </w:tcPr>
          <w:p>
            <w:r/>
            <w:r>
              <w:rPr>
                <w:b w:val="0"/>
                <w:sz w:val="18"/>
              </w:rPr>
              <w:t>Checklist Item 29; CA 7.01(l); June 16 email.</w:t>
            </w:r>
          </w:p>
        </w:tc>
      </w:tr>
      <w:tr>
        <w:tc>
          <w:tcPr>
            <w:tcW w:type="dxa" w:w="2088"/>
            <w:shd w:val="clear" w:color="auto" w:fill="D9E2F3"/>
          </w:tcPr>
          <w:p>
            <w:r/>
            <w:r>
              <w:rPr>
                <w:b/>
                <w:sz w:val="18"/>
              </w:rPr>
              <w:t>Finding</w:t>
            </w:r>
          </w:p>
        </w:tc>
        <w:tc>
          <w:tcPr>
            <w:tcW w:type="dxa" w:w="7272"/>
          </w:tcPr>
          <w:p>
            <w:r/>
            <w:r>
              <w:rPr>
                <w:b w:val="0"/>
                <w:sz w:val="18"/>
              </w:rPr>
              <w:t>Section 7.01(l) requires beneficial ownership certifications "for the Borrower and each Guarantor as required by 31 C.F.R. Section 1010.230." Item 29(a) lists a certification only for TCG. The condition also runs to documentation "reasonably requested by any Lender"; the email reports only that Ridgeline confirmed satisfactory review.</w:t>
            </w:r>
          </w:p>
        </w:tc>
      </w:tr>
      <w:tr>
        <w:tc>
          <w:tcPr>
            <w:tcW w:type="dxa" w:w="2088"/>
            <w:shd w:val="clear" w:color="auto" w:fill="D9E2F3"/>
          </w:tcPr>
          <w:p>
            <w:r/>
            <w:r>
              <w:rPr>
                <w:b/>
                <w:sz w:val="18"/>
              </w:rPr>
              <w:t>Why it matters</w:t>
            </w:r>
          </w:p>
        </w:tc>
        <w:tc>
          <w:tcPr>
            <w:tcW w:type="dxa" w:w="7272"/>
          </w:tcPr>
          <w:p>
            <w:r/>
            <w:r>
              <w:rPr>
                <w:b w:val="0"/>
                <w:sz w:val="18"/>
              </w:rPr>
              <w:t>Each Lender has its own CIP/beneficial ownership obligations; Sagebrush, Ironwood and Aldersgate can each refuse to fund if their requests are open.</w:t>
            </w:r>
          </w:p>
        </w:tc>
      </w:tr>
      <w:tr>
        <w:tc>
          <w:tcPr>
            <w:tcW w:type="dxa" w:w="2088"/>
            <w:shd w:val="clear" w:color="auto" w:fill="D9E2F3"/>
          </w:tcPr>
          <w:p>
            <w:r/>
            <w:r>
              <w:rPr>
                <w:b/>
                <w:sz w:val="18"/>
              </w:rPr>
              <w:t>Action required</w:t>
            </w:r>
          </w:p>
        </w:tc>
        <w:tc>
          <w:tcPr>
            <w:tcW w:type="dxa" w:w="7272"/>
          </w:tcPr>
          <w:p>
            <w:r/>
            <w:r>
              <w:rPr>
                <w:b w:val="0"/>
                <w:sz w:val="18"/>
              </w:rPr>
              <w:t>Obtain beneficial ownership certifications for TSC, TDS and TAM (each identifying the control person and, through the Borrower, Marcus Thornfield as 25%+ indirect owner); obtain written KYC clearance from Sagebrush (Janet Cho), Ironwood (Robert Ibanez) and Aldersgate (Allison Pratt) through the Agent.</w:t>
            </w:r>
          </w:p>
        </w:tc>
      </w:tr>
      <w:tr>
        <w:tc>
          <w:tcPr>
            <w:tcW w:type="dxa" w:w="2088"/>
            <w:shd w:val="clear" w:color="auto" w:fill="D9E2F3"/>
          </w:tcPr>
          <w:p>
            <w:r/>
            <w:r>
              <w:rPr>
                <w:b/>
                <w:sz w:val="18"/>
              </w:rPr>
              <w:t>Owner / timing</w:t>
            </w:r>
          </w:p>
        </w:tc>
        <w:tc>
          <w:tcPr>
            <w:tcW w:type="dxa" w:w="7272"/>
          </w:tcPr>
          <w:p>
            <w:r/>
            <w:r>
              <w:rPr>
                <w:b w:val="0"/>
                <w:sz w:val="18"/>
              </w:rPr>
              <w:t>Borrower / Agent; by Wed. June 18.</w:t>
            </w:r>
          </w:p>
        </w:tc>
      </w:tr>
    </w:tbl>
    <w:p>
      <w:pPr>
        <w:spacing w:after="40"/>
      </w:pPr>
    </w:p>
    <w:p>
      <w:pPr>
        <w:pStyle w:val="Heading1"/>
      </w:pPr>
      <w:r>
        <w:t>V. Moderate Issues</w:t>
      </w:r>
    </w:p>
    <w:p>
      <w:pPr>
        <w:pStyle w:val="Heading3"/>
      </w:pPr>
      <w:r>
        <w:t>M-1. Borrowing Base — Practical Availability Is Capped Near $120 Million</w:t>
      </w:r>
    </w:p>
    <w:tbl>
      <w:tblPr>
        <w:tblStyle w:val="TableGrid"/>
        <w:tblW w:type="auto" w:w="0"/>
        <w:tblLook w:firstColumn="1" w:firstRow="1" w:lastColumn="0" w:lastRow="0" w:noHBand="0" w:noVBand="1" w:val="04A0"/>
      </w:tblPr>
      <w:tblGrid>
        <w:gridCol w:w="4680"/>
        <w:gridCol w:w="4680"/>
      </w:tblGrid>
      <w:tr>
        <w:tc>
          <w:tcPr>
            <w:tcW w:type="dxa" w:w="2088"/>
            <w:shd w:val="clear" w:color="auto" w:fill="D9E2F3"/>
          </w:tcPr>
          <w:p>
            <w:r/>
            <w:r>
              <w:rPr>
                <w:b/>
                <w:sz w:val="18"/>
              </w:rPr>
              <w:t>Severity</w:t>
            </w:r>
          </w:p>
        </w:tc>
        <w:tc>
          <w:tcPr>
            <w:tcW w:type="dxa" w:w="7272"/>
            <w:shd w:val="clear" w:color="auto" w:fill="BF9000"/>
          </w:tcPr>
          <w:p>
            <w:r/>
            <w:r>
              <w:rPr>
                <w:b/>
                <w:color w:val="FFFFFF"/>
                <w:sz w:val="18"/>
              </w:rPr>
              <w:t>MODERATE</w:t>
            </w:r>
          </w:p>
        </w:tc>
      </w:tr>
      <w:tr>
        <w:tc>
          <w:tcPr>
            <w:tcW w:type="dxa" w:w="2088"/>
            <w:shd w:val="clear" w:color="auto" w:fill="D9E2F3"/>
          </w:tcPr>
          <w:p>
            <w:r/>
            <w:r>
              <w:rPr>
                <w:b/>
                <w:sz w:val="18"/>
              </w:rPr>
              <w:t>Checklist / source refs</w:t>
            </w:r>
          </w:p>
        </w:tc>
        <w:tc>
          <w:tcPr>
            <w:tcW w:type="dxa" w:w="7272"/>
          </w:tcPr>
          <w:p>
            <w:r/>
            <w:r>
              <w:rPr>
                <w:b w:val="0"/>
                <w:sz w:val="18"/>
              </w:rPr>
              <w:t>Checklist Commitment Summary and Item 26; CA "Borrowing Base Trigger Event," Sections 2.03(c)(ii), 2.07, 7.01(k), 8.04(a).</w:t>
            </w:r>
          </w:p>
        </w:tc>
      </w:tr>
      <w:tr>
        <w:tc>
          <w:tcPr>
            <w:tcW w:type="dxa" w:w="2088"/>
            <w:shd w:val="clear" w:color="auto" w:fill="D9E2F3"/>
          </w:tcPr>
          <w:p>
            <w:r/>
            <w:r>
              <w:rPr>
                <w:b/>
                <w:sz w:val="18"/>
              </w:rPr>
              <w:t>Finding</w:t>
            </w:r>
          </w:p>
        </w:tc>
        <w:tc>
          <w:tcPr>
            <w:tcW w:type="dxa" w:w="7272"/>
          </w:tcPr>
          <w:p>
            <w:r/>
            <w:r>
              <w:rPr>
                <w:b w:val="0"/>
                <w:sz w:val="18"/>
              </w:rPr>
              <w:t>The checklist (citing a non-existent "Section 2.14"; the correct reference is Section 2.07) reports a Borrowing Base of $84,920,000 (85% × $68.4M AR = $58.14M; 65% × $41.2M inventory = $26.78M — arithmetic verified). The $110M initial draw is below the $120M Borrowing Base Trigger Event, so Section 7.01(k) does not require the certificate at closing and the Borrowing Base does not constrain funding. James's analysis is correct on that point.</w:t>
            </w:r>
          </w:p>
          <w:p>
            <w:r>
              <w:rPr>
                <w:b w:val="0"/>
                <w:sz w:val="18"/>
              </w:rPr>
              <w:t>However, the checklist's statement that $75,000,000 remains available "for future draws" is misleading. Any draw that takes Total Revolving Outstandings above $120M triggers the Borrowing Base, at which point outstandings must not exceed $84.92M (Sections 2.03(c)(ii), 2.07(a)) — so on current collateral the Borrower effectively has only $10M of incremental availability, not $75M, and a draw above $120M would require an immediate prepayment of more than $35M.</w:t>
            </w:r>
          </w:p>
        </w:tc>
      </w:tr>
      <w:tr>
        <w:tc>
          <w:tcPr>
            <w:tcW w:type="dxa" w:w="2088"/>
            <w:shd w:val="clear" w:color="auto" w:fill="D9E2F3"/>
          </w:tcPr>
          <w:p>
            <w:r/>
            <w:r>
              <w:rPr>
                <w:b/>
                <w:sz w:val="18"/>
              </w:rPr>
              <w:t>Why it matters</w:t>
            </w:r>
          </w:p>
        </w:tc>
        <w:tc>
          <w:tcPr>
            <w:tcW w:type="dxa" w:w="7272"/>
          </w:tcPr>
          <w:p>
            <w:r/>
            <w:r>
              <w:rPr>
                <w:b w:val="0"/>
                <w:sz w:val="18"/>
              </w:rPr>
              <w:t>A credit/structuring point the client should understand now; it also affects how the Minimum Liquidity "availability" component is described to management.</w:t>
            </w:r>
          </w:p>
        </w:tc>
      </w:tr>
      <w:tr>
        <w:tc>
          <w:tcPr>
            <w:tcW w:type="dxa" w:w="2088"/>
            <w:shd w:val="clear" w:color="auto" w:fill="D9E2F3"/>
          </w:tcPr>
          <w:p>
            <w:r/>
            <w:r>
              <w:rPr>
                <w:b/>
                <w:sz w:val="18"/>
              </w:rPr>
              <w:t>Action required</w:t>
            </w:r>
          </w:p>
        </w:tc>
        <w:tc>
          <w:tcPr>
            <w:tcW w:type="dxa" w:w="7272"/>
          </w:tcPr>
          <w:p>
            <w:r/>
            <w:r>
              <w:rPr>
                <w:b w:val="0"/>
                <w:sz w:val="18"/>
              </w:rPr>
              <w:t>Advise the Borrower in writing; correct the checklist narrative and section reference; diary the quarterly Borrowing Base Certificate (within 45 days after each fiscal quarter, i.e., by August 14, 2025 for Q2) under Sections 2.07(d) and 8.04(a).</w:t>
            </w:r>
          </w:p>
        </w:tc>
      </w:tr>
      <w:tr>
        <w:tc>
          <w:tcPr>
            <w:tcW w:type="dxa" w:w="2088"/>
            <w:shd w:val="clear" w:color="auto" w:fill="D9E2F3"/>
          </w:tcPr>
          <w:p>
            <w:r/>
            <w:r>
              <w:rPr>
                <w:b/>
                <w:sz w:val="18"/>
              </w:rPr>
              <w:t>Owner / timing</w:t>
            </w:r>
          </w:p>
        </w:tc>
        <w:tc>
          <w:tcPr>
            <w:tcW w:type="dxa" w:w="7272"/>
          </w:tcPr>
          <w:p>
            <w:r/>
            <w:r>
              <w:rPr>
                <w:b w:val="0"/>
                <w:sz w:val="18"/>
              </w:rPr>
              <w:t>P&amp;H; with revised checklist.</w:t>
            </w:r>
          </w:p>
        </w:tc>
      </w:tr>
    </w:tbl>
    <w:p>
      <w:pPr>
        <w:spacing w:after="40"/>
      </w:pPr>
    </w:p>
    <w:p>
      <w:pPr>
        <w:pStyle w:val="Heading3"/>
      </w:pPr>
      <w:r>
        <w:t>M-2. Title Commitments and Surveys — Confirm Section 7.01(c) Specifications</w:t>
      </w:r>
    </w:p>
    <w:tbl>
      <w:tblPr>
        <w:tblStyle w:val="TableGrid"/>
        <w:tblW w:type="auto" w:w="0"/>
        <w:tblLook w:firstColumn="1" w:firstRow="1" w:lastColumn="0" w:lastRow="0" w:noHBand="0" w:noVBand="1" w:val="04A0"/>
      </w:tblPr>
      <w:tblGrid>
        <w:gridCol w:w="4680"/>
        <w:gridCol w:w="4680"/>
      </w:tblGrid>
      <w:tr>
        <w:tc>
          <w:tcPr>
            <w:tcW w:type="dxa" w:w="2088"/>
            <w:shd w:val="clear" w:color="auto" w:fill="D9E2F3"/>
          </w:tcPr>
          <w:p>
            <w:r/>
            <w:r>
              <w:rPr>
                <w:b/>
                <w:sz w:val="18"/>
              </w:rPr>
              <w:t>Severity</w:t>
            </w:r>
          </w:p>
        </w:tc>
        <w:tc>
          <w:tcPr>
            <w:tcW w:type="dxa" w:w="7272"/>
            <w:shd w:val="clear" w:color="auto" w:fill="BF9000"/>
          </w:tcPr>
          <w:p>
            <w:r/>
            <w:r>
              <w:rPr>
                <w:b/>
                <w:color w:val="FFFFFF"/>
                <w:sz w:val="18"/>
              </w:rPr>
              <w:t>MODERATE</w:t>
            </w:r>
          </w:p>
        </w:tc>
      </w:tr>
      <w:tr>
        <w:tc>
          <w:tcPr>
            <w:tcW w:type="dxa" w:w="2088"/>
            <w:shd w:val="clear" w:color="auto" w:fill="D9E2F3"/>
          </w:tcPr>
          <w:p>
            <w:r/>
            <w:r>
              <w:rPr>
                <w:b/>
                <w:sz w:val="18"/>
              </w:rPr>
              <w:t>Checklist / source refs</w:t>
            </w:r>
          </w:p>
        </w:tc>
        <w:tc>
          <w:tcPr>
            <w:tcW w:type="dxa" w:w="7272"/>
          </w:tcPr>
          <w:p>
            <w:r/>
            <w:r>
              <w:rPr>
                <w:b w:val="0"/>
                <w:sz w:val="18"/>
              </w:rPr>
              <w:t>Checklist Items 15(b)–(c), 16(a); CA 5.02, 7.01(c)(ii)–(iii).</w:t>
            </w:r>
          </w:p>
        </w:tc>
      </w:tr>
      <w:tr>
        <w:tc>
          <w:tcPr>
            <w:tcW w:type="dxa" w:w="2088"/>
            <w:shd w:val="clear" w:color="auto" w:fill="D9E2F3"/>
          </w:tcPr>
          <w:p>
            <w:r/>
            <w:r>
              <w:rPr>
                <w:b/>
                <w:sz w:val="18"/>
              </w:rPr>
              <w:t>Finding</w:t>
            </w:r>
          </w:p>
        </w:tc>
        <w:tc>
          <w:tcPr>
            <w:tcW w:type="dxa" w:w="7272"/>
          </w:tcPr>
          <w:p>
            <w:r/>
            <w:r>
              <w:rPr>
                <w:b w:val="0"/>
                <w:sz w:val="18"/>
              </w:rPr>
              <w:t>Section 7.01(c)(ii) requires each title commitment to insure the Mortgage as a first-priority Lien "in an amount not less than the appraised value" ($18,500,000 Charlotte; $12,300,000 Gastonia) with "all standard exceptions deleted or endorsed over." The checklist records only receipt. Gastonia's commitment (June 12) predates any Mortgage, so it must be updated to insure the Gastonia deed of trust and to require release of the Cornerstone mortgage.</w:t>
            </w:r>
          </w:p>
          <w:p>
            <w:r>
              <w:rPr>
                <w:b w:val="0"/>
                <w:sz w:val="18"/>
              </w:rPr>
              <w:t>The Charlotte ALTA survey (Henderson Surveying, May 15, 2025) is 36 days old and within the 90-day window; confirm it is certified to the Agent and Clearwater. The Charlotte flood determination (June 1, 2025) should state the flood zone; if in a special flood hazard area, flood insurance and the borrower notice are required.</w:t>
            </w:r>
          </w:p>
        </w:tc>
      </w:tr>
      <w:tr>
        <w:tc>
          <w:tcPr>
            <w:tcW w:type="dxa" w:w="2088"/>
            <w:shd w:val="clear" w:color="auto" w:fill="D9E2F3"/>
          </w:tcPr>
          <w:p>
            <w:r/>
            <w:r>
              <w:rPr>
                <w:b/>
                <w:sz w:val="18"/>
              </w:rPr>
              <w:t>Why it matters</w:t>
            </w:r>
          </w:p>
        </w:tc>
        <w:tc>
          <w:tcPr>
            <w:tcW w:type="dxa" w:w="7272"/>
          </w:tcPr>
          <w:p>
            <w:r/>
            <w:r>
              <w:rPr>
                <w:b w:val="0"/>
                <w:sz w:val="18"/>
              </w:rPr>
              <w:t>Title and survey deficiencies are routinely discovered at the pro forma stage; better to clear them before Friday.</w:t>
            </w:r>
          </w:p>
        </w:tc>
      </w:tr>
      <w:tr>
        <w:tc>
          <w:tcPr>
            <w:tcW w:type="dxa" w:w="2088"/>
            <w:shd w:val="clear" w:color="auto" w:fill="D9E2F3"/>
          </w:tcPr>
          <w:p>
            <w:r/>
            <w:r>
              <w:rPr>
                <w:b/>
                <w:sz w:val="18"/>
              </w:rPr>
              <w:t>Action required</w:t>
            </w:r>
          </w:p>
        </w:tc>
        <w:tc>
          <w:tcPr>
            <w:tcW w:type="dxa" w:w="7272"/>
          </w:tcPr>
          <w:p>
            <w:r/>
            <w:r>
              <w:rPr>
                <w:b w:val="0"/>
                <w:sz w:val="18"/>
              </w:rPr>
              <w:t>Ask Clearwater for pro forma policies for both parcels with required endorsements and amounts; confirm survey certifications and flood zone determinations.</w:t>
            </w:r>
          </w:p>
        </w:tc>
      </w:tr>
      <w:tr>
        <w:tc>
          <w:tcPr>
            <w:tcW w:type="dxa" w:w="2088"/>
            <w:shd w:val="clear" w:color="auto" w:fill="D9E2F3"/>
          </w:tcPr>
          <w:p>
            <w:r/>
            <w:r>
              <w:rPr>
                <w:b/>
                <w:sz w:val="18"/>
              </w:rPr>
              <w:t>Owner / timing</w:t>
            </w:r>
          </w:p>
        </w:tc>
        <w:tc>
          <w:tcPr>
            <w:tcW w:type="dxa" w:w="7272"/>
          </w:tcPr>
          <w:p>
            <w:r/>
            <w:r>
              <w:rPr>
                <w:b w:val="0"/>
                <w:sz w:val="18"/>
              </w:rPr>
              <w:t>P&amp;H / Clearwater; by Thurs. June 19.</w:t>
            </w:r>
          </w:p>
        </w:tc>
      </w:tr>
    </w:tbl>
    <w:p>
      <w:pPr>
        <w:spacing w:after="40"/>
      </w:pPr>
    </w:p>
    <w:p>
      <w:pPr>
        <w:pStyle w:val="Heading3"/>
      </w:pPr>
      <w:r>
        <w:t>M-3. Fees and Expenses — Invoices and Support</w:t>
      </w:r>
    </w:p>
    <w:tbl>
      <w:tblPr>
        <w:tblStyle w:val="TableGrid"/>
        <w:tblW w:type="auto" w:w="0"/>
        <w:tblLook w:firstColumn="1" w:firstRow="1" w:lastColumn="0" w:lastRow="0" w:noHBand="0" w:noVBand="1" w:val="04A0"/>
      </w:tblPr>
      <w:tblGrid>
        <w:gridCol w:w="4680"/>
        <w:gridCol w:w="4680"/>
      </w:tblGrid>
      <w:tr>
        <w:tc>
          <w:tcPr>
            <w:tcW w:type="dxa" w:w="2088"/>
            <w:shd w:val="clear" w:color="auto" w:fill="D9E2F3"/>
          </w:tcPr>
          <w:p>
            <w:r/>
            <w:r>
              <w:rPr>
                <w:b/>
                <w:sz w:val="18"/>
              </w:rPr>
              <w:t>Severity</w:t>
            </w:r>
          </w:p>
        </w:tc>
        <w:tc>
          <w:tcPr>
            <w:tcW w:type="dxa" w:w="7272"/>
            <w:shd w:val="clear" w:color="auto" w:fill="BF9000"/>
          </w:tcPr>
          <w:p>
            <w:r/>
            <w:r>
              <w:rPr>
                <w:b/>
                <w:color w:val="FFFFFF"/>
                <w:sz w:val="18"/>
              </w:rPr>
              <w:t>MODERATE</w:t>
            </w:r>
          </w:p>
        </w:tc>
      </w:tr>
      <w:tr>
        <w:tc>
          <w:tcPr>
            <w:tcW w:type="dxa" w:w="2088"/>
            <w:shd w:val="clear" w:color="auto" w:fill="D9E2F3"/>
          </w:tcPr>
          <w:p>
            <w:r/>
            <w:r>
              <w:rPr>
                <w:b/>
                <w:sz w:val="18"/>
              </w:rPr>
              <w:t>Checklist / source refs</w:t>
            </w:r>
          </w:p>
        </w:tc>
        <w:tc>
          <w:tcPr>
            <w:tcW w:type="dxa" w:w="7272"/>
          </w:tcPr>
          <w:p>
            <w:r/>
            <w:r>
              <w:rPr>
                <w:b w:val="0"/>
                <w:sz w:val="18"/>
              </w:rPr>
              <w:t>Checklist Item 31; CA 2.06, 7.01(n), 13.04; Item 5; June 16 email.</w:t>
            </w:r>
          </w:p>
        </w:tc>
      </w:tr>
      <w:tr>
        <w:tc>
          <w:tcPr>
            <w:tcW w:type="dxa" w:w="2088"/>
            <w:shd w:val="clear" w:color="auto" w:fill="D9E2F3"/>
          </w:tcPr>
          <w:p>
            <w:r/>
            <w:r>
              <w:rPr>
                <w:b/>
                <w:sz w:val="18"/>
              </w:rPr>
              <w:t>Finding</w:t>
            </w:r>
          </w:p>
        </w:tc>
        <w:tc>
          <w:tcPr>
            <w:tcW w:type="dxa" w:w="7272"/>
          </w:tcPr>
          <w:p>
            <w:r/>
            <w:r>
              <w:rPr>
                <w:b w:val="0"/>
                <w:sz w:val="18"/>
              </w:rPr>
              <w:t>Section 7.01(n) requires all fees and expenses due on or before the Closing Date to be paid in full, and legal fees must be "reasonable and documented." The email says P&amp;H and Whitmore Ridley invoices will be "delivered at closing"; they should be delivered by Wednesday so they can be included in the funds flow. The $4,780,000 of "miscellaneous" third-party costs (nearly three-quarters of total closing costs) should be itemized by payee. Confirm whether the Fee Letter (Section 2.06(c)) provides for any fees beyond the $925,000 upfront fee and the $75,000 annual agency fee (first payable January 2, 2026, not at closing). Totals foot: $925,000 + $485,000 + $310,000 + $4,780,000 = $6,500,000.</w:t>
            </w:r>
          </w:p>
        </w:tc>
      </w:tr>
      <w:tr>
        <w:tc>
          <w:tcPr>
            <w:tcW w:type="dxa" w:w="2088"/>
            <w:shd w:val="clear" w:color="auto" w:fill="D9E2F3"/>
          </w:tcPr>
          <w:p>
            <w:r/>
            <w:r>
              <w:rPr>
                <w:b/>
                <w:sz w:val="18"/>
              </w:rPr>
              <w:t>Why it matters</w:t>
            </w:r>
          </w:p>
        </w:tc>
        <w:tc>
          <w:tcPr>
            <w:tcW w:type="dxa" w:w="7272"/>
          </w:tcPr>
          <w:p>
            <w:r/>
            <w:r>
              <w:rPr>
                <w:b w:val="0"/>
                <w:sz w:val="18"/>
              </w:rPr>
              <w:t>Funds flow cannot be finalized and Section 7.01(n) cannot be evidenced without invoices.</w:t>
            </w:r>
          </w:p>
        </w:tc>
      </w:tr>
      <w:tr>
        <w:tc>
          <w:tcPr>
            <w:tcW w:type="dxa" w:w="2088"/>
            <w:shd w:val="clear" w:color="auto" w:fill="D9E2F3"/>
          </w:tcPr>
          <w:p>
            <w:r/>
            <w:r>
              <w:rPr>
                <w:b/>
                <w:sz w:val="18"/>
              </w:rPr>
              <w:t>Action required</w:t>
            </w:r>
          </w:p>
        </w:tc>
        <w:tc>
          <w:tcPr>
            <w:tcW w:type="dxa" w:w="7272"/>
          </w:tcPr>
          <w:p>
            <w:r/>
            <w:r>
              <w:rPr>
                <w:b w:val="0"/>
                <w:sz w:val="18"/>
              </w:rPr>
              <w:t>Request final invoices and wire instructions from all payees by Wednesday; include in the revised funds flow (C-9).</w:t>
            </w:r>
          </w:p>
        </w:tc>
      </w:tr>
      <w:tr>
        <w:tc>
          <w:tcPr>
            <w:tcW w:type="dxa" w:w="2088"/>
            <w:shd w:val="clear" w:color="auto" w:fill="D9E2F3"/>
          </w:tcPr>
          <w:p>
            <w:r/>
            <w:r>
              <w:rPr>
                <w:b/>
                <w:sz w:val="18"/>
              </w:rPr>
              <w:t>Owner / timing</w:t>
            </w:r>
          </w:p>
        </w:tc>
        <w:tc>
          <w:tcPr>
            <w:tcW w:type="dxa" w:w="7272"/>
          </w:tcPr>
          <w:p>
            <w:r/>
            <w:r>
              <w:rPr>
                <w:b w:val="0"/>
                <w:sz w:val="18"/>
              </w:rPr>
              <w:t>P&amp;H / WR / Borrower; Wed. June 18.</w:t>
            </w:r>
          </w:p>
        </w:tc>
      </w:tr>
    </w:tbl>
    <w:p>
      <w:pPr>
        <w:spacing w:after="40"/>
      </w:pPr>
    </w:p>
    <w:p>
      <w:pPr>
        <w:pStyle w:val="Heading3"/>
      </w:pPr>
      <w:r>
        <w:t>M-4. Checklist Accuracy — Status and Description Errors</w:t>
      </w:r>
    </w:p>
    <w:tbl>
      <w:tblPr>
        <w:tblStyle w:val="TableGrid"/>
        <w:tblW w:type="auto" w:w="0"/>
        <w:tblLook w:firstColumn="1" w:firstRow="1" w:lastColumn="0" w:lastRow="0" w:noHBand="0" w:noVBand="1" w:val="04A0"/>
      </w:tblPr>
      <w:tblGrid>
        <w:gridCol w:w="4680"/>
        <w:gridCol w:w="4680"/>
      </w:tblGrid>
      <w:tr>
        <w:tc>
          <w:tcPr>
            <w:tcW w:type="dxa" w:w="2088"/>
            <w:shd w:val="clear" w:color="auto" w:fill="D9E2F3"/>
          </w:tcPr>
          <w:p>
            <w:r/>
            <w:r>
              <w:rPr>
                <w:b/>
                <w:sz w:val="18"/>
              </w:rPr>
              <w:t>Severity</w:t>
            </w:r>
          </w:p>
        </w:tc>
        <w:tc>
          <w:tcPr>
            <w:tcW w:type="dxa" w:w="7272"/>
            <w:shd w:val="clear" w:color="auto" w:fill="BF9000"/>
          </w:tcPr>
          <w:p>
            <w:r/>
            <w:r>
              <w:rPr>
                <w:b/>
                <w:color w:val="FFFFFF"/>
                <w:sz w:val="18"/>
              </w:rPr>
              <w:t>MODERATE</w:t>
            </w:r>
          </w:p>
        </w:tc>
      </w:tr>
      <w:tr>
        <w:tc>
          <w:tcPr>
            <w:tcW w:type="dxa" w:w="2088"/>
            <w:shd w:val="clear" w:color="auto" w:fill="D9E2F3"/>
          </w:tcPr>
          <w:p>
            <w:r/>
            <w:r>
              <w:rPr>
                <w:b/>
                <w:sz w:val="18"/>
              </w:rPr>
              <w:t>Checklist / source refs</w:t>
            </w:r>
          </w:p>
        </w:tc>
        <w:tc>
          <w:tcPr>
            <w:tcW w:type="dxa" w:w="7272"/>
          </w:tcPr>
          <w:p>
            <w:r/>
            <w:r>
              <w:rPr>
                <w:b w:val="0"/>
                <w:sz w:val="18"/>
              </w:rPr>
              <w:t>Checklist generally; Summary Status Table.</w:t>
            </w:r>
          </w:p>
        </w:tc>
      </w:tr>
      <w:tr>
        <w:tc>
          <w:tcPr>
            <w:tcW w:type="dxa" w:w="2088"/>
            <w:shd w:val="clear" w:color="auto" w:fill="D9E2F3"/>
          </w:tcPr>
          <w:p>
            <w:r/>
            <w:r>
              <w:rPr>
                <w:b/>
                <w:sz w:val="18"/>
              </w:rPr>
              <w:t>Finding</w:t>
            </w:r>
          </w:p>
        </w:tc>
        <w:tc>
          <w:tcPr>
            <w:tcW w:type="dxa" w:w="7272"/>
          </w:tcPr>
          <w:p>
            <w:r/>
            <w:r>
              <w:rPr>
                <w:b w:val="0"/>
                <w:sz w:val="18"/>
              </w:rPr>
              <w:t>Before the revised checklist goes to Whitmore Ridley on Wednesday, the following should be corrected: Item 1 (Agreement held in escrow pending CPs; Aldersgate signature page defect); Commitment Summary and Item 2(d) ($25M Aldersgate; total $185M); Item 3 (add TAM; Pending); Item 8(c) (Pending); Item 10 (Pending; dated as of Closing Date); Item 11 (add ESOP Trust consent); Item 13 (add TAM/Virginia; Pending); Item 14 (add tax lien/judgment/litigation and bring-down searches); Item 16 (add Mortgage, survey and flood determination; Phase I stale; Pending); Item 18 (scope); Item 20 (Draft Received); Items 22–23 (escrow at closing); Item 24 (Pending); Item 25 (Draft Received; add FCCR); Item 26 (Section 2.07); Item 30 (Draft Received; $87.45M); and new items for the Borrowing Request, pledged equity, guarantor beneficial ownership certifications, the North Carolina real estate opinion, and post-closing deliverables. The Summary Status Table (26 Complete / 8 Pending / 1 N/A) should be restated; on our review, at least Items 3, 8, 10, 11, 13, 16, 20, 24, 25 and 30 should move out of "Complete."</w:t>
            </w:r>
          </w:p>
        </w:tc>
      </w:tr>
      <w:tr>
        <w:tc>
          <w:tcPr>
            <w:tcW w:type="dxa" w:w="2088"/>
            <w:shd w:val="clear" w:color="auto" w:fill="D9E2F3"/>
          </w:tcPr>
          <w:p>
            <w:r/>
            <w:r>
              <w:rPr>
                <w:b/>
                <w:sz w:val="18"/>
              </w:rPr>
              <w:t>Why it matters</w:t>
            </w:r>
          </w:p>
        </w:tc>
        <w:tc>
          <w:tcPr>
            <w:tcW w:type="dxa" w:w="7272"/>
          </w:tcPr>
          <w:p>
            <w:r/>
            <w:r>
              <w:rPr>
                <w:b w:val="0"/>
                <w:sz w:val="18"/>
              </w:rPr>
              <w:t>A checklist sent to Agent's counsel that overstates completion damages credibility and can be used against the Borrower if a condition later proves unsatisfied.</w:t>
            </w:r>
          </w:p>
        </w:tc>
      </w:tr>
      <w:tr>
        <w:tc>
          <w:tcPr>
            <w:tcW w:type="dxa" w:w="2088"/>
            <w:shd w:val="clear" w:color="auto" w:fill="D9E2F3"/>
          </w:tcPr>
          <w:p>
            <w:r/>
            <w:r>
              <w:rPr>
                <w:b/>
                <w:sz w:val="18"/>
              </w:rPr>
              <w:t>Action required</w:t>
            </w:r>
          </w:p>
        </w:tc>
        <w:tc>
          <w:tcPr>
            <w:tcW w:type="dxa" w:w="7272"/>
          </w:tcPr>
          <w:p>
            <w:r/>
            <w:r>
              <w:rPr>
                <w:b w:val="0"/>
                <w:sz w:val="18"/>
              </w:rPr>
              <w:t>James to circulate a corrected checklist after your Wednesday call, as planned.</w:t>
            </w:r>
          </w:p>
        </w:tc>
      </w:tr>
      <w:tr>
        <w:tc>
          <w:tcPr>
            <w:tcW w:type="dxa" w:w="2088"/>
            <w:shd w:val="clear" w:color="auto" w:fill="D9E2F3"/>
          </w:tcPr>
          <w:p>
            <w:r/>
            <w:r>
              <w:rPr>
                <w:b/>
                <w:sz w:val="18"/>
              </w:rPr>
              <w:t>Owner / timing</w:t>
            </w:r>
          </w:p>
        </w:tc>
        <w:tc>
          <w:tcPr>
            <w:tcW w:type="dxa" w:w="7272"/>
          </w:tcPr>
          <w:p>
            <w:r/>
            <w:r>
              <w:rPr>
                <w:b w:val="0"/>
                <w:sz w:val="18"/>
              </w:rPr>
              <w:t>P&amp;H (J. Okubo); Wed. June 18.</w:t>
            </w:r>
          </w:p>
        </w:tc>
      </w:tr>
    </w:tbl>
    <w:p>
      <w:pPr>
        <w:spacing w:after="40"/>
      </w:pPr>
    </w:p>
    <w:p>
      <w:pPr>
        <w:pStyle w:val="Heading3"/>
      </w:pPr>
      <w:r>
        <w:t>M-5. Credit Agreement Execution Copy and Guarantor Joinder</w:t>
      </w:r>
    </w:p>
    <w:tbl>
      <w:tblPr>
        <w:tblStyle w:val="TableGrid"/>
        <w:tblW w:type="auto" w:w="0"/>
        <w:tblLook w:firstColumn="1" w:firstRow="1" w:lastColumn="0" w:lastRow="0" w:noHBand="0" w:noVBand="1" w:val="04A0"/>
      </w:tblPr>
      <w:tblGrid>
        <w:gridCol w:w="4680"/>
        <w:gridCol w:w="4680"/>
      </w:tblGrid>
      <w:tr>
        <w:tc>
          <w:tcPr>
            <w:tcW w:type="dxa" w:w="2088"/>
            <w:shd w:val="clear" w:color="auto" w:fill="D9E2F3"/>
          </w:tcPr>
          <w:p>
            <w:r/>
            <w:r>
              <w:rPr>
                <w:b/>
                <w:sz w:val="18"/>
              </w:rPr>
              <w:t>Severity</w:t>
            </w:r>
          </w:p>
        </w:tc>
        <w:tc>
          <w:tcPr>
            <w:tcW w:type="dxa" w:w="7272"/>
            <w:shd w:val="clear" w:color="auto" w:fill="BF9000"/>
          </w:tcPr>
          <w:p>
            <w:r/>
            <w:r>
              <w:rPr>
                <w:b/>
                <w:color w:val="FFFFFF"/>
                <w:sz w:val="18"/>
              </w:rPr>
              <w:t>MODERATE</w:t>
            </w:r>
          </w:p>
        </w:tc>
      </w:tr>
      <w:tr>
        <w:tc>
          <w:tcPr>
            <w:tcW w:type="dxa" w:w="2088"/>
            <w:shd w:val="clear" w:color="auto" w:fill="D9E2F3"/>
          </w:tcPr>
          <w:p>
            <w:r/>
            <w:r>
              <w:rPr>
                <w:b/>
                <w:sz w:val="18"/>
              </w:rPr>
              <w:t>Checklist / source refs</w:t>
            </w:r>
          </w:p>
        </w:tc>
        <w:tc>
          <w:tcPr>
            <w:tcW w:type="dxa" w:w="7272"/>
          </w:tcPr>
          <w:p>
            <w:r/>
            <w:r>
              <w:rPr>
                <w:b w:val="0"/>
                <w:sz w:val="18"/>
              </w:rPr>
              <w:t>Checklist Item 1; CA Article VI, Section 14.01; Credit Agreement footer.</w:t>
            </w:r>
          </w:p>
        </w:tc>
      </w:tr>
      <w:tr>
        <w:tc>
          <w:tcPr>
            <w:tcW w:type="dxa" w:w="2088"/>
            <w:shd w:val="clear" w:color="auto" w:fill="D9E2F3"/>
          </w:tcPr>
          <w:p>
            <w:r/>
            <w:r>
              <w:rPr>
                <w:b/>
                <w:sz w:val="18"/>
              </w:rPr>
              <w:t>Finding</w:t>
            </w:r>
          </w:p>
        </w:tc>
        <w:tc>
          <w:tcPr>
            <w:tcW w:type="dxa" w:w="7272"/>
          </w:tcPr>
          <w:p>
            <w:r/>
            <w:r>
              <w:rPr>
                <w:b w:val="0"/>
                <w:sz w:val="18"/>
              </w:rPr>
              <w:t>The Credit Agreement copy in the file bears the footer "Draft — Subject to Attorney-Client Privilege." Confirm the binder holds the final executed version with conformed signature pages. Under Section 14.01 the Agreement was executed June 13 but is held in escrow by the Agent and becomes effective only when all Section 7.01 conditions are satisfied or waived; it terminates if the Closing Date does not occur by July 31, 2025 — relevant if we need to move the closing.</w:t>
            </w:r>
          </w:p>
          <w:p>
            <w:r>
              <w:rPr>
                <w:b w:val="0"/>
                <w:sz w:val="18"/>
              </w:rPr>
              <w:t>Article VI states that "Each Subsidiary Guarantor hereby" guarantees the Obligations, but no Guarantor signs the Credit Agreement. The guarantee is therefore effective only through the separate Guarantee Agreements, which heightens the importance of C-4.</w:t>
            </w:r>
          </w:p>
        </w:tc>
      </w:tr>
      <w:tr>
        <w:tc>
          <w:tcPr>
            <w:tcW w:type="dxa" w:w="2088"/>
            <w:shd w:val="clear" w:color="auto" w:fill="D9E2F3"/>
          </w:tcPr>
          <w:p>
            <w:r/>
            <w:r>
              <w:rPr>
                <w:b/>
                <w:sz w:val="18"/>
              </w:rPr>
              <w:t>Why it matters</w:t>
            </w:r>
          </w:p>
        </w:tc>
        <w:tc>
          <w:tcPr>
            <w:tcW w:type="dxa" w:w="7272"/>
          </w:tcPr>
          <w:p>
            <w:r/>
            <w:r>
              <w:rPr>
                <w:b w:val="0"/>
                <w:sz w:val="18"/>
              </w:rPr>
              <w:t>Housekeeping with substantive consequences for C-4 and timing.</w:t>
            </w:r>
          </w:p>
        </w:tc>
      </w:tr>
      <w:tr>
        <w:tc>
          <w:tcPr>
            <w:tcW w:type="dxa" w:w="2088"/>
            <w:shd w:val="clear" w:color="auto" w:fill="D9E2F3"/>
          </w:tcPr>
          <w:p>
            <w:r/>
            <w:r>
              <w:rPr>
                <w:b/>
                <w:sz w:val="18"/>
              </w:rPr>
              <w:t>Action required</w:t>
            </w:r>
          </w:p>
        </w:tc>
        <w:tc>
          <w:tcPr>
            <w:tcW w:type="dxa" w:w="7272"/>
          </w:tcPr>
          <w:p>
            <w:r/>
            <w:r>
              <w:rPr>
                <w:b w:val="0"/>
                <w:sz w:val="18"/>
              </w:rPr>
              <w:t>Confirm the executed final with Whitmore Ridley; note the July 31, 2025 outside date in the closing timetable.</w:t>
            </w:r>
          </w:p>
        </w:tc>
      </w:tr>
      <w:tr>
        <w:tc>
          <w:tcPr>
            <w:tcW w:type="dxa" w:w="2088"/>
            <w:shd w:val="clear" w:color="auto" w:fill="D9E2F3"/>
          </w:tcPr>
          <w:p>
            <w:r/>
            <w:r>
              <w:rPr>
                <w:b/>
                <w:sz w:val="18"/>
              </w:rPr>
              <w:t>Owner / timing</w:t>
            </w:r>
          </w:p>
        </w:tc>
        <w:tc>
          <w:tcPr>
            <w:tcW w:type="dxa" w:w="7272"/>
          </w:tcPr>
          <w:p>
            <w:r/>
            <w:r>
              <w:rPr>
                <w:b w:val="0"/>
                <w:sz w:val="18"/>
              </w:rPr>
              <w:t>P&amp;H / WR.</w:t>
            </w:r>
          </w:p>
        </w:tc>
      </w:tr>
    </w:tbl>
    <w:p>
      <w:pPr>
        <w:spacing w:after="40"/>
      </w:pPr>
    </w:p>
    <w:p>
      <w:pPr>
        <w:pStyle w:val="Heading1"/>
      </w:pPr>
      <w:r>
        <w:t>VI. Low-Priority and Housekeeping Items</w:t>
      </w:r>
    </w:p>
    <w:p>
      <w:pPr>
        <w:pStyle w:val="Heading3"/>
      </w:pPr>
      <w:r>
        <w:t>L-1. Weekend Dates on Deliverables</w:t>
      </w:r>
    </w:p>
    <w:tbl>
      <w:tblPr>
        <w:tblStyle w:val="TableGrid"/>
        <w:tblW w:type="auto" w:w="0"/>
        <w:tblLook w:firstColumn="1" w:firstRow="1" w:lastColumn="0" w:lastRow="0" w:noHBand="0" w:noVBand="1" w:val="04A0"/>
      </w:tblPr>
      <w:tblGrid>
        <w:gridCol w:w="4680"/>
        <w:gridCol w:w="4680"/>
      </w:tblGrid>
      <w:tr>
        <w:tc>
          <w:tcPr>
            <w:tcW w:type="dxa" w:w="2088"/>
            <w:shd w:val="clear" w:color="auto" w:fill="D9E2F3"/>
          </w:tcPr>
          <w:p>
            <w:r/>
            <w:r>
              <w:rPr>
                <w:b/>
                <w:sz w:val="18"/>
              </w:rPr>
              <w:t>Severity</w:t>
            </w:r>
          </w:p>
        </w:tc>
        <w:tc>
          <w:tcPr>
            <w:tcW w:type="dxa" w:w="7272"/>
            <w:shd w:val="clear" w:color="auto" w:fill="548235"/>
          </w:tcPr>
          <w:p>
            <w:r/>
            <w:r>
              <w:rPr>
                <w:b/>
                <w:color w:val="FFFFFF"/>
                <w:sz w:val="18"/>
              </w:rPr>
              <w:t>LOW</w:t>
            </w:r>
          </w:p>
        </w:tc>
      </w:tr>
      <w:tr>
        <w:tc>
          <w:tcPr>
            <w:tcW w:type="dxa" w:w="2088"/>
            <w:shd w:val="clear" w:color="auto" w:fill="D9E2F3"/>
          </w:tcPr>
          <w:p>
            <w:r/>
            <w:r>
              <w:rPr>
                <w:b/>
                <w:sz w:val="18"/>
              </w:rPr>
              <w:t>Checklist / source refs</w:t>
            </w:r>
          </w:p>
        </w:tc>
        <w:tc>
          <w:tcPr>
            <w:tcW w:type="dxa" w:w="7272"/>
          </w:tcPr>
          <w:p>
            <w:r/>
            <w:r>
              <w:rPr>
                <w:b w:val="0"/>
                <w:sz w:val="18"/>
              </w:rPr>
              <w:t>Items 13 (UCC filings June 14), 20 (Stonebridge June 14), 21 (payoff letter June 14), 24 (insurance certificate June 15), 19 (WR draft June 15).</w:t>
            </w:r>
          </w:p>
        </w:tc>
      </w:tr>
      <w:tr>
        <w:tc>
          <w:tcPr>
            <w:tcW w:type="dxa" w:w="2088"/>
            <w:shd w:val="clear" w:color="auto" w:fill="D9E2F3"/>
          </w:tcPr>
          <w:p>
            <w:r/>
            <w:r>
              <w:rPr>
                <w:b/>
                <w:sz w:val="18"/>
              </w:rPr>
              <w:t>Finding</w:t>
            </w:r>
          </w:p>
        </w:tc>
        <w:tc>
          <w:tcPr>
            <w:tcW w:type="dxa" w:w="7272"/>
          </w:tcPr>
          <w:p>
            <w:r/>
            <w:r>
              <w:rPr>
                <w:b w:val="0"/>
                <w:sz w:val="18"/>
              </w:rPr>
              <w:t>June 14 and 15, 2025 were a Saturday and Sunday. Electronic UCC filings can be made on weekends, but the official filing dates on the acknowledgments may differ.</w:t>
            </w:r>
          </w:p>
        </w:tc>
      </w:tr>
      <w:tr>
        <w:tc>
          <w:tcPr>
            <w:tcW w:type="dxa" w:w="2088"/>
            <w:shd w:val="clear" w:color="auto" w:fill="D9E2F3"/>
          </w:tcPr>
          <w:p>
            <w:r/>
            <w:r>
              <w:rPr>
                <w:b/>
                <w:sz w:val="18"/>
              </w:rPr>
              <w:t>Why it matters</w:t>
            </w:r>
          </w:p>
        </w:tc>
        <w:tc>
          <w:tcPr>
            <w:tcW w:type="dxa" w:w="7272"/>
          </w:tcPr>
          <w:p>
            <w:r/>
            <w:r>
              <w:rPr>
                <w:b w:val="0"/>
                <w:sz w:val="18"/>
              </w:rPr>
              <w:t>Accurate filing dates matter for priority and for the opinion.</w:t>
            </w:r>
          </w:p>
        </w:tc>
      </w:tr>
      <w:tr>
        <w:tc>
          <w:tcPr>
            <w:tcW w:type="dxa" w:w="2088"/>
            <w:shd w:val="clear" w:color="auto" w:fill="D9E2F3"/>
          </w:tcPr>
          <w:p>
            <w:r/>
            <w:r>
              <w:rPr>
                <w:b/>
                <w:sz w:val="18"/>
              </w:rPr>
              <w:t>Action required</w:t>
            </w:r>
          </w:p>
        </w:tc>
        <w:tc>
          <w:tcPr>
            <w:tcW w:type="dxa" w:w="7272"/>
          </w:tcPr>
          <w:p>
            <w:r/>
            <w:r>
              <w:rPr>
                <w:b w:val="0"/>
                <w:sz w:val="18"/>
              </w:rPr>
              <w:t>Conform checklist dates to the filing acknowledgments and the documents themselves.</w:t>
            </w:r>
          </w:p>
        </w:tc>
      </w:tr>
      <w:tr>
        <w:tc>
          <w:tcPr>
            <w:tcW w:type="dxa" w:w="2088"/>
            <w:shd w:val="clear" w:color="auto" w:fill="D9E2F3"/>
          </w:tcPr>
          <w:p>
            <w:r/>
            <w:r>
              <w:rPr>
                <w:b/>
                <w:sz w:val="18"/>
              </w:rPr>
              <w:t>Owner / timing</w:t>
            </w:r>
          </w:p>
        </w:tc>
        <w:tc>
          <w:tcPr>
            <w:tcW w:type="dxa" w:w="7272"/>
          </w:tcPr>
          <w:p>
            <w:r/>
            <w:r>
              <w:rPr>
                <w:b w:val="0"/>
                <w:sz w:val="18"/>
              </w:rPr>
              <w:t>P&amp;H.</w:t>
            </w:r>
          </w:p>
        </w:tc>
      </w:tr>
    </w:tbl>
    <w:p>
      <w:pPr>
        <w:spacing w:after="40"/>
      </w:pPr>
    </w:p>
    <w:p>
      <w:pPr>
        <w:pStyle w:val="Heading3"/>
      </w:pPr>
      <w:r>
        <w:t>L-2. Compliance Certificate Cross-References and Date</w:t>
      </w:r>
    </w:p>
    <w:tbl>
      <w:tblPr>
        <w:tblStyle w:val="TableGrid"/>
        <w:tblW w:type="auto" w:w="0"/>
        <w:tblLook w:firstColumn="1" w:firstRow="1" w:lastColumn="0" w:lastRow="0" w:noHBand="0" w:noVBand="1" w:val="04A0"/>
      </w:tblPr>
      <w:tblGrid>
        <w:gridCol w:w="4680"/>
        <w:gridCol w:w="4680"/>
      </w:tblGrid>
      <w:tr>
        <w:tc>
          <w:tcPr>
            <w:tcW w:type="dxa" w:w="2088"/>
            <w:shd w:val="clear" w:color="auto" w:fill="D9E2F3"/>
          </w:tcPr>
          <w:p>
            <w:r/>
            <w:r>
              <w:rPr>
                <w:b/>
                <w:sz w:val="18"/>
              </w:rPr>
              <w:t>Severity</w:t>
            </w:r>
          </w:p>
        </w:tc>
        <w:tc>
          <w:tcPr>
            <w:tcW w:type="dxa" w:w="7272"/>
            <w:shd w:val="clear" w:color="auto" w:fill="548235"/>
          </w:tcPr>
          <w:p>
            <w:r/>
            <w:r>
              <w:rPr>
                <w:b/>
                <w:color w:val="FFFFFF"/>
                <w:sz w:val="18"/>
              </w:rPr>
              <w:t>LOW</w:t>
            </w:r>
          </w:p>
        </w:tc>
      </w:tr>
      <w:tr>
        <w:tc>
          <w:tcPr>
            <w:tcW w:type="dxa" w:w="2088"/>
            <w:shd w:val="clear" w:color="auto" w:fill="D9E2F3"/>
          </w:tcPr>
          <w:p>
            <w:r/>
            <w:r>
              <w:rPr>
                <w:b/>
                <w:sz w:val="18"/>
              </w:rPr>
              <w:t>Checklist / source refs</w:t>
            </w:r>
          </w:p>
        </w:tc>
        <w:tc>
          <w:tcPr>
            <w:tcW w:type="dxa" w:w="7272"/>
          </w:tcPr>
          <w:p>
            <w:r/>
            <w:r>
              <w:rPr>
                <w:b w:val="0"/>
                <w:sz w:val="18"/>
              </w:rPr>
              <w:t>Compliance Certificate heading, Sections 1 and 5; CA 7.01(j), 7.01(m), 8.01, 8.02(f)(iii).</w:t>
            </w:r>
          </w:p>
        </w:tc>
      </w:tr>
      <w:tr>
        <w:tc>
          <w:tcPr>
            <w:tcW w:type="dxa" w:w="2088"/>
            <w:shd w:val="clear" w:color="auto" w:fill="D9E2F3"/>
          </w:tcPr>
          <w:p>
            <w:r/>
            <w:r>
              <w:rPr>
                <w:b/>
                <w:sz w:val="18"/>
              </w:rPr>
              <w:t>Finding</w:t>
            </w:r>
          </w:p>
        </w:tc>
        <w:tc>
          <w:tcPr>
            <w:tcW w:type="dxa" w:w="7272"/>
          </w:tcPr>
          <w:p>
            <w:r/>
            <w:r>
              <w:rPr>
                <w:b w:val="0"/>
                <w:sz w:val="18"/>
              </w:rPr>
              <w:t>The certificate says it is delivered under "Section 8.01(d)" (no such section exists; the ongoing delivery requirement is in Section 8.02(f)(iii), and the closing requirement is noted in the final paragraph of Section 8.01) and under "Section 7.01(m)" as a condition precedent (Section 7.01(m) is Member Consents; the compliance certificate condition is Section 7.01(j)).</w:t>
            </w:r>
          </w:p>
        </w:tc>
      </w:tr>
      <w:tr>
        <w:tc>
          <w:tcPr>
            <w:tcW w:type="dxa" w:w="2088"/>
            <w:shd w:val="clear" w:color="auto" w:fill="D9E2F3"/>
          </w:tcPr>
          <w:p>
            <w:r/>
            <w:r>
              <w:rPr>
                <w:b/>
                <w:sz w:val="18"/>
              </w:rPr>
              <w:t>Why it matters</w:t>
            </w:r>
          </w:p>
        </w:tc>
        <w:tc>
          <w:tcPr>
            <w:tcW w:type="dxa" w:w="7272"/>
          </w:tcPr>
          <w:p>
            <w:r/>
            <w:r>
              <w:rPr>
                <w:b w:val="0"/>
                <w:sz w:val="18"/>
              </w:rPr>
              <w:t>Conforming changes only.</w:t>
            </w:r>
          </w:p>
        </w:tc>
      </w:tr>
      <w:tr>
        <w:tc>
          <w:tcPr>
            <w:tcW w:type="dxa" w:w="2088"/>
            <w:shd w:val="clear" w:color="auto" w:fill="D9E2F3"/>
          </w:tcPr>
          <w:p>
            <w:r/>
            <w:r>
              <w:rPr>
                <w:b/>
                <w:sz w:val="18"/>
              </w:rPr>
              <w:t>Action required</w:t>
            </w:r>
          </w:p>
        </w:tc>
        <w:tc>
          <w:tcPr>
            <w:tcW w:type="dxa" w:w="7272"/>
          </w:tcPr>
          <w:p>
            <w:r/>
            <w:r>
              <w:rPr>
                <w:b w:val="0"/>
                <w:sz w:val="18"/>
              </w:rPr>
              <w:t>Correct the cross-references to Sections 7.01(j), 8.01 and 8.02(f)(iii); keep the June 20 date and sign at closing.</w:t>
            </w:r>
          </w:p>
        </w:tc>
      </w:tr>
      <w:tr>
        <w:tc>
          <w:tcPr>
            <w:tcW w:type="dxa" w:w="2088"/>
            <w:shd w:val="clear" w:color="auto" w:fill="D9E2F3"/>
          </w:tcPr>
          <w:p>
            <w:r/>
            <w:r>
              <w:rPr>
                <w:b/>
                <w:sz w:val="18"/>
              </w:rPr>
              <w:t>Owner / timing</w:t>
            </w:r>
          </w:p>
        </w:tc>
        <w:tc>
          <w:tcPr>
            <w:tcW w:type="dxa" w:w="7272"/>
          </w:tcPr>
          <w:p>
            <w:r/>
            <w:r>
              <w:rPr>
                <w:b w:val="0"/>
                <w:sz w:val="18"/>
              </w:rPr>
              <w:t>Borrower / P&amp;H; with C-7.</w:t>
            </w:r>
          </w:p>
        </w:tc>
      </w:tr>
    </w:tbl>
    <w:p>
      <w:pPr>
        <w:spacing w:after="40"/>
      </w:pPr>
    </w:p>
    <w:p>
      <w:pPr>
        <w:pStyle w:val="Heading3"/>
      </w:pPr>
      <w:r>
        <w:t>L-3. P&amp;H Notice Address</w:t>
      </w:r>
    </w:p>
    <w:tbl>
      <w:tblPr>
        <w:tblStyle w:val="TableGrid"/>
        <w:tblW w:type="auto" w:w="0"/>
        <w:tblLook w:firstColumn="1" w:firstRow="1" w:lastColumn="0" w:lastRow="0" w:noHBand="0" w:noVBand="1" w:val="04A0"/>
      </w:tblPr>
      <w:tblGrid>
        <w:gridCol w:w="4680"/>
        <w:gridCol w:w="4680"/>
      </w:tblGrid>
      <w:tr>
        <w:tc>
          <w:tcPr>
            <w:tcW w:type="dxa" w:w="2088"/>
            <w:shd w:val="clear" w:color="auto" w:fill="D9E2F3"/>
          </w:tcPr>
          <w:p>
            <w:r/>
            <w:r>
              <w:rPr>
                <w:b/>
                <w:sz w:val="18"/>
              </w:rPr>
              <w:t>Severity</w:t>
            </w:r>
          </w:p>
        </w:tc>
        <w:tc>
          <w:tcPr>
            <w:tcW w:type="dxa" w:w="7272"/>
            <w:shd w:val="clear" w:color="auto" w:fill="548235"/>
          </w:tcPr>
          <w:p>
            <w:r/>
            <w:r>
              <w:rPr>
                <w:b/>
                <w:color w:val="FFFFFF"/>
                <w:sz w:val="18"/>
              </w:rPr>
              <w:t>LOW</w:t>
            </w:r>
          </w:p>
        </w:tc>
      </w:tr>
      <w:tr>
        <w:tc>
          <w:tcPr>
            <w:tcW w:type="dxa" w:w="2088"/>
            <w:shd w:val="clear" w:color="auto" w:fill="D9E2F3"/>
          </w:tcPr>
          <w:p>
            <w:r/>
            <w:r>
              <w:rPr>
                <w:b/>
                <w:sz w:val="18"/>
              </w:rPr>
              <w:t>Checklist / source refs</w:t>
            </w:r>
          </w:p>
        </w:tc>
        <w:tc>
          <w:tcPr>
            <w:tcW w:type="dxa" w:w="7272"/>
          </w:tcPr>
          <w:p>
            <w:r/>
            <w:r>
              <w:rPr>
                <w:b w:val="0"/>
                <w:sz w:val="18"/>
              </w:rPr>
              <w:t>CA Section 13.01; checklist header.</w:t>
            </w:r>
          </w:p>
        </w:tc>
      </w:tr>
      <w:tr>
        <w:tc>
          <w:tcPr>
            <w:tcW w:type="dxa" w:w="2088"/>
            <w:shd w:val="clear" w:color="auto" w:fill="D9E2F3"/>
          </w:tcPr>
          <w:p>
            <w:r/>
            <w:r>
              <w:rPr>
                <w:b/>
                <w:sz w:val="18"/>
              </w:rPr>
              <w:t>Finding</w:t>
            </w:r>
          </w:p>
        </w:tc>
        <w:tc>
          <w:tcPr>
            <w:tcW w:type="dxa" w:w="7272"/>
          </w:tcPr>
          <w:p>
            <w:r/>
            <w:r>
              <w:rPr>
                <w:b w:val="0"/>
                <w:sz w:val="18"/>
              </w:rPr>
              <w:t>Section 13.01 lists P&amp;H's notice address as 215 South Tryon Street, Suite 2400; the checklist lists 1200 Tryon Street, Suite 3400.</w:t>
            </w:r>
          </w:p>
        </w:tc>
      </w:tr>
      <w:tr>
        <w:tc>
          <w:tcPr>
            <w:tcW w:type="dxa" w:w="2088"/>
            <w:shd w:val="clear" w:color="auto" w:fill="D9E2F3"/>
          </w:tcPr>
          <w:p>
            <w:r/>
            <w:r>
              <w:rPr>
                <w:b/>
                <w:sz w:val="18"/>
              </w:rPr>
              <w:t>Why it matters</w:t>
            </w:r>
          </w:p>
        </w:tc>
        <w:tc>
          <w:tcPr>
            <w:tcW w:type="dxa" w:w="7272"/>
          </w:tcPr>
          <w:p>
            <w:r/>
            <w:r>
              <w:rPr>
                <w:b w:val="0"/>
                <w:sz w:val="18"/>
              </w:rPr>
              <w:t>Notices to the Borrower's counsel copy could be misdirected.</w:t>
            </w:r>
          </w:p>
        </w:tc>
      </w:tr>
      <w:tr>
        <w:tc>
          <w:tcPr>
            <w:tcW w:type="dxa" w:w="2088"/>
            <w:shd w:val="clear" w:color="auto" w:fill="D9E2F3"/>
          </w:tcPr>
          <w:p>
            <w:r/>
            <w:r>
              <w:rPr>
                <w:b/>
                <w:sz w:val="18"/>
              </w:rPr>
              <w:t>Action required</w:t>
            </w:r>
          </w:p>
        </w:tc>
        <w:tc>
          <w:tcPr>
            <w:tcW w:type="dxa" w:w="7272"/>
          </w:tcPr>
          <w:p>
            <w:r/>
            <w:r>
              <w:rPr>
                <w:b w:val="0"/>
                <w:sz w:val="18"/>
              </w:rPr>
              <w:t>Confirm the correct address and, if needed, deliver a Section 13.01 change-of-address notice after closing.</w:t>
            </w:r>
          </w:p>
        </w:tc>
      </w:tr>
      <w:tr>
        <w:tc>
          <w:tcPr>
            <w:tcW w:type="dxa" w:w="2088"/>
            <w:shd w:val="clear" w:color="auto" w:fill="D9E2F3"/>
          </w:tcPr>
          <w:p>
            <w:r/>
            <w:r>
              <w:rPr>
                <w:b/>
                <w:sz w:val="18"/>
              </w:rPr>
              <w:t>Owner / timing</w:t>
            </w:r>
          </w:p>
        </w:tc>
        <w:tc>
          <w:tcPr>
            <w:tcW w:type="dxa" w:w="7272"/>
          </w:tcPr>
          <w:p>
            <w:r/>
            <w:r>
              <w:rPr>
                <w:b w:val="0"/>
                <w:sz w:val="18"/>
              </w:rPr>
              <w:t>P&amp;H.</w:t>
            </w:r>
          </w:p>
        </w:tc>
      </w:tr>
    </w:tbl>
    <w:p>
      <w:pPr>
        <w:spacing w:after="40"/>
      </w:pPr>
    </w:p>
    <w:p>
      <w:pPr>
        <w:pStyle w:val="Heading3"/>
      </w:pPr>
      <w:r>
        <w:t>L-4. Post-Closing Deliverables Not Tracked</w:t>
      </w:r>
    </w:p>
    <w:tbl>
      <w:tblPr>
        <w:tblStyle w:val="TableGrid"/>
        <w:tblW w:type="auto" w:w="0"/>
        <w:tblLook w:firstColumn="1" w:firstRow="1" w:lastColumn="0" w:lastRow="0" w:noHBand="0" w:noVBand="1" w:val="04A0"/>
      </w:tblPr>
      <w:tblGrid>
        <w:gridCol w:w="4680"/>
        <w:gridCol w:w="4680"/>
      </w:tblGrid>
      <w:tr>
        <w:tc>
          <w:tcPr>
            <w:tcW w:type="dxa" w:w="2088"/>
            <w:shd w:val="clear" w:color="auto" w:fill="D9E2F3"/>
          </w:tcPr>
          <w:p>
            <w:r/>
            <w:r>
              <w:rPr>
                <w:b/>
                <w:sz w:val="18"/>
              </w:rPr>
              <w:t>Severity</w:t>
            </w:r>
          </w:p>
        </w:tc>
        <w:tc>
          <w:tcPr>
            <w:tcW w:type="dxa" w:w="7272"/>
            <w:shd w:val="clear" w:color="auto" w:fill="548235"/>
          </w:tcPr>
          <w:p>
            <w:r/>
            <w:r>
              <w:rPr>
                <w:b/>
                <w:color w:val="FFFFFF"/>
                <w:sz w:val="18"/>
              </w:rPr>
              <w:t>LOW</w:t>
            </w:r>
          </w:p>
        </w:tc>
      </w:tr>
      <w:tr>
        <w:tc>
          <w:tcPr>
            <w:tcW w:type="dxa" w:w="2088"/>
            <w:shd w:val="clear" w:color="auto" w:fill="D9E2F3"/>
          </w:tcPr>
          <w:p>
            <w:r/>
            <w:r>
              <w:rPr>
                <w:b/>
                <w:sz w:val="18"/>
              </w:rPr>
              <w:t>Checklist / source refs</w:t>
            </w:r>
          </w:p>
        </w:tc>
        <w:tc>
          <w:tcPr>
            <w:tcW w:type="dxa" w:w="7272"/>
          </w:tcPr>
          <w:p>
            <w:r/>
            <w:r>
              <w:rPr>
                <w:b w:val="0"/>
                <w:sz w:val="18"/>
              </w:rPr>
              <w:t>Checklist (no post-closing section); CA 8.02(f), 8.02(j), 2.07(d), 5.03, 8.04.</w:t>
            </w:r>
          </w:p>
        </w:tc>
      </w:tr>
      <w:tr>
        <w:tc>
          <w:tcPr>
            <w:tcW w:type="dxa" w:w="2088"/>
            <w:shd w:val="clear" w:color="auto" w:fill="D9E2F3"/>
          </w:tcPr>
          <w:p>
            <w:r/>
            <w:r>
              <w:rPr>
                <w:b/>
                <w:sz w:val="18"/>
              </w:rPr>
              <w:t>Finding</w:t>
            </w:r>
          </w:p>
        </w:tc>
        <w:tc>
          <w:tcPr>
            <w:tcW w:type="dxa" w:w="7272"/>
          </w:tcPr>
          <w:p>
            <w:r/>
            <w:r>
              <w:rPr>
                <w:b w:val="0"/>
                <w:sz w:val="18"/>
              </w:rPr>
              <w:t>Add a post-closing schedule covering: deposit and securities account control agreements and transfer of primary operating accounts to Lenders within 90 days (by September 18, 2025) (Section 8.02(j)); recording of the Mortgages and Cornerstone releases and receipt of final title policies; filed UCC-3 acknowledgments; Q2 2025 financial statements, Compliance Certificate and Borrowing Base Certificate within 45 days of June 30 (August 14, 2025); first commitment fee payment September 30, 2025; annual insurance certificates; and any waived items (e.g., Gastonia package) with agreed deadlines. Consider a landlord waiver/collateral access agreement for the leased Richmond facility (Item 17) if TAM inventory is located there and counted as Eligible Inventory.</w:t>
            </w:r>
          </w:p>
        </w:tc>
      </w:tr>
      <w:tr>
        <w:tc>
          <w:tcPr>
            <w:tcW w:type="dxa" w:w="2088"/>
            <w:shd w:val="clear" w:color="auto" w:fill="D9E2F3"/>
          </w:tcPr>
          <w:p>
            <w:r/>
            <w:r>
              <w:rPr>
                <w:b/>
                <w:sz w:val="18"/>
              </w:rPr>
              <w:t>Why it matters</w:t>
            </w:r>
          </w:p>
        </w:tc>
        <w:tc>
          <w:tcPr>
            <w:tcW w:type="dxa" w:w="7272"/>
          </w:tcPr>
          <w:p>
            <w:r/>
            <w:r>
              <w:rPr>
                <w:b w:val="0"/>
                <w:sz w:val="18"/>
              </w:rPr>
              <w:t>Avoids post-closing covenant defaults (Section 9.01(e)).</w:t>
            </w:r>
          </w:p>
        </w:tc>
      </w:tr>
      <w:tr>
        <w:tc>
          <w:tcPr>
            <w:tcW w:type="dxa" w:w="2088"/>
            <w:shd w:val="clear" w:color="auto" w:fill="D9E2F3"/>
          </w:tcPr>
          <w:p>
            <w:r/>
            <w:r>
              <w:rPr>
                <w:b/>
                <w:sz w:val="18"/>
              </w:rPr>
              <w:t>Action required</w:t>
            </w:r>
          </w:p>
        </w:tc>
        <w:tc>
          <w:tcPr>
            <w:tcW w:type="dxa" w:w="7272"/>
          </w:tcPr>
          <w:p>
            <w:r/>
            <w:r>
              <w:rPr>
                <w:b w:val="0"/>
                <w:sz w:val="18"/>
              </w:rPr>
              <w:t>Add Section XIV (Post-Closing) to the checklist.</w:t>
            </w:r>
          </w:p>
        </w:tc>
      </w:tr>
      <w:tr>
        <w:tc>
          <w:tcPr>
            <w:tcW w:type="dxa" w:w="2088"/>
            <w:shd w:val="clear" w:color="auto" w:fill="D9E2F3"/>
          </w:tcPr>
          <w:p>
            <w:r/>
            <w:r>
              <w:rPr>
                <w:b/>
                <w:sz w:val="18"/>
              </w:rPr>
              <w:t>Owner / timing</w:t>
            </w:r>
          </w:p>
        </w:tc>
        <w:tc>
          <w:tcPr>
            <w:tcW w:type="dxa" w:w="7272"/>
          </w:tcPr>
          <w:p>
            <w:r/>
            <w:r>
              <w:rPr>
                <w:b w:val="0"/>
                <w:sz w:val="18"/>
              </w:rPr>
              <w:t>P&amp;H.</w:t>
            </w:r>
          </w:p>
        </w:tc>
      </w:tr>
    </w:tbl>
    <w:p>
      <w:pPr>
        <w:spacing w:after="40"/>
      </w:pPr>
    </w:p>
    <w:p>
      <w:pPr>
        <w:pStyle w:val="Heading1"/>
      </w:pPr>
      <w:r>
        <w:t>VII. Items Reviewed Without Exception</w:t>
      </w:r>
    </w:p>
    <w:p>
      <w:pPr>
        <w:pStyle w:val="ListBullet"/>
        <w:spacing w:after="40"/>
      </w:pPr>
      <w:r>
        <w:rPr>
          <w:b w:val="0"/>
          <w:i w:val="0"/>
        </w:rPr>
        <w:t>Good standing certificates for TCG (Delaware, June 2), TSC (North Carolina, May 28) and TAM (Virginia, June 5) are within the 30-day window.</w:t>
      </w:r>
    </w:p>
    <w:p>
      <w:pPr>
        <w:pStyle w:val="ListBullet"/>
        <w:spacing w:after="40"/>
      </w:pPr>
      <w:r>
        <w:rPr>
          <w:b w:val="0"/>
          <w:i w:val="0"/>
        </w:rPr>
        <w:t>Charlotte property package (Item 15): Mortgage executed and recorded; title commitment; ALTA survey dated May 15, 2025 (36 days; within 90); Phase I dated February 10, 2025 (130 days; within 180); flood determination June 1, 2025 — subject to M-2 confirmations.</w:t>
      </w:r>
    </w:p>
    <w:p>
      <w:pPr>
        <w:pStyle w:val="ListBullet"/>
        <w:spacing w:after="40"/>
      </w:pPr>
      <w:r>
        <w:rPr>
          <w:b w:val="0"/>
          <w:i w:val="0"/>
        </w:rPr>
        <w:t>Richmond facility (Item 17) is leased and is correctly treated as not Material Real Property (Section 4.10, Schedule 4.10) — no mortgage required.</w:t>
      </w:r>
    </w:p>
    <w:p>
      <w:pPr>
        <w:pStyle w:val="ListBullet"/>
        <w:spacing w:after="40"/>
      </w:pPr>
      <w:r>
        <w:rPr>
          <w:b w:val="0"/>
          <w:i w:val="0"/>
        </w:rPr>
        <w:t>UCC-1 filings for TCG and TDS (Delaware) and TSC (North Carolina) are in the correct filing offices (Section 5.01(a)) — subject to the missing TAM filing (C-5) and date verification (L-1).</w:t>
      </w:r>
    </w:p>
    <w:p>
      <w:pPr>
        <w:pStyle w:val="ListBullet"/>
        <w:spacing w:after="40"/>
      </w:pPr>
      <w:r>
        <w:rPr>
          <w:b w:val="0"/>
          <w:i w:val="0"/>
        </w:rPr>
        <w:t>Upfront fee of $925,000 equals 0.50% of $185,000,000 (Section 2.06(a)); the estimated closing cost components foot to $6,500,000 (Section 7.01(n)).</w:t>
      </w:r>
    </w:p>
    <w:p>
      <w:pPr>
        <w:pStyle w:val="ListBullet"/>
        <w:spacing w:after="40"/>
      </w:pPr>
      <w:r>
        <w:rPr>
          <w:b w:val="0"/>
          <w:i w:val="0"/>
        </w:rPr>
        <w:t>Adjusted EBITDA of $50,000,000 matches the Credit Agreement definition and illustration; Total Net Leverage arithmetic ($82.3M / $50.0M = 1.646x) is correct as presented, and leverage remains compliant and at pricing Level II under any corrected assumption (H-6).</w:t>
      </w:r>
    </w:p>
    <w:p>
      <w:pPr>
        <w:pStyle w:val="ListBullet"/>
        <w:spacing w:after="40"/>
      </w:pPr>
      <w:r>
        <w:rPr>
          <w:b w:val="0"/>
          <w:i w:val="0"/>
        </w:rPr>
        <w:t>Borrowing Base Certificate arithmetic is correct and the certificate is not a Section 7.01(k) condition at a $110M draw (see M-1 on availability).</w:t>
      </w:r>
    </w:p>
    <w:p>
      <w:pPr>
        <w:pStyle w:val="ListBullet"/>
        <w:spacing w:after="40"/>
      </w:pPr>
      <w:r>
        <w:rPr>
          <w:b w:val="0"/>
          <w:i w:val="0"/>
        </w:rPr>
        <w:t>Audited FY2024 statements (Harmon &amp; Ledger; revenue $312M; EBITDA $46.8M) and Q1 2025 unaudited statements are consistent with Section 4.04 and the Compliance Certificate.</w:t>
      </w:r>
    </w:p>
    <w:p>
      <w:pPr>
        <w:pStyle w:val="ListBullet"/>
        <w:spacing w:after="40"/>
      </w:pPr>
      <w:r>
        <w:rPr>
          <w:b w:val="0"/>
          <w:i w:val="0"/>
        </w:rPr>
        <w:t>OFAC screening reported no hits; Change of Control (Section 8.03(i)) is not implicated by the transaction.</w:t>
      </w:r>
    </w:p>
    <w:p>
      <w:pPr>
        <w:pStyle w:val="Heading1"/>
      </w:pPr>
      <w:r>
        <w:t>VIII. Responses to James's Open Questions</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1F3A5F"/>
          </w:tcPr>
          <w:p>
            <w:r/>
            <w:r>
              <w:rPr>
                <w:b/>
                <w:color w:val="FFFFFF"/>
                <w:sz w:val="18"/>
              </w:rPr>
              <w:t>Question</w:t>
            </w:r>
          </w:p>
        </w:tc>
        <w:tc>
          <w:tcPr>
            <w:tcW w:type="dxa" w:w="6480"/>
            <w:shd w:val="clear" w:color="auto" w:fill="1F3A5F"/>
          </w:tcPr>
          <w:p>
            <w:r/>
            <w:r>
              <w:rPr>
                <w:b/>
                <w:color w:val="FFFFFF"/>
                <w:sz w:val="18"/>
              </w:rPr>
              <w:t>Response</w:t>
            </w:r>
          </w:p>
        </w:tc>
      </w:tr>
      <w:tr>
        <w:tc>
          <w:tcPr>
            <w:tcW w:type="dxa" w:w="2880"/>
          </w:tcPr>
          <w:p>
            <w:r/>
            <w:r>
              <w:rPr>
                <w:b w:val="0"/>
                <w:sz w:val="18"/>
              </w:rPr>
              <w:t>1. TDS good standing — do we need to refresh?</w:t>
            </w:r>
          </w:p>
        </w:tc>
        <w:tc>
          <w:tcPr>
            <w:tcW w:type="dxa" w:w="6480"/>
          </w:tcPr>
          <w:p>
            <w:r/>
            <w:r>
              <w:rPr>
                <w:b w:val="0"/>
                <w:sz w:val="18"/>
              </w:rPr>
              <w:t>Yes. Dated April 18, 2025, it is 63 days before the June 20 Closing Date; Section 7.01(d) requires a date no earlier than May 21, 2025. Order a new Delaware certificate today through Capitol Registered Agents (see C-3).</w:t>
            </w:r>
          </w:p>
        </w:tc>
      </w:tr>
      <w:tr>
        <w:tc>
          <w:tcPr>
            <w:tcW w:type="dxa" w:w="2880"/>
          </w:tcPr>
          <w:p>
            <w:r/>
            <w:r>
              <w:rPr>
                <w:b w:val="0"/>
                <w:sz w:val="18"/>
              </w:rPr>
              <w:t>2. Gastonia mortgage and survey — how hard should we push?</w:t>
            </w:r>
          </w:p>
        </w:tc>
        <w:tc>
          <w:tcPr>
            <w:tcW w:type="dxa" w:w="6480"/>
          </w:tcPr>
          <w:p>
            <w:r/>
            <w:r>
              <w:rPr>
                <w:b w:val="0"/>
                <w:sz w:val="18"/>
              </w:rPr>
              <w:t>As hard as possible, starting today. The Mortgage, a current ALTA survey (from a licensed surveyor, not the appraiser) and a flood determination are each Section 7.01(c) conditions, and the Gastonia Phase I is also stale (C-2). If the package cannot be completed by Thursday, we need to ask Ridgeline on Wednesday for a Required Lender waiver with a post-closing deadline, or move the closing (see C-1, C-2).</w:t>
            </w:r>
          </w:p>
        </w:tc>
      </w:tr>
      <w:tr>
        <w:tc>
          <w:tcPr>
            <w:tcW w:type="dxa" w:w="2880"/>
          </w:tcPr>
          <w:p>
            <w:r/>
            <w:r>
              <w:rPr>
                <w:b w:val="0"/>
                <w:sz w:val="18"/>
              </w:rPr>
              <w:t>3. Anything else to chase before Friday?</w:t>
            </w:r>
          </w:p>
        </w:tc>
        <w:tc>
          <w:tcPr>
            <w:tcW w:type="dxa" w:w="6480"/>
          </w:tcPr>
          <w:p>
            <w:r/>
            <w:r>
              <w:rPr>
                <w:b w:val="0"/>
                <w:sz w:val="18"/>
              </w:rPr>
              <w:t>Yes — see Sections III and IV, particularly the TAM Guarantee and Virginia UCC-1 (C-4, C-5), ESOP Trust consent (C-6), FCCR in the Compliance Certificate (C-7), the Aldersgate commitment and signature page (C-8), the funds flow (C-9), and the Borrowing Request deadline (C-10).</w:t>
            </w:r>
          </w:p>
        </w:tc>
      </w:tr>
    </w:tbl>
    <w:p>
      <w:pPr>
        <w:spacing w:after="40"/>
      </w:pPr>
    </w:p>
    <w:p>
      <w:pPr>
        <w:pStyle w:val="Heading1"/>
      </w:pPr>
      <w:r>
        <w:t>IX. Recommended Agenda for Wednesday Call with Ridgeline (D. Kessler / P. Nair)</w:t>
      </w:r>
    </w:p>
    <w:p>
      <w:pPr>
        <w:pStyle w:val="ListBullet"/>
        <w:spacing w:after="40"/>
      </w:pPr>
      <w:r>
        <w:rPr>
          <w:b w:val="0"/>
          <w:i w:val="0"/>
        </w:rPr>
        <w:t>Borrowing Request timing (C-10): confirm receipt or written acceptance of shortened notice.</w:t>
      </w:r>
    </w:p>
    <w:p>
      <w:pPr>
        <w:pStyle w:val="ListBullet"/>
        <w:spacing w:after="40"/>
      </w:pPr>
      <w:r>
        <w:rPr>
          <w:b w:val="0"/>
          <w:i w:val="0"/>
        </w:rPr>
        <w:t>Gastonia package and Phase I (C-1, C-2): status, and whether the Required Lenders will waive and accept post-closing delivery (and on what terms), or whether closing should move (outside date July 31, 2025).</w:t>
      </w:r>
    </w:p>
    <w:p>
      <w:pPr>
        <w:pStyle w:val="ListBullet"/>
        <w:spacing w:after="40"/>
      </w:pPr>
      <w:r>
        <w:rPr>
          <w:b w:val="0"/>
          <w:i w:val="0"/>
        </w:rPr>
        <w:t>Aldersgate commitment ($25M) and the "Crestview Bank &amp; Trust" signature block (C-8); Lender funding amounts.</w:t>
      </w:r>
    </w:p>
    <w:p>
      <w:pPr>
        <w:pStyle w:val="ListBullet"/>
        <w:spacing w:after="40"/>
      </w:pPr>
      <w:r>
        <w:rPr>
          <w:b w:val="0"/>
          <w:i w:val="0"/>
        </w:rPr>
        <w:t>TAM Guarantee and Virginia UCC-1 (C-4, C-5) — remediation underway.</w:t>
      </w:r>
    </w:p>
    <w:p>
      <w:pPr>
        <w:pStyle w:val="ListBullet"/>
        <w:spacing w:after="40"/>
      </w:pPr>
      <w:r>
        <w:rPr>
          <w:b w:val="0"/>
          <w:i w:val="0"/>
        </w:rPr>
        <w:t>ESOP Trust consent approach and ERISA (C-6).</w:t>
      </w:r>
    </w:p>
    <w:p>
      <w:pPr>
        <w:pStyle w:val="ListBullet"/>
        <w:spacing w:after="40"/>
      </w:pPr>
      <w:r>
        <w:rPr>
          <w:b w:val="0"/>
          <w:i w:val="0"/>
        </w:rPr>
        <w:t>Revised Compliance Certificate with FCCR and revised funds flow at the $87.45M payoff (C-7, C-9, H-6).</w:t>
      </w:r>
    </w:p>
    <w:p>
      <w:pPr>
        <w:pStyle w:val="ListBullet"/>
        <w:spacing w:after="40"/>
      </w:pPr>
      <w:r>
        <w:rPr>
          <w:b w:val="0"/>
          <w:i w:val="0"/>
        </w:rPr>
        <w:t>Opinion package — North Carolina real estate opinion; whether a Whitmore Ridley opinion is expected (H-1).</w:t>
      </w:r>
    </w:p>
    <w:p>
      <w:pPr>
        <w:pStyle w:val="ListBullet"/>
        <w:spacing w:after="40"/>
      </w:pPr>
      <w:r>
        <w:rPr>
          <w:b w:val="0"/>
          <w:i w:val="0"/>
        </w:rPr>
        <w:t>Escrow mechanics for Cornerstone releases (H-2); insurance designation (H-4); KYC sign-off from all Lenders (H-8).</w:t>
      </w:r>
    </w:p>
    <w:p>
      <w:pPr>
        <w:pStyle w:val="Heading1"/>
      </w:pPr>
      <w:r>
        <w:t>X. Action Plan by Responsible Party</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3A5F"/>
          </w:tcPr>
          <w:p>
            <w:r/>
            <w:r>
              <w:rPr>
                <w:b/>
                <w:color w:val="FFFFFF"/>
                <w:sz w:val="18"/>
              </w:rPr>
              <w:t>Responsible Party</w:t>
            </w:r>
          </w:p>
        </w:tc>
        <w:tc>
          <w:tcPr>
            <w:tcW w:type="dxa" w:w="5472"/>
            <w:shd w:val="clear" w:color="auto" w:fill="1F3A5F"/>
          </w:tcPr>
          <w:p>
            <w:r/>
            <w:r>
              <w:rPr>
                <w:b/>
                <w:color w:val="FFFFFF"/>
                <w:sz w:val="18"/>
              </w:rPr>
              <w:t>Actions</w:t>
            </w:r>
          </w:p>
        </w:tc>
        <w:tc>
          <w:tcPr>
            <w:tcW w:type="dxa" w:w="1728"/>
            <w:shd w:val="clear" w:color="auto" w:fill="1F3A5F"/>
          </w:tcPr>
          <w:p>
            <w:r/>
            <w:r>
              <w:rPr>
                <w:b/>
                <w:color w:val="FFFFFF"/>
                <w:sz w:val="18"/>
              </w:rPr>
              <w:t>Deadline</w:t>
            </w:r>
          </w:p>
        </w:tc>
      </w:tr>
      <w:tr>
        <w:tc>
          <w:tcPr>
            <w:tcW w:type="dxa" w:w="2160"/>
          </w:tcPr>
          <w:p>
            <w:r/>
            <w:r>
              <w:rPr>
                <w:b w:val="0"/>
                <w:sz w:val="18"/>
              </w:rPr>
              <w:t>Borrower (S. Felton)</w:t>
            </w:r>
          </w:p>
        </w:tc>
        <w:tc>
          <w:tcPr>
            <w:tcW w:type="dxa" w:w="5472"/>
          </w:tcPr>
          <w:p>
            <w:r/>
            <w:r>
              <w:rPr>
                <w:b w:val="0"/>
                <w:sz w:val="18"/>
              </w:rPr>
              <w:t>Borrowing Request (C-10); Gastonia legal description (C-1); FCCR and corrected Compliance Certificate (C-7, H-6); confirm Other Funded Indebtedness; insurance re-issue via Allegheny (H-4); stock certificates/powers (H-7); guarantor beneficial ownership certifications (H-8)</w:t>
            </w:r>
          </w:p>
        </w:tc>
        <w:tc>
          <w:tcPr>
            <w:tcW w:type="dxa" w:w="1728"/>
          </w:tcPr>
          <w:p>
            <w:r/>
            <w:r>
              <w:rPr>
                <w:b w:val="0"/>
                <w:sz w:val="18"/>
              </w:rPr>
              <w:t>Today – Thurs. June 19</w:t>
            </w:r>
          </w:p>
        </w:tc>
      </w:tr>
      <w:tr>
        <w:tc>
          <w:tcPr>
            <w:tcW w:type="dxa" w:w="2160"/>
          </w:tcPr>
          <w:p>
            <w:r/>
            <w:r>
              <w:rPr>
                <w:b w:val="0"/>
                <w:sz w:val="18"/>
              </w:rPr>
              <w:t>P&amp;H — C. Liang</w:t>
            </w:r>
          </w:p>
        </w:tc>
        <w:tc>
          <w:tcPr>
            <w:tcW w:type="dxa" w:w="5472"/>
          </w:tcPr>
          <w:p>
            <w:r/>
            <w:r>
              <w:rPr>
                <w:b w:val="0"/>
                <w:sz w:val="18"/>
              </w:rPr>
              <w:t>Operating Agreement review and ESOP trustee consent (C-6); opinion scope incl. NC real estate and Virginia perfection (H-1); Wednesday call</w:t>
            </w:r>
          </w:p>
        </w:tc>
        <w:tc>
          <w:tcPr>
            <w:tcW w:type="dxa" w:w="1728"/>
          </w:tcPr>
          <w:p>
            <w:r/>
            <w:r>
              <w:rPr>
                <w:b w:val="0"/>
                <w:sz w:val="18"/>
              </w:rPr>
              <w:t>Today – Wed. June 18</w:t>
            </w:r>
          </w:p>
        </w:tc>
      </w:tr>
      <w:tr>
        <w:tc>
          <w:tcPr>
            <w:tcW w:type="dxa" w:w="2160"/>
          </w:tcPr>
          <w:p>
            <w:r/>
            <w:r>
              <w:rPr>
                <w:b w:val="0"/>
                <w:sz w:val="18"/>
              </w:rPr>
              <w:t>P&amp;H — J. Okubo / real estate team</w:t>
            </w:r>
          </w:p>
        </w:tc>
        <w:tc>
          <w:tcPr>
            <w:tcW w:type="dxa" w:w="5472"/>
          </w:tcPr>
          <w:p>
            <w:r/>
            <w:r>
              <w:rPr>
                <w:b w:val="0"/>
                <w:sz w:val="18"/>
              </w:rPr>
              <w:t>TDS good standing (C-3); TAM Guarantee (C-4); TAM Virginia UCC-1 (C-5); Gastonia deed of trust and flood determination (C-1); updated Phase I engagement (C-2); revised funds flow (C-9); additional searches (H-5); Secretary's Certificates (H-3); corrected Aldersgate note and checklist (C-8, M-4); post-closing schedule (L-4)</w:t>
            </w:r>
          </w:p>
        </w:tc>
        <w:tc>
          <w:tcPr>
            <w:tcW w:type="dxa" w:w="1728"/>
          </w:tcPr>
          <w:p>
            <w:r/>
            <w:r>
              <w:rPr>
                <w:b w:val="0"/>
                <w:sz w:val="18"/>
              </w:rPr>
              <w:t>Today – Wed. June 18 (checklist), Thurs. June 19 (documents)</w:t>
            </w:r>
          </w:p>
        </w:tc>
      </w:tr>
      <w:tr>
        <w:tc>
          <w:tcPr>
            <w:tcW w:type="dxa" w:w="2160"/>
          </w:tcPr>
          <w:p>
            <w:r/>
            <w:r>
              <w:rPr>
                <w:b w:val="0"/>
                <w:sz w:val="18"/>
              </w:rPr>
              <w:t>Whitmore Ridley / Agent</w:t>
            </w:r>
          </w:p>
        </w:tc>
        <w:tc>
          <w:tcPr>
            <w:tcW w:type="dxa" w:w="5472"/>
          </w:tcPr>
          <w:p>
            <w:r/>
            <w:r>
              <w:rPr>
                <w:b w:val="0"/>
                <w:sz w:val="18"/>
              </w:rPr>
              <w:t>Corrected Aldersgate signature page (C-8); Borrowing Request acceptance (C-10); waiver position on Gastonia (C-1, C-2); KYC clearance from all Lenders (H-8); Item 19 opinion clarification (H-1)</w:t>
            </w:r>
          </w:p>
        </w:tc>
        <w:tc>
          <w:tcPr>
            <w:tcW w:type="dxa" w:w="1728"/>
          </w:tcPr>
          <w:p>
            <w:r/>
            <w:r>
              <w:rPr>
                <w:b w:val="0"/>
                <w:sz w:val="18"/>
              </w:rPr>
              <w:t>Wed. June 18</w:t>
            </w:r>
          </w:p>
        </w:tc>
      </w:tr>
      <w:tr>
        <w:tc>
          <w:tcPr>
            <w:tcW w:type="dxa" w:w="2160"/>
          </w:tcPr>
          <w:p>
            <w:r/>
            <w:r>
              <w:rPr>
                <w:b w:val="0"/>
                <w:sz w:val="18"/>
              </w:rPr>
              <w:t>Cornerstone (D. Marsh)</w:t>
            </w:r>
          </w:p>
        </w:tc>
        <w:tc>
          <w:tcPr>
            <w:tcW w:type="dxa" w:w="5472"/>
          </w:tcPr>
          <w:p>
            <w:r/>
            <w:r>
              <w:rPr>
                <w:b w:val="0"/>
                <w:sz w:val="18"/>
              </w:rPr>
              <w:t>Payoff letter components, per diem, wire instructions; UCC-3s and mortgage releases in escrow (C-9, H-2)</w:t>
            </w:r>
          </w:p>
        </w:tc>
        <w:tc>
          <w:tcPr>
            <w:tcW w:type="dxa" w:w="1728"/>
          </w:tcPr>
          <w:p>
            <w:r/>
            <w:r>
              <w:rPr>
                <w:b w:val="0"/>
                <w:sz w:val="18"/>
              </w:rPr>
              <w:t>Thurs. June 19</w:t>
            </w:r>
          </w:p>
        </w:tc>
      </w:tr>
      <w:tr>
        <w:tc>
          <w:tcPr>
            <w:tcW w:type="dxa" w:w="2160"/>
          </w:tcPr>
          <w:p>
            <w:r/>
            <w:r>
              <w:rPr>
                <w:b w:val="0"/>
                <w:sz w:val="18"/>
              </w:rPr>
              <w:t>Third parties</w:t>
            </w:r>
          </w:p>
        </w:tc>
        <w:tc>
          <w:tcPr>
            <w:tcW w:type="dxa" w:w="5472"/>
          </w:tcPr>
          <w:p>
            <w:r/>
            <w:r>
              <w:rPr>
                <w:b w:val="0"/>
                <w:sz w:val="18"/>
              </w:rPr>
              <w:t>Capitol Registered Agents (C-3); Trident (C-2); licensed NC surveyor (C-1); Clearwater pro forma policies (M-2); Stonebridge final opinion covering TAM Guarantee (H-1); Allegheny (H-4)</w:t>
            </w:r>
          </w:p>
        </w:tc>
        <w:tc>
          <w:tcPr>
            <w:tcW w:type="dxa" w:w="1728"/>
          </w:tcPr>
          <w:p>
            <w:r/>
            <w:r>
              <w:rPr>
                <w:b w:val="0"/>
                <w:sz w:val="18"/>
              </w:rPr>
              <w:t>Wed. – Thurs. June 18–19</w:t>
            </w:r>
          </w:p>
        </w:tc>
      </w:tr>
    </w:tbl>
    <w:p>
      <w:pPr>
        <w:spacing w:after="40"/>
      </w:pPr>
    </w:p>
    <w:p>
      <w:pPr>
        <w:spacing w:after="80"/>
      </w:pPr>
      <w:r>
        <w:rPr>
          <w:b w:val="0"/>
          <w:i/>
          <w:sz w:val="18"/>
        </w:rPr>
        <w:t>This memorandum is based solely on the Closing Checklist dated June 16, 2025, the Credit Agreement dated as of June 13, 2025, the draft Officer's Compliance Certificate, and James Okubo's June 16, 2025 email. We have not reviewed the underlying Operating Agreement, Security Agreement, Guarantee Agreements, Fee Letter, payoff letter, title commitments, surveys, Phase I reports, insurance certificates or opinion drafts, and the conclusions above should be confirmed against those documents.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