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PRIVILEGED &amp; CONFIDENTIAL — ATTORNEY-CLIENT COMMUNICATION / ATTORNEY WORK PRODUCT</w:t>
      </w:r>
    </w:p>
    <w:p>
      <w:pPr>
        <w:jc w:val="center"/>
      </w:pPr>
      <w:r>
        <w:rPr>
          <w:b/>
          <w:sz w:val="32"/>
        </w:rPr>
        <w:t>MEMORANDUM</w:t>
      </w:r>
    </w:p>
    <w:tbl>
      <w:tblPr>
        <w:tblStyle w:val="TableGrid"/>
        <w:tblW w:type="auto" w:w="0"/>
        <w:jc w:val="center"/>
        <w:tblLook w:firstColumn="1" w:firstRow="1" w:lastColumn="0" w:lastRow="0" w:noHBand="0" w:noVBand="1" w:val="04A0"/>
      </w:tblPr>
      <w:tblGrid>
        <w:gridCol w:w="4680"/>
        <w:gridCol w:w="4680"/>
      </w:tblGrid>
      <w:tr>
        <w:tc>
          <w:tcPr>
            <w:tcW w:type="dxa" w:w="1296"/>
            <w:shd w:val="clear" w:color="auto" w:fill="D9E2F3"/>
          </w:tcPr>
          <w:p>
            <w:r/>
            <w:r>
              <w:rPr>
                <w:b/>
                <w:sz w:val="20"/>
              </w:rPr>
            </w:r>
          </w:p>
        </w:tc>
        <w:tc>
          <w:tcPr>
            <w:tcW w:type="dxa" w:w="8064"/>
            <w:shd w:val="clear" w:color="auto" w:fill="D9E2F3"/>
          </w:tcPr>
          <w:p>
            <w:r/>
            <w:r>
              <w:rPr>
                <w:b/>
                <w:sz w:val="20"/>
              </w:rPr>
            </w:r>
          </w:p>
        </w:tc>
      </w:tr>
      <w:tr>
        <w:tc>
          <w:tcPr>
            <w:tcW w:type="dxa" w:w="1296"/>
          </w:tcPr>
          <w:p>
            <w:r/>
            <w:r>
              <w:rPr>
                <w:sz w:val="20"/>
              </w:rPr>
              <w:t>TO:</w:t>
            </w:r>
          </w:p>
        </w:tc>
        <w:tc>
          <w:tcPr>
            <w:tcW w:type="dxa" w:w="8064"/>
          </w:tcPr>
          <w:p>
            <w:r/>
            <w:r>
              <w:rPr>
                <w:sz w:val="20"/>
              </w:rPr>
              <w:t>Pacific Coast Timber Holdings, Inc., as Administrative Agent (Attn: Margaret Yun, SVP, Portfolio Monitoring Group)</w:t>
            </w:r>
          </w:p>
        </w:tc>
      </w:tr>
      <w:tr>
        <w:tc>
          <w:tcPr>
            <w:tcW w:type="dxa" w:w="1296"/>
          </w:tcPr>
          <w:p>
            <w:r/>
            <w:r>
              <w:rPr>
                <w:sz w:val="20"/>
              </w:rPr>
              <w:t>CC:</w:t>
            </w:r>
          </w:p>
        </w:tc>
        <w:tc>
          <w:tcPr>
            <w:tcW w:type="dxa" w:w="8064"/>
          </w:tcPr>
          <w:p>
            <w:r/>
            <w:r>
              <w:rPr>
                <w:sz w:val="20"/>
              </w:rPr>
              <w:t>Sarah Chung; Daniel Kowalski (Ridgeway Partners LLP, Agent’s counsel)</w:t>
            </w:r>
          </w:p>
        </w:tc>
      </w:tr>
      <w:tr>
        <w:tc>
          <w:tcPr>
            <w:tcW w:type="dxa" w:w="1296"/>
          </w:tcPr>
          <w:p>
            <w:r/>
            <w:r>
              <w:rPr>
                <w:sz w:val="20"/>
              </w:rPr>
              <w:t>FROM:</w:t>
            </w:r>
          </w:p>
        </w:tc>
        <w:tc>
          <w:tcPr>
            <w:tcW w:type="dxa" w:w="8064"/>
          </w:tcPr>
          <w:p>
            <w:r/>
            <w:r>
              <w:rPr>
                <w:sz w:val="20"/>
              </w:rPr>
              <w:t>Finance review team (draft for supervising partner review)</w:t>
            </w:r>
          </w:p>
        </w:tc>
      </w:tr>
      <w:tr>
        <w:tc>
          <w:tcPr>
            <w:tcW w:type="dxa" w:w="1296"/>
          </w:tcPr>
          <w:p>
            <w:r/>
            <w:r>
              <w:rPr>
                <w:sz w:val="20"/>
              </w:rPr>
              <w:t>DATE:</w:t>
            </w:r>
          </w:p>
        </w:tc>
        <w:tc>
          <w:tcPr>
            <w:tcW w:type="dxa" w:w="8064"/>
          </w:tcPr>
          <w:p>
            <w:r/>
            <w:r>
              <w:rPr>
                <w:sz w:val="20"/>
              </w:rPr>
              <w:t>November 2024 (draft)</w:t>
            </w:r>
          </w:p>
        </w:tc>
      </w:tr>
      <w:tr>
        <w:tc>
          <w:tcPr>
            <w:tcW w:type="dxa" w:w="1296"/>
          </w:tcPr>
          <w:p>
            <w:r/>
            <w:r>
              <w:rPr>
                <w:sz w:val="20"/>
              </w:rPr>
              <w:t>RE:</w:t>
            </w:r>
          </w:p>
        </w:tc>
        <w:tc>
          <w:tcPr>
            <w:tcW w:type="dxa" w:w="8064"/>
          </w:tcPr>
          <w:p>
            <w:r/>
            <w:r>
              <w:rPr>
                <w:sz w:val="20"/>
              </w:rPr>
              <w:t>Cascade Millworks, Inc. — Review of Q3 2024 Compliance Certificate dated November 18, 2024 (fiscal quarter ended September 30, 2024) under the $475,000,000 Credit Agreement dated as of March 15, 2022, as amended by the First Amendment dated as of January 10, 2024</w:t>
            </w:r>
          </w:p>
        </w:tc>
      </w:tr>
    </w:tbl>
    <w:p>
      <w:pPr>
        <w:spacing w:after="40"/>
      </w:pPr>
    </w:p>
    <w:p>
      <w:pPr>
        <w:pStyle w:val="Heading1"/>
      </w:pPr>
      <w:r>
        <w:t>I. Executive Summary</w:t>
      </w:r>
    </w:p>
    <w:p>
      <w:pPr>
        <w:spacing w:after="120"/>
      </w:pPr>
      <w:r>
        <w:rPr>
          <w:i w:val="0"/>
        </w:rPr>
        <w:t>We reviewed the Q3 2024 Compliance Certificate signed by Tanya Kresh, CFO (the “Certificate”), against the Credit Agreement excerpts (including the First Amendment and Schedules 1.01(a) and 2.01), the Borrower’s unaudited Q3 2024 consolidated financial statements and supporting schedules (the “Financials”), and the Agent’s correspondence of May 1, November 15 and November 18, 2024. Our bottom-line conclusions:</w:t>
      </w:r>
    </w:p>
    <w:p>
      <w:pPr>
        <w:pStyle w:val="ListBullet"/>
        <w:spacing w:after="60"/>
      </w:pPr>
      <w:r>
        <w:rPr>
          <w:b/>
        </w:rPr>
        <w:t>Financial covenants — pass, but misstated.</w:t>
      </w:r>
      <w:r>
        <w:t xml:space="preserve"> On our recalculation the Borrower still satisfies all three Section 7.11 financial covenants, but the Certificate materially overstates covenant headroom. Corrected Total Net Leverage is approximately 2.70x–2.79x (reported 2.29x; maximum 4.50x) and corrected Fixed Charge Coverage is approximately 1.46x–1.55x (reported 2.05x; minimum 1.20x). Consolidated EBITDA is overstated by $13.4M–$17.1M, chiefly because the Certificate uses Consolidated Net Income of $41.2M when the Financials report TTM Consolidated Net Income of $27.9M.</w:t>
      </w:r>
    </w:p>
    <w:p>
      <w:pPr>
        <w:pStyle w:val="ListBullet"/>
        <w:spacing w:after="60"/>
      </w:pPr>
      <w:r>
        <w:rPr>
          <w:b/>
        </w:rPr>
        <w:t>Defaults and Events of Default — several, undisclosed.</w:t>
      </w:r>
      <w:r>
        <w:t xml:space="preserve"> The Certificate’s certification that “no Default or Event of Default has occurred and is continuing” is, in our view, incorrect. The record supports at least the following: (1) the $4.5M Sponsor management fee exceeds the $2.0M Permitted Management Fee Amount under Section 7.06(c); the Certificate cites the wrong basket (7.06(d), the Available Amount basket), and the $2.5M excess does not appear to fit any available basket because a Default was already continuing on August 15, 2024 — an Article VII breach with no cure period (Section 8.01(c)); (2) Whitfield Lumber Co., acquired May 3, 2024, has not delivered a Guaranty Joinder (due July 2, 2024) as required by Section 6.12(a) and Section 7.04(g)(v); (3) the Permitted Acquisition Certificate for Whitfield was delivered only 3 Business Days before closing (5 required), so the acquisition did not satisfy the Permitted Acquisition conditions and no waiver was obtained; (4) the August 22, 2024 Oregon DEQ Notice of Violation (estimated liability $1.2M–$2.8M; $1.8M accrued) was a notice event under Section 6.03(c) and is a deemed Material Adverse Effect under the MAE definition, yet nothing indicates notice was given and the Certificate represents that no MAE has occurred; and (5) the Certificate was delivered 4 days after the November 14, 2024 deadline under Sections 6.01(b) and 6.02(a).</w:t>
      </w:r>
    </w:p>
    <w:p>
      <w:pPr>
        <w:pStyle w:val="ListBullet"/>
        <w:spacing w:after="60"/>
      </w:pPr>
      <w:r>
        <w:rPr>
          <w:b/>
        </w:rPr>
        <w:t>The Certificate itself is a problem.</w:t>
      </w:r>
      <w:r>
        <w:t xml:space="preserve"> Because the Certificate contains materially incorrect statements (Consolidated Net Income, the no-Default and no-MAE certifications, the Guarantor certification and an incomplete Indebtedness schedule), it is itself a potential Event of Default under Section 8.01(b), and arguably is not a “duly completed” certificate for purposes of Section 6.02(a), which would leave the late-delivery breach uncured when the 10-day cure period ends (on or about November 24, 2024).</w:t>
      </w:r>
    </w:p>
    <w:p>
      <w:pPr>
        <w:pStyle w:val="ListBullet"/>
        <w:spacing w:after="60"/>
      </w:pPr>
      <w:r>
        <w:rPr>
          <w:b/>
        </w:rPr>
        <w:t>Recommended course.</w:t>
      </w:r>
      <w:r>
        <w:t xml:space="preserve"> The Agent should (i) not accept the Certificate as satisfying Section 6.02(a) without reservation, (ii) send a formal reservation-of-rights and notice-of-default letter that identifies each matter (so that the Section 8.01(c)/(d) cure clocks run from notice in any event), (iii) require a corrected and re-executed Certificate with supporting detail, (iv) send the information requests in Part VII, and (v) report the matters to the syndicate so the Required Lenders can decide between a waiver and amendment (with conditions and a fee) and a reservation of remedies under Section 8.02. Nothing in the Agent’s conduct to date should be treated as a waiver; the November 18 email’s non-waiver language should be repeated.</w:t>
      </w:r>
    </w:p>
    <w:p>
      <w:pPr>
        <w:pStyle w:val="Heading1"/>
      </w:pPr>
      <w:r>
        <w:t>II. Summary of Issues</w:t>
      </w:r>
    </w:p>
    <w:p>
      <w:pPr>
        <w:spacing w:after="120"/>
      </w:pPr>
      <w:r>
        <w:rPr>
          <w:i/>
        </w:rPr>
        <w:t>Severity: Critical = Event of Default or likely Event of Default / material misrepresentation; High = material calculation error or covenant breach with a cure path; Medium = inaccuracy needing correction or diligence; Low = drafting or consistency point.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D9E2F3"/>
          </w:tcPr>
          <w:p>
            <w:r/>
            <w:r>
              <w:rPr>
                <w:b/>
                <w:sz w:val="16"/>
              </w:rPr>
              <w:t>#</w:t>
            </w:r>
          </w:p>
        </w:tc>
        <w:tc>
          <w:tcPr>
            <w:tcW w:type="dxa" w:w="4752"/>
            <w:shd w:val="clear" w:color="auto" w:fill="D9E2F3"/>
          </w:tcPr>
          <w:p>
            <w:r/>
            <w:r>
              <w:rPr>
                <w:b/>
                <w:sz w:val="16"/>
              </w:rPr>
              <w:t>Issue</w:t>
            </w:r>
          </w:p>
        </w:tc>
        <w:tc>
          <w:tcPr>
            <w:tcW w:type="dxa" w:w="1440"/>
            <w:shd w:val="clear" w:color="auto" w:fill="D9E2F3"/>
          </w:tcPr>
          <w:p>
            <w:r/>
            <w:r>
              <w:rPr>
                <w:b/>
                <w:sz w:val="16"/>
              </w:rPr>
              <w:t>Where</w:t>
            </w:r>
          </w:p>
        </w:tc>
        <w:tc>
          <w:tcPr>
            <w:tcW w:type="dxa" w:w="2016"/>
            <w:shd w:val="clear" w:color="auto" w:fill="D9E2F3"/>
          </w:tcPr>
          <w:p>
            <w:r/>
            <w:r>
              <w:rPr>
                <w:b/>
                <w:sz w:val="16"/>
              </w:rPr>
              <w:t>Effect</w:t>
            </w:r>
          </w:p>
        </w:tc>
        <w:tc>
          <w:tcPr>
            <w:tcW w:type="dxa" w:w="1008"/>
            <w:shd w:val="clear" w:color="auto" w:fill="D9E2F3"/>
          </w:tcPr>
          <w:p>
            <w:r/>
            <w:r>
              <w:rPr>
                <w:b/>
                <w:sz w:val="16"/>
              </w:rPr>
              <w:t>Severity</w:t>
            </w:r>
          </w:p>
        </w:tc>
      </w:tr>
      <w:tr>
        <w:tc>
          <w:tcPr>
            <w:tcW w:type="dxa" w:w="432"/>
          </w:tcPr>
          <w:p>
            <w:r/>
            <w:r>
              <w:rPr>
                <w:sz w:val="16"/>
              </w:rPr>
              <w:t>1</w:t>
            </w:r>
          </w:p>
        </w:tc>
        <w:tc>
          <w:tcPr>
            <w:tcW w:type="dxa" w:w="4752"/>
          </w:tcPr>
          <w:p>
            <w:r/>
            <w:r>
              <w:rPr>
                <w:sz w:val="16"/>
              </w:rPr>
              <w:t>Consolidated Net Income overstated: $41.2M used vs. $27.9M TTM per Financials (Q4’23 $10.05M + Q1 $4.80M + Q2 $4.85M + Q3 $8.20M)</w:t>
            </w:r>
          </w:p>
        </w:tc>
        <w:tc>
          <w:tcPr>
            <w:tcW w:type="dxa" w:w="1440"/>
          </w:tcPr>
          <w:p>
            <w:r/>
            <w:r>
              <w:rPr>
                <w:sz w:val="16"/>
              </w:rPr>
              <w:t>Cert §2.1</w:t>
            </w:r>
          </w:p>
        </w:tc>
        <w:tc>
          <w:tcPr>
            <w:tcW w:type="dxa" w:w="2016"/>
          </w:tcPr>
          <w:p>
            <w:r/>
            <w:r>
              <w:rPr>
                <w:sz w:val="16"/>
              </w:rPr>
              <w:t>EBITDA overstated by $13.3M</w:t>
            </w:r>
          </w:p>
        </w:tc>
        <w:tc>
          <w:tcPr>
            <w:tcW w:type="dxa" w:w="1008"/>
          </w:tcPr>
          <w:p>
            <w:r/>
            <w:r>
              <w:rPr>
                <w:sz w:val="16"/>
              </w:rPr>
              <w:t>Critical</w:t>
            </w:r>
          </w:p>
        </w:tc>
      </w:tr>
      <w:tr>
        <w:tc>
          <w:tcPr>
            <w:tcW w:type="dxa" w:w="432"/>
          </w:tcPr>
          <w:p>
            <w:r/>
            <w:r>
              <w:rPr>
                <w:sz w:val="16"/>
              </w:rPr>
              <w:t>2</w:t>
            </w:r>
          </w:p>
        </w:tc>
        <w:tc>
          <w:tcPr>
            <w:tcW w:type="dxa" w:w="4752"/>
          </w:tcPr>
          <w:p>
            <w:r/>
            <w:r>
              <w:rPr>
                <w:sz w:val="16"/>
              </w:rPr>
              <w:t>Sponsor management fee of $4.5M treated as “Permitted Management Fee under §7.06(d)”; the cap is $2.0M/yr under §7.06(c); the $2.5M excess is a Restricted Payment that is not covered by a usable basket and is omitted from Fixed Charges</w:t>
            </w:r>
          </w:p>
        </w:tc>
        <w:tc>
          <w:tcPr>
            <w:tcW w:type="dxa" w:w="1440"/>
          </w:tcPr>
          <w:p>
            <w:r/>
            <w:r>
              <w:rPr>
                <w:sz w:val="16"/>
              </w:rPr>
              <w:t>Cert §2.3, Annex D</w:t>
            </w:r>
          </w:p>
        </w:tc>
        <w:tc>
          <w:tcPr>
            <w:tcW w:type="dxa" w:w="2016"/>
          </w:tcPr>
          <w:p>
            <w:r/>
            <w:r>
              <w:rPr>
                <w:sz w:val="16"/>
              </w:rPr>
              <w:t>Article VII breach (EoD, no cure period); FCCR overstated</w:t>
            </w:r>
          </w:p>
        </w:tc>
        <w:tc>
          <w:tcPr>
            <w:tcW w:type="dxa" w:w="1008"/>
          </w:tcPr>
          <w:p>
            <w:r/>
            <w:r>
              <w:rPr>
                <w:sz w:val="16"/>
              </w:rPr>
              <w:t>Critical</w:t>
            </w:r>
          </w:p>
        </w:tc>
      </w:tr>
      <w:tr>
        <w:tc>
          <w:tcPr>
            <w:tcW w:type="dxa" w:w="432"/>
          </w:tcPr>
          <w:p>
            <w:r/>
            <w:r>
              <w:rPr>
                <w:sz w:val="16"/>
              </w:rPr>
              <w:t>3</w:t>
            </w:r>
          </w:p>
        </w:tc>
        <w:tc>
          <w:tcPr>
            <w:tcW w:type="dxa" w:w="4752"/>
          </w:tcPr>
          <w:p>
            <w:r/>
            <w:r>
              <w:rPr>
                <w:sz w:val="16"/>
              </w:rPr>
              <w:t>Whitfield Lumber Co. (domestic, acquired 5/3/24) not joined as Guarantor; joinder due 7/2/24; Annex C certifies that all Domestic Subsidiaries are covered and §6.12 is satisfied</w:t>
            </w:r>
          </w:p>
        </w:tc>
        <w:tc>
          <w:tcPr>
            <w:tcW w:type="dxa" w:w="1440"/>
          </w:tcPr>
          <w:p>
            <w:r/>
            <w:r>
              <w:rPr>
                <w:sz w:val="16"/>
              </w:rPr>
              <w:t>Annex C; Financials Subsidiary List</w:t>
            </w:r>
          </w:p>
        </w:tc>
        <w:tc>
          <w:tcPr>
            <w:tcW w:type="dxa" w:w="2016"/>
          </w:tcPr>
          <w:p>
            <w:r/>
            <w:r>
              <w:rPr>
                <w:sz w:val="16"/>
              </w:rPr>
              <w:t>§6.12(a) breach (EoD after 30 days under §8.01(d)); §7.04(g)(v) condition unmet; false certification</w:t>
            </w:r>
          </w:p>
        </w:tc>
        <w:tc>
          <w:tcPr>
            <w:tcW w:type="dxa" w:w="1008"/>
          </w:tcPr>
          <w:p>
            <w:r/>
            <w:r>
              <w:rPr>
                <w:sz w:val="16"/>
              </w:rPr>
              <w:t>Critical</w:t>
            </w:r>
          </w:p>
        </w:tc>
      </w:tr>
      <w:tr>
        <w:tc>
          <w:tcPr>
            <w:tcW w:type="dxa" w:w="432"/>
          </w:tcPr>
          <w:p>
            <w:r/>
            <w:r>
              <w:rPr>
                <w:sz w:val="16"/>
              </w:rPr>
              <w:t>4</w:t>
            </w:r>
          </w:p>
        </w:tc>
        <w:tc>
          <w:tcPr>
            <w:tcW w:type="dxa" w:w="4752"/>
          </w:tcPr>
          <w:p>
            <w:r/>
            <w:r>
              <w:rPr>
                <w:sz w:val="16"/>
              </w:rPr>
              <w:t>Permitted Acquisition Certificate delivered 4/30/24, only 3 Business Days before the 5/3/24 closing (5 required by §7.04(g)(i) and clause (b) of the definition); no waiver obtained; Certificate nonetheless calls Whitfield a “Permitted Acquisition”</w:t>
            </w:r>
          </w:p>
        </w:tc>
        <w:tc>
          <w:tcPr>
            <w:tcW w:type="dxa" w:w="1440"/>
          </w:tcPr>
          <w:p>
            <w:r/>
            <w:r>
              <w:rPr>
                <w:sz w:val="16"/>
              </w:rPr>
              <w:t>Cert §1(f), Annex D; 5/1/24 and 11/18/24 emails</w:t>
            </w:r>
          </w:p>
        </w:tc>
        <w:tc>
          <w:tcPr>
            <w:tcW w:type="dxa" w:w="2016"/>
          </w:tcPr>
          <w:p>
            <w:r/>
            <w:r>
              <w:rPr>
                <w:sz w:val="16"/>
              </w:rPr>
              <w:t>Acquisition not a Permitted Investment, so an Article VII breach; the (h) add-back and pro forma treatment are in doubt</w:t>
            </w:r>
          </w:p>
        </w:tc>
        <w:tc>
          <w:tcPr>
            <w:tcW w:type="dxa" w:w="1008"/>
          </w:tcPr>
          <w:p>
            <w:r/>
            <w:r>
              <w:rPr>
                <w:sz w:val="16"/>
              </w:rPr>
              <w:t>Critical</w:t>
            </w:r>
          </w:p>
        </w:tc>
      </w:tr>
      <w:tr>
        <w:tc>
          <w:tcPr>
            <w:tcW w:type="dxa" w:w="432"/>
          </w:tcPr>
          <w:p>
            <w:r/>
            <w:r>
              <w:rPr>
                <w:sz w:val="16"/>
              </w:rPr>
              <w:t>5</w:t>
            </w:r>
          </w:p>
        </w:tc>
        <w:tc>
          <w:tcPr>
            <w:tcW w:type="dxa" w:w="4752"/>
          </w:tcPr>
          <w:p>
            <w:r/>
            <w:r>
              <w:rPr>
                <w:sz w:val="16"/>
              </w:rPr>
              <w:t>DEQ Notice of Violation (8/22/24), $1.8M accrued, range $1.2M–$2.8M plus anticipated penalty: a deemed MAE and a §6.03(c)/(d) notice event; the Certificate represents no MAE and no undisclosed environmental liabilities</w:t>
            </w:r>
          </w:p>
        </w:tc>
        <w:tc>
          <w:tcPr>
            <w:tcW w:type="dxa" w:w="1440"/>
          </w:tcPr>
          <w:p>
            <w:r/>
            <w:r>
              <w:rPr>
                <w:sz w:val="16"/>
              </w:rPr>
              <w:t>Cert §1(d), §6(b)–(d); Financials Note 14</w:t>
            </w:r>
          </w:p>
        </w:tc>
        <w:tc>
          <w:tcPr>
            <w:tcW w:type="dxa" w:w="2016"/>
          </w:tcPr>
          <w:p>
            <w:r/>
            <w:r>
              <w:rPr>
                <w:sz w:val="16"/>
              </w:rPr>
              <w:t>§6.03 breach (EoD after 10 days); misrepresentation (§8.01(b))</w:t>
            </w:r>
          </w:p>
        </w:tc>
        <w:tc>
          <w:tcPr>
            <w:tcW w:type="dxa" w:w="1008"/>
          </w:tcPr>
          <w:p>
            <w:r/>
            <w:r>
              <w:rPr>
                <w:sz w:val="16"/>
              </w:rPr>
              <w:t>Critical</w:t>
            </w:r>
          </w:p>
        </w:tc>
      </w:tr>
      <w:tr>
        <w:tc>
          <w:tcPr>
            <w:tcW w:type="dxa" w:w="432"/>
          </w:tcPr>
          <w:p>
            <w:r/>
            <w:r>
              <w:rPr>
                <w:sz w:val="16"/>
              </w:rPr>
              <w:t>6</w:t>
            </w:r>
          </w:p>
        </w:tc>
        <w:tc>
          <w:tcPr>
            <w:tcW w:type="dxa" w:w="4752"/>
          </w:tcPr>
          <w:p>
            <w:r/>
            <w:r>
              <w:rPr>
                <w:sz w:val="16"/>
              </w:rPr>
              <w:t>Late delivery: due 11/14/24 (45 days after 9/30/24); delivered 11/18/24. The Certificate does not disclose this</w:t>
            </w:r>
          </w:p>
        </w:tc>
        <w:tc>
          <w:tcPr>
            <w:tcW w:type="dxa" w:w="1440"/>
          </w:tcPr>
          <w:p>
            <w:r/>
            <w:r>
              <w:rPr>
                <w:sz w:val="16"/>
              </w:rPr>
              <w:t>Emails 11/15 and 11/18</w:t>
            </w:r>
          </w:p>
        </w:tc>
        <w:tc>
          <w:tcPr>
            <w:tcW w:type="dxa" w:w="2016"/>
          </w:tcPr>
          <w:p>
            <w:r/>
            <w:r>
              <w:rPr>
                <w:sz w:val="16"/>
              </w:rPr>
              <w:t>Default; cured only if a duly completed certificate is delivered within 10 days</w:t>
            </w:r>
          </w:p>
        </w:tc>
        <w:tc>
          <w:tcPr>
            <w:tcW w:type="dxa" w:w="1008"/>
          </w:tcPr>
          <w:p>
            <w:r/>
            <w:r>
              <w:rPr>
                <w:sz w:val="16"/>
              </w:rPr>
              <w:t>High</w:t>
            </w:r>
          </w:p>
        </w:tc>
      </w:tr>
      <w:tr>
        <w:tc>
          <w:tcPr>
            <w:tcW w:type="dxa" w:w="432"/>
          </w:tcPr>
          <w:p>
            <w:r/>
            <w:r>
              <w:rPr>
                <w:sz w:val="16"/>
              </w:rPr>
              <w:t>7</w:t>
            </w:r>
          </w:p>
        </w:tc>
        <w:tc>
          <w:tcPr>
            <w:tcW w:type="dxa" w:w="4752"/>
          </w:tcPr>
          <w:p>
            <w:r/>
            <w:r>
              <w:rPr>
                <w:sz w:val="16"/>
              </w:rPr>
              <w:t>Restructuring add-back of $6.1M exceeds the $5.0M per-fiscal-year cap (FY2024 YTD charges are $5.1M); the description conflicts with the Financials (Roseburg, OR vs. Longview, WA / Whitfield integration)</w:t>
            </w:r>
          </w:p>
        </w:tc>
        <w:tc>
          <w:tcPr>
            <w:tcW w:type="dxa" w:w="1440"/>
          </w:tcPr>
          <w:p>
            <w:r/>
            <w:r>
              <w:rPr>
                <w:sz w:val="16"/>
              </w:rPr>
              <w:t>Cert §2.1(i); Note 9</w:t>
            </w:r>
          </w:p>
        </w:tc>
        <w:tc>
          <w:tcPr>
            <w:tcW w:type="dxa" w:w="2016"/>
          </w:tcPr>
          <w:p>
            <w:r/>
            <w:r>
              <w:rPr>
                <w:sz w:val="16"/>
              </w:rPr>
              <w:t>EBITDA overstated by $0.1M–$1.1M</w:t>
            </w:r>
          </w:p>
        </w:tc>
        <w:tc>
          <w:tcPr>
            <w:tcW w:type="dxa" w:w="1008"/>
          </w:tcPr>
          <w:p>
            <w:r/>
            <w:r>
              <w:rPr>
                <w:sz w:val="16"/>
              </w:rPr>
              <w:t>High</w:t>
            </w:r>
          </w:p>
        </w:tc>
      </w:tr>
      <w:tr>
        <w:tc>
          <w:tcPr>
            <w:tcW w:type="dxa" w:w="432"/>
          </w:tcPr>
          <w:p>
            <w:r/>
            <w:r>
              <w:rPr>
                <w:sz w:val="16"/>
              </w:rPr>
              <w:t>8</w:t>
            </w:r>
          </w:p>
        </w:tc>
        <w:tc>
          <w:tcPr>
            <w:tcW w:type="dxa" w:w="4752"/>
          </w:tcPr>
          <w:p>
            <w:r/>
            <w:r>
              <w:rPr>
                <w:sz w:val="16"/>
              </w:rPr>
              <w:t>Unrestricted Cash of $32.5M netted in full; netting is capped at $25.0M</w:t>
            </w:r>
          </w:p>
        </w:tc>
        <w:tc>
          <w:tcPr>
            <w:tcW w:type="dxa" w:w="1440"/>
          </w:tcPr>
          <w:p>
            <w:r/>
            <w:r>
              <w:rPr>
                <w:sz w:val="16"/>
              </w:rPr>
              <w:t>Cert §2.2</w:t>
            </w:r>
          </w:p>
        </w:tc>
        <w:tc>
          <w:tcPr>
            <w:tcW w:type="dxa" w:w="2016"/>
          </w:tcPr>
          <w:p>
            <w:r/>
            <w:r>
              <w:rPr>
                <w:sz w:val="16"/>
              </w:rPr>
              <w:t>Net debt understated by $7.5M</w:t>
            </w:r>
          </w:p>
        </w:tc>
        <w:tc>
          <w:tcPr>
            <w:tcW w:type="dxa" w:w="1008"/>
          </w:tcPr>
          <w:p>
            <w:r/>
            <w:r>
              <w:rPr>
                <w:sz w:val="16"/>
              </w:rPr>
              <w:t>High</w:t>
            </w:r>
          </w:p>
        </w:tc>
      </w:tr>
      <w:tr>
        <w:tc>
          <w:tcPr>
            <w:tcW w:type="dxa" w:w="432"/>
          </w:tcPr>
          <w:p>
            <w:r/>
            <w:r>
              <w:rPr>
                <w:sz w:val="16"/>
              </w:rPr>
              <w:t>9</w:t>
            </w:r>
          </w:p>
        </w:tc>
        <w:tc>
          <w:tcPr>
            <w:tcW w:type="dxa" w:w="4752"/>
          </w:tcPr>
          <w:p>
            <w:r/>
            <w:r>
              <w:rPr>
                <w:sz w:val="16"/>
              </w:rPr>
              <w:t>Total Funded Debt omits the $3.3M Whitfield Seller Note (clause (d)) and the $4.1M of Capital Lease obligations (clause (c))</w:t>
            </w:r>
          </w:p>
        </w:tc>
        <w:tc>
          <w:tcPr>
            <w:tcW w:type="dxa" w:w="1440"/>
          </w:tcPr>
          <w:p>
            <w:r/>
            <w:r>
              <w:rPr>
                <w:sz w:val="16"/>
              </w:rPr>
              <w:t>Cert §2.2; Annex B; Debt Schedule</w:t>
            </w:r>
          </w:p>
        </w:tc>
        <w:tc>
          <w:tcPr>
            <w:tcW w:type="dxa" w:w="2016"/>
          </w:tcPr>
          <w:p>
            <w:r/>
            <w:r>
              <w:rPr>
                <w:sz w:val="16"/>
              </w:rPr>
              <w:t>TFD understated by $7.4M</w:t>
            </w:r>
          </w:p>
        </w:tc>
        <w:tc>
          <w:tcPr>
            <w:tcW w:type="dxa" w:w="1008"/>
          </w:tcPr>
          <w:p>
            <w:r/>
            <w:r>
              <w:rPr>
                <w:sz w:val="16"/>
              </w:rPr>
              <w:t>High</w:t>
            </w:r>
          </w:p>
        </w:tc>
      </w:tr>
      <w:tr>
        <w:tc>
          <w:tcPr>
            <w:tcW w:type="dxa" w:w="432"/>
          </w:tcPr>
          <w:p>
            <w:r/>
            <w:r>
              <w:rPr>
                <w:sz w:val="16"/>
              </w:rPr>
              <w:t>10</w:t>
            </w:r>
          </w:p>
        </w:tc>
        <w:tc>
          <w:tcPr>
            <w:tcW w:type="dxa" w:w="4752"/>
          </w:tcPr>
          <w:p>
            <w:r/>
            <w:r>
              <w:rPr>
                <w:sz w:val="16"/>
              </w:rPr>
              <w:t>Unfinanced CapEx reduced by $1.6M of revolver-financed CapEx; by definition, CapEx financed with Revolving Loans is “unfinanced”</w:t>
            </w:r>
          </w:p>
        </w:tc>
        <w:tc>
          <w:tcPr>
            <w:tcW w:type="dxa" w:w="1440"/>
          </w:tcPr>
          <w:p>
            <w:r/>
            <w:r>
              <w:rPr>
                <w:sz w:val="16"/>
              </w:rPr>
              <w:t>Cert §2.3; CapEx Schedule</w:t>
            </w:r>
          </w:p>
        </w:tc>
        <w:tc>
          <w:tcPr>
            <w:tcW w:type="dxa" w:w="2016"/>
          </w:tcPr>
          <w:p>
            <w:r/>
            <w:r>
              <w:rPr>
                <w:sz w:val="16"/>
              </w:rPr>
              <w:t>FCCR numerator overstated by $1.6M</w:t>
            </w:r>
          </w:p>
        </w:tc>
        <w:tc>
          <w:tcPr>
            <w:tcW w:type="dxa" w:w="1008"/>
          </w:tcPr>
          <w:p>
            <w:r/>
            <w:r>
              <w:rPr>
                <w:sz w:val="16"/>
              </w:rPr>
              <w:t>High</w:t>
            </w:r>
          </w:p>
        </w:tc>
      </w:tr>
      <w:tr>
        <w:tc>
          <w:tcPr>
            <w:tcW w:type="dxa" w:w="432"/>
          </w:tcPr>
          <w:p>
            <w:r/>
            <w:r>
              <w:rPr>
                <w:sz w:val="16"/>
              </w:rPr>
              <w:t>11</w:t>
            </w:r>
          </w:p>
        </w:tc>
        <w:tc>
          <w:tcPr>
            <w:tcW w:type="dxa" w:w="4752"/>
          </w:tcPr>
          <w:p>
            <w:r/>
            <w:r>
              <w:rPr>
                <w:sz w:val="16"/>
              </w:rPr>
              <w:t>CapEx YTD reported as $38.4M (Q1 $11.2M / Q2 $14.6M / Q3 $12.6M) vs. $30.9M per CapEx Schedule and Note 6 ($9.2M / $11.2M / $10.5M); $38.4M is the TTM figure; project narrative (Coos Bay, Longview expansion) does not match the Financials</w:t>
            </w:r>
          </w:p>
        </w:tc>
        <w:tc>
          <w:tcPr>
            <w:tcW w:type="dxa" w:w="1440"/>
          </w:tcPr>
          <w:p>
            <w:r/>
            <w:r>
              <w:rPr>
                <w:sz w:val="16"/>
              </w:rPr>
              <w:t>Cert §2.4</w:t>
            </w:r>
          </w:p>
        </w:tc>
        <w:tc>
          <w:tcPr>
            <w:tcW w:type="dxa" w:w="2016"/>
          </w:tcPr>
          <w:p>
            <w:r/>
            <w:r>
              <w:rPr>
                <w:sz w:val="16"/>
              </w:rPr>
              <w:t>Covenant still met; the data are unreliable; the $6.8M carryforward is unverified</w:t>
            </w:r>
          </w:p>
        </w:tc>
        <w:tc>
          <w:tcPr>
            <w:tcW w:type="dxa" w:w="1008"/>
          </w:tcPr>
          <w:p>
            <w:r/>
            <w:r>
              <w:rPr>
                <w:sz w:val="16"/>
              </w:rPr>
              <w:t>Medium</w:t>
            </w:r>
          </w:p>
        </w:tc>
      </w:tr>
      <w:tr>
        <w:tc>
          <w:tcPr>
            <w:tcW w:type="dxa" w:w="432"/>
          </w:tcPr>
          <w:p>
            <w:r/>
            <w:r>
              <w:rPr>
                <w:sz w:val="16"/>
              </w:rPr>
              <w:t>12</w:t>
            </w:r>
          </w:p>
        </w:tc>
        <w:tc>
          <w:tcPr>
            <w:tcW w:type="dxa" w:w="4752"/>
          </w:tcPr>
          <w:p>
            <w:r/>
            <w:r>
              <w:rPr>
                <w:sz w:val="16"/>
              </w:rPr>
              <w:t>Casualty-loss add-back narrative conflicts with the Financials (Cert: Feb. 2024, Coos Bay, OR, $12.3M loss, $7.5M insurance; Note 10: Jan. 2024, Centralia, WA, $2.1M insurance). The amount ($4.8M) is within the $7.5M annual cap, but the life-of-loan $20M cap is not tracked</w:t>
            </w:r>
          </w:p>
        </w:tc>
        <w:tc>
          <w:tcPr>
            <w:tcW w:type="dxa" w:w="1440"/>
          </w:tcPr>
          <w:p>
            <w:r/>
            <w:r>
              <w:rPr>
                <w:sz w:val="16"/>
              </w:rPr>
              <w:t>Cert §2.1(ii); Note 10</w:t>
            </w:r>
          </w:p>
        </w:tc>
        <w:tc>
          <w:tcPr>
            <w:tcW w:type="dxa" w:w="2016"/>
          </w:tcPr>
          <w:p>
            <w:r/>
            <w:r>
              <w:rPr>
                <w:sz w:val="16"/>
              </w:rPr>
              <w:t>Diligence; possible misrepresentation</w:t>
            </w:r>
          </w:p>
        </w:tc>
        <w:tc>
          <w:tcPr>
            <w:tcW w:type="dxa" w:w="1008"/>
          </w:tcPr>
          <w:p>
            <w:r/>
            <w:r>
              <w:rPr>
                <w:sz w:val="16"/>
              </w:rPr>
              <w:t>Medium</w:t>
            </w:r>
          </w:p>
        </w:tc>
      </w:tr>
      <w:tr>
        <w:tc>
          <w:tcPr>
            <w:tcW w:type="dxa" w:w="432"/>
          </w:tcPr>
          <w:p>
            <w:r/>
            <w:r>
              <w:rPr>
                <w:sz w:val="16"/>
              </w:rPr>
              <w:t>13</w:t>
            </w:r>
          </w:p>
        </w:tc>
        <w:tc>
          <w:tcPr>
            <w:tcW w:type="dxa" w:w="4752"/>
          </w:tcPr>
          <w:p>
            <w:r/>
            <w:r>
              <w:rPr>
                <w:sz w:val="16"/>
              </w:rPr>
              <w:t>“Cash Interest Expense” is total GAAP interest expense ($21.85M), not interest expense less non-cash components (9M cash interest paid $16.2M); scheduled Capital Lease principal is omitted from Fixed Charges</w:t>
            </w:r>
          </w:p>
        </w:tc>
        <w:tc>
          <w:tcPr>
            <w:tcW w:type="dxa" w:w="1440"/>
          </w:tcPr>
          <w:p>
            <w:r/>
            <w:r>
              <w:rPr>
                <w:sz w:val="16"/>
              </w:rPr>
              <w:t>Cert §2.3</w:t>
            </w:r>
          </w:p>
        </w:tc>
        <w:tc>
          <w:tcPr>
            <w:tcW w:type="dxa" w:w="2016"/>
          </w:tcPr>
          <w:p>
            <w:r/>
            <w:r>
              <w:rPr>
                <w:sz w:val="16"/>
              </w:rPr>
              <w:t>Methodology error; net effect uncertain</w:t>
            </w:r>
          </w:p>
        </w:tc>
        <w:tc>
          <w:tcPr>
            <w:tcW w:type="dxa" w:w="1008"/>
          </w:tcPr>
          <w:p>
            <w:r/>
            <w:r>
              <w:rPr>
                <w:sz w:val="16"/>
              </w:rPr>
              <w:t>Medium</w:t>
            </w:r>
          </w:p>
        </w:tc>
      </w:tr>
      <w:tr>
        <w:tc>
          <w:tcPr>
            <w:tcW w:type="dxa" w:w="432"/>
          </w:tcPr>
          <w:p>
            <w:r/>
            <w:r>
              <w:rPr>
                <w:sz w:val="16"/>
              </w:rPr>
              <w:t>14</w:t>
            </w:r>
          </w:p>
        </w:tc>
        <w:tc>
          <w:tcPr>
            <w:tcW w:type="dxa" w:w="4752"/>
          </w:tcPr>
          <w:p>
            <w:r/>
            <w:r>
              <w:rPr>
                <w:sz w:val="16"/>
              </w:rPr>
              <w:t>Possible Term Loan A balance discrepancy: Dec. 31, 2023 balance per Financials of $254.375M, less 9M 2024 amortization of $10.3125M, gives $244.0625M, not the $240.625M reported (difference $3.4375M = one quarterly installment)</w:t>
            </w:r>
          </w:p>
        </w:tc>
        <w:tc>
          <w:tcPr>
            <w:tcW w:type="dxa" w:w="1440"/>
          </w:tcPr>
          <w:p>
            <w:r/>
            <w:r>
              <w:rPr>
                <w:sz w:val="16"/>
              </w:rPr>
              <w:t>Balance Sheet; Cash Flow; Cert §2.2</w:t>
            </w:r>
          </w:p>
        </w:tc>
        <w:tc>
          <w:tcPr>
            <w:tcW w:type="dxa" w:w="2016"/>
          </w:tcPr>
          <w:p>
            <w:r/>
            <w:r>
              <w:rPr>
                <w:sz w:val="16"/>
              </w:rPr>
              <w:t>Diligence: possible missed payment or misstatement</w:t>
            </w:r>
          </w:p>
        </w:tc>
        <w:tc>
          <w:tcPr>
            <w:tcW w:type="dxa" w:w="1008"/>
          </w:tcPr>
          <w:p>
            <w:r/>
            <w:r>
              <w:rPr>
                <w:sz w:val="16"/>
              </w:rPr>
              <w:t>Medium</w:t>
            </w:r>
          </w:p>
        </w:tc>
      </w:tr>
      <w:tr>
        <w:tc>
          <w:tcPr>
            <w:tcW w:type="dxa" w:w="432"/>
          </w:tcPr>
          <w:p>
            <w:r/>
            <w:r>
              <w:rPr>
                <w:sz w:val="16"/>
              </w:rPr>
              <w:t>15</w:t>
            </w:r>
          </w:p>
        </w:tc>
        <w:tc>
          <w:tcPr>
            <w:tcW w:type="dxa" w:w="4752"/>
          </w:tcPr>
          <w:p>
            <w:r/>
            <w:r>
              <w:rPr>
                <w:sz w:val="16"/>
              </w:rPr>
              <w:t>Financial statement integrity: the cash flow statement does not foot or tie to the balance sheet; retained earnings roll-forward has a $2.1M gap; APIC increase ties to TTM rather than YTD SBC</w:t>
            </w:r>
          </w:p>
        </w:tc>
        <w:tc>
          <w:tcPr>
            <w:tcW w:type="dxa" w:w="1440"/>
          </w:tcPr>
          <w:p>
            <w:r/>
            <w:r>
              <w:rPr>
                <w:sz w:val="16"/>
              </w:rPr>
              <w:t>Financials</w:t>
            </w:r>
          </w:p>
        </w:tc>
        <w:tc>
          <w:tcPr>
            <w:tcW w:type="dxa" w:w="2016"/>
          </w:tcPr>
          <w:p>
            <w:r/>
            <w:r>
              <w:rPr>
                <w:sz w:val="16"/>
              </w:rPr>
              <w:t>Officer fair-presentation certification in doubt (§6.01(b))</w:t>
            </w:r>
          </w:p>
        </w:tc>
        <w:tc>
          <w:tcPr>
            <w:tcW w:type="dxa" w:w="1008"/>
          </w:tcPr>
          <w:p>
            <w:r/>
            <w:r>
              <w:rPr>
                <w:sz w:val="16"/>
              </w:rPr>
              <w:t>Medium</w:t>
            </w:r>
          </w:p>
        </w:tc>
      </w:tr>
      <w:tr>
        <w:tc>
          <w:tcPr>
            <w:tcW w:type="dxa" w:w="432"/>
          </w:tcPr>
          <w:p>
            <w:r/>
            <w:r>
              <w:rPr>
                <w:sz w:val="16"/>
              </w:rPr>
              <w:t>16</w:t>
            </w:r>
          </w:p>
        </w:tc>
        <w:tc>
          <w:tcPr>
            <w:tcW w:type="dxa" w:w="4752"/>
          </w:tcPr>
          <w:p>
            <w:r/>
            <w:r>
              <w:rPr>
                <w:sz w:val="16"/>
              </w:rPr>
              <w:t>Indebtedness schedule (Annex B) omits the Seller Note; totals differ among Annex B ($335.425M), the Debt Schedule ($326.425M) and the correct figure ($338.725M of Indebtedness including undrawn LCs)</w:t>
            </w:r>
          </w:p>
        </w:tc>
        <w:tc>
          <w:tcPr>
            <w:tcW w:type="dxa" w:w="1440"/>
          </w:tcPr>
          <w:p>
            <w:r/>
            <w:r>
              <w:rPr>
                <w:sz w:val="16"/>
              </w:rPr>
              <w:t>Annex B</w:t>
            </w:r>
          </w:p>
        </w:tc>
        <w:tc>
          <w:tcPr>
            <w:tcW w:type="dxa" w:w="2016"/>
          </w:tcPr>
          <w:p>
            <w:r/>
            <w:r>
              <w:rPr>
                <w:sz w:val="16"/>
              </w:rPr>
              <w:t>§6.02(a)(iii) schedule deficient</w:t>
            </w:r>
          </w:p>
        </w:tc>
        <w:tc>
          <w:tcPr>
            <w:tcW w:type="dxa" w:w="1008"/>
          </w:tcPr>
          <w:p>
            <w:r/>
            <w:r>
              <w:rPr>
                <w:sz w:val="16"/>
              </w:rPr>
              <w:t>Medium</w:t>
            </w:r>
          </w:p>
        </w:tc>
      </w:tr>
      <w:tr>
        <w:tc>
          <w:tcPr>
            <w:tcW w:type="dxa" w:w="432"/>
          </w:tcPr>
          <w:p>
            <w:r/>
            <w:r>
              <w:rPr>
                <w:sz w:val="16"/>
              </w:rPr>
              <w:t>17</w:t>
            </w:r>
          </w:p>
        </w:tc>
        <w:tc>
          <w:tcPr>
            <w:tcW w:type="dxa" w:w="4752"/>
          </w:tcPr>
          <w:p>
            <w:r/>
            <w:r>
              <w:rPr>
                <w:sz w:val="16"/>
              </w:rPr>
              <w:t>Pro forma treatment of Whitfield required by the EBITDA definition (with Agent approval) was not applied or disclosed</w:t>
            </w:r>
          </w:p>
        </w:tc>
        <w:tc>
          <w:tcPr>
            <w:tcW w:type="dxa" w:w="1440"/>
          </w:tcPr>
          <w:p>
            <w:r/>
            <w:r>
              <w:rPr>
                <w:sz w:val="16"/>
              </w:rPr>
              <w:t>Cert §2.1</w:t>
            </w:r>
          </w:p>
        </w:tc>
        <w:tc>
          <w:tcPr>
            <w:tcW w:type="dxa" w:w="2016"/>
          </w:tcPr>
          <w:p>
            <w:r/>
            <w:r>
              <w:rPr>
                <w:sz w:val="16"/>
              </w:rPr>
              <w:t>Methodology deviation</w:t>
            </w:r>
          </w:p>
        </w:tc>
        <w:tc>
          <w:tcPr>
            <w:tcW w:type="dxa" w:w="1008"/>
          </w:tcPr>
          <w:p>
            <w:r/>
            <w:r>
              <w:rPr>
                <w:sz w:val="16"/>
              </w:rPr>
              <w:t>Low</w:t>
            </w:r>
          </w:p>
        </w:tc>
      </w:tr>
      <w:tr>
        <w:tc>
          <w:tcPr>
            <w:tcW w:type="dxa" w:w="432"/>
          </w:tcPr>
          <w:p>
            <w:r/>
            <w:r>
              <w:rPr>
                <w:sz w:val="16"/>
              </w:rPr>
              <w:t>18</w:t>
            </w:r>
          </w:p>
        </w:tc>
        <w:tc>
          <w:tcPr>
            <w:tcW w:type="dxa" w:w="4752"/>
          </w:tcPr>
          <w:p>
            <w:r/>
            <w:r>
              <w:rPr>
                <w:sz w:val="16"/>
              </w:rPr>
              <w:t>Other inconsistencies: interim reviewer named “Dunlevy &amp; Associates LLP” vs. Broadleaf Accounting Group LLP; the Certificate is unsigned although described as an “executed PDF”; wrong section references (§7.06(d), §6.07, §7.11(b) carryforward, Agent email’s “§7.04(g)(iii)”); the Article V bring-down in the form Exhibit is omitted; the $1.5M intercompany loan to Whitfield (a non-Guarantor) is not disclosed in Annex D; email timestamp anomaly</w:t>
            </w:r>
          </w:p>
        </w:tc>
        <w:tc>
          <w:tcPr>
            <w:tcW w:type="dxa" w:w="1440"/>
          </w:tcPr>
          <w:p>
            <w:r/>
            <w:r>
              <w:rPr>
                <w:sz w:val="16"/>
              </w:rPr>
              <w:t>Various</w:t>
            </w:r>
          </w:p>
        </w:tc>
        <w:tc>
          <w:tcPr>
            <w:tcW w:type="dxa" w:w="2016"/>
          </w:tcPr>
          <w:p>
            <w:r/>
            <w:r>
              <w:rPr>
                <w:sz w:val="16"/>
              </w:rPr>
              <w:t>Correct in the re-delivered Certificate</w:t>
            </w:r>
          </w:p>
        </w:tc>
        <w:tc>
          <w:tcPr>
            <w:tcW w:type="dxa" w:w="1008"/>
          </w:tcPr>
          <w:p>
            <w:r/>
            <w:r>
              <w:rPr>
                <w:sz w:val="16"/>
              </w:rPr>
              <w:t>Low</w:t>
            </w:r>
          </w:p>
        </w:tc>
      </w:tr>
    </w:tbl>
    <w:p>
      <w:pPr>
        <w:spacing w:after="40"/>
      </w:pPr>
    </w:p>
    <w:p>
      <w:pPr>
        <w:pStyle w:val="Heading1"/>
      </w:pPr>
      <w:r>
        <w:t>III. Recalculated Financial Covenants</w:t>
      </w:r>
    </w:p>
    <w:p>
      <w:pPr>
        <w:spacing w:after="120"/>
      </w:pPr>
      <w:r>
        <w:rPr>
          <w:i w:val="0"/>
        </w:rPr>
        <w:t>We present two corrected cases. Case A applies the Borrower-favorable reading of each contested point. It caps restructuring by fiscal year, allowing the $1.0M Q4 2023 portion plus $5.0M for FY2024, and keeps the $2.7M Whitfield acquisition-cost add-back. Case B is the lender-protective reading. It applies a single $5.0M restructuring cap to the test period and disallows the clause (h) add-back because Whitfield did not satisfy the Permitted Acquisition conditions. Both cases use the Financials as delivered, cap cash netting at $25.0M, and add the Seller Note and Capital Leases to Total Funded Debt. All figures are in USD millions.</w:t>
      </w:r>
    </w:p>
    <w:p>
      <w:pPr>
        <w:pStyle w:val="Heading2"/>
      </w:pPr>
      <w:r>
        <w:t>A. Consolidated EBITDA (TTM 10/1/23–9/30/24)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D9E2F3"/>
          </w:tcPr>
          <w:p>
            <w:r/>
            <w:r>
              <w:rPr>
                <w:b/>
                <w:sz w:val="17"/>
              </w:rPr>
              <w:t>Line item</w:t>
            </w:r>
          </w:p>
        </w:tc>
        <w:tc>
          <w:tcPr>
            <w:tcW w:type="dxa" w:w="1152"/>
            <w:shd w:val="clear" w:color="auto" w:fill="D9E2F3"/>
          </w:tcPr>
          <w:p>
            <w:r/>
            <w:r>
              <w:rPr>
                <w:b/>
                <w:sz w:val="17"/>
              </w:rPr>
              <w:t>Certificate</w:t>
            </w:r>
          </w:p>
        </w:tc>
        <w:tc>
          <w:tcPr>
            <w:tcW w:type="dxa" w:w="1008"/>
            <w:shd w:val="clear" w:color="auto" w:fill="D9E2F3"/>
          </w:tcPr>
          <w:p>
            <w:r/>
            <w:r>
              <w:rPr>
                <w:b/>
                <w:sz w:val="17"/>
              </w:rPr>
              <w:t>Case A</w:t>
            </w:r>
          </w:p>
        </w:tc>
        <w:tc>
          <w:tcPr>
            <w:tcW w:type="dxa" w:w="1008"/>
            <w:shd w:val="clear" w:color="auto" w:fill="D9E2F3"/>
          </w:tcPr>
          <w:p>
            <w:r/>
            <w:r>
              <w:rPr>
                <w:b/>
                <w:sz w:val="17"/>
              </w:rPr>
              <w:t>Case B</w:t>
            </w:r>
          </w:p>
        </w:tc>
        <w:tc>
          <w:tcPr>
            <w:tcW w:type="dxa" w:w="3024"/>
            <w:shd w:val="clear" w:color="auto" w:fill="D9E2F3"/>
          </w:tcPr>
          <w:p>
            <w:r/>
            <w:r>
              <w:rPr>
                <w:b/>
                <w:sz w:val="17"/>
              </w:rPr>
              <w:t>Basis</w:t>
            </w:r>
          </w:p>
        </w:tc>
      </w:tr>
      <w:tr>
        <w:tc>
          <w:tcPr>
            <w:tcW w:type="dxa" w:w="3168"/>
          </w:tcPr>
          <w:p>
            <w:r/>
            <w:r>
              <w:rPr>
                <w:sz w:val="17"/>
              </w:rPr>
              <w:t>Consolidated Net Income</w:t>
            </w:r>
          </w:p>
        </w:tc>
        <w:tc>
          <w:tcPr>
            <w:tcW w:type="dxa" w:w="1152"/>
          </w:tcPr>
          <w:p>
            <w:r/>
            <w:r>
              <w:rPr>
                <w:sz w:val="17"/>
              </w:rPr>
              <w:t>41.200</w:t>
            </w:r>
          </w:p>
        </w:tc>
        <w:tc>
          <w:tcPr>
            <w:tcW w:type="dxa" w:w="1008"/>
          </w:tcPr>
          <w:p>
            <w:r/>
            <w:r>
              <w:rPr>
                <w:sz w:val="17"/>
              </w:rPr>
              <w:t>27.900</w:t>
            </w:r>
          </w:p>
        </w:tc>
        <w:tc>
          <w:tcPr>
            <w:tcW w:type="dxa" w:w="1008"/>
          </w:tcPr>
          <w:p>
            <w:r/>
            <w:r>
              <w:rPr>
                <w:sz w:val="17"/>
              </w:rPr>
              <w:t>27.900</w:t>
            </w:r>
          </w:p>
        </w:tc>
        <w:tc>
          <w:tcPr>
            <w:tcW w:type="dxa" w:w="3024"/>
          </w:tcPr>
          <w:p>
            <w:r/>
            <w:r>
              <w:rPr>
                <w:sz w:val="17"/>
              </w:rPr>
              <w:t>Income Statement TTM; quarterly memo ties to $27.9M</w:t>
            </w:r>
          </w:p>
        </w:tc>
      </w:tr>
      <w:tr>
        <w:tc>
          <w:tcPr>
            <w:tcW w:type="dxa" w:w="3168"/>
          </w:tcPr>
          <w:p>
            <w:r/>
            <w:r>
              <w:rPr>
                <w:sz w:val="17"/>
              </w:rPr>
              <w:t>+ Interest Expense</w:t>
            </w:r>
          </w:p>
        </w:tc>
        <w:tc>
          <w:tcPr>
            <w:tcW w:type="dxa" w:w="1152"/>
          </w:tcPr>
          <w:p>
            <w:r/>
            <w:r>
              <w:rPr>
                <w:sz w:val="17"/>
              </w:rPr>
              <w:t>21.850</w:t>
            </w:r>
          </w:p>
        </w:tc>
        <w:tc>
          <w:tcPr>
            <w:tcW w:type="dxa" w:w="1008"/>
          </w:tcPr>
          <w:p>
            <w:r/>
            <w:r>
              <w:rPr>
                <w:sz w:val="17"/>
              </w:rPr>
              <w:t>21.850</w:t>
            </w:r>
          </w:p>
        </w:tc>
        <w:tc>
          <w:tcPr>
            <w:tcW w:type="dxa" w:w="1008"/>
          </w:tcPr>
          <w:p>
            <w:r/>
            <w:r>
              <w:rPr>
                <w:sz w:val="17"/>
              </w:rPr>
              <w:t>21.850</w:t>
            </w:r>
          </w:p>
        </w:tc>
        <w:tc>
          <w:tcPr>
            <w:tcW w:type="dxa" w:w="3024"/>
          </w:tcPr>
          <w:p>
            <w:r/>
            <w:r>
              <w:rPr>
                <w:sz w:val="17"/>
              </w:rPr>
              <w:t>Income Statement</w:t>
            </w:r>
          </w:p>
        </w:tc>
      </w:tr>
      <w:tr>
        <w:tc>
          <w:tcPr>
            <w:tcW w:type="dxa" w:w="3168"/>
          </w:tcPr>
          <w:p>
            <w:r/>
            <w:r>
              <w:rPr>
                <w:sz w:val="17"/>
              </w:rPr>
              <w:t>+ Income tax expense</w:t>
            </w:r>
          </w:p>
        </w:tc>
        <w:tc>
          <w:tcPr>
            <w:tcW w:type="dxa" w:w="1152"/>
          </w:tcPr>
          <w:p>
            <w:r/>
            <w:r>
              <w:rPr>
                <w:sz w:val="17"/>
              </w:rPr>
              <w:t>14.100</w:t>
            </w:r>
          </w:p>
        </w:tc>
        <w:tc>
          <w:tcPr>
            <w:tcW w:type="dxa" w:w="1008"/>
          </w:tcPr>
          <w:p>
            <w:r/>
            <w:r>
              <w:rPr>
                <w:sz w:val="17"/>
              </w:rPr>
              <w:t>14.100</w:t>
            </w:r>
          </w:p>
        </w:tc>
        <w:tc>
          <w:tcPr>
            <w:tcW w:type="dxa" w:w="1008"/>
          </w:tcPr>
          <w:p>
            <w:r/>
            <w:r>
              <w:rPr>
                <w:sz w:val="17"/>
              </w:rPr>
              <w:t>14.100</w:t>
            </w:r>
          </w:p>
        </w:tc>
        <w:tc>
          <w:tcPr>
            <w:tcW w:type="dxa" w:w="3024"/>
          </w:tcPr>
          <w:p>
            <w:r/>
            <w:r>
              <w:rPr>
                <w:sz w:val="17"/>
              </w:rPr>
              <w:t>Income Statement</w:t>
            </w:r>
          </w:p>
        </w:tc>
      </w:tr>
      <w:tr>
        <w:tc>
          <w:tcPr>
            <w:tcW w:type="dxa" w:w="3168"/>
          </w:tcPr>
          <w:p>
            <w:r/>
            <w:r>
              <w:rPr>
                <w:sz w:val="17"/>
              </w:rPr>
              <w:t>+ Depreciation &amp; amortization</w:t>
            </w:r>
          </w:p>
        </w:tc>
        <w:tc>
          <w:tcPr>
            <w:tcW w:type="dxa" w:w="1152"/>
          </w:tcPr>
          <w:p>
            <w:r/>
            <w:r>
              <w:rPr>
                <w:sz w:val="17"/>
              </w:rPr>
              <w:t>33.600</w:t>
            </w:r>
          </w:p>
        </w:tc>
        <w:tc>
          <w:tcPr>
            <w:tcW w:type="dxa" w:w="1008"/>
          </w:tcPr>
          <w:p>
            <w:r/>
            <w:r>
              <w:rPr>
                <w:sz w:val="17"/>
              </w:rPr>
              <w:t>33.600</w:t>
            </w:r>
          </w:p>
        </w:tc>
        <w:tc>
          <w:tcPr>
            <w:tcW w:type="dxa" w:w="1008"/>
          </w:tcPr>
          <w:p>
            <w:r/>
            <w:r>
              <w:rPr>
                <w:sz w:val="17"/>
              </w:rPr>
              <w:t>33.600</w:t>
            </w:r>
          </w:p>
        </w:tc>
        <w:tc>
          <w:tcPr>
            <w:tcW w:type="dxa" w:w="3024"/>
          </w:tcPr>
          <w:p>
            <w:r/>
            <w:r>
              <w:rPr>
                <w:sz w:val="17"/>
              </w:rPr>
              <w:t>Income Statement</w:t>
            </w:r>
          </w:p>
        </w:tc>
      </w:tr>
      <w:tr>
        <w:tc>
          <w:tcPr>
            <w:tcW w:type="dxa" w:w="3168"/>
          </w:tcPr>
          <w:p>
            <w:r/>
            <w:r>
              <w:rPr>
                <w:sz w:val="17"/>
              </w:rPr>
              <w:t>+ Non-cash stock-based comp.</w:t>
            </w:r>
          </w:p>
        </w:tc>
        <w:tc>
          <w:tcPr>
            <w:tcW w:type="dxa" w:w="1152"/>
          </w:tcPr>
          <w:p>
            <w:r/>
            <w:r>
              <w:rPr>
                <w:sz w:val="17"/>
              </w:rPr>
              <w:t>2.400</w:t>
            </w:r>
          </w:p>
        </w:tc>
        <w:tc>
          <w:tcPr>
            <w:tcW w:type="dxa" w:w="1008"/>
          </w:tcPr>
          <w:p>
            <w:r/>
            <w:r>
              <w:rPr>
                <w:sz w:val="17"/>
              </w:rPr>
              <w:t>2.400</w:t>
            </w:r>
          </w:p>
        </w:tc>
        <w:tc>
          <w:tcPr>
            <w:tcW w:type="dxa" w:w="1008"/>
          </w:tcPr>
          <w:p>
            <w:r/>
            <w:r>
              <w:rPr>
                <w:sz w:val="17"/>
              </w:rPr>
              <w:t>2.400</w:t>
            </w:r>
          </w:p>
        </w:tc>
        <w:tc>
          <w:tcPr>
            <w:tcW w:type="dxa" w:w="3024"/>
          </w:tcPr>
          <w:p>
            <w:r/>
            <w:r>
              <w:rPr>
                <w:sz w:val="17"/>
              </w:rPr>
              <w:t>Income Statement</w:t>
            </w:r>
          </w:p>
        </w:tc>
      </w:tr>
      <w:tr>
        <w:tc>
          <w:tcPr>
            <w:tcW w:type="dxa" w:w="3168"/>
          </w:tcPr>
          <w:p>
            <w:r/>
            <w:r>
              <w:rPr>
                <w:sz w:val="17"/>
              </w:rPr>
              <w:t>+ Restructuring/severance (cap $5.0M per FY)</w:t>
            </w:r>
          </w:p>
        </w:tc>
        <w:tc>
          <w:tcPr>
            <w:tcW w:type="dxa" w:w="1152"/>
          </w:tcPr>
          <w:p>
            <w:r/>
            <w:r>
              <w:rPr>
                <w:sz w:val="17"/>
              </w:rPr>
              <w:t>6.100</w:t>
            </w:r>
          </w:p>
        </w:tc>
        <w:tc>
          <w:tcPr>
            <w:tcW w:type="dxa" w:w="1008"/>
          </w:tcPr>
          <w:p>
            <w:r/>
            <w:r>
              <w:rPr>
                <w:sz w:val="17"/>
              </w:rPr>
              <w:t>6.000</w:t>
            </w:r>
          </w:p>
        </w:tc>
        <w:tc>
          <w:tcPr>
            <w:tcW w:type="dxa" w:w="1008"/>
          </w:tcPr>
          <w:p>
            <w:r/>
            <w:r>
              <w:rPr>
                <w:sz w:val="17"/>
              </w:rPr>
              <w:t>5.000</w:t>
            </w:r>
          </w:p>
        </w:tc>
        <w:tc>
          <w:tcPr>
            <w:tcW w:type="dxa" w:w="3024"/>
          </w:tcPr>
          <w:p>
            <w:r/>
            <w:r>
              <w:rPr>
                <w:sz w:val="17"/>
              </w:rPr>
              <w:t>Q4’23 $1.0M; FY24 YTD $5.1M capped at $5.0M</w:t>
            </w:r>
          </w:p>
        </w:tc>
      </w:tr>
      <w:tr>
        <w:tc>
          <w:tcPr>
            <w:tcW w:type="dxa" w:w="3168"/>
          </w:tcPr>
          <w:p>
            <w:r/>
            <w:r>
              <w:rPr>
                <w:sz w:val="17"/>
              </w:rPr>
              <w:t>+ Non-recurring/unusual losses (cap $7.5M/yr; $20M life)</w:t>
            </w:r>
          </w:p>
        </w:tc>
        <w:tc>
          <w:tcPr>
            <w:tcW w:type="dxa" w:w="1152"/>
          </w:tcPr>
          <w:p>
            <w:r/>
            <w:r>
              <w:rPr>
                <w:sz w:val="17"/>
              </w:rPr>
              <w:t>4.800</w:t>
            </w:r>
          </w:p>
        </w:tc>
        <w:tc>
          <w:tcPr>
            <w:tcW w:type="dxa" w:w="1008"/>
          </w:tcPr>
          <w:p>
            <w:r/>
            <w:r>
              <w:rPr>
                <w:sz w:val="17"/>
              </w:rPr>
              <w:t>4.800</w:t>
            </w:r>
          </w:p>
        </w:tc>
        <w:tc>
          <w:tcPr>
            <w:tcW w:type="dxa" w:w="1008"/>
          </w:tcPr>
          <w:p>
            <w:r/>
            <w:r>
              <w:rPr>
                <w:sz w:val="17"/>
              </w:rPr>
              <w:t>4.800</w:t>
            </w:r>
          </w:p>
        </w:tc>
        <w:tc>
          <w:tcPr>
            <w:tcW w:type="dxa" w:w="3024"/>
          </w:tcPr>
          <w:p>
            <w:r/>
            <w:r>
              <w:rPr>
                <w:sz w:val="17"/>
              </w:rPr>
              <w:t>Note 10; life-of-loan cap to be verified</w:t>
            </w:r>
          </w:p>
        </w:tc>
      </w:tr>
      <w:tr>
        <w:tc>
          <w:tcPr>
            <w:tcW w:type="dxa" w:w="3168"/>
          </w:tcPr>
          <w:p>
            <w:r/>
            <w:r>
              <w:rPr>
                <w:sz w:val="17"/>
              </w:rPr>
              <w:t>+ Permitted Acquisition costs (cap $3.0M per acquisition)</w:t>
            </w:r>
          </w:p>
        </w:tc>
        <w:tc>
          <w:tcPr>
            <w:tcW w:type="dxa" w:w="1152"/>
          </w:tcPr>
          <w:p>
            <w:r/>
            <w:r>
              <w:rPr>
                <w:sz w:val="17"/>
              </w:rPr>
              <w:t>2.700</w:t>
            </w:r>
          </w:p>
        </w:tc>
        <w:tc>
          <w:tcPr>
            <w:tcW w:type="dxa" w:w="1008"/>
          </w:tcPr>
          <w:p>
            <w:r/>
            <w:r>
              <w:rPr>
                <w:sz w:val="17"/>
              </w:rPr>
              <w:t>2.700</w:t>
            </w:r>
          </w:p>
        </w:tc>
        <w:tc>
          <w:tcPr>
            <w:tcW w:type="dxa" w:w="1008"/>
          </w:tcPr>
          <w:p>
            <w:r/>
            <w:r>
              <w:rPr>
                <w:sz w:val="17"/>
              </w:rPr>
              <w:t>0.000</w:t>
            </w:r>
          </w:p>
        </w:tc>
        <w:tc>
          <w:tcPr>
            <w:tcW w:type="dxa" w:w="3024"/>
          </w:tcPr>
          <w:p>
            <w:r/>
            <w:r>
              <w:rPr>
                <w:sz w:val="17"/>
              </w:rPr>
              <w:t>Case B: Whitfield not a Permitted Acquisition</w:t>
            </w:r>
          </w:p>
        </w:tc>
      </w:tr>
      <w:tr>
        <w:tc>
          <w:tcPr>
            <w:tcW w:type="dxa" w:w="3168"/>
          </w:tcPr>
          <w:p>
            <w:r/>
            <w:r>
              <w:rPr>
                <w:sz w:val="17"/>
              </w:rPr>
              <w:t>– Non-cash / non-recurring gains</w:t>
            </w:r>
          </w:p>
        </w:tc>
        <w:tc>
          <w:tcPr>
            <w:tcW w:type="dxa" w:w="1152"/>
          </w:tcPr>
          <w:p>
            <w:r/>
            <w:r>
              <w:rPr>
                <w:sz w:val="17"/>
              </w:rPr>
              <w:t>0.000</w:t>
            </w:r>
          </w:p>
        </w:tc>
        <w:tc>
          <w:tcPr>
            <w:tcW w:type="dxa" w:w="1008"/>
          </w:tcPr>
          <w:p>
            <w:r/>
            <w:r>
              <w:rPr>
                <w:sz w:val="17"/>
              </w:rPr>
              <w:t>TBD</w:t>
            </w:r>
          </w:p>
        </w:tc>
        <w:tc>
          <w:tcPr>
            <w:tcW w:type="dxa" w:w="1008"/>
          </w:tcPr>
          <w:p>
            <w:r/>
            <w:r>
              <w:rPr>
                <w:sz w:val="17"/>
              </w:rPr>
              <w:t>TBD</w:t>
            </w:r>
          </w:p>
        </w:tc>
        <w:tc>
          <w:tcPr>
            <w:tcW w:type="dxa" w:w="3024"/>
          </w:tcPr>
          <w:p>
            <w:r/>
            <w:r>
              <w:rPr>
                <w:sz w:val="17"/>
              </w:rPr>
              <w:t>Composition of $0.65M other income and equipment-sale gains to be confirmed</w:t>
            </w:r>
          </w:p>
        </w:tc>
      </w:tr>
      <w:tr>
        <w:tc>
          <w:tcPr>
            <w:tcW w:type="dxa" w:w="3168"/>
          </w:tcPr>
          <w:p>
            <w:r/>
            <w:r>
              <w:rPr>
                <w:b/>
                <w:sz w:val="17"/>
              </w:rPr>
              <w:t>Consolidated EBITDA</w:t>
            </w:r>
          </w:p>
        </w:tc>
        <w:tc>
          <w:tcPr>
            <w:tcW w:type="dxa" w:w="1152"/>
          </w:tcPr>
          <w:p>
            <w:r/>
            <w:r>
              <w:rPr>
                <w:b/>
                <w:sz w:val="17"/>
              </w:rPr>
              <w:t>126.750</w:t>
            </w:r>
          </w:p>
        </w:tc>
        <w:tc>
          <w:tcPr>
            <w:tcW w:type="dxa" w:w="1008"/>
          </w:tcPr>
          <w:p>
            <w:r/>
            <w:r>
              <w:rPr>
                <w:b/>
                <w:sz w:val="17"/>
              </w:rPr>
              <w:t>113.350</w:t>
            </w:r>
          </w:p>
        </w:tc>
        <w:tc>
          <w:tcPr>
            <w:tcW w:type="dxa" w:w="1008"/>
          </w:tcPr>
          <w:p>
            <w:r/>
            <w:r>
              <w:rPr>
                <w:b/>
                <w:sz w:val="17"/>
              </w:rPr>
              <w:t>109.650</w:t>
            </w:r>
          </w:p>
        </w:tc>
        <w:tc>
          <w:tcPr>
            <w:tcW w:type="dxa" w:w="3024"/>
          </w:tcPr>
          <w:p>
            <w:r/>
            <w:r>
              <w:rPr>
                <w:b/>
                <w:sz w:val="17"/>
              </w:rPr>
            </w:r>
          </w:p>
        </w:tc>
      </w:tr>
      <w:tr>
        <w:tc>
          <w:tcPr>
            <w:tcW w:type="dxa" w:w="3168"/>
          </w:tcPr>
          <w:p>
            <w:r/>
            <w:r>
              <w:rPr>
                <w:sz w:val="17"/>
              </w:rPr>
              <w:t>Overstatement vs. Certificate</w:t>
            </w:r>
          </w:p>
        </w:tc>
        <w:tc>
          <w:tcPr>
            <w:tcW w:type="dxa" w:w="1152"/>
          </w:tcPr>
          <w:p>
            <w:r/>
            <w:r>
              <w:rPr>
                <w:sz w:val="17"/>
              </w:rPr>
              <w:t>—</w:t>
            </w:r>
          </w:p>
        </w:tc>
        <w:tc>
          <w:tcPr>
            <w:tcW w:type="dxa" w:w="1008"/>
          </w:tcPr>
          <w:p>
            <w:r/>
            <w:r>
              <w:rPr>
                <w:sz w:val="17"/>
              </w:rPr>
              <w:t>13.400</w:t>
            </w:r>
          </w:p>
        </w:tc>
        <w:tc>
          <w:tcPr>
            <w:tcW w:type="dxa" w:w="1008"/>
          </w:tcPr>
          <w:p>
            <w:r/>
            <w:r>
              <w:rPr>
                <w:sz w:val="17"/>
              </w:rPr>
              <w:t>17.100</w:t>
            </w:r>
          </w:p>
        </w:tc>
        <w:tc>
          <w:tcPr>
            <w:tcW w:type="dxa" w:w="3024"/>
          </w:tcPr>
          <w:p>
            <w:r/>
            <w:r>
              <w:rPr>
                <w:sz w:val="17"/>
              </w:rPr>
            </w:r>
          </w:p>
        </w:tc>
      </w:tr>
    </w:tbl>
    <w:p>
      <w:pPr>
        <w:spacing w:after="40"/>
      </w:pPr>
    </w:p>
    <w:p>
      <w:pPr>
        <w:pStyle w:val="Heading2"/>
      </w:pPr>
      <w:r>
        <w:t>B. Total Net Leverage Ratio (Section 7.11(a))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val="clear" w:color="auto" w:fill="D9E2F3"/>
          </w:tcPr>
          <w:p>
            <w:r/>
            <w:r>
              <w:rPr>
                <w:b/>
                <w:sz w:val="17"/>
              </w:rPr>
              <w:t>Line item</w:t>
            </w:r>
          </w:p>
        </w:tc>
        <w:tc>
          <w:tcPr>
            <w:tcW w:type="dxa" w:w="1296"/>
            <w:shd w:val="clear" w:color="auto" w:fill="D9E2F3"/>
          </w:tcPr>
          <w:p>
            <w:r/>
            <w:r>
              <w:rPr>
                <w:b/>
                <w:sz w:val="17"/>
              </w:rPr>
              <w:t>Certificate</w:t>
            </w:r>
          </w:p>
        </w:tc>
        <w:tc>
          <w:tcPr>
            <w:tcW w:type="dxa" w:w="1728"/>
            <w:shd w:val="clear" w:color="auto" w:fill="D9E2F3"/>
          </w:tcPr>
          <w:p>
            <w:r/>
            <w:r>
              <w:rPr>
                <w:b/>
                <w:sz w:val="17"/>
              </w:rPr>
              <w:t>Corrected</w:t>
            </w:r>
          </w:p>
        </w:tc>
        <w:tc>
          <w:tcPr>
            <w:tcW w:type="dxa" w:w="3168"/>
            <w:shd w:val="clear" w:color="auto" w:fill="D9E2F3"/>
          </w:tcPr>
          <w:p>
            <w:r/>
            <w:r>
              <w:rPr>
                <w:b/>
                <w:sz w:val="17"/>
              </w:rPr>
              <w:t>Comment</w:t>
            </w:r>
          </w:p>
        </w:tc>
      </w:tr>
      <w:tr>
        <w:tc>
          <w:tcPr>
            <w:tcW w:type="dxa" w:w="3168"/>
          </w:tcPr>
          <w:p>
            <w:r/>
            <w:r>
              <w:rPr>
                <w:sz w:val="17"/>
              </w:rPr>
              <w:t>Term Loan A</w:t>
            </w:r>
          </w:p>
        </w:tc>
        <w:tc>
          <w:tcPr>
            <w:tcW w:type="dxa" w:w="1296"/>
          </w:tcPr>
          <w:p>
            <w:r/>
            <w:r>
              <w:rPr>
                <w:sz w:val="17"/>
              </w:rPr>
              <w:t>240.625</w:t>
            </w:r>
          </w:p>
        </w:tc>
        <w:tc>
          <w:tcPr>
            <w:tcW w:type="dxa" w:w="1728"/>
          </w:tcPr>
          <w:p>
            <w:r/>
            <w:r>
              <w:rPr>
                <w:sz w:val="17"/>
              </w:rPr>
              <w:t>240.625</w:t>
            </w:r>
          </w:p>
        </w:tc>
        <w:tc>
          <w:tcPr>
            <w:tcW w:type="dxa" w:w="3168"/>
          </w:tcPr>
          <w:p>
            <w:r/>
            <w:r>
              <w:rPr>
                <w:sz w:val="17"/>
              </w:rPr>
              <w:t>See Issue 14; may be $244.0625M</w:t>
            </w:r>
          </w:p>
        </w:tc>
      </w:tr>
      <w:tr>
        <w:tc>
          <w:tcPr>
            <w:tcW w:type="dxa" w:w="3168"/>
          </w:tcPr>
          <w:p>
            <w:r/>
            <w:r>
              <w:rPr>
                <w:sz w:val="17"/>
              </w:rPr>
              <w:t>Delayed Draw Term Loan</w:t>
            </w:r>
          </w:p>
        </w:tc>
        <w:tc>
          <w:tcPr>
            <w:tcW w:type="dxa" w:w="1296"/>
          </w:tcPr>
          <w:p>
            <w:r/>
            <w:r>
              <w:rPr>
                <w:sz w:val="17"/>
              </w:rPr>
              <w:t>47.500</w:t>
            </w:r>
          </w:p>
        </w:tc>
        <w:tc>
          <w:tcPr>
            <w:tcW w:type="dxa" w:w="1728"/>
          </w:tcPr>
          <w:p>
            <w:r/>
            <w:r>
              <w:rPr>
                <w:sz w:val="17"/>
              </w:rPr>
              <w:t>47.500</w:t>
            </w:r>
          </w:p>
        </w:tc>
        <w:tc>
          <w:tcPr>
            <w:tcW w:type="dxa" w:w="3168"/>
          </w:tcPr>
          <w:p>
            <w:r/>
            <w:r>
              <w:rPr>
                <w:sz w:val="17"/>
              </w:rPr>
              <w:t>Ties to Financials</w:t>
            </w:r>
          </w:p>
        </w:tc>
      </w:tr>
      <w:tr>
        <w:tc>
          <w:tcPr>
            <w:tcW w:type="dxa" w:w="3168"/>
          </w:tcPr>
          <w:p>
            <w:r/>
            <w:r>
              <w:rPr>
                <w:sz w:val="17"/>
              </w:rPr>
              <w:t>Revolving Loans</w:t>
            </w:r>
          </w:p>
        </w:tc>
        <w:tc>
          <w:tcPr>
            <w:tcW w:type="dxa" w:w="1296"/>
          </w:tcPr>
          <w:p>
            <w:r/>
            <w:r>
              <w:rPr>
                <w:sz w:val="17"/>
              </w:rPr>
              <w:t>35.000</w:t>
            </w:r>
          </w:p>
        </w:tc>
        <w:tc>
          <w:tcPr>
            <w:tcW w:type="dxa" w:w="1728"/>
          </w:tcPr>
          <w:p>
            <w:r/>
            <w:r>
              <w:rPr>
                <w:sz w:val="17"/>
              </w:rPr>
              <w:t>35.000</w:t>
            </w:r>
          </w:p>
        </w:tc>
        <w:tc>
          <w:tcPr>
            <w:tcW w:type="dxa" w:w="3168"/>
          </w:tcPr>
          <w:p>
            <w:r/>
            <w:r>
              <w:rPr>
                <w:sz w:val="17"/>
              </w:rPr>
              <w:t>Ties to Financials</w:t>
            </w:r>
          </w:p>
        </w:tc>
      </w:tr>
      <w:tr>
        <w:tc>
          <w:tcPr>
            <w:tcW w:type="dxa" w:w="3168"/>
          </w:tcPr>
          <w:p>
            <w:r/>
            <w:r>
              <w:rPr>
                <w:sz w:val="17"/>
              </w:rPr>
              <w:t>Capital Lease obligations (cl. (c))</w:t>
            </w:r>
          </w:p>
        </w:tc>
        <w:tc>
          <w:tcPr>
            <w:tcW w:type="dxa" w:w="1296"/>
          </w:tcPr>
          <w:p>
            <w:r/>
            <w:r>
              <w:rPr>
                <w:sz w:val="17"/>
              </w:rPr>
              <w:t>—</w:t>
            </w:r>
          </w:p>
        </w:tc>
        <w:tc>
          <w:tcPr>
            <w:tcW w:type="dxa" w:w="1728"/>
          </w:tcPr>
          <w:p>
            <w:r/>
            <w:r>
              <w:rPr>
                <w:sz w:val="17"/>
              </w:rPr>
              <w:t>4.100</w:t>
            </w:r>
          </w:p>
        </w:tc>
        <w:tc>
          <w:tcPr>
            <w:tcW w:type="dxa" w:w="3168"/>
          </w:tcPr>
          <w:p>
            <w:r/>
            <w:r>
              <w:rPr>
                <w:sz w:val="17"/>
              </w:rPr>
              <w:t>Listed in Annex B but omitted from TFD</w:t>
            </w:r>
          </w:p>
        </w:tc>
      </w:tr>
      <w:tr>
        <w:tc>
          <w:tcPr>
            <w:tcW w:type="dxa" w:w="3168"/>
          </w:tcPr>
          <w:p>
            <w:r/>
            <w:r>
              <w:rPr>
                <w:sz w:val="17"/>
              </w:rPr>
              <w:t>Seller Note — Whitfield (cl. (d))</w:t>
            </w:r>
          </w:p>
        </w:tc>
        <w:tc>
          <w:tcPr>
            <w:tcW w:type="dxa" w:w="1296"/>
          </w:tcPr>
          <w:p>
            <w:r/>
            <w:r>
              <w:rPr>
                <w:sz w:val="17"/>
              </w:rPr>
              <w:t>—</w:t>
            </w:r>
          </w:p>
        </w:tc>
        <w:tc>
          <w:tcPr>
            <w:tcW w:type="dxa" w:w="1728"/>
          </w:tcPr>
          <w:p>
            <w:r/>
            <w:r>
              <w:rPr>
                <w:sz w:val="17"/>
              </w:rPr>
              <w:t>3.300</w:t>
            </w:r>
          </w:p>
        </w:tc>
        <w:tc>
          <w:tcPr>
            <w:tcW w:type="dxa" w:w="3168"/>
          </w:tcPr>
          <w:p>
            <w:r/>
            <w:r>
              <w:rPr>
                <w:sz w:val="17"/>
              </w:rPr>
              <w:t>Expressly included by TFD clause (d)</w:t>
            </w:r>
          </w:p>
        </w:tc>
      </w:tr>
      <w:tr>
        <w:tc>
          <w:tcPr>
            <w:tcW w:type="dxa" w:w="3168"/>
          </w:tcPr>
          <w:p>
            <w:r/>
            <w:r>
              <w:rPr>
                <w:sz w:val="17"/>
              </w:rPr>
              <w:t>Undrawn LCs ($8.2M)</w:t>
            </w:r>
          </w:p>
        </w:tc>
        <w:tc>
          <w:tcPr>
            <w:tcW w:type="dxa" w:w="1296"/>
          </w:tcPr>
          <w:p>
            <w:r/>
            <w:r>
              <w:rPr>
                <w:sz w:val="17"/>
              </w:rPr>
              <w:t>—</w:t>
            </w:r>
          </w:p>
        </w:tc>
        <w:tc>
          <w:tcPr>
            <w:tcW w:type="dxa" w:w="1728"/>
          </w:tcPr>
          <w:p>
            <w:r/>
            <w:r>
              <w:rPr>
                <w:sz w:val="17"/>
              </w:rPr>
              <w:t>—</w:t>
            </w:r>
          </w:p>
        </w:tc>
        <w:tc>
          <w:tcPr>
            <w:tcW w:type="dxa" w:w="3168"/>
          </w:tcPr>
          <w:p>
            <w:r/>
            <w:r>
              <w:rPr>
                <w:sz w:val="17"/>
              </w:rPr>
              <w:t>Correctly excluded</w:t>
            </w:r>
          </w:p>
        </w:tc>
      </w:tr>
      <w:tr>
        <w:tc>
          <w:tcPr>
            <w:tcW w:type="dxa" w:w="3168"/>
          </w:tcPr>
          <w:p>
            <w:r/>
            <w:r>
              <w:rPr>
                <w:b/>
                <w:sz w:val="17"/>
              </w:rPr>
              <w:t>Total Funded Debt</w:t>
            </w:r>
          </w:p>
        </w:tc>
        <w:tc>
          <w:tcPr>
            <w:tcW w:type="dxa" w:w="1296"/>
          </w:tcPr>
          <w:p>
            <w:r/>
            <w:r>
              <w:rPr>
                <w:b/>
                <w:sz w:val="17"/>
              </w:rPr>
              <w:t>323.125</w:t>
            </w:r>
          </w:p>
        </w:tc>
        <w:tc>
          <w:tcPr>
            <w:tcW w:type="dxa" w:w="1728"/>
          </w:tcPr>
          <w:p>
            <w:r/>
            <w:r>
              <w:rPr>
                <w:b/>
                <w:sz w:val="17"/>
              </w:rPr>
              <w:t>330.525</w:t>
            </w:r>
          </w:p>
        </w:tc>
        <w:tc>
          <w:tcPr>
            <w:tcW w:type="dxa" w:w="3168"/>
          </w:tcPr>
          <w:p>
            <w:r/>
            <w:r>
              <w:rPr>
                <w:b/>
                <w:sz w:val="17"/>
              </w:rPr>
            </w:r>
          </w:p>
        </w:tc>
      </w:tr>
      <w:tr>
        <w:tc>
          <w:tcPr>
            <w:tcW w:type="dxa" w:w="3168"/>
          </w:tcPr>
          <w:p>
            <w:r/>
            <w:r>
              <w:rPr>
                <w:sz w:val="17"/>
              </w:rPr>
              <w:t>Less: Unrestricted Cash (cap $25.0M)</w:t>
            </w:r>
          </w:p>
        </w:tc>
        <w:tc>
          <w:tcPr>
            <w:tcW w:type="dxa" w:w="1296"/>
          </w:tcPr>
          <w:p>
            <w:r/>
            <w:r>
              <w:rPr>
                <w:sz w:val="17"/>
              </w:rPr>
              <w:t>(32.500)</w:t>
            </w:r>
          </w:p>
        </w:tc>
        <w:tc>
          <w:tcPr>
            <w:tcW w:type="dxa" w:w="1728"/>
          </w:tcPr>
          <w:p>
            <w:r/>
            <w:r>
              <w:rPr>
                <w:sz w:val="17"/>
              </w:rPr>
              <w:t>(25.000)</w:t>
            </w:r>
          </w:p>
        </w:tc>
        <w:tc>
          <w:tcPr>
            <w:tcW w:type="dxa" w:w="3168"/>
          </w:tcPr>
          <w:p>
            <w:r/>
            <w:r>
              <w:rPr>
                <w:sz w:val="17"/>
              </w:rPr>
              <w:t>Cap applies; Whitfield / non-controlled accounts to be confirmed</w:t>
            </w:r>
          </w:p>
        </w:tc>
      </w:tr>
      <w:tr>
        <w:tc>
          <w:tcPr>
            <w:tcW w:type="dxa" w:w="3168"/>
          </w:tcPr>
          <w:p>
            <w:r/>
            <w:r>
              <w:rPr>
                <w:b/>
                <w:sz w:val="17"/>
              </w:rPr>
              <w:t>Total Net Funded Debt</w:t>
            </w:r>
          </w:p>
        </w:tc>
        <w:tc>
          <w:tcPr>
            <w:tcW w:type="dxa" w:w="1296"/>
          </w:tcPr>
          <w:p>
            <w:r/>
            <w:r>
              <w:rPr>
                <w:b/>
                <w:sz w:val="17"/>
              </w:rPr>
              <w:t>290.625</w:t>
            </w:r>
          </w:p>
        </w:tc>
        <w:tc>
          <w:tcPr>
            <w:tcW w:type="dxa" w:w="1728"/>
          </w:tcPr>
          <w:p>
            <w:r/>
            <w:r>
              <w:rPr>
                <w:b/>
                <w:sz w:val="17"/>
              </w:rPr>
              <w:t>305.525</w:t>
            </w:r>
          </w:p>
        </w:tc>
        <w:tc>
          <w:tcPr>
            <w:tcW w:type="dxa" w:w="3168"/>
          </w:tcPr>
          <w:p>
            <w:r/>
            <w:r>
              <w:rPr>
                <w:b/>
                <w:sz w:val="17"/>
              </w:rPr>
            </w:r>
          </w:p>
        </w:tc>
      </w:tr>
      <w:tr>
        <w:tc>
          <w:tcPr>
            <w:tcW w:type="dxa" w:w="3168"/>
          </w:tcPr>
          <w:p>
            <w:r/>
            <w:r>
              <w:rPr>
                <w:sz w:val="17"/>
              </w:rPr>
              <w:t>Consolidated EBITDA</w:t>
            </w:r>
          </w:p>
        </w:tc>
        <w:tc>
          <w:tcPr>
            <w:tcW w:type="dxa" w:w="1296"/>
          </w:tcPr>
          <w:p>
            <w:r/>
            <w:r>
              <w:rPr>
                <w:sz w:val="17"/>
              </w:rPr>
              <w:t>126.750</w:t>
            </w:r>
          </w:p>
        </w:tc>
        <w:tc>
          <w:tcPr>
            <w:tcW w:type="dxa" w:w="1728"/>
          </w:tcPr>
          <w:p>
            <w:r/>
            <w:r>
              <w:rPr>
                <w:sz w:val="17"/>
              </w:rPr>
              <w:t>113.350 / 109.650</w:t>
            </w:r>
          </w:p>
        </w:tc>
        <w:tc>
          <w:tcPr>
            <w:tcW w:type="dxa" w:w="3168"/>
          </w:tcPr>
          <w:p>
            <w:r/>
            <w:r>
              <w:rPr>
                <w:sz w:val="17"/>
              </w:rPr>
              <w:t>Case A / Case B</w:t>
            </w:r>
          </w:p>
        </w:tc>
      </w:tr>
      <w:tr>
        <w:tc>
          <w:tcPr>
            <w:tcW w:type="dxa" w:w="3168"/>
          </w:tcPr>
          <w:p>
            <w:r/>
            <w:r>
              <w:rPr>
                <w:b/>
                <w:sz w:val="17"/>
              </w:rPr>
              <w:t>Total Net Leverage Ratio</w:t>
            </w:r>
          </w:p>
        </w:tc>
        <w:tc>
          <w:tcPr>
            <w:tcW w:type="dxa" w:w="1296"/>
          </w:tcPr>
          <w:p>
            <w:r/>
            <w:r>
              <w:rPr>
                <w:b/>
                <w:sz w:val="17"/>
              </w:rPr>
              <w:t>2.29x</w:t>
            </w:r>
          </w:p>
        </w:tc>
        <w:tc>
          <w:tcPr>
            <w:tcW w:type="dxa" w:w="1728"/>
          </w:tcPr>
          <w:p>
            <w:r/>
            <w:r>
              <w:rPr>
                <w:b/>
                <w:sz w:val="17"/>
              </w:rPr>
              <w:t>2.70x / 2.79x</w:t>
            </w:r>
          </w:p>
        </w:tc>
        <w:tc>
          <w:tcPr>
            <w:tcW w:type="dxa" w:w="3168"/>
          </w:tcPr>
          <w:p>
            <w:r/>
            <w:r>
              <w:rPr>
                <w:b/>
                <w:sz w:val="17"/>
              </w:rPr>
              <w:t>Maximum 4.50x (Q1–Q4 2024, per First Amendment)</w:t>
            </w:r>
          </w:p>
        </w:tc>
      </w:tr>
    </w:tbl>
    <w:p>
      <w:pPr>
        <w:spacing w:after="40"/>
      </w:pPr>
    </w:p>
    <w:p>
      <w:pPr>
        <w:spacing w:after="120"/>
      </w:pPr>
      <w:r>
        <w:rPr>
          <w:i w:val="0"/>
        </w:rPr>
        <w:t>Result: in compliance. If the Term Loan A balance is in fact $244.0625M, Case B leverage is about 2.82x and still compliant. Leverage remains below the 3.50x level at which the §7.06(d) Available Amount basket shuts off, but that basket fails on its procedural conditions (see Part IV.A).</w:t>
      </w:r>
    </w:p>
    <w:p>
      <w:pPr>
        <w:pStyle w:val="Heading2"/>
      </w:pPr>
      <w:r>
        <w:t>C. Fixed Charge Coverage Ratio (Section 7.11(b))</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D9E2F3"/>
          </w:tcPr>
          <w:p>
            <w:r/>
            <w:r>
              <w:rPr>
                <w:b/>
                <w:sz w:val="17"/>
              </w:rPr>
              <w:t>Line item</w:t>
            </w:r>
          </w:p>
        </w:tc>
        <w:tc>
          <w:tcPr>
            <w:tcW w:type="dxa" w:w="1152"/>
            <w:shd w:val="clear" w:color="auto" w:fill="D9E2F3"/>
          </w:tcPr>
          <w:p>
            <w:r/>
            <w:r>
              <w:rPr>
                <w:b/>
                <w:sz w:val="17"/>
              </w:rPr>
              <w:t>Certificate</w:t>
            </w:r>
          </w:p>
        </w:tc>
        <w:tc>
          <w:tcPr>
            <w:tcW w:type="dxa" w:w="1008"/>
            <w:shd w:val="clear" w:color="auto" w:fill="D9E2F3"/>
          </w:tcPr>
          <w:p>
            <w:r/>
            <w:r>
              <w:rPr>
                <w:b/>
                <w:sz w:val="17"/>
              </w:rPr>
              <w:t>Case A</w:t>
            </w:r>
          </w:p>
        </w:tc>
        <w:tc>
          <w:tcPr>
            <w:tcW w:type="dxa" w:w="1008"/>
            <w:shd w:val="clear" w:color="auto" w:fill="D9E2F3"/>
          </w:tcPr>
          <w:p>
            <w:r/>
            <w:r>
              <w:rPr>
                <w:b/>
                <w:sz w:val="17"/>
              </w:rPr>
              <w:t>Case B</w:t>
            </w:r>
          </w:p>
        </w:tc>
        <w:tc>
          <w:tcPr>
            <w:tcW w:type="dxa" w:w="3312"/>
            <w:shd w:val="clear" w:color="auto" w:fill="D9E2F3"/>
          </w:tcPr>
          <w:p>
            <w:r/>
            <w:r>
              <w:rPr>
                <w:b/>
                <w:sz w:val="17"/>
              </w:rPr>
              <w:t>Comment</w:t>
            </w:r>
          </w:p>
        </w:tc>
      </w:tr>
      <w:tr>
        <w:tc>
          <w:tcPr>
            <w:tcW w:type="dxa" w:w="2880"/>
          </w:tcPr>
          <w:p>
            <w:r/>
            <w:r>
              <w:rPr>
                <w:sz w:val="17"/>
              </w:rPr>
              <w:t>Consolidated EBITDA</w:t>
            </w:r>
          </w:p>
        </w:tc>
        <w:tc>
          <w:tcPr>
            <w:tcW w:type="dxa" w:w="1152"/>
          </w:tcPr>
          <w:p>
            <w:r/>
            <w:r>
              <w:rPr>
                <w:sz w:val="17"/>
              </w:rPr>
              <w:t>126.750</w:t>
            </w:r>
          </w:p>
        </w:tc>
        <w:tc>
          <w:tcPr>
            <w:tcW w:type="dxa" w:w="1008"/>
          </w:tcPr>
          <w:p>
            <w:r/>
            <w:r>
              <w:rPr>
                <w:sz w:val="17"/>
              </w:rPr>
              <w:t>113.350</w:t>
            </w:r>
          </w:p>
        </w:tc>
        <w:tc>
          <w:tcPr>
            <w:tcW w:type="dxa" w:w="1008"/>
          </w:tcPr>
          <w:p>
            <w:r/>
            <w:r>
              <w:rPr>
                <w:sz w:val="17"/>
              </w:rPr>
              <w:t>109.650</w:t>
            </w:r>
          </w:p>
        </w:tc>
        <w:tc>
          <w:tcPr>
            <w:tcW w:type="dxa" w:w="3312"/>
          </w:tcPr>
          <w:p>
            <w:r/>
            <w:r>
              <w:rPr>
                <w:sz w:val="17"/>
              </w:rPr>
              <w:t>Part III.A</w:t>
            </w:r>
          </w:p>
        </w:tc>
      </w:tr>
      <w:tr>
        <w:tc>
          <w:tcPr>
            <w:tcW w:type="dxa" w:w="2880"/>
          </w:tcPr>
          <w:p>
            <w:r/>
            <w:r>
              <w:rPr>
                <w:sz w:val="17"/>
              </w:rPr>
              <w:t>Less: Unfinanced CapEx (TTM)</w:t>
            </w:r>
          </w:p>
        </w:tc>
        <w:tc>
          <w:tcPr>
            <w:tcW w:type="dxa" w:w="1152"/>
          </w:tcPr>
          <w:p>
            <w:r/>
            <w:r>
              <w:rPr>
                <w:sz w:val="17"/>
              </w:rPr>
              <w:t>(36.800)</w:t>
            </w:r>
          </w:p>
        </w:tc>
        <w:tc>
          <w:tcPr>
            <w:tcW w:type="dxa" w:w="1008"/>
          </w:tcPr>
          <w:p>
            <w:r/>
            <w:r>
              <w:rPr>
                <w:sz w:val="17"/>
              </w:rPr>
              <w:t>(38.400)</w:t>
            </w:r>
          </w:p>
        </w:tc>
        <w:tc>
          <w:tcPr>
            <w:tcW w:type="dxa" w:w="1008"/>
          </w:tcPr>
          <w:p>
            <w:r/>
            <w:r>
              <w:rPr>
                <w:sz w:val="17"/>
              </w:rPr>
              <w:t>(38.400)</w:t>
            </w:r>
          </w:p>
        </w:tc>
        <w:tc>
          <w:tcPr>
            <w:tcW w:type="dxa" w:w="3312"/>
          </w:tcPr>
          <w:p>
            <w:r/>
            <w:r>
              <w:rPr>
                <w:sz w:val="17"/>
              </w:rPr>
              <w:t>Revolver-financed CapEx is “unfinanced” by definition</w:t>
            </w:r>
          </w:p>
        </w:tc>
      </w:tr>
      <w:tr>
        <w:tc>
          <w:tcPr>
            <w:tcW w:type="dxa" w:w="2880"/>
          </w:tcPr>
          <w:p>
            <w:r/>
            <w:r>
              <w:rPr>
                <w:sz w:val="17"/>
              </w:rPr>
              <w:t>Less: Cash taxes paid</w:t>
            </w:r>
          </w:p>
        </w:tc>
        <w:tc>
          <w:tcPr>
            <w:tcW w:type="dxa" w:w="1152"/>
          </w:tcPr>
          <w:p>
            <w:r/>
            <w:r>
              <w:rPr>
                <w:sz w:val="17"/>
              </w:rPr>
              <w:t>(12.900)</w:t>
            </w:r>
          </w:p>
        </w:tc>
        <w:tc>
          <w:tcPr>
            <w:tcW w:type="dxa" w:w="1008"/>
          </w:tcPr>
          <w:p>
            <w:r/>
            <w:r>
              <w:rPr>
                <w:sz w:val="17"/>
              </w:rPr>
              <w:t>(12.900)</w:t>
            </w:r>
          </w:p>
        </w:tc>
        <w:tc>
          <w:tcPr>
            <w:tcW w:type="dxa" w:w="1008"/>
          </w:tcPr>
          <w:p>
            <w:r/>
            <w:r>
              <w:rPr>
                <w:sz w:val="17"/>
              </w:rPr>
              <w:t>(12.900)</w:t>
            </w:r>
          </w:p>
        </w:tc>
        <w:tc>
          <w:tcPr>
            <w:tcW w:type="dxa" w:w="3312"/>
          </w:tcPr>
          <w:p>
            <w:r/>
            <w:r>
              <w:rPr>
                <w:sz w:val="17"/>
              </w:rPr>
              <w:t>Note 12</w:t>
            </w:r>
          </w:p>
        </w:tc>
      </w:tr>
      <w:tr>
        <w:tc>
          <w:tcPr>
            <w:tcW w:type="dxa" w:w="2880"/>
          </w:tcPr>
          <w:p>
            <w:r/>
            <w:r>
              <w:rPr>
                <w:b/>
                <w:sz w:val="17"/>
              </w:rPr>
              <w:t>Numerator</w:t>
            </w:r>
          </w:p>
        </w:tc>
        <w:tc>
          <w:tcPr>
            <w:tcW w:type="dxa" w:w="1152"/>
          </w:tcPr>
          <w:p>
            <w:r/>
            <w:r>
              <w:rPr>
                <w:b/>
                <w:sz w:val="17"/>
              </w:rPr>
              <w:t>77.050</w:t>
            </w:r>
          </w:p>
        </w:tc>
        <w:tc>
          <w:tcPr>
            <w:tcW w:type="dxa" w:w="1008"/>
          </w:tcPr>
          <w:p>
            <w:r/>
            <w:r>
              <w:rPr>
                <w:b/>
                <w:sz w:val="17"/>
              </w:rPr>
              <w:t>62.050</w:t>
            </w:r>
          </w:p>
        </w:tc>
        <w:tc>
          <w:tcPr>
            <w:tcW w:type="dxa" w:w="1008"/>
          </w:tcPr>
          <w:p>
            <w:r/>
            <w:r>
              <w:rPr>
                <w:b/>
                <w:sz w:val="17"/>
              </w:rPr>
              <w:t>58.350</w:t>
            </w:r>
          </w:p>
        </w:tc>
        <w:tc>
          <w:tcPr>
            <w:tcW w:type="dxa" w:w="3312"/>
          </w:tcPr>
          <w:p>
            <w:r/>
            <w:r>
              <w:rPr>
                <w:b/>
                <w:sz w:val="17"/>
              </w:rPr>
            </w:r>
          </w:p>
        </w:tc>
      </w:tr>
      <w:tr>
        <w:tc>
          <w:tcPr>
            <w:tcW w:type="dxa" w:w="2880"/>
          </w:tcPr>
          <w:p>
            <w:r/>
            <w:r>
              <w:rPr>
                <w:sz w:val="17"/>
              </w:rPr>
              <w:t>Scheduled amortization (TLA + DDTL)</w:t>
            </w:r>
          </w:p>
        </w:tc>
        <w:tc>
          <w:tcPr>
            <w:tcW w:type="dxa" w:w="1152"/>
          </w:tcPr>
          <w:p>
            <w:r/>
            <w:r>
              <w:rPr>
                <w:sz w:val="17"/>
              </w:rPr>
              <w:t>15.750</w:t>
            </w:r>
          </w:p>
        </w:tc>
        <w:tc>
          <w:tcPr>
            <w:tcW w:type="dxa" w:w="1008"/>
          </w:tcPr>
          <w:p>
            <w:r/>
            <w:r>
              <w:rPr>
                <w:sz w:val="17"/>
              </w:rPr>
              <w:t>15.750</w:t>
            </w:r>
          </w:p>
        </w:tc>
        <w:tc>
          <w:tcPr>
            <w:tcW w:type="dxa" w:w="1008"/>
          </w:tcPr>
          <w:p>
            <w:r/>
            <w:r>
              <w:rPr>
                <w:sz w:val="17"/>
              </w:rPr>
              <w:t>15.750</w:t>
            </w:r>
          </w:p>
        </w:tc>
        <w:tc>
          <w:tcPr>
            <w:tcW w:type="dxa" w:w="3312"/>
          </w:tcPr>
          <w:p>
            <w:r/>
            <w:r>
              <w:rPr>
                <w:sz w:val="17"/>
              </w:rPr>
              <w:t>4 × $3.4375M + 4 × $0.5M; add Capital Lease principal (TBD)</w:t>
            </w:r>
          </w:p>
        </w:tc>
      </w:tr>
      <w:tr>
        <w:tc>
          <w:tcPr>
            <w:tcW w:type="dxa" w:w="2880"/>
          </w:tcPr>
          <w:p>
            <w:r/>
            <w:r>
              <w:rPr>
                <w:sz w:val="17"/>
              </w:rPr>
              <w:t>Cash Interest Expense</w:t>
            </w:r>
          </w:p>
        </w:tc>
        <w:tc>
          <w:tcPr>
            <w:tcW w:type="dxa" w:w="1152"/>
          </w:tcPr>
          <w:p>
            <w:r/>
            <w:r>
              <w:rPr>
                <w:sz w:val="17"/>
              </w:rPr>
              <w:t>21.850</w:t>
            </w:r>
          </w:p>
        </w:tc>
        <w:tc>
          <w:tcPr>
            <w:tcW w:type="dxa" w:w="1008"/>
          </w:tcPr>
          <w:p>
            <w:r/>
            <w:r>
              <w:rPr>
                <w:sz w:val="17"/>
              </w:rPr>
              <w:t>21.850</w:t>
            </w:r>
          </w:p>
        </w:tc>
        <w:tc>
          <w:tcPr>
            <w:tcW w:type="dxa" w:w="1008"/>
          </w:tcPr>
          <w:p>
            <w:r/>
            <w:r>
              <w:rPr>
                <w:sz w:val="17"/>
              </w:rPr>
              <w:t>21.850</w:t>
            </w:r>
          </w:p>
        </w:tc>
        <w:tc>
          <w:tcPr>
            <w:tcW w:type="dxa" w:w="3312"/>
          </w:tcPr>
          <w:p>
            <w:r/>
            <w:r>
              <w:rPr>
                <w:sz w:val="17"/>
              </w:rPr>
              <w:t>Upper bound; true cash interest likely lower (non-cash components to be stripped out)</w:t>
            </w:r>
          </w:p>
        </w:tc>
      </w:tr>
      <w:tr>
        <w:tc>
          <w:tcPr>
            <w:tcW w:type="dxa" w:w="2880"/>
          </w:tcPr>
          <w:p>
            <w:r/>
            <w:r>
              <w:rPr>
                <w:sz w:val="17"/>
              </w:rPr>
              <w:t>Restricted Payments (excess management fee)</w:t>
            </w:r>
          </w:p>
        </w:tc>
        <w:tc>
          <w:tcPr>
            <w:tcW w:type="dxa" w:w="1152"/>
          </w:tcPr>
          <w:p>
            <w:r/>
            <w:r>
              <w:rPr>
                <w:sz w:val="17"/>
              </w:rPr>
              <w:t>0.000</w:t>
            </w:r>
          </w:p>
        </w:tc>
        <w:tc>
          <w:tcPr>
            <w:tcW w:type="dxa" w:w="1008"/>
          </w:tcPr>
          <w:p>
            <w:r/>
            <w:r>
              <w:rPr>
                <w:sz w:val="17"/>
              </w:rPr>
              <w:t>2.500</w:t>
            </w:r>
          </w:p>
        </w:tc>
        <w:tc>
          <w:tcPr>
            <w:tcW w:type="dxa" w:w="1008"/>
          </w:tcPr>
          <w:p>
            <w:r/>
            <w:r>
              <w:rPr>
                <w:sz w:val="17"/>
              </w:rPr>
              <w:t>2.500</w:t>
            </w:r>
          </w:p>
        </w:tc>
        <w:tc>
          <w:tcPr>
            <w:tcW w:type="dxa" w:w="3312"/>
          </w:tcPr>
          <w:p>
            <w:r/>
            <w:r>
              <w:rPr>
                <w:sz w:val="17"/>
              </w:rPr>
              <w:t>$4.5M paid less $2.0M Permitted Management Fee Amount</w:t>
            </w:r>
          </w:p>
        </w:tc>
      </w:tr>
      <w:tr>
        <w:tc>
          <w:tcPr>
            <w:tcW w:type="dxa" w:w="2880"/>
          </w:tcPr>
          <w:p>
            <w:r/>
            <w:r>
              <w:rPr>
                <w:b/>
                <w:sz w:val="17"/>
              </w:rPr>
              <w:t>Fixed Charges</w:t>
            </w:r>
          </w:p>
        </w:tc>
        <w:tc>
          <w:tcPr>
            <w:tcW w:type="dxa" w:w="1152"/>
          </w:tcPr>
          <w:p>
            <w:r/>
            <w:r>
              <w:rPr>
                <w:b/>
                <w:sz w:val="17"/>
              </w:rPr>
              <w:t>37.600</w:t>
            </w:r>
          </w:p>
        </w:tc>
        <w:tc>
          <w:tcPr>
            <w:tcW w:type="dxa" w:w="1008"/>
          </w:tcPr>
          <w:p>
            <w:r/>
            <w:r>
              <w:rPr>
                <w:b/>
                <w:sz w:val="17"/>
              </w:rPr>
              <w:t>40.100</w:t>
            </w:r>
          </w:p>
        </w:tc>
        <w:tc>
          <w:tcPr>
            <w:tcW w:type="dxa" w:w="1008"/>
          </w:tcPr>
          <w:p>
            <w:r/>
            <w:r>
              <w:rPr>
                <w:b/>
                <w:sz w:val="17"/>
              </w:rPr>
              <w:t>40.100</w:t>
            </w:r>
          </w:p>
        </w:tc>
        <w:tc>
          <w:tcPr>
            <w:tcW w:type="dxa" w:w="3312"/>
          </w:tcPr>
          <w:p>
            <w:r/>
            <w:r>
              <w:rPr>
                <w:b/>
                <w:sz w:val="17"/>
              </w:rPr>
            </w:r>
          </w:p>
        </w:tc>
      </w:tr>
      <w:tr>
        <w:tc>
          <w:tcPr>
            <w:tcW w:type="dxa" w:w="2880"/>
          </w:tcPr>
          <w:p>
            <w:r/>
            <w:r>
              <w:rPr>
                <w:b/>
                <w:sz w:val="17"/>
              </w:rPr>
              <w:t>FCCR</w:t>
            </w:r>
          </w:p>
        </w:tc>
        <w:tc>
          <w:tcPr>
            <w:tcW w:type="dxa" w:w="1152"/>
          </w:tcPr>
          <w:p>
            <w:r/>
            <w:r>
              <w:rPr>
                <w:b/>
                <w:sz w:val="17"/>
              </w:rPr>
              <w:t>2.05x</w:t>
            </w:r>
          </w:p>
        </w:tc>
        <w:tc>
          <w:tcPr>
            <w:tcW w:type="dxa" w:w="1008"/>
          </w:tcPr>
          <w:p>
            <w:r/>
            <w:r>
              <w:rPr>
                <w:b/>
                <w:sz w:val="17"/>
              </w:rPr>
              <w:t>1.55x</w:t>
            </w:r>
          </w:p>
        </w:tc>
        <w:tc>
          <w:tcPr>
            <w:tcW w:type="dxa" w:w="1008"/>
          </w:tcPr>
          <w:p>
            <w:r/>
            <w:r>
              <w:rPr>
                <w:b/>
                <w:sz w:val="17"/>
              </w:rPr>
              <w:t>1.46x</w:t>
            </w:r>
          </w:p>
        </w:tc>
        <w:tc>
          <w:tcPr>
            <w:tcW w:type="dxa" w:w="3312"/>
          </w:tcPr>
          <w:p>
            <w:r/>
            <w:r>
              <w:rPr>
                <w:b/>
                <w:sz w:val="17"/>
              </w:rPr>
              <w:t>Minimum 1.20x</w:t>
            </w:r>
          </w:p>
        </w:tc>
      </w:tr>
    </w:tbl>
    <w:p>
      <w:pPr>
        <w:spacing w:after="40"/>
      </w:pPr>
    </w:p>
    <w:p>
      <w:pPr>
        <w:spacing w:after="120"/>
      </w:pPr>
      <w:r>
        <w:rPr>
          <w:i w:val="0"/>
        </w:rPr>
        <w:t>Result: in compliance, but headroom falls by roughly a quarter to a third. Under Case B, the numerator could fall by about $10.2M (to $48.1M) before a breach. Even under a stress reading that puts the entire $4.5M fee in Fixed Charges, Case B FCCR is about 1.39x.</w:t>
      </w:r>
    </w:p>
    <w:p>
      <w:pPr>
        <w:pStyle w:val="Heading2"/>
      </w:pPr>
      <w:r>
        <w:t>D. Capital Expenditures (Section 7.11(c))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D9E2F3"/>
          </w:tcPr>
          <w:p>
            <w:r/>
            <w:r>
              <w:rPr>
                <w:b/>
                <w:sz w:val="17"/>
              </w:rPr>
              <w:t>Line item</w:t>
            </w:r>
          </w:p>
        </w:tc>
        <w:tc>
          <w:tcPr>
            <w:tcW w:type="dxa" w:w="1728"/>
            <w:shd w:val="clear" w:color="auto" w:fill="D9E2F3"/>
          </w:tcPr>
          <w:p>
            <w:r/>
            <w:r>
              <w:rPr>
                <w:b/>
                <w:sz w:val="17"/>
              </w:rPr>
              <w:t>Certificate</w:t>
            </w:r>
          </w:p>
        </w:tc>
        <w:tc>
          <w:tcPr>
            <w:tcW w:type="dxa" w:w="2016"/>
            <w:shd w:val="clear" w:color="auto" w:fill="D9E2F3"/>
          </w:tcPr>
          <w:p>
            <w:r/>
            <w:r>
              <w:rPr>
                <w:b/>
                <w:sz w:val="17"/>
              </w:rPr>
              <w:t>Corrected</w:t>
            </w:r>
          </w:p>
        </w:tc>
        <w:tc>
          <w:tcPr>
            <w:tcW w:type="dxa" w:w="3024"/>
            <w:shd w:val="clear" w:color="auto" w:fill="D9E2F3"/>
          </w:tcPr>
          <w:p>
            <w:r/>
            <w:r>
              <w:rPr>
                <w:b/>
                <w:sz w:val="17"/>
              </w:rPr>
              <w:t>Comment</w:t>
            </w:r>
          </w:p>
        </w:tc>
      </w:tr>
      <w:tr>
        <w:tc>
          <w:tcPr>
            <w:tcW w:type="dxa" w:w="2592"/>
          </w:tcPr>
          <w:p>
            <w:r/>
            <w:r>
              <w:rPr>
                <w:sz w:val="17"/>
              </w:rPr>
              <w:t>Q1 / Q2 / Q3 2024</w:t>
            </w:r>
          </w:p>
        </w:tc>
        <w:tc>
          <w:tcPr>
            <w:tcW w:type="dxa" w:w="1728"/>
          </w:tcPr>
          <w:p>
            <w:r/>
            <w:r>
              <w:rPr>
                <w:sz w:val="17"/>
              </w:rPr>
              <w:t>11.2 / 14.6 / 12.6</w:t>
            </w:r>
          </w:p>
        </w:tc>
        <w:tc>
          <w:tcPr>
            <w:tcW w:type="dxa" w:w="2016"/>
          </w:tcPr>
          <w:p>
            <w:r/>
            <w:r>
              <w:rPr>
                <w:sz w:val="17"/>
              </w:rPr>
              <w:t>9.2 / 11.2 / 10.5</w:t>
            </w:r>
          </w:p>
        </w:tc>
        <w:tc>
          <w:tcPr>
            <w:tcW w:type="dxa" w:w="3024"/>
          </w:tcPr>
          <w:p>
            <w:r/>
            <w:r>
              <w:rPr>
                <w:sz w:val="17"/>
              </w:rPr>
              <w:t>CapEx Schedule; Note 6</w:t>
            </w:r>
          </w:p>
        </w:tc>
      </w:tr>
      <w:tr>
        <w:tc>
          <w:tcPr>
            <w:tcW w:type="dxa" w:w="2592"/>
          </w:tcPr>
          <w:p>
            <w:r/>
            <w:r>
              <w:rPr>
                <w:b/>
                <w:sz w:val="17"/>
              </w:rPr>
              <w:t>YTD CapEx (9 months)</w:t>
            </w:r>
          </w:p>
        </w:tc>
        <w:tc>
          <w:tcPr>
            <w:tcW w:type="dxa" w:w="1728"/>
          </w:tcPr>
          <w:p>
            <w:r/>
            <w:r>
              <w:rPr>
                <w:b/>
                <w:sz w:val="17"/>
              </w:rPr>
              <w:t>38.400</w:t>
            </w:r>
          </w:p>
        </w:tc>
        <w:tc>
          <w:tcPr>
            <w:tcW w:type="dxa" w:w="2016"/>
          </w:tcPr>
          <w:p>
            <w:r/>
            <w:r>
              <w:rPr>
                <w:b/>
                <w:sz w:val="17"/>
              </w:rPr>
              <w:t>30.900</w:t>
            </w:r>
          </w:p>
        </w:tc>
        <w:tc>
          <w:tcPr>
            <w:tcW w:type="dxa" w:w="3024"/>
          </w:tcPr>
          <w:p>
            <w:r/>
            <w:r>
              <w:rPr>
                <w:b/>
                <w:sz w:val="17"/>
              </w:rPr>
              <w:t>Certificate figure equals TTM (Q4’23 $7.5M + YTD)</w:t>
            </w:r>
          </w:p>
        </w:tc>
      </w:tr>
      <w:tr>
        <w:tc>
          <w:tcPr>
            <w:tcW w:type="dxa" w:w="2592"/>
          </w:tcPr>
          <w:p>
            <w:r/>
            <w:r>
              <w:rPr>
                <w:sz w:val="17"/>
              </w:rPr>
              <w:t>Base permitted amount</w:t>
            </w:r>
          </w:p>
        </w:tc>
        <w:tc>
          <w:tcPr>
            <w:tcW w:type="dxa" w:w="1728"/>
          </w:tcPr>
          <w:p>
            <w:r/>
            <w:r>
              <w:rPr>
                <w:sz w:val="17"/>
              </w:rPr>
              <w:t>45.000</w:t>
            </w:r>
          </w:p>
        </w:tc>
        <w:tc>
          <w:tcPr>
            <w:tcW w:type="dxa" w:w="2016"/>
          </w:tcPr>
          <w:p>
            <w:r/>
            <w:r>
              <w:rPr>
                <w:sz w:val="17"/>
              </w:rPr>
              <w:t>45.000</w:t>
            </w:r>
          </w:p>
        </w:tc>
        <w:tc>
          <w:tcPr>
            <w:tcW w:type="dxa" w:w="3024"/>
          </w:tcPr>
          <w:p>
            <w:r/>
            <w:r>
              <w:rPr>
                <w:sz w:val="17"/>
              </w:rPr>
              <w:t>First Amendment §2(c)</w:t>
            </w:r>
          </w:p>
        </w:tc>
      </w:tr>
      <w:tr>
        <w:tc>
          <w:tcPr>
            <w:tcW w:type="dxa" w:w="2592"/>
          </w:tcPr>
          <w:p>
            <w:r/>
            <w:r>
              <w:rPr>
                <w:sz w:val="17"/>
              </w:rPr>
              <w:t>Carryforward from FY2023</w:t>
            </w:r>
          </w:p>
        </w:tc>
        <w:tc>
          <w:tcPr>
            <w:tcW w:type="dxa" w:w="1728"/>
          </w:tcPr>
          <w:p>
            <w:r/>
            <w:r>
              <w:rPr>
                <w:sz w:val="17"/>
              </w:rPr>
              <w:t>not claimed</w:t>
            </w:r>
          </w:p>
        </w:tc>
        <w:tc>
          <w:tcPr>
            <w:tcW w:type="dxa" w:w="2016"/>
          </w:tcPr>
          <w:p>
            <w:r/>
            <w:r>
              <w:rPr>
                <w:sz w:val="17"/>
              </w:rPr>
              <w:t>up to 6.800 (unverified)</w:t>
            </w:r>
          </w:p>
        </w:tc>
        <w:tc>
          <w:tcPr>
            <w:tcW w:type="dxa" w:w="3024"/>
          </w:tcPr>
          <w:p>
            <w:r/>
            <w:r>
              <w:rPr>
                <w:sz w:val="17"/>
              </w:rPr>
              <w:t>Must be computed against the FY2023 base of $40.0M (pre-amendment); support required</w:t>
            </w:r>
          </w:p>
        </w:tc>
      </w:tr>
      <w:tr>
        <w:tc>
          <w:tcPr>
            <w:tcW w:type="dxa" w:w="2592"/>
          </w:tcPr>
          <w:p>
            <w:r/>
            <w:r>
              <w:rPr>
                <w:sz w:val="17"/>
              </w:rPr>
              <w:t>Remaining capacity (base only)</w:t>
            </w:r>
          </w:p>
        </w:tc>
        <w:tc>
          <w:tcPr>
            <w:tcW w:type="dxa" w:w="1728"/>
          </w:tcPr>
          <w:p>
            <w:r/>
            <w:r>
              <w:rPr>
                <w:sz w:val="17"/>
              </w:rPr>
              <w:t>6.600</w:t>
            </w:r>
          </w:p>
        </w:tc>
        <w:tc>
          <w:tcPr>
            <w:tcW w:type="dxa" w:w="2016"/>
          </w:tcPr>
          <w:p>
            <w:r/>
            <w:r>
              <w:rPr>
                <w:sz w:val="17"/>
              </w:rPr>
              <w:t>14.100</w:t>
            </w:r>
          </w:p>
        </w:tc>
        <w:tc>
          <w:tcPr>
            <w:tcW w:type="dxa" w:w="3024"/>
          </w:tcPr>
          <w:p>
            <w:r/>
            <w:r>
              <w:rPr>
                <w:sz w:val="17"/>
              </w:rPr>
            </w:r>
          </w:p>
        </w:tc>
      </w:tr>
    </w:tbl>
    <w:p>
      <w:pPr>
        <w:spacing w:after="40"/>
      </w:pPr>
    </w:p>
    <w:p>
      <w:pPr>
        <w:spacing w:after="120"/>
      </w:pPr>
      <w:r>
        <w:rPr>
          <w:i w:val="0"/>
        </w:rPr>
        <w:t>Result: in compliance. Two points to note. First, Capital Expenditures are defined “whether paid in cash or financed”, so the Certificate’s exclusion of capital-lease-financed amounts is wrong for Section 7.11(c) purposes and those amounts must be added back (the amount is unknown). Second, expenditures funded with insurance proceeds (for example, the Centralia replacement press) are excluded by definition. The FY2024 budget of $38.3M implies about $7.4M of Q4 spend, which is within the remaining capacity.</w:t>
      </w:r>
    </w:p>
    <w:p>
      <w:pPr>
        <w:pStyle w:val="Heading1"/>
      </w:pPr>
      <w:r>
        <w:t>IV. Analysis of Defaults, Events of Default and Certificate Errors</w:t>
      </w:r>
    </w:p>
    <w:p>
      <w:pPr>
        <w:pStyle w:val="Heading2"/>
      </w:pPr>
      <w:r>
        <w:t>A. Sponsor Management Fee — Restricted Payment Outside a Permitted Basket (Issue 2) — Critical</w:t>
      </w:r>
    </w:p>
    <w:p>
      <w:pPr>
        <w:spacing w:after="120"/>
      </w:pPr>
      <w:r>
        <w:rPr>
          <w:i w:val="0"/>
        </w:rPr>
        <w:t>Facts. The Borrower paid Granite Ridge Capital Partners a $4.5M lump-sum management fee on August 15, 2024 (Financials Note 11; Cash Flow). The prior-year fee was $2.0M. Note 11 attributes the increase to “additional advisory services” connected with the Whitfield acquisition and restructuring. The Certificate (Section 2.3 and Annex D) classifies the full $4.5M as a “Permitted Management Fee under Section 7.06(d)”, reports Restricted Payments of $0, and also lists the payment in a table of Restricted Payments, which is internally inconsistent.</w:t>
      </w:r>
    </w:p>
    <w:p>
      <w:pPr>
        <w:spacing w:after="120"/>
      </w:pPr>
      <w:r>
        <w:rPr>
          <w:i w:val="0"/>
        </w:rPr>
        <w:t>Analysis. Section 7.06(c) permits Sponsor management, monitoring, advisory or similar fees only up to $2.0M per fiscal year (the Permitted Management Fee Amount). Section 7.06(d) is the Available Amount basket and has nothing to do with management fees. Under clause (c) of the Restricted Payment definition and Section 7.06(c), the $2.5M excess is a Restricted Payment. Describing the excess as fees for acquisition advisory services does not help: the definition expressly covers “advisory fee[s], transaction fee[s], or similar fee[s]” paid to the Sponsor. The excess must therefore fit another basket:</w:t>
      </w:r>
    </w:p>
    <w:p>
      <w:pPr>
        <w:pStyle w:val="ListBullet"/>
        <w:spacing w:after="60"/>
      </w:pPr>
      <w:r>
        <w:rPr>
          <w:b/>
        </w:rPr>
        <w:t>§7.06(d) Available Amount:</w:t>
      </w:r>
      <w:r>
        <w:t xml:space="preserve"> Requires (i) no Default at the time, (ii) pro forma Total Net Leverage of 3.50x or less, and (iii) a Responsible Officer’s certificate delivered at least 5 Business Days before payment. Condition (ii) appears satisfied. Nothing indicates the advance certificate was delivered, and a Default was continuing (see below). The basket is unavailable.</w:t>
      </w:r>
    </w:p>
    <w:p>
      <w:pPr>
        <w:pStyle w:val="ListBullet"/>
        <w:spacing w:after="60"/>
      </w:pPr>
      <w:r>
        <w:rPr>
          <w:b/>
        </w:rPr>
        <w:t>§7.06(e) General Basket:</w:t>
      </w:r>
      <w:r>
        <w:t xml:space="preserve"> Covers $3.0M per fiscal year, so it is large enough for $2.5M, but only if “no Default or Event of Default shall have occurred and be continuing.” On August 15, 2024, the Whitfield Guaranty Joinder was more than 40 days overdue (due July 2, 2024), which was at least a Default. If the Whitfield acquisition is treated as a non-permitted Investment (Part IV.C), an Article VII Event of Default had been continuing since May 3, 2024. The basket is therefore unavailable, and the Borrower has not invoked it in any event.</w:t>
      </w:r>
    </w:p>
    <w:p>
      <w:pPr>
        <w:spacing w:after="120"/>
      </w:pPr>
      <w:r>
        <w:rPr>
          <w:i w:val="0"/>
        </w:rPr>
        <w:t>Consequence. The excess payment breaches Section 7.06, which is an Article VII covenant. Under Section 8.01(c), no cure period applies to Article VII, so an Event of Default occurred on August 15, 2024 and is continuing. In addition, Sections 7.06(c) and 7.11(b) require the excess to be included in Fixed Charges, and the Certificate does not do so. The Borrower may argue that only a Default under Section 6.12 (still within its 30-day cure period) existed on August 15. The joinder had been overdue for 44 days by then, however, and the CFO-supervised Financials show the Borrower tracked it as “OVERDUE”. Whether a Responsible Officer had “actual knowledge” by July 2 (so that the 30-day cure under Section 8.01(d) had already run by about August 1, 2024) is a factual point to pursue. The general basket’s no-Default condition is failed either way.</w:t>
      </w:r>
    </w:p>
    <w:p>
      <w:pPr>
        <w:pStyle w:val="Heading2"/>
      </w:pPr>
      <w:r>
        <w:t>B. Whitfield Lumber Co. — Guaranty Joinder Not Delivered (Issue 3) — Critical</w:t>
      </w:r>
    </w:p>
    <w:p>
      <w:pPr>
        <w:spacing w:after="120"/>
      </w:pPr>
      <w:r>
        <w:rPr>
          <w:i w:val="0"/>
        </w:rPr>
        <w:t>Facts. Whitfield Lumber Co., an Oregon corporation and a wholly owned Domestic Subsidiary, was acquired on May 3, 2024. The Financials’ Subsidiary List records “Guarantor: N — Joinder Not Executed” and states “Deadline: July 2, 2024 Status: OVERDUE as of Sep 30, 2024.” Annex C lists only the four Closing Date Guarantors. It certifies that each Guaranty remains in full force and makes no mention of Whitfield. The Exhibit form requires confirmation that “all Domestic Subsidiaries of the Borrower are listed above as Guarantors” and that Section 6.12 has been satisfied.</w:t>
      </w:r>
    </w:p>
    <w:p>
      <w:pPr>
        <w:spacing w:after="120"/>
      </w:pPr>
      <w:r>
        <w:rPr>
          <w:i w:val="0"/>
        </w:rPr>
        <w:t>Analysis. Section 6.12(a) requires each newly acquired Domestic Subsidiary, expressly including one acquired in a Permitted Acquisition, to deliver a Guaranty Joinder, organizational documents, resolutions, a legal opinion and a Security Agreement supplement within 60 days. The deadline was July 2, 2024. The 95% Guarantor Coverage Test in Section 6.12(b) is probably satisfied: Whitfield’s post-acquisition revenue is 0.86% of TTM revenue, and its assets are likely about 3% or less of the $697.4M total. But Section 6.12(a) is an independent obligation and is not excused by passing the coverage test. Section 6.12 is not among the covenants listed in Section 8.01(c), so the breach becomes an Event of Default under Section 8.01(d) 30 days after the earlier of Agent or Lender notice and a Responsible Officer’s actual knowledge. The Financials prepared under the CFO’s supervision show knowledge no later than the delivery of the Financials, and very likely much earlier. Separately, Section 7.04(g)(v) makes compliance with Section 6.12 a condition of the Permitted Acquisition basket, so the failure also undermines the Article VII basis for the acquisition (Part IV.C). The Annex C certification and the Section 1(b) statement that the CFO has “no knowledge of any failure … to comply” are inaccurate. Whitfield’s assets are also not subject to the Agent’s Lien, and any Whitfield cash is unlikely to be in Control Agreement accounts, which bears on the Unrestricted Cash figure.</w:t>
      </w:r>
    </w:p>
    <w:p>
      <w:pPr>
        <w:spacing w:after="120"/>
      </w:pPr>
      <w:r>
        <w:rPr>
          <w:i w:val="0"/>
        </w:rPr>
        <w:t>Recommendation. Require delivery of the full Section 6.12(a) package (joinder, Security Agreement supplement, perfection deliverables, opinion) immediately as a condition of any waiver, together with confirmation of which accounts hold Whitfield cash.</w:t>
      </w:r>
    </w:p>
    <w:p>
      <w:pPr>
        <w:pStyle w:val="Heading2"/>
      </w:pPr>
      <w:r>
        <w:t>C. Whitfield Acquisition — Permitted Acquisition Conditions Not Satisfied (Issue 4) — Critical</w:t>
      </w:r>
    </w:p>
    <w:p>
      <w:pPr>
        <w:spacing w:after="120"/>
      </w:pPr>
      <w:r>
        <w:rPr>
          <w:i w:val="0"/>
        </w:rPr>
        <w:t>Facts. The Agent received the Permitted Acquisition Certificate by email on Tuesday, April 30, 2024. Closing occurred on Friday, May 3, 2024. The Agent flagged the shortfall on May 1, 2024 and asked whether closing would be deferred or a waiver sought. The Agent has no record of a response or waiver request (November 18, 2024 email). Consideration was $18.5M: $15.2M cash plus a $3.3M Seller Note.</w:t>
      </w:r>
    </w:p>
    <w:p>
      <w:pPr>
        <w:spacing w:after="120"/>
      </w:pPr>
      <w:r>
        <w:rPr>
          <w:i w:val="0"/>
        </w:rPr>
        <w:t>Analysis. Both clause (b) of the Permitted Acquisition definition and Section 7.04(g)(i) require delivery “not less than five (5) Business Days prior to the anticipated closing date.” Counting back from May 3, delivery was due by Friday, April 26, 2024. Delivery on April 30 came 2 Business Days late (only April 30, May 1 and May 2 preceded closing). (The Agent’s emails cite Section 7.04(g)(iii), which is the line-of-business condition. Formal notices should cite Section 7.04(g)(i) and clause (b) of the definition.) Because “Permitted Acquisition” requires that “each of the following conditions is satisfied”, and no waiver was granted under the amendment and waiver provisions (not excerpted), the acquisition was not a Permitted Investment under Section 7.04(g). The post-closing joinder failure under Section 7.04(g)(v) points the same way. The other conditions appear to have been met on the information available: pro forma leverage was well below 4.00x, Revolver Availability exceeded $25M, cumulative consideration of $18.5M is below the $75M cap, and the line of business (hardwood milling) is complementary. These should still be confirmed against the Agent’s file.</w:t>
      </w:r>
    </w:p>
    <w:p>
      <w:pPr>
        <w:spacing w:after="120"/>
      </w:pPr>
      <w:r>
        <w:rPr>
          <w:i w:val="0"/>
        </w:rPr>
        <w:t>Consequences. (1) Unless the $18.5M Investment fits another basket, it breaches Section 7.04, an Article VII covenant, with no cure period. The only plausible alternative is the Section 7.04(h) Available Amount basket. It requires no Default at the time and a cumulative Available Amount of at least $18.5M (50% of positive quarterly Consolidated Net Income since the Closing Date, less prior usage). The Borrower has not invoked it, and we cannot compute it from the materials provided. The Borrower should be asked to state its position. (2) The $2.7M add-back under clause (h) of Consolidated EBITDA is available only for a “Permitted Acquisition”. Case B therefore excludes it. (3) The Agent’s silence after its May 1 email is not a waiver, but the Agent should now state that expressly. (4) The Certificate’s statements that the acquisition was “completed as a Permitted Acquisition in compliance with the conditions set forth in Section 7.04(g)” (Section 1(f); Annex D) are inaccurate.</w:t>
      </w:r>
    </w:p>
    <w:p>
      <w:pPr>
        <w:pStyle w:val="Heading2"/>
      </w:pPr>
      <w:r>
        <w:t>D. DEQ Notice of Violation — Deemed MAE and Notice Failure (Issue 5) — Critical</w:t>
      </w:r>
    </w:p>
    <w:p>
      <w:pPr>
        <w:spacing w:after="120"/>
      </w:pPr>
      <w:r>
        <w:rPr>
          <w:i w:val="0"/>
        </w:rPr>
        <w:t>Facts. On August 22, 2024, the Oregon DEQ issued an NOV to the Springfield, OR plywood facility, which the Subsidiary List shows is operated by Pacific Panel Products, Inc., a Guarantor and Loan Party. The NOV alleges NPDES wastewater exceedances between March and July 2024. The Borrower has accrued $1.8M (range $1.2M–$2.8M) and expects a penalty to be proposed (Note 14).</w:t>
      </w:r>
    </w:p>
    <w:p>
      <w:pPr>
        <w:spacing w:after="120"/>
      </w:pPr>
      <w:r>
        <w:rPr>
          <w:i w:val="0"/>
        </w:rPr>
        <w:t>Analysis. The MAE definition provides that “any event or condition that could reasonably be expected to result in liability … in excess of $1,000,000, or that involves any governmental enforcement action against any Loan Party, shall be deemed to have a Material Adverse Effect.” Both limbs are met: the accrual itself exceeds $1.0M, and an NOV with an anticipated penalty is a governmental enforcement action against a Loan Party. Note 14’s statement that management does not expect a material adverse effect is irrelevant under this contractual deeming rule. Section 6.03(c) (governmental notices of violation with potential liability over $1.0M or involving enforcement against a Loan Party) and Section 6.03(d) (MAE) each required prompt written notice. The correspondence contains no such notice, and the Certificate relies on matters “previously disclosed … or otherwise known to the Administrative Agent.” The Agent should confirm whether any notice was received. If it was not, the Section 6.03 breach became an Event of Default under Section 8.01(c) once 10 days had passed after a Responsible Officer obtained actual knowledge. The accrual in the CFO-certified Financials shows knowledge by quarter-end at the latest, so the 10 days had run well before November 18, 2024. The Certificate’s statements that no MAE has occurred (Sections 1(d) and 6(d)), that there are no undisclosed material environmental liabilities (Section 6(c)), and that there is no litigation or proceeding exceeding $1.0M (Section 6(b)) are inaccurate. Because these representations are MAE-qualified, Section 8.01(b) requires them to be correct “in any respect”, so their inaccuracy is an Event of Default under Section 8.01(b) with no cure period.</w:t>
      </w:r>
    </w:p>
    <w:p>
      <w:pPr>
        <w:pStyle w:val="Heading2"/>
      </w:pPr>
      <w:r>
        <w:t>E. Late Delivery of Financial Statements and Certificate (Issue 6) — High</w:t>
      </w:r>
    </w:p>
    <w:p>
      <w:pPr>
        <w:spacing w:after="120"/>
      </w:pPr>
      <w:r>
        <w:rPr>
          <w:i w:val="0"/>
        </w:rPr>
        <w:t>Sections 6.01(b) and 6.02(a) required delivery within 45 days after September 30, 2024, that is, by Thursday, November 14, 2024. Delivery occurred on Monday, November 18, 2024, 4 days late, as both parties acknowledge. Under Section 8.01(c), a breach of Sections 6.01 or 6.02 becomes an Event of Default if it remains unremedied for 10 days after the earlier of Agent notice and a Responsible Officer’s actual knowledge. The CFO’s apology shows knowledge, and the deadline’s passing on November 14 is the earliest plausible trigger, so the cure period runs to about November 24, 2024. Delivery on November 18 cures the breach only if what was delivered satisfies Section 6.02(a): a “duly completed” certificate with computations “in reasonable detail” and an accurate no-Default statement or a description of each Default. Given the errors in this memo, the Agent has a reasonable position that the Section 6.02(a) obligation remains unperformed until a corrected Certificate is delivered. The Agent should say so in writing before the cure period runs. Note also that the Agent’s reply email header is time-stamped “18 Nov 2024 04:47 -0000” (November 17 at 8:47 PM Pacific), which precedes the Borrower’s 10:23 AM PST delivery email. The Agent should correct its records so that the receipt date cannot be disputed.</w:t>
      </w:r>
    </w:p>
    <w:p>
      <w:pPr>
        <w:pStyle w:val="Heading2"/>
      </w:pPr>
      <w:r>
        <w:t>F. Consolidated EBITDA Errors (Issues 1, 7, 12, 17)</w:t>
      </w:r>
    </w:p>
    <w:p>
      <w:pPr>
        <w:pStyle w:val="ListBullet"/>
        <w:spacing w:after="60"/>
      </w:pPr>
      <w:r>
        <w:rPr>
          <w:b/>
        </w:rPr>
        <w:t>Net income (Critical).</w:t>
      </w:r>
      <w:r>
        <w:t xml:space="preserve"> The Certificate reports $41.2M. The Financials report TTM Consolidated Net Income of $27.9M, and the quarterly memorandum ties ($10.05M + $4.80M + $4.85M + $8.20M). The reported EBITDA build ($126.75M) recomputes only with $41.2M, so the error flows straight into both ratios. A 48% overstatement of the starting line item is material on any view and supports Section 8.01(b).</w:t>
      </w:r>
    </w:p>
    <w:p>
      <w:pPr>
        <w:pStyle w:val="ListBullet"/>
        <w:spacing w:after="60"/>
      </w:pPr>
      <w:r>
        <w:rPr>
          <w:b/>
        </w:rPr>
        <w:t>Restructuring (High).</w:t>
      </w:r>
      <w:r>
        <w:t xml:space="preserve"> Clause (f) caps the add-back at $5.0M “in any fiscal year”. FY2024 YTD charges are already $5.1M, and the Q4 2023 portion is $1.0M ($6.1M TTM less $5.1M YTD). The most the Borrower can claim is $6.0M, and only if FY2023 total charges were within the FY2023 cap. A lender-protective reading of the cap against the test period yields $5.0M. The Certificate describes a Roseburg, OR consolidation with about 85 headcount reductions in Q4 2023 and Q1 2024. Note 9 attributes the charges to a Longview, WA consolidation and Whitfield integration, with charges recognized in each 2024 quarter (including $1.2M in Q3). To the extent the charges relate to Whitfield integration, they may also overlap with the $2.7M acquisition costs (the Certificate includes “integration planning costs” there). This needs reconciliation to avoid double counting.</w:t>
      </w:r>
    </w:p>
    <w:p>
      <w:pPr>
        <w:pStyle w:val="ListBullet"/>
        <w:spacing w:after="60"/>
      </w:pPr>
      <w:r>
        <w:rPr>
          <w:b/>
        </w:rPr>
        <w:t>Casualty loss (Medium).</w:t>
      </w:r>
      <w:r>
        <w:t xml:space="preserve"> $4.8M is within the $7.5M annual cap, but the Certificate (February 2024, Coos Bay, OR veneer press, 17-day shutdown, $12.3M loss, $7.5M insurance) contradicts Note 10 (January 2024, Centralia, WA OSB press, $2.1M insurance received Q2 2024). The cash flow statement treats the $4.8M as a non-cash write-off, while the Certificate describes deductibles and uninsured losses. The Borrower must also show cumulative clause (g) usage against the $20M life-of-loan cap. In addition, any insurance recovery recognized as a gain (see the $2.1M retained earnings gap in Part IV.H) would have to be deducted under clause (i) or (j).</w:t>
      </w:r>
    </w:p>
    <w:p>
      <w:pPr>
        <w:pStyle w:val="ListBullet"/>
        <w:spacing w:after="60"/>
      </w:pPr>
      <w:r>
        <w:rPr>
          <w:b/>
        </w:rPr>
        <w:t>Pro forma (Low).</w:t>
      </w:r>
      <w:r>
        <w:t xml:space="preserve"> The final paragraph of the EBITDA definition requires pro forma inclusion of Whitfield’s pre-acquisition results, determined under Regulation S-X and “approved by the Administrative Agent.” The Certificate neither applies nor discloses this. The omission is probably favorable to lenders (Whitfield contributed $0.4M net income post-closing), but any future pro forma uplift should not be accepted without Agent approval, and none should be available if the acquisition was not a Permitted Acquisition.</w:t>
      </w:r>
    </w:p>
    <w:p>
      <w:pPr>
        <w:pStyle w:val="ListBullet"/>
        <w:spacing w:after="60"/>
      </w:pPr>
      <w:r>
        <w:rPr>
          <w:b/>
        </w:rPr>
        <w:t>Gains (Medium).</w:t>
      </w:r>
      <w:r>
        <w:t xml:space="preserve"> Other income of $0.65M TTM and $0.8M of equipment-sale proceeds should be checked for non-cash or non-recurring gains that must be deducted under clauses (i) and (j).</w:t>
      </w:r>
    </w:p>
    <w:p>
      <w:pPr>
        <w:pStyle w:val="Heading2"/>
      </w:pPr>
      <w:r>
        <w:t>G. Leverage and Fixed Charge Inputs (Issues 8, 9, 10, 13, 14)</w:t>
      </w:r>
    </w:p>
    <w:p>
      <w:pPr>
        <w:pStyle w:val="ListBullet"/>
        <w:spacing w:after="60"/>
      </w:pPr>
      <w:r>
        <w:rPr>
          <w:b/>
        </w:rPr>
        <w:t>Cash cap.</w:t>
      </w:r>
      <w:r>
        <w:t xml:space="preserve"> The definition of Total Net Funded Debt caps cash netting at $25.0M. The Certificate nets $32.5M. Separately, only cash in Control Agreement accounts of the Borrower and Domestic Subsidiaries qualifies. Because Whitfield has not delivered collateral, its accounts are probably not controlled, despite the Certificate’s statement that “all such amounts” are. Because the cap binds, this has no numerical effect unless qualifying cash falls below $25.0M.</w:t>
      </w:r>
    </w:p>
    <w:p>
      <w:pPr>
        <w:pStyle w:val="ListBullet"/>
        <w:spacing w:after="60"/>
      </w:pPr>
      <w:r>
        <w:rPr>
          <w:b/>
        </w:rPr>
        <w:t>Omitted debt.</w:t>
      </w:r>
      <w:r>
        <w:t xml:space="preserve"> The $3.3M Seller Note (5.00%, due May 3, 2027) is squarely within clause (d) of Total Funded Debt. The $4.1M of Capital Leases, which the Certificate itself lists in Annex B, falls within clause (c). The Financials’ Note 13 statement that lease obligations are “not classified as funded indebtedness under the Credit Agreement” is wrong as to finance (capital) leases. Permissibility of the Seller Note under Section 7.03 (not excerpted) should also be confirmed.</w:t>
      </w:r>
    </w:p>
    <w:p>
      <w:pPr>
        <w:pStyle w:val="ListBullet"/>
        <w:spacing w:after="60"/>
      </w:pPr>
      <w:r>
        <w:rPr>
          <w:b/>
        </w:rPr>
        <w:t>Revolver-financed CapEx.</w:t>
      </w:r>
      <w:r>
        <w:t xml:space="preserve"> Unfinanced Capital Expenditures excludes only CapEx financed with Indebtedness “other than Revolving Loans.” The $1.6M financed with “designated Revolver borrowings” is therefore unfinanced and must be deducted.</w:t>
      </w:r>
    </w:p>
    <w:p>
      <w:pPr>
        <w:pStyle w:val="ListBullet"/>
        <w:spacing w:after="60"/>
      </w:pPr>
      <w:r>
        <w:rPr>
          <w:b/>
        </w:rPr>
        <w:t>Cash interest and amortization.</w:t>
      </w:r>
      <w:r>
        <w:t xml:space="preserve"> The Certificate calls the $21.85M a sum of cash payments, but it is the GAAP interest expense figure. Under the Fixed Charges definition, Cash Interest Expense is Interest Expense less non-cash components (deferred financing cost amortization, OID, non-cash accruals). Nine-month cash interest paid was $16.2M against $16.5M of expense. The Borrower should restate the figure on the contractual basis. The error is conservative, but it shows the calculation was not prepared from the definitions. Scheduled principal on Capital Leases is “scheduled amortization … of Indebtedness” and belongs in Fixed Charges. The Seller Note is interest-only, so it adds no scheduled amortization.</w:t>
      </w:r>
    </w:p>
    <w:p>
      <w:pPr>
        <w:pStyle w:val="ListBullet"/>
        <w:spacing w:after="60"/>
      </w:pPr>
      <w:r>
        <w:rPr>
          <w:b/>
        </w:rPr>
        <w:t>Term Loan A roll-forward.</w:t>
      </w:r>
      <w:r>
        <w:t xml:space="preserve"> The Term Loan A carrying amount at December 31, 2023 is $254.375M ($13.75M current + $240.625M non-current). Seven installments through December 31, 2023 should leave $250.9375M. Rolling $254.375M forward by the $10.3125M of 2024 repayments gives $244.0625M, not $240.625M. Either the comparative balance sheet is misstated or an installment was not paid (and a missed principal installment would be an immediate Event of Default under Section 8.01(a)(i)). The Agent’s loan-servicing records should resolve this immediately. The DDTL figures tie except that the 9M 2023 cash flow shows $1.0M of DDTL amortization, although only one $0.5M installment (September 30, 2023) post-dated the June 30, 2023 draw.</w:t>
      </w:r>
    </w:p>
    <w:p>
      <w:pPr>
        <w:pStyle w:val="Heading2"/>
      </w:pPr>
      <w:r>
        <w:t>H. Reliability of the Financial Statements (Issue 15) — Medium</w:t>
      </w:r>
    </w:p>
    <w:p>
      <w:pPr>
        <w:spacing w:after="120"/>
      </w:pPr>
      <w:r>
        <w:rPr>
          <w:i w:val="0"/>
        </w:rPr>
        <w:t>The Certificate (Section 1(e)) and Section 6.01(b) require the CFO to certify that the Financials fairly present the Borrower’s position in accordance with GAAP. Several internal inconsistencies call that into question and should be resolved before the figures are relied on:</w:t>
      </w:r>
    </w:p>
    <w:p>
      <w:pPr>
        <w:pStyle w:val="ListBullet"/>
        <w:spacing w:after="60"/>
      </w:pPr>
      <w:r>
        <w:rPr>
          <w:b/>
        </w:rPr>
        <w:t>Cash flow does not foot.</w:t>
      </w:r>
      <w:r>
        <w:t xml:space="preserve"> Beginning cash (including restricted) is shown as $36.9M, but the December 31, 2023 balance sheet shows $32.5M ($28.7M + $3.8M). Beginning cash of $36.9M less the reported net decrease of $16.75M is $20.15M, not the $36.7M ending balance shown. The balance sheet implies a $4.2M increase. The prior-year column has the same defect ($34.4M – $16.7125M ≠ $32.6875M).</w:t>
      </w:r>
    </w:p>
    <w:p>
      <w:pPr>
        <w:pStyle w:val="ListBullet"/>
        <w:spacing w:after="60"/>
      </w:pPr>
      <w:r>
        <w:rPr>
          <w:b/>
        </w:rPr>
        <w:t>Operating cash flow presentation.</w:t>
      </w:r>
      <w:r>
        <w:t xml:space="preserve"> Operating cash flow starts from net income, which is already after interest and tax expense, and then deducts cash interest ($16.2M) and cash taxes ($9.2M) again. On its face this double-counts about $25.4M.</w:t>
      </w:r>
    </w:p>
    <w:p>
      <w:pPr>
        <w:pStyle w:val="ListBullet"/>
        <w:spacing w:after="60"/>
      </w:pPr>
      <w:r>
        <w:rPr>
          <w:b/>
        </w:rPr>
        <w:t>Retained earnings.</w:t>
      </w:r>
      <w:r>
        <w:t xml:space="preserve"> $46.424M + $17.85M YTD net income = $64.274M, against $66.374M reported, a $2.1M unexplained increase. The gap equals the insurance proceeds Note 10 says were received in Q2 2024 and suggests an entry bypassing the income statement. If those proceeds are a gain, they should be addressed in EBITDA.</w:t>
      </w:r>
    </w:p>
    <w:p>
      <w:pPr>
        <w:pStyle w:val="ListBullet"/>
        <w:spacing w:after="60"/>
      </w:pPr>
      <w:r>
        <w:rPr>
          <w:b/>
        </w:rPr>
        <w:t>APIC and PP&amp;E.</w:t>
      </w:r>
      <w:r>
        <w:t xml:space="preserve"> APIC rose $2.4M, which matches TTM, not YTD ($1.8M), stock-based compensation. PP&amp;E of $298.4M + $30.9M CapEx – $22.5M depreciation = $306.8M before the Centralia disposal, against $312.5M reported. The difference may be Whitfield PP&amp;E, but the roll-forward should be provided.</w:t>
      </w:r>
    </w:p>
    <w:p>
      <w:pPr>
        <w:pStyle w:val="ListBullet"/>
        <w:spacing w:after="60"/>
      </w:pPr>
      <w:r>
        <w:rPr>
          <w:b/>
        </w:rPr>
        <w:t>Accountant identity.</w:t>
      </w:r>
      <w:r>
        <w:t xml:space="preserve"> The Certificate states that the Financials were reviewed by “Dunlevy &amp; Associates LLP”. The Financials (Note 1) and the CFO’s email identify Broadleaf Accounting Group LLP, which is the firm named in Section 6.01(a). The Borrower should confirm which firm performed interim review procedures and whether there has been any auditor change, which would require the Agent’s acceptance.</w:t>
      </w:r>
    </w:p>
    <w:p>
      <w:pPr>
        <w:pStyle w:val="Heading2"/>
      </w:pPr>
      <w:r>
        <w:t>I. Schedules and Form Deficiencies (Issues 11, 16, 18)</w:t>
      </w:r>
    </w:p>
    <w:p>
      <w:pPr>
        <w:pStyle w:val="ListBullet"/>
        <w:spacing w:after="60"/>
      </w:pPr>
      <w:r>
        <w:rPr>
          <w:b/>
        </w:rPr>
        <w:t>Indebtedness (§6.02(a)(iii)).</w:t>
      </w:r>
      <w:r>
        <w:t xml:space="preserve"> Annex B omits the $3.3M Seller Note (obligor, holder and maturity must be identified per the Exhibit). The correct Indebtedness total is $338.725M: TLA $240.625M, DDTL $47.5M, Revolver $35.0M, LCs $8.2M, Capital Leases $4.1M and Seller Note $3.3M. The Annex B total is $335.425M and the Debt Schedule total is $326.425M (the latter omits LCs and Capital Leases). Revolver Availability of $106.8M is correctly computed.</w:t>
      </w:r>
    </w:p>
    <w:p>
      <w:pPr>
        <w:pStyle w:val="ListBullet"/>
        <w:spacing w:after="60"/>
      </w:pPr>
      <w:r>
        <w:rPr>
          <w:b/>
        </w:rPr>
        <w:t>CapEx.</w:t>
      </w:r>
      <w:r>
        <w:t xml:space="preserve"> The quarterly CapEx figures and project descriptions do not correspond to the Borrower’s own schedule. “Coos Bay” and a $14.2M “Longview expansion” do not appear in it, and the schedule shows Longview maintenance of only $2.7M YTD. The $6.8M FY2023 carryforward on the schedule cites “Section 7.11(b)” instead of 7.11(c) and must be computed against the FY2023 base of $40.0M, which applied before the First Amendment raised the base to $45.0M.</w:t>
      </w:r>
    </w:p>
    <w:p>
      <w:pPr>
        <w:pStyle w:val="ListBullet"/>
        <w:spacing w:after="60"/>
      </w:pPr>
      <w:r>
        <w:rPr>
          <w:b/>
        </w:rPr>
        <w:t>Investments.</w:t>
      </w:r>
      <w:r>
        <w:t xml:space="preserve"> Annex D does not disclose the $1.5M working capital loan from the Borrower to Whitfield, a non-Guarantor. It appears permitted under the $5.0M Section 7.04(d) basket (together with a $0.2M trade balance from Pacific Panel), but it should be reported, and that basket should be monitored while Whitfield remains a non-Guarantor.</w:t>
      </w:r>
    </w:p>
    <w:p>
      <w:pPr>
        <w:pStyle w:val="ListBullet"/>
        <w:spacing w:after="60"/>
      </w:pPr>
      <w:r>
        <w:rPr>
          <w:b/>
        </w:rPr>
        <w:t>Form, execution and cross-references.</w:t>
      </w:r>
      <w:r>
        <w:t xml:space="preserve"> The form Exhibit requires a bring-down of the Article V representations (paragraph 3), which the Certificate omits. The Certificate should follow the Schedule 1 line-item format. The insurance cross-reference should be Section 6.05 (as referenced in Section 8.01(c)), not 6.07. The copy provided is unsigned (“By: ____”), although the CFO’s email describes an “executed PDF”. The Agent should obtain the executed version. The CFO is a Responsible Officer by definition, so authority is not in question.</w:t>
      </w:r>
    </w:p>
    <w:p>
      <w:pPr>
        <w:pStyle w:val="ListBullet"/>
        <w:spacing w:after="60"/>
      </w:pPr>
      <w:r>
        <w:rPr>
          <w:b/>
        </w:rPr>
        <w:t>Conformed agreement point.</w:t>
      </w:r>
      <w:r>
        <w:t xml:space="preserve"> The First Amendment recital refers to “increas[ing] the cap” on Closing Date transaction-fee add-backs, but the restated clause (e) is $12.0M, the same figure shown in the conformed definition. The restated text also drops “legal, accounting, and other professional fees related thereto.” This does not affect Q3 2024, because no clause (e) add-back is claimed, but the conformed copy should be checked against the executed amendment.</w:t>
      </w:r>
    </w:p>
    <w:p>
      <w:pPr>
        <w:pStyle w:val="Heading1"/>
      </w:pPr>
      <w:r>
        <w:t>V. Consequences and Agent Considerations</w:t>
      </w:r>
    </w:p>
    <w:p>
      <w:pPr>
        <w:pStyle w:val="ListBullet"/>
        <w:spacing w:after="60"/>
      </w:pPr>
      <w:r>
        <w:rPr>
          <w:b/>
        </w:rPr>
        <w:t>Remedies.</w:t>
      </w:r>
      <w:r>
        <w:t xml:space="preserve"> On the analysis above, Events of Default under Section 8.01(c) (Article VII: Sections 7.04 and 7.06), Section 8.01(b) (Certificate misrepresentations) and probably Section 8.01(c)/(d) (Sections 6.03 and 6.12) are continuing. While an Event of Default continues, Section 8.02 allows the Agent (and requires it, at the written request of the Required Lenders) to terminate Commitments, accelerate, require LC cash collateral at 105% and exercise other remedies. Remedies are not automatic, because Section 8.01(f) is not implicated.</w:t>
      </w:r>
    </w:p>
    <w:p>
      <w:pPr>
        <w:pStyle w:val="ListBullet"/>
        <w:spacing w:after="60"/>
      </w:pPr>
      <w:r>
        <w:rPr>
          <w:b/>
        </w:rPr>
        <w:t>Agent’s notice duty.</w:t>
      </w:r>
      <w:r>
        <w:t xml:space="preserve"> Under Section 8.02, the Agent must promptly notify the Lenders of any Event of Default of which it has actual knowledge. With this review, the Agent should be treated as having that knowledge. The lender distribution of the Certificate should therefore include a summary of these matters, not only the late-delivery notation.</w:t>
      </w:r>
    </w:p>
    <w:p>
      <w:pPr>
        <w:pStyle w:val="ListBullet"/>
        <w:spacing w:after="60"/>
      </w:pPr>
      <w:r>
        <w:rPr>
          <w:b/>
        </w:rPr>
        <w:t>Blocked baskets and borrowings.</w:t>
      </w:r>
      <w:r>
        <w:t xml:space="preserve"> While a Default continues, the Borrower cannot use the Available Amount baskets (§§7.04(h), 7.06(d)), the general Restricted Payment basket (§7.06(e)) or further Permitted Acquisitions (no-Default condition). Any further Sponsor payments above $2.0M should be refused. Borrowing-request conditions (not excerpted) likely require accurate representations and no Default, so new Revolver draws and LC issuances should be considered with that in mind.</w:t>
      </w:r>
    </w:p>
    <w:p>
      <w:pPr>
        <w:pStyle w:val="ListBullet"/>
        <w:spacing w:after="60"/>
      </w:pPr>
      <w:r>
        <w:rPr>
          <w:b/>
        </w:rPr>
        <w:t>Waiver path.</w:t>
      </w:r>
      <w:r>
        <w:t xml:space="preserve"> The financial covenants are still met, so the matters are curable through a waiver and amendment. Typical conditions include: delivery of the Whitfield joinder and collateral package; a corrected Certificate; return of the $2.5M excess fee to the Borrower, or its subordination or deferral; formal DEQ disclosure and ongoing reporting; reconciliation of the Term Loan A balance and the Financials; ratification of the Whitfield acquisition (and of the clause (h) add-back, if lenders are willing); a waiver fee; and possibly tighter reporting. The decision belongs to the Required Lenders (or all Lenders, as the omitted amendment provisions may require).</w:t>
      </w:r>
    </w:p>
    <w:p>
      <w:pPr>
        <w:pStyle w:val="ListBullet"/>
        <w:spacing w:after="60"/>
      </w:pPr>
      <w:r>
        <w:rPr>
          <w:b/>
        </w:rPr>
        <w:t>Non-waiver.</w:t>
      </w:r>
      <w:r>
        <w:t xml:space="preserve"> Every communication should repeat that acceptance of the Certificate, continued funding and forbearance do not waive any right. Notices should be in writing and should identify the specific sections, using the corrected citations, so that the Section 8.01(c)/(d) cure periods are triggered by notice.</w:t>
      </w:r>
    </w:p>
    <w:p>
      <w:pPr>
        <w:pStyle w:val="Heading1"/>
      </w:pPr>
      <w:r>
        <w:t>VI. Key Dates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E2F3"/>
          </w:tcPr>
          <w:p>
            <w:r/>
            <w:r>
              <w:rPr>
                <w:b/>
                <w:sz w:val="17"/>
              </w:rPr>
              <w:t>Date</w:t>
            </w:r>
          </w:p>
        </w:tc>
        <w:tc>
          <w:tcPr>
            <w:tcW w:type="dxa" w:w="4320"/>
            <w:shd w:val="clear" w:color="auto" w:fill="D9E2F3"/>
          </w:tcPr>
          <w:p>
            <w:r/>
            <w:r>
              <w:rPr>
                <w:b/>
                <w:sz w:val="17"/>
              </w:rPr>
              <w:t>Event</w:t>
            </w:r>
          </w:p>
        </w:tc>
        <w:tc>
          <w:tcPr>
            <w:tcW w:type="dxa" w:w="3168"/>
            <w:shd w:val="clear" w:color="auto" w:fill="D9E2F3"/>
          </w:tcPr>
          <w:p>
            <w:r/>
            <w:r>
              <w:rPr>
                <w:b/>
                <w:sz w:val="17"/>
              </w:rPr>
              <w:t>Significance</w:t>
            </w:r>
          </w:p>
        </w:tc>
      </w:tr>
      <w:tr>
        <w:tc>
          <w:tcPr>
            <w:tcW w:type="dxa" w:w="1872"/>
          </w:tcPr>
          <w:p>
            <w:r/>
            <w:r>
              <w:rPr>
                <w:sz w:val="17"/>
              </w:rPr>
              <w:t>Apr 26, 2024</w:t>
            </w:r>
          </w:p>
        </w:tc>
        <w:tc>
          <w:tcPr>
            <w:tcW w:type="dxa" w:w="4320"/>
          </w:tcPr>
          <w:p>
            <w:r/>
            <w:r>
              <w:rPr>
                <w:sz w:val="17"/>
              </w:rPr>
              <w:t>Latest date for 5-Business-Day Permitted Acquisition Certificate</w:t>
            </w:r>
          </w:p>
        </w:tc>
        <w:tc>
          <w:tcPr>
            <w:tcW w:type="dxa" w:w="3168"/>
          </w:tcPr>
          <w:p>
            <w:r/>
            <w:r>
              <w:rPr>
                <w:sz w:val="17"/>
              </w:rPr>
              <w:t>§7.04(g)(i); PA definition (b)</w:t>
            </w:r>
          </w:p>
        </w:tc>
      </w:tr>
      <w:tr>
        <w:tc>
          <w:tcPr>
            <w:tcW w:type="dxa" w:w="1872"/>
          </w:tcPr>
          <w:p>
            <w:r/>
            <w:r>
              <w:rPr>
                <w:sz w:val="17"/>
              </w:rPr>
              <w:t>Apr 30, 2024</w:t>
            </w:r>
          </w:p>
        </w:tc>
        <w:tc>
          <w:tcPr>
            <w:tcW w:type="dxa" w:w="4320"/>
          </w:tcPr>
          <w:p>
            <w:r/>
            <w:r>
              <w:rPr>
                <w:sz w:val="17"/>
              </w:rPr>
              <w:t>PA Certificate received by Agent</w:t>
            </w:r>
          </w:p>
        </w:tc>
        <w:tc>
          <w:tcPr>
            <w:tcW w:type="dxa" w:w="3168"/>
          </w:tcPr>
          <w:p>
            <w:r/>
            <w:r>
              <w:rPr>
                <w:sz w:val="17"/>
              </w:rPr>
              <w:t>2 Business Days late</w:t>
            </w:r>
          </w:p>
        </w:tc>
      </w:tr>
      <w:tr>
        <w:tc>
          <w:tcPr>
            <w:tcW w:type="dxa" w:w="1872"/>
          </w:tcPr>
          <w:p>
            <w:r/>
            <w:r>
              <w:rPr>
                <w:sz w:val="17"/>
              </w:rPr>
              <w:t>May 1, 2024</w:t>
            </w:r>
          </w:p>
        </w:tc>
        <w:tc>
          <w:tcPr>
            <w:tcW w:type="dxa" w:w="4320"/>
          </w:tcPr>
          <w:p>
            <w:r/>
            <w:r>
              <w:rPr>
                <w:sz w:val="17"/>
              </w:rPr>
              <w:t>Agent flags short notice; asks re waiver</w:t>
            </w:r>
          </w:p>
        </w:tc>
        <w:tc>
          <w:tcPr>
            <w:tcW w:type="dxa" w:w="3168"/>
          </w:tcPr>
          <w:p>
            <w:r/>
            <w:r>
              <w:rPr>
                <w:sz w:val="17"/>
              </w:rPr>
              <w:t>No response on record</w:t>
            </w:r>
          </w:p>
        </w:tc>
      </w:tr>
      <w:tr>
        <w:tc>
          <w:tcPr>
            <w:tcW w:type="dxa" w:w="1872"/>
          </w:tcPr>
          <w:p>
            <w:r/>
            <w:r>
              <w:rPr>
                <w:sz w:val="17"/>
              </w:rPr>
              <w:t>May 3, 2024</w:t>
            </w:r>
          </w:p>
        </w:tc>
        <w:tc>
          <w:tcPr>
            <w:tcW w:type="dxa" w:w="4320"/>
          </w:tcPr>
          <w:p>
            <w:r/>
            <w:r>
              <w:rPr>
                <w:sz w:val="17"/>
              </w:rPr>
              <w:t>Whitfield closing ($15.2M cash + $3.3M Seller Note)</w:t>
            </w:r>
          </w:p>
        </w:tc>
        <w:tc>
          <w:tcPr>
            <w:tcW w:type="dxa" w:w="3168"/>
          </w:tcPr>
          <w:p>
            <w:r/>
            <w:r>
              <w:rPr>
                <w:sz w:val="17"/>
              </w:rPr>
              <w:t>Investment outside §7.04(g) absent waiver</w:t>
            </w:r>
          </w:p>
        </w:tc>
      </w:tr>
      <w:tr>
        <w:tc>
          <w:tcPr>
            <w:tcW w:type="dxa" w:w="1872"/>
          </w:tcPr>
          <w:p>
            <w:r/>
            <w:r>
              <w:rPr>
                <w:sz w:val="17"/>
              </w:rPr>
              <w:t>Jul 2, 2024</w:t>
            </w:r>
          </w:p>
        </w:tc>
        <w:tc>
          <w:tcPr>
            <w:tcW w:type="dxa" w:w="4320"/>
          </w:tcPr>
          <w:p>
            <w:r/>
            <w:r>
              <w:rPr>
                <w:sz w:val="17"/>
              </w:rPr>
              <w:t>Guaranty Joinder deadline (60 days)</w:t>
            </w:r>
          </w:p>
        </w:tc>
        <w:tc>
          <w:tcPr>
            <w:tcW w:type="dxa" w:w="3168"/>
          </w:tcPr>
          <w:p>
            <w:r/>
            <w:r>
              <w:rPr>
                <w:sz w:val="17"/>
              </w:rPr>
              <w:t>§6.12(a); missed</w:t>
            </w:r>
          </w:p>
        </w:tc>
      </w:tr>
      <w:tr>
        <w:tc>
          <w:tcPr>
            <w:tcW w:type="dxa" w:w="1872"/>
          </w:tcPr>
          <w:p>
            <w:r/>
            <w:r>
              <w:rPr>
                <w:sz w:val="17"/>
              </w:rPr>
              <w:t>Aug 1, 2024 (approx.)</w:t>
            </w:r>
          </w:p>
        </w:tc>
        <w:tc>
          <w:tcPr>
            <w:tcW w:type="dxa" w:w="4320"/>
          </w:tcPr>
          <w:p>
            <w:r/>
            <w:r>
              <w:rPr>
                <w:sz w:val="17"/>
              </w:rPr>
              <w:t>30-day §8.01(d) period ends if RO knew on Jul 2</w:t>
            </w:r>
          </w:p>
        </w:tc>
        <w:tc>
          <w:tcPr>
            <w:tcW w:type="dxa" w:w="3168"/>
          </w:tcPr>
          <w:p>
            <w:r/>
            <w:r>
              <w:rPr>
                <w:sz w:val="17"/>
              </w:rPr>
              <w:t>Possible EoD</w:t>
            </w:r>
          </w:p>
        </w:tc>
      </w:tr>
      <w:tr>
        <w:tc>
          <w:tcPr>
            <w:tcW w:type="dxa" w:w="1872"/>
          </w:tcPr>
          <w:p>
            <w:r/>
            <w:r>
              <w:rPr>
                <w:sz w:val="17"/>
              </w:rPr>
              <w:t>Aug 15, 2024</w:t>
            </w:r>
          </w:p>
        </w:tc>
        <w:tc>
          <w:tcPr>
            <w:tcW w:type="dxa" w:w="4320"/>
          </w:tcPr>
          <w:p>
            <w:r/>
            <w:r>
              <w:rPr>
                <w:sz w:val="17"/>
              </w:rPr>
              <w:t>$4.5M Sponsor fee paid ($2.5M over cap)</w:t>
            </w:r>
          </w:p>
        </w:tc>
        <w:tc>
          <w:tcPr>
            <w:tcW w:type="dxa" w:w="3168"/>
          </w:tcPr>
          <w:p>
            <w:r/>
            <w:r>
              <w:rPr>
                <w:sz w:val="17"/>
              </w:rPr>
              <w:t>Article VII EoD (no cure period)</w:t>
            </w:r>
          </w:p>
        </w:tc>
      </w:tr>
      <w:tr>
        <w:tc>
          <w:tcPr>
            <w:tcW w:type="dxa" w:w="1872"/>
          </w:tcPr>
          <w:p>
            <w:r/>
            <w:r>
              <w:rPr>
                <w:sz w:val="17"/>
              </w:rPr>
              <w:t>Aug 22, 2024</w:t>
            </w:r>
          </w:p>
        </w:tc>
        <w:tc>
          <w:tcPr>
            <w:tcW w:type="dxa" w:w="4320"/>
          </w:tcPr>
          <w:p>
            <w:r/>
            <w:r>
              <w:rPr>
                <w:sz w:val="17"/>
              </w:rPr>
              <w:t>Oregon DEQ NOV to Springfield facility</w:t>
            </w:r>
          </w:p>
        </w:tc>
        <w:tc>
          <w:tcPr>
            <w:tcW w:type="dxa" w:w="3168"/>
          </w:tcPr>
          <w:p>
            <w:r/>
            <w:r>
              <w:rPr>
                <w:sz w:val="17"/>
              </w:rPr>
              <w:t>Deemed MAE; §6.03(c)/(d) notice required</w:t>
            </w:r>
          </w:p>
        </w:tc>
      </w:tr>
      <w:tr>
        <w:tc>
          <w:tcPr>
            <w:tcW w:type="dxa" w:w="1872"/>
          </w:tcPr>
          <w:p>
            <w:r/>
            <w:r>
              <w:rPr>
                <w:sz w:val="17"/>
              </w:rPr>
              <w:t>Sep 30, 2024</w:t>
            </w:r>
          </w:p>
        </w:tc>
        <w:tc>
          <w:tcPr>
            <w:tcW w:type="dxa" w:w="4320"/>
          </w:tcPr>
          <w:p>
            <w:r/>
            <w:r>
              <w:rPr>
                <w:sz w:val="17"/>
              </w:rPr>
              <w:t>Fiscal quarter end; $1.8M remediation accrual</w:t>
            </w:r>
          </w:p>
        </w:tc>
        <w:tc>
          <w:tcPr>
            <w:tcW w:type="dxa" w:w="3168"/>
          </w:tcPr>
          <w:p>
            <w:r/>
            <w:r>
              <w:rPr>
                <w:sz w:val="17"/>
              </w:rPr>
              <w:t>Test date</w:t>
            </w:r>
          </w:p>
        </w:tc>
      </w:tr>
      <w:tr>
        <w:tc>
          <w:tcPr>
            <w:tcW w:type="dxa" w:w="1872"/>
          </w:tcPr>
          <w:p>
            <w:r/>
            <w:r>
              <w:rPr>
                <w:sz w:val="17"/>
              </w:rPr>
              <w:t>Nov 14, 2024</w:t>
            </w:r>
          </w:p>
        </w:tc>
        <w:tc>
          <w:tcPr>
            <w:tcW w:type="dxa" w:w="4320"/>
          </w:tcPr>
          <w:p>
            <w:r/>
            <w:r>
              <w:rPr>
                <w:sz w:val="17"/>
              </w:rPr>
              <w:t>Certificate / Financials deadline (45 days)</w:t>
            </w:r>
          </w:p>
        </w:tc>
        <w:tc>
          <w:tcPr>
            <w:tcW w:type="dxa" w:w="3168"/>
          </w:tcPr>
          <w:p>
            <w:r/>
            <w:r>
              <w:rPr>
                <w:sz w:val="17"/>
              </w:rPr>
              <w:t>§§6.01(b), 6.02(a)</w:t>
            </w:r>
          </w:p>
        </w:tc>
      </w:tr>
      <w:tr>
        <w:tc>
          <w:tcPr>
            <w:tcW w:type="dxa" w:w="1872"/>
          </w:tcPr>
          <w:p>
            <w:r/>
            <w:r>
              <w:rPr>
                <w:sz w:val="17"/>
              </w:rPr>
              <w:t>Nov 15, 2024</w:t>
            </w:r>
          </w:p>
        </w:tc>
        <w:tc>
          <w:tcPr>
            <w:tcW w:type="dxa" w:w="4320"/>
          </w:tcPr>
          <w:p>
            <w:r/>
            <w:r>
              <w:rPr>
                <w:sz w:val="17"/>
              </w:rPr>
              <w:t>Agent reminder email (expressly not formal notice)</w:t>
            </w:r>
          </w:p>
        </w:tc>
        <w:tc>
          <w:tcPr>
            <w:tcW w:type="dxa" w:w="3168"/>
          </w:tcPr>
          <w:p>
            <w:r/>
            <w:r>
              <w:rPr>
                <w:sz w:val="17"/>
              </w:rPr>
            </w:r>
          </w:p>
        </w:tc>
      </w:tr>
      <w:tr>
        <w:tc>
          <w:tcPr>
            <w:tcW w:type="dxa" w:w="1872"/>
          </w:tcPr>
          <w:p>
            <w:r/>
            <w:r>
              <w:rPr>
                <w:sz w:val="17"/>
              </w:rPr>
              <w:t>Nov 18, 2024</w:t>
            </w:r>
          </w:p>
        </w:tc>
        <w:tc>
          <w:tcPr>
            <w:tcW w:type="dxa" w:w="4320"/>
          </w:tcPr>
          <w:p>
            <w:r/>
            <w:r>
              <w:rPr>
                <w:sz w:val="17"/>
              </w:rPr>
              <w:t>Certificate and Financials delivered</w:t>
            </w:r>
          </w:p>
        </w:tc>
        <w:tc>
          <w:tcPr>
            <w:tcW w:type="dxa" w:w="3168"/>
          </w:tcPr>
          <w:p>
            <w:r/>
            <w:r>
              <w:rPr>
                <w:sz w:val="17"/>
              </w:rPr>
              <w:t>4 days late</w:t>
            </w:r>
          </w:p>
        </w:tc>
      </w:tr>
      <w:tr>
        <w:tc>
          <w:tcPr>
            <w:tcW w:type="dxa" w:w="1872"/>
          </w:tcPr>
          <w:p>
            <w:r/>
            <w:r>
              <w:rPr>
                <w:sz w:val="17"/>
              </w:rPr>
              <w:t>Nov 24, 2024 (approx.)</w:t>
            </w:r>
          </w:p>
        </w:tc>
        <w:tc>
          <w:tcPr>
            <w:tcW w:type="dxa" w:w="4320"/>
          </w:tcPr>
          <w:p>
            <w:r/>
            <w:r>
              <w:rPr>
                <w:sz w:val="17"/>
              </w:rPr>
              <w:t>10-day §8.01(c) cure period for late delivery ends</w:t>
            </w:r>
          </w:p>
        </w:tc>
        <w:tc>
          <w:tcPr>
            <w:tcW w:type="dxa" w:w="3168"/>
          </w:tcPr>
          <w:p>
            <w:r/>
            <w:r>
              <w:rPr>
                <w:sz w:val="17"/>
              </w:rPr>
              <w:t>Corrected Certificate needed by then</w:t>
            </w:r>
          </w:p>
        </w:tc>
      </w:tr>
    </w:tbl>
    <w:p>
      <w:pPr>
        <w:spacing w:after="40"/>
      </w:pPr>
    </w:p>
    <w:p>
      <w:pPr>
        <w:pStyle w:val="Heading1"/>
      </w:pPr>
      <w:r>
        <w:t>VII. Recommended Next Steps and Information Requests</w:t>
      </w:r>
    </w:p>
    <w:p>
      <w:pPr>
        <w:pStyle w:val="ListNumber"/>
        <w:spacing w:after="60"/>
      </w:pPr>
      <w:r>
        <w:rPr>
          <w:b/>
        </w:rPr>
        <w:t>Formal notice.</w:t>
      </w:r>
      <w:r>
        <w:t xml:space="preserve"> Before about November 24, 2024, send a reservation-of-rights and notice letter to the Borrower identifying the late delivery, the deficiencies in the Certificate, the excess Restricted Payment, the Permitted Acquisition notice and joinder failures, and the Section 6.03 notice failure. Require a corrected Certificate and state that the Section 6.02(a) obligation is not satisfied until it is delivered.</w:t>
      </w:r>
    </w:p>
    <w:p>
      <w:pPr>
        <w:pStyle w:val="ListNumber"/>
        <w:spacing w:after="60"/>
      </w:pPr>
      <w:r>
        <w:rPr>
          <w:b/>
        </w:rPr>
        <w:t>Corrected Certificate.</w:t>
      </w:r>
      <w:r>
        <w:t xml:space="preserve"> Recompute the covenants from the definitions using Schedule 1 line items, with a corrected Indebtedness schedule (including the Seller Note), a Guarantor schedule that discloses Whitfield, and accurate no-Default and MAE disclosures under Section 6.02(a)(ii).</w:t>
      </w:r>
    </w:p>
    <w:p>
      <w:pPr>
        <w:pStyle w:val="ListNumber"/>
        <w:spacing w:after="60"/>
      </w:pPr>
      <w:r>
        <w:rPr>
          <w:b/>
        </w:rPr>
        <w:t>Information requests to the Borrower.</w:t>
      </w:r>
      <w:r>
        <w:t xml:space="preserve"> (a) Term Loan A payment history and a reconciliation to the December 31, 2023 balance; (b) cash-flow-to-balance-sheet reconciliation and the retained earnings and APIC roll-forwards; (c) FY2023 restructuring charges by quarter, plus a reconciliation of the Roseburg vs. Longview/Whitfield descriptions and of the overlap with acquisition costs; (d) the casualty-loss file (location, insurance claim, proceeds, accounting) and cumulative clause (g) usage since closing; (e) the Interest Expense breakdown into cash and non-cash components, and Capital Lease principal payments for the TTM period; (f) FY2023 Capital Expenditures and the carryforward computation against the $40.0M base, plus lease-financed CapEx; (g) composition of other income and any gains on asset sales or insurance recoveries; (h) the list of deposit accounts by entity with Control Agreement status, including Whitfield; (i) the Management Services Agreement and any amendment or invoice supporting the $4.5M; (j) the Borrower’s position on whether any basket other than §7.04(g) supports the Whitfield Investment, with an Available Amount calculation; (k) the DEQ NOV, related correspondence and the corrective action plan; (l) confirmation of the interim reviewer (Broadleaf vs. Dunlevy); (m) the executed signature page.</w:t>
      </w:r>
    </w:p>
    <w:p>
      <w:pPr>
        <w:pStyle w:val="ListNumber"/>
        <w:spacing w:after="60"/>
      </w:pPr>
      <w:r>
        <w:rPr>
          <w:b/>
        </w:rPr>
        <w:t>Internal Agent checks.</w:t>
      </w:r>
      <w:r>
        <w:t xml:space="preserve"> Confirm whether any Section 6.03 notice (DEQ) or any Whitfield waiver request was ever received, and verify Term Loan A receipts against the payment ledger.</w:t>
      </w:r>
    </w:p>
    <w:p>
      <w:pPr>
        <w:pStyle w:val="ListNumber"/>
        <w:spacing w:after="60"/>
      </w:pPr>
      <w:r>
        <w:rPr>
          <w:b/>
        </w:rPr>
        <w:t>Syndicate.</w:t>
      </w:r>
      <w:r>
        <w:t xml:space="preserve"> Circulate this analysis (or a summary) to the Lenders under Section 8.02 and seek Required Lender direction on a waiver and amendment versus reservation of remedies. In the meantime, consider the borrowing conditions before honoring new credit extensions.</w:t>
      </w:r>
    </w:p>
    <w:p>
      <w:pPr>
        <w:pStyle w:val="Heading1"/>
      </w:pPr>
      <w:r>
        <w:t>VIII. Assumptions and Limitations</w:t>
      </w:r>
    </w:p>
    <w:p>
      <w:pPr>
        <w:spacing w:after="120"/>
      </w:pPr>
      <w:r>
        <w:rPr>
          <w:i w:val="0"/>
        </w:rPr>
        <w:t>This review is limited to the excerpted Credit Agreement provisions and the documents provided. Articles II–V and IX–XI, Sections 7.01–7.03, 7.05 and 7.07–7.10, the amendment and waiver provisions, the Guaranty and the Security Agreement were not provided. Conclusions about baskets, borrowing conditions and required voting thresholds should be confirmed against the full agreement. Figures come from the unaudited Financials, which themselves contain the inconsistencies noted. Business Day calculations assume no Seattle or New York bank holidays in the relevant windows (none apply to April 26–May 3, 2024 or November 14–24, 2024). Questions of Responsible Officer “actual knowledge” are factual and are based on inference from the Borrower’s own records.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