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240" w:before="0"/>
        <w:jc w:val="center"/>
      </w:pPr>
      <w:r>
        <w:rPr>
          <w:b/>
        </w:rPr>
        <w:t>EXHIBIT 1 — PROPOSED FINAL DECREE</w:t>
      </w:r>
    </w:p>
    <w:p>
      <w:pPr>
        <w:spacing w:line="240" w:lineRule="auto" w:after="0" w:before="0"/>
        <w:jc w:val="center"/>
      </w:pPr>
      <w:r>
        <w:rPr>
          <w:b/>
        </w:rPr>
        <w:t>UNITED STATES BANKRUPTCY COURT</w:t>
      </w:r>
    </w:p>
    <w:p>
      <w:pPr>
        <w:spacing w:line="240" w:lineRule="auto" w:after="0" w:before="0"/>
        <w:jc w:val="center"/>
      </w:pPr>
      <w:r>
        <w:rPr>
          <w:b/>
        </w:rPr>
        <w:t>FOR THE DISTRICT OF OREGON</w:t>
      </w:r>
    </w:p>
    <w:p>
      <w:pPr>
        <w:spacing w:line="240" w:lineRule="auto" w:after="240" w:before="0"/>
        <w:jc w:val="center"/>
      </w:pPr>
      <w:r>
        <w:rPr>
          <w:b/>
        </w:rPr>
        <w:t>PORTLAND DIVISION</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896"/>
        <w:gridCol w:w="4464"/>
      </w:tblGrid>
      <w:tr>
        <w:tc>
          <w:tcPr>
            <w:tcW w:type="dxa" w:w="4896"/>
            <w:tcBorders>
              <w:bottom w:val="single" w:sz="6" w:color="000000"/>
              <w:right w:val="single" w:sz="6" w:color="000000"/>
            </w:tcBorders>
          </w:tcPr>
          <w:p>
            <w:pPr>
              <w:spacing w:line="240" w:lineRule="auto"/>
              <w:jc w:val="left"/>
            </w:pPr>
            <w:r/>
            <w:r>
              <w:rPr>
                <w:sz w:val="24"/>
              </w:rPr>
              <w:t>In re:</w:t>
            </w:r>
          </w:p>
          <w:p>
            <w:pPr>
              <w:spacing w:line="240" w:lineRule="auto"/>
              <w:jc w:val="left"/>
            </w:pPr>
          </w:p>
          <w:p>
            <w:pPr>
              <w:spacing w:line="240" w:lineRule="auto"/>
              <w:jc w:val="left"/>
            </w:pPr>
            <w:r>
              <w:rPr>
                <w:b/>
                <w:sz w:val="24"/>
              </w:rPr>
              <w:t>CASCADIA TIMBER HOLDINGS, INC.,</w:t>
            </w:r>
          </w:p>
          <w:p>
            <w:pPr>
              <w:spacing w:line="240" w:lineRule="auto"/>
              <w:jc w:val="left"/>
            </w:pPr>
            <w:r>
              <w:rPr>
                <w:sz w:val="24"/>
              </w:rPr>
              <w:t>an Oregon corporation,</w:t>
            </w:r>
          </w:p>
          <w:p>
            <w:pPr>
              <w:spacing w:line="240" w:lineRule="auto"/>
              <w:jc w:val="left"/>
            </w:pPr>
            <w:r>
              <w:rPr>
                <w:sz w:val="24"/>
              </w:rPr>
              <w:t>EIN 93-1284756,</w:t>
            </w:r>
          </w:p>
          <w:p>
            <w:pPr>
              <w:spacing w:line="240" w:lineRule="auto"/>
              <w:jc w:val="left"/>
            </w:pPr>
          </w:p>
          <w:p>
            <w:pPr>
              <w:spacing w:line="240" w:lineRule="auto"/>
              <w:jc w:val="left"/>
            </w:pPr>
            <w:r>
              <w:rPr>
                <w:sz w:val="24"/>
              </w:rPr>
              <w:t xml:space="preserve">                                        </w:t>
            </w:r>
            <w:r>
              <w:rPr>
                <w:i/>
                <w:sz w:val="24"/>
              </w:rPr>
              <w:t>Debtor.</w:t>
            </w:r>
          </w:p>
        </w:tc>
        <w:tc>
          <w:tcPr>
            <w:tcW w:type="dxa" w:w="4464"/>
          </w:tcPr>
          <w:p>
            <w:pPr>
              <w:spacing w:line="240" w:lineRule="auto"/>
              <w:jc w:val="left"/>
            </w:pPr>
            <w:r/>
            <w:r>
              <w:rPr>
                <w:sz w:val="24"/>
              </w:rPr>
              <w:t xml:space="preserve">   Case No. 22-30847-PCW</w:t>
            </w:r>
          </w:p>
          <w:p>
            <w:pPr>
              <w:spacing w:line="240" w:lineRule="auto"/>
              <w:jc w:val="left"/>
            </w:pPr>
          </w:p>
          <w:p>
            <w:pPr>
              <w:spacing w:line="240" w:lineRule="auto"/>
              <w:jc w:val="left"/>
            </w:pPr>
            <w:r>
              <w:rPr>
                <w:sz w:val="24"/>
              </w:rPr>
              <w:t xml:space="preserve">   Chapter 11</w:t>
            </w:r>
          </w:p>
          <w:p>
            <w:pPr>
              <w:spacing w:line="240" w:lineRule="auto"/>
              <w:jc w:val="left"/>
            </w:pPr>
          </w:p>
          <w:p>
            <w:pPr>
              <w:spacing w:line="240" w:lineRule="auto"/>
              <w:jc w:val="left"/>
            </w:pPr>
            <w:r>
              <w:rPr>
                <w:sz w:val="24"/>
              </w:rPr>
              <w:t xml:space="preserve">   Hon. Patricia C. Wellborne</w:t>
            </w:r>
          </w:p>
          <w:p>
            <w:pPr>
              <w:spacing w:line="240" w:lineRule="auto"/>
              <w:jc w:val="left"/>
            </w:pPr>
          </w:p>
          <w:p>
            <w:pPr>
              <w:spacing w:line="240" w:lineRule="auto"/>
              <w:jc w:val="left"/>
            </w:pPr>
          </w:p>
          <w:p>
            <w:pPr>
              <w:spacing w:line="240" w:lineRule="auto"/>
              <w:jc w:val="left"/>
            </w:pPr>
            <w:r>
              <w:rPr>
                <w:sz w:val="24"/>
              </w:rPr>
              <w:t xml:space="preserve">   </w:t>
            </w:r>
            <w:r>
              <w:rPr>
                <w:b/>
                <w:sz w:val="24"/>
              </w:rPr>
              <w:t>[PROPOSED] FINAL DECREE AND</w:t>
            </w:r>
          </w:p>
          <w:p>
            <w:pPr>
              <w:spacing w:line="240" w:lineRule="auto"/>
              <w:jc w:val="left"/>
            </w:pPr>
            <w:r>
              <w:rPr>
                <w:sz w:val="24"/>
              </w:rPr>
              <w:t xml:space="preserve">   </w:t>
            </w:r>
            <w:r>
              <w:rPr>
                <w:b/>
                <w:sz w:val="24"/>
              </w:rPr>
              <w:t>ORDER (I) GRANTING REORGANIZED</w:t>
            </w:r>
          </w:p>
          <w:p>
            <w:pPr>
              <w:spacing w:line="240" w:lineRule="auto"/>
              <w:jc w:val="left"/>
            </w:pPr>
            <w:r>
              <w:rPr>
                <w:sz w:val="24"/>
              </w:rPr>
              <w:t xml:space="preserve">   </w:t>
            </w:r>
            <w:r>
              <w:rPr>
                <w:b/>
                <w:sz w:val="24"/>
              </w:rPr>
              <w:t>DEBTOR’S MOTION FOR ENTRY OF</w:t>
            </w:r>
          </w:p>
          <w:p>
            <w:pPr>
              <w:spacing w:line="240" w:lineRule="auto"/>
              <w:jc w:val="left"/>
            </w:pPr>
            <w:r>
              <w:rPr>
                <w:sz w:val="24"/>
              </w:rPr>
              <w:t xml:space="preserve">   </w:t>
            </w:r>
            <w:r>
              <w:rPr>
                <w:b/>
                <w:sz w:val="24"/>
              </w:rPr>
              <w:t>FINAL DECREE AND (II) CLOSING</w:t>
            </w:r>
          </w:p>
          <w:p>
            <w:pPr>
              <w:spacing w:line="240" w:lineRule="auto"/>
              <w:jc w:val="left"/>
            </w:pPr>
            <w:r>
              <w:rPr>
                <w:sz w:val="24"/>
              </w:rPr>
              <w:t xml:space="preserve">   </w:t>
            </w:r>
            <w:r>
              <w:rPr>
                <w:b/>
                <w:sz w:val="24"/>
              </w:rPr>
              <w:t>CHAPTER 11 CASE UPON</w:t>
            </w:r>
          </w:p>
          <w:p>
            <w:pPr>
              <w:spacing w:line="240" w:lineRule="auto"/>
              <w:jc w:val="left"/>
            </w:pPr>
            <w:r>
              <w:rPr>
                <w:sz w:val="24"/>
              </w:rPr>
              <w:t xml:space="preserve">   </w:t>
            </w:r>
            <w:r>
              <w:rPr>
                <w:b/>
                <w:sz w:val="24"/>
              </w:rPr>
              <w:t>SATISFACTION OF CLOSING</w:t>
            </w:r>
          </w:p>
          <w:p>
            <w:pPr>
              <w:spacing w:line="240" w:lineRule="auto"/>
              <w:jc w:val="left"/>
            </w:pPr>
            <w:r>
              <w:rPr>
                <w:sz w:val="24"/>
              </w:rPr>
              <w:t xml:space="preserve">   </w:t>
            </w:r>
            <w:r>
              <w:rPr>
                <w:b/>
                <w:sz w:val="24"/>
              </w:rPr>
              <w:t>CONDITIONS</w:t>
            </w:r>
          </w:p>
        </w:tc>
      </w:tr>
    </w:tbl>
    <w:p>
      <w:pPr>
        <w:spacing w:line="240" w:lineRule="auto" w:after="120" w:before="0"/>
        <w:ind w:firstLine="720"/>
        <w:jc w:val="both"/>
      </w:pPr>
    </w:p>
    <w:p>
      <w:pPr>
        <w:spacing w:line="480" w:lineRule="auto" w:after="0" w:before="0"/>
        <w:ind w:firstLine="720"/>
        <w:jc w:val="both"/>
      </w:pPr>
      <w:r>
        <w:rPr/>
        <w:t xml:space="preserve">THIS MATTER came before the Court on the </w:t>
      </w:r>
      <w:r>
        <w:rPr>
          <w:i/>
        </w:rPr>
        <w:t>Reorganized Debtor’s Motion for Entry of a Final Decree Closing Chapter 11 Case</w:t>
      </w:r>
      <w:r>
        <w:rPr/>
        <w:t xml:space="preserve"> [Dkt. No. ___] (the “</w:t>
      </w:r>
      <w:r>
        <w:rPr>
          <w:b/>
        </w:rPr>
        <w:t>Motion</w:t>
      </w:r>
      <w:r>
        <w:rPr/>
        <w:t>”) filed by Cascadia Timber Holdings, Inc., the reorganized debtor (the “</w:t>
      </w:r>
      <w:r>
        <w:rPr>
          <w:b/>
        </w:rPr>
        <w:t>Reorganized Debtor</w:t>
      </w:r>
      <w:r>
        <w:rPr/>
        <w:t>”), with the support of Stonecreek Advisory Group, LLC, as Plan Administrator (the “</w:t>
      </w:r>
      <w:r>
        <w:rPr>
          <w:b/>
        </w:rPr>
        <w:t>Plan Administrator</w:t>
      </w:r>
      <w:r>
        <w:rPr/>
        <w:t>”), seeking entry of a final decree closing the above-captioned chapter 11 case (the “</w:t>
      </w:r>
      <w:r>
        <w:rPr>
          <w:b/>
        </w:rPr>
        <w:t>Chapter 11 Case</w:t>
      </w:r>
      <w:r>
        <w:rPr/>
        <w:t xml:space="preserve">”) pursuant to 11 U.S.C. § 350(a) and Fed. R. Bankr. P. 3022. Capitalized terms not defined in this Final Decree have the meanings given in the Motion or, if not defined there, in the </w:t>
      </w:r>
      <w:r>
        <w:rPr>
          <w:i/>
        </w:rPr>
        <w:t>Second Amended Joint Chapter 11 Plan of Reorganization of Cascadia Timber Holdings, Inc.</w:t>
      </w:r>
      <w:r>
        <w:rPr/>
        <w:t xml:space="preserve"> [Dkt. No. 398] (the “</w:t>
      </w:r>
      <w:r>
        <w:rPr>
          <w:b/>
        </w:rPr>
        <w:t>Plan</w:t>
      </w:r>
      <w:r>
        <w:rPr/>
        <w:t xml:space="preserve">”) or the </w:t>
      </w:r>
      <w:r>
        <w:rPr>
          <w:i/>
        </w:rPr>
        <w:t>Order Confirming Second Amended Joint Chapter 11 Plan of Reorganization</w:t>
      </w:r>
      <w:r>
        <w:rPr/>
        <w:t xml:space="preserve"> entered November 9, 2023 [Dkt. No. 412] (the “</w:t>
      </w:r>
      <w:r>
        <w:rPr>
          <w:b/>
        </w:rPr>
        <w:t>Confirmation Order</w:t>
      </w:r>
      <w:r>
        <w:rPr/>
        <w:t>”).</w:t>
      </w:r>
    </w:p>
    <w:p>
      <w:pPr>
        <w:spacing w:line="480" w:lineRule="auto" w:after="0" w:before="0"/>
        <w:ind w:firstLine="720"/>
        <w:jc w:val="both"/>
      </w:pPr>
      <w:r>
        <w:rPr/>
        <w:t>The Court has reviewed the Motion, the Declaration of [__________] and the Supplemental Declaration of Douglas R. Emmerich filed in support of the Motion, the Plan Administrator’s Final Status Report [Dkt. No. 501], [the response of the United States Trustee [Dkt. No. ___],] and the record of the Chapter 11 Case, [and has heard the statements of counsel at the hearing held on [________], 2025]. The Court FINDS and CONCLUDES that:</w:t>
      </w:r>
    </w:p>
    <w:p>
      <w:pPr>
        <w:spacing w:line="480" w:lineRule="auto" w:after="0" w:before="0"/>
        <w:ind w:firstLine="720"/>
        <w:jc w:val="both"/>
      </w:pPr>
      <w:r>
        <w:rPr/>
        <w:t>A.</w:t>
        <w:tab/>
        <w:t>The Court has jurisdiction over the Motion under 28 U.S.C. §§ 157 and 1334, and retained jurisdiction to enter a final decree under Confirmation Order ¶ O(n) and Plan § 12.1(k). This is a core proceeding under 28 U.S.C. § 157(b)(2)(A) and (O). Venue is proper under 28 U.S.C. §§ 1408 and 1409.</w:t>
      </w:r>
    </w:p>
    <w:p>
      <w:pPr>
        <w:spacing w:line="480" w:lineRule="auto" w:after="0" w:before="0"/>
        <w:ind w:firstLine="720"/>
        <w:jc w:val="both"/>
      </w:pPr>
      <w:r>
        <w:rPr/>
        <w:t>B.</w:t>
        <w:tab/>
        <w:t>Notice of the Motion and the opportunity for a hearing were adequate and appropriate under the circumstances and complied with the Bankruptcy Code, the Bankruptcy Rules, and the Local Bankruptcy Rules, and no other or further notice is required.</w:t>
      </w:r>
    </w:p>
    <w:p>
      <w:pPr>
        <w:spacing w:line="480" w:lineRule="auto" w:after="0" w:before="0"/>
        <w:ind w:firstLine="720"/>
        <w:jc w:val="both"/>
      </w:pPr>
      <w:r>
        <w:rPr/>
        <w:t>C.</w:t>
        <w:tab/>
        <w:t>The Confirmation Order is a final order. The Plan became effective on December 1, 2023 and has been substantially consummated within the meaning of 11 U.S.C. § 1101(2).</w:t>
      </w:r>
    </w:p>
    <w:p>
      <w:pPr>
        <w:spacing w:line="480" w:lineRule="auto" w:after="0" w:before="0"/>
        <w:ind w:firstLine="720"/>
        <w:jc w:val="both"/>
      </w:pPr>
      <w:r>
        <w:rPr/>
        <w:t>D.</w:t>
        <w:tab/>
        <w:t>Subject only to satisfaction of the Closing Conditions set forth in paragraph 2 below, which are ministerial in nature, the estate has been fully administered within the meaning of 11 U.S.C. § 350(a) and Fed. R. Bankr. P. 3022. No trustee was appointed in the Chapter 11 Case.</w:t>
      </w:r>
    </w:p>
    <w:p>
      <w:pPr>
        <w:spacing w:line="480" w:lineRule="auto" w:after="0" w:before="0"/>
        <w:ind w:firstLine="720"/>
        <w:jc w:val="both"/>
      </w:pPr>
      <w:r>
        <w:rPr/>
        <w:t>E.</w:t>
        <w:tab/>
        <w:t>The relief granted herein is in the best interests of the Reorganized Debtor, its creditors, and other parties in interest, and good and sufficient cause exists for granting it.</w:t>
      </w:r>
    </w:p>
    <w:p>
      <w:pPr>
        <w:spacing w:line="480" w:lineRule="auto" w:after="0" w:before="120"/>
        <w:ind w:firstLine="720"/>
        <w:jc w:val="both"/>
      </w:pPr>
      <w:r>
        <w:rPr/>
        <w:t xml:space="preserve">Based on the foregoing, </w:t>
      </w:r>
      <w:r>
        <w:rPr>
          <w:b/>
        </w:rPr>
        <w:t>IT IS HEREBY ORDERED, ADJUDGED, AND DECREED THAT:</w:t>
      </w:r>
    </w:p>
    <w:p>
      <w:pPr>
        <w:spacing w:line="480" w:lineRule="auto" w:after="0" w:before="0"/>
        <w:ind w:firstLine="720"/>
        <w:jc w:val="both"/>
      </w:pPr>
      <w:r>
        <w:rPr/>
        <w:t>1.</w:t>
        <w:tab/>
      </w:r>
      <w:r>
        <w:rPr>
          <w:b/>
        </w:rPr>
        <w:t>Motion Granted.</w:t>
      </w:r>
      <w:r>
        <w:rPr/>
        <w:t xml:space="preserve"> The Motion is GRANTED as set forth in this Final Decree. [Any objections to the Motion that have not been withdrawn or resolved are OVERRULED.]</w:t>
      </w:r>
    </w:p>
    <w:p>
      <w:pPr>
        <w:spacing w:line="480" w:lineRule="auto" w:after="0" w:before="0"/>
        <w:ind w:firstLine="720"/>
        <w:jc w:val="both"/>
      </w:pPr>
      <w:r>
        <w:rPr/>
        <w:t>2.</w:t>
        <w:tab/>
      </w:r>
      <w:r>
        <w:rPr>
          <w:b/>
        </w:rPr>
        <w:t>Closing Conditions.</w:t>
      </w:r>
      <w:r>
        <w:rPr/>
        <w:t xml:space="preserve"> This Final Decree shall become effective, and the Chapter 11 Case shall be closed, only upon satisfaction of each of the following conditions (the “</w:t>
      </w:r>
      <w:r>
        <w:rPr>
          <w:b/>
        </w:rPr>
        <w:t>Closing Conditions</w:t>
      </w:r>
      <w:r>
        <w:rPr/>
        <w:t>”):</w:t>
      </w:r>
    </w:p>
    <w:p>
      <w:pPr>
        <w:tabs>
          <w:tab w:pos="1440" w:val="left"/>
        </w:tabs>
        <w:spacing w:line="360" w:lineRule="auto" w:after="120" w:before="0"/>
        <w:ind w:left="1440" w:hanging="720"/>
        <w:jc w:val="both"/>
      </w:pPr>
      <w:r>
        <w:t>(a)</w:t>
        <w:tab/>
      </w:r>
      <w:r>
        <w:rPr/>
        <w:t xml:space="preserve">an order approving the Plan Administrator’s </w:t>
      </w:r>
      <w:r>
        <w:rPr>
          <w:i/>
        </w:rPr>
        <w:t>Motion for Approval of Compromise and Settlement of Adversary Proceeding No. 22-03091-PCW</w:t>
      </w:r>
      <w:r>
        <w:rPr/>
        <w:t xml:space="preserve"> [Dkt. No. 498] shall have been entered and become final and non-appealable; the $525,000.00 settlement payment shall have been received by the Plan Administrator; and Adversary Proceeding No. 22-03091-PCW, </w:t>
      </w:r>
      <w:r>
        <w:rPr>
          <w:i/>
        </w:rPr>
        <w:t>Cascadia Timber Holdings, Inc. v. Pacific Rim Log Exports, LLC</w:t>
      </w:r>
      <w:r>
        <w:rPr/>
        <w:t>, shall have been dismissed with prejudice;</w:t>
      </w:r>
    </w:p>
    <w:p>
      <w:pPr>
        <w:tabs>
          <w:tab w:pos="1440" w:val="left"/>
        </w:tabs>
        <w:spacing w:line="360" w:lineRule="auto" w:after="120" w:before="0"/>
        <w:ind w:left="1440" w:hanging="720"/>
        <w:jc w:val="both"/>
      </w:pPr>
      <w:r>
        <w:t>(b)</w:t>
        <w:tab/>
      </w:r>
      <w:r>
        <w:rPr/>
        <w:t>the Plan Administrator shall have distributed the net proceeds of the Pacific Rim settlement to holders of Allowed Class 4 General Unsecured Claims in accordance with Plan § 5.8 and Confirmation Order ¶ G, and shall have filed a notice of distribution identifying the gross recovery, the costs and expenses deducted, and the amount distributed;</w:t>
      </w:r>
    </w:p>
    <w:p>
      <w:pPr>
        <w:tabs>
          <w:tab w:pos="1440" w:val="left"/>
        </w:tabs>
        <w:spacing w:line="360" w:lineRule="auto" w:after="120" w:before="0"/>
        <w:ind w:left="1440" w:hanging="720"/>
        <w:jc w:val="both"/>
      </w:pPr>
      <w:r>
        <w:t>(c)</w:t>
        <w:tab/>
      </w:r>
      <w:r>
        <w:rPr/>
        <w:t>the Reorganized Debtor shall have paid all quarterly fees due under 28 U.S.C. § 1930(a)(6), including the fee for the first quarter of 2025 and the fee for the quarter in which the Chapter 11 Case is closed, calculated on all disbursements through the Closing Date (defined below), together with any interest due under 31 U.S.C. § 3717;</w:t>
      </w:r>
    </w:p>
    <w:p>
      <w:pPr>
        <w:tabs>
          <w:tab w:pos="1440" w:val="left"/>
        </w:tabs>
        <w:spacing w:line="360" w:lineRule="auto" w:after="120" w:before="0"/>
        <w:ind w:left="1440" w:hanging="720"/>
        <w:jc w:val="both"/>
      </w:pPr>
      <w:r>
        <w:t>(d)</w:t>
        <w:tab/>
      </w:r>
      <w:r>
        <w:rPr/>
        <w:t>the Reorganized Debtor shall have filed all monthly post-confirmation operating reports through the most recently completed month, including the January 2025 report (on or before February 20, 2025), and a final post-confirmation report covering the period from the last filed report through the Closing Date;</w:t>
      </w:r>
    </w:p>
    <w:p>
      <w:pPr>
        <w:tabs>
          <w:tab w:pos="1440" w:val="left"/>
        </w:tabs>
        <w:spacing w:line="360" w:lineRule="auto" w:after="120" w:before="0"/>
        <w:ind w:left="1440" w:hanging="720"/>
        <w:jc w:val="both"/>
      </w:pPr>
      <w:r>
        <w:t>(e)</w:t>
        <w:tab/>
      </w:r>
      <w:r>
        <w:rPr/>
        <w:t>[a final order shall have been entered on the final fee application of Ridgeline &amp; Sutter LLP, and] a final order shall have been entered on the Plan Administrator’s final application for allowance of compensation and reimbursement of expenses for services rendered before the Closing Date, and all amounts allowed shall have been paid;</w:t>
      </w:r>
    </w:p>
    <w:p>
      <w:pPr>
        <w:tabs>
          <w:tab w:pos="1440" w:val="left"/>
        </w:tabs>
        <w:spacing w:line="360" w:lineRule="auto" w:after="120" w:before="0"/>
        <w:ind w:left="1440" w:hanging="720"/>
        <w:jc w:val="both"/>
      </w:pPr>
      <w:r>
        <w:t>(f)</w:t>
        <w:tab/>
      </w:r>
      <w:r>
        <w:rPr/>
        <w:t>the Plan Administrator shall have filed, and served on the United States Trustee, a supplemental final report detailing all funds received and disbursed through the Closing Date, including the Pacific Rim settlement proceeds; and</w:t>
      </w:r>
    </w:p>
    <w:p>
      <w:pPr>
        <w:tabs>
          <w:tab w:pos="1440" w:val="left"/>
        </w:tabs>
        <w:spacing w:line="360" w:lineRule="auto" w:after="120" w:before="0"/>
        <w:ind w:left="1440" w:hanging="720"/>
        <w:jc w:val="both"/>
      </w:pPr>
      <w:r>
        <w:t>(g)</w:t>
        <w:tab/>
      </w:r>
      <w:r>
        <w:rPr/>
        <w:t>the Reorganized Debtor shall have filed written confirmation from the Internal Revenue Service, or other evidence reasonably satisfactory to the United States Trustee, that Claim No. 14 has been satisfied in full in accordance with the Plan.</w:t>
      </w:r>
    </w:p>
    <w:p>
      <w:pPr>
        <w:spacing w:line="240" w:lineRule="auto" w:after="120" w:before="0"/>
        <w:ind w:firstLine="720"/>
        <w:jc w:val="both"/>
      </w:pPr>
    </w:p>
    <w:p>
      <w:pPr>
        <w:spacing w:line="480" w:lineRule="auto" w:after="0" w:before="0"/>
        <w:ind w:firstLine="720"/>
        <w:jc w:val="both"/>
      </w:pPr>
      <w:r>
        <w:rPr/>
        <w:t>3.</w:t>
        <w:tab/>
      </w:r>
      <w:r>
        <w:rPr>
          <w:b/>
        </w:rPr>
        <w:t>Closing Certification.</w:t>
      </w:r>
      <w:r>
        <w:rPr/>
        <w:t xml:space="preserve"> Within seven (7) days after the Closing Conditions have been satisfied, the Reorganized Debtor shall file, and serve on the United States Trustee and all parties that have requested notice under Fed. R. Bankr. P. 2002, a certification (the “</w:t>
      </w:r>
      <w:r>
        <w:rPr>
          <w:b/>
        </w:rPr>
        <w:t>Closing Certification</w:t>
      </w:r>
      <w:r>
        <w:rPr/>
        <w:t>”) stating that each Closing Condition has been satisfied and identifying, by docket number or attached exhibit, the evidence of satisfaction of each Closing Condition.</w:t>
      </w:r>
    </w:p>
    <w:p>
      <w:pPr>
        <w:spacing w:line="480" w:lineRule="auto" w:after="0" w:before="0"/>
        <w:ind w:firstLine="720"/>
        <w:jc w:val="both"/>
      </w:pPr>
      <w:r>
        <w:rPr/>
        <w:t>4.</w:t>
        <w:tab/>
      </w:r>
      <w:r>
        <w:rPr>
          <w:b/>
        </w:rPr>
        <w:t>U.S. Trustee Review; Closing Date.</w:t>
      </w:r>
      <w:r>
        <w:rPr/>
        <w:t xml:space="preserve"> The United States Trustee may file an objection to the Closing Certification, limited to whether the Closing Conditions have been satisfied, within fourteen (14) days after service of the Closing Certification. If no such objection is timely filed, or upon the withdrawal or resolution of any such objection by the Court, this Final Decree shall become effective, and the Clerk of the Court is directed to close the Chapter 11 Case, without further notice, hearing, or order of the Court (the date on which the Chapter 11 Case is closed, the “</w:t>
      </w:r>
      <w:r>
        <w:rPr>
          <w:b/>
        </w:rPr>
        <w:t>Closing Date</w:t>
      </w:r>
      <w:r>
        <w:rPr/>
        <w:t>”). The Clerk is further directed to close Adversary Proceeding No. 22-03091-PCW upon the filing of the dismissal referenced in paragraph 2(a), to the extent not already closed.</w:t>
      </w:r>
    </w:p>
    <w:p>
      <w:pPr>
        <w:spacing w:line="480" w:lineRule="auto" w:after="0" w:before="0"/>
        <w:ind w:firstLine="720"/>
        <w:jc w:val="both"/>
      </w:pPr>
      <w:r>
        <w:rPr/>
        <w:t>5.</w:t>
        <w:tab/>
      </w:r>
      <w:r>
        <w:rPr>
          <w:b/>
        </w:rPr>
        <w:t>Outside Date.</w:t>
      </w:r>
      <w:r>
        <w:rPr/>
        <w:t xml:space="preserve"> If the Closing Certification has not been filed by [June 30, 2025], the Reorganized Debtor shall file a status report describing the status of each unsatisfied Closing Condition and the anticipated date of satisfaction, and the Court may set a further hearing.</w:t>
      </w:r>
    </w:p>
    <w:p>
      <w:pPr>
        <w:spacing w:line="480" w:lineRule="auto" w:after="0" w:before="0"/>
        <w:ind w:firstLine="720"/>
        <w:jc w:val="both"/>
      </w:pPr>
      <w:r>
        <w:rPr/>
        <w:t>6.</w:t>
        <w:tab/>
      </w:r>
      <w:r>
        <w:rPr>
          <w:b/>
        </w:rPr>
        <w:t>Quarterly Fees and Reports.</w:t>
      </w:r>
      <w:r>
        <w:rPr/>
        <w:t xml:space="preserve"> Until the Closing Date, the Reorganized Debtor shall continue to (a) pay quarterly fees under 28 U.S.C. § 1930(a)(6) when due and (b) file monthly post-confirmation operating reports in the form required by the United States Trustee. The Reorganized Debtor’s obligation to pay quarterly fees accrued through the Closing Date shall survive entry of this Final Decree and the closing of the Chapter 11 Case. The Reorganized Debtor shall pay the quarterly fee for the quarter in which the Closing Date occurs, calculated on disbursements through the Closing Date, no later than [the date such fee is due under 28 U.S.C. § 1930(a)(6) / ten (10) days after the Closing Date]. After the Closing Date, no further quarterly fees shall accrue and no further operating reports shall be required, unless the Chapter 11 Case is reopened.</w:t>
      </w:r>
    </w:p>
    <w:p>
      <w:pPr>
        <w:spacing w:line="480" w:lineRule="auto" w:after="0" w:before="0"/>
        <w:ind w:firstLine="720"/>
        <w:jc w:val="both"/>
      </w:pPr>
      <w:r>
        <w:rPr/>
        <w:t>7.</w:t>
        <w:tab/>
      </w:r>
      <w:r>
        <w:rPr>
          <w:b/>
        </w:rPr>
        <w:t>Plan Administrator.</w:t>
      </w:r>
      <w:r>
        <w:rPr/>
        <w:t xml:space="preserve"> Compensation and reimbursement of expenses of the Plan Administrator for services rendered after the Closing Date shall be paid by the Reorganized Debtor in the ordinary course, without further application to or order of this Court, in accordance with Confirmation Order ¶ H and Plan § 7.2(d). The Plan Administrator’s appointment shall continue after the Closing Date solely to the extent provided in the Plan and the Confirmation Order and shall terminate in accordance with Plan § 7.4.</w:t>
      </w:r>
    </w:p>
    <w:p>
      <w:pPr>
        <w:spacing w:line="480" w:lineRule="auto" w:after="0" w:before="0"/>
        <w:ind w:firstLine="720"/>
        <w:jc w:val="both"/>
      </w:pPr>
      <w:r>
        <w:rPr/>
        <w:t>8.</w:t>
        <w:tab/>
      </w:r>
      <w:r>
        <w:rPr>
          <w:b/>
        </w:rPr>
        <w:t>Survival of Discharge, Injunctions, and Plan Provisions.</w:t>
      </w:r>
      <w:r>
        <w:rPr/>
        <w:t xml:space="preserve"> Nothing in this Final Decree or the closing of the Chapter 11 Case shall modify, impair, or otherwise affect the Plan, the Confirmation Order, or any agreement, instrument, or document executed or delivered in connection therewith, including the Exit Facility documents, the New Senior Secured Notes, and the New Subordinated Secured Notes. Without limiting the foregoing, the discharge granted under 11 U.S.C. § 1141(d) and Confirmation Order ¶ K; the permanent injunction set forth in Confirmation Order ¶ L and Plan § 10.2; the injunction arising under 11 U.S.C. § 524; and the exculpation and other provisions identified in Plan § 12.6 shall survive entry of this Final Decree and the closing of the Chapter 11 Case and shall remain in full force and effect.</w:t>
      </w:r>
    </w:p>
    <w:p>
      <w:pPr>
        <w:spacing w:line="480" w:lineRule="auto" w:after="0" w:before="0"/>
        <w:ind w:firstLine="720"/>
        <w:jc w:val="both"/>
      </w:pPr>
      <w:r>
        <w:rPr/>
        <w:t>9.</w:t>
        <w:tab/>
      </w:r>
      <w:r>
        <w:rPr>
          <w:b/>
        </w:rPr>
        <w:t>Retention of Jurisdiction.</w:t>
      </w:r>
      <w:r>
        <w:rPr/>
        <w:t xml:space="preserve"> Notwithstanding entry of this Final Decree and the closing of the Chapter 11 Case, the Court shall retain jurisdiction to the fullest extent provided in Confirmation Order ¶ O and Plan § 12.1, including, without limitation, jurisdiction to (a) enforce and interpret the Plan, the Confirmation Order, and this Final Decree; (b) hear and determine any dispute arising under or related to the Plan or the Confirmation Order, including disputes regarding distributions and the Plan Administrator’s duties, powers, and compensation; (c) enforce the discharge and injunctions referenced in paragraph 8; and (d) hear and determine any motion to reopen the Chapter 11 Case under 11 U.S.C. § 350(b).</w:t>
      </w:r>
    </w:p>
    <w:p>
      <w:pPr>
        <w:spacing w:line="480" w:lineRule="auto" w:after="0" w:before="0"/>
        <w:ind w:firstLine="720"/>
        <w:jc w:val="both"/>
      </w:pPr>
      <w:r>
        <w:rPr/>
        <w:t>10.</w:t>
        <w:tab/>
      </w:r>
      <w:r>
        <w:rPr>
          <w:b/>
        </w:rPr>
        <w:t>Reopening.</w:t>
      </w:r>
      <w:r>
        <w:rPr/>
        <w:t xml:space="preserve"> Entry of this Final Decree is without prejudice to the right of the Reorganized Debtor, the United States Trustee, or any other party in interest to seek to reopen the Chapter 11 Case for cause pursuant to 11 U.S.C. § 350(b) and Fed. R. Bankr. P. 5010.</w:t>
      </w:r>
    </w:p>
    <w:p>
      <w:pPr>
        <w:spacing w:line="480" w:lineRule="auto" w:after="0" w:before="0"/>
        <w:ind w:firstLine="720"/>
        <w:jc w:val="both"/>
      </w:pPr>
      <w:r>
        <w:rPr/>
        <w:t>11.</w:t>
        <w:tab/>
      </w:r>
      <w:r>
        <w:rPr>
          <w:b/>
        </w:rPr>
        <w:t>Implementation.</w:t>
      </w:r>
      <w:r>
        <w:rPr/>
        <w:t xml:space="preserve"> The Reorganized Debtor and the Plan Administrator are authorized to take all actions necessary or appropriate to implement this Final Decree. The Reorganized Debtor shall serve this Final Decree within three (3) business days after its entry on the United States Trustee and all parties served with the Motion, and shall serve notice of the Closing Date on the same parties within three (3) business days after the Closing Date.</w:t>
      </w:r>
    </w:p>
    <w:p>
      <w:pPr>
        <w:spacing w:line="480" w:lineRule="auto" w:after="0" w:before="0"/>
        <w:ind w:firstLine="720"/>
        <w:jc w:val="both"/>
      </w:pPr>
      <w:r>
        <w:rPr/>
        <w:t>12.</w:t>
        <w:tab/>
      </w:r>
      <w:r>
        <w:rPr>
          <w:b/>
        </w:rPr>
        <w:t>Immediate Effect.</w:t>
      </w:r>
      <w:r>
        <w:rPr/>
        <w:t xml:space="preserve"> Except as provided in paragraphs 2 through 4 with respect to the effectiveness of the closing of the Chapter 11 Case, this Final Decree shall be effective and enforceable immediately upon entry.</w:t>
      </w:r>
    </w:p>
    <w:p>
      <w:pPr>
        <w:spacing w:line="240" w:lineRule="auto" w:after="240" w:before="240"/>
        <w:jc w:val="center"/>
      </w:pPr>
      <w:r>
        <w:rPr/>
        <w:t>###</w:t>
      </w:r>
    </w:p>
    <w:p>
      <w:pPr>
        <w:spacing w:line="240" w:lineRule="auto" w:after="240" w:before="0"/>
        <w:jc w:val="both"/>
      </w:pPr>
      <w:r>
        <w:rPr/>
        <w:t>I certify that I have complied with the requirements of [LBR 9021-1(a)(2)(A)] [confirm applicable Local Bankruptcy Rule].</w:t>
      </w:r>
    </w:p>
    <w:p>
      <w:pPr>
        <w:spacing w:line="240" w:lineRule="auto" w:after="120" w:before="0"/>
        <w:jc w:val="both"/>
      </w:pPr>
      <w:r>
        <w:rPr/>
        <w:t>Presented by:</w:t>
      </w:r>
    </w:p>
    <w:p>
      <w:pPr>
        <w:spacing w:line="240" w:lineRule="auto" w:after="0" w:before="0"/>
        <w:jc w:val="left"/>
      </w:pPr>
      <w:r>
        <w:rPr/>
        <w:t>RIDGELINE &amp; SUTTER LLP</w:t>
      </w:r>
    </w:p>
    <w:p>
      <w:pPr>
        <w:spacing w:line="240" w:lineRule="auto" w:after="0" w:before="0"/>
        <w:jc w:val="left"/>
      </w:pPr>
    </w:p>
    <w:p>
      <w:pPr>
        <w:spacing w:line="240" w:lineRule="auto" w:after="0" w:before="0"/>
        <w:jc w:val="left"/>
      </w:pPr>
      <w:r>
        <w:rPr/>
        <w:t>By: ______________________________</w:t>
      </w:r>
    </w:p>
    <w:p>
      <w:pPr>
        <w:spacing w:line="240" w:lineRule="auto" w:after="0" w:before="0"/>
        <w:jc w:val="left"/>
      </w:pPr>
      <w:r>
        <w:rPr/>
        <w:t>Martin J. Kowalczyk, OSB No. 051947</w:t>
      </w:r>
    </w:p>
    <w:p>
      <w:pPr>
        <w:spacing w:line="240" w:lineRule="auto" w:after="0" w:before="0"/>
        <w:jc w:val="left"/>
      </w:pPr>
      <w:r>
        <w:rPr/>
        <w:t>Rachel T. Nishimura, OSB No. 184623</w:t>
      </w:r>
    </w:p>
    <w:p>
      <w:pPr>
        <w:spacing w:line="240" w:lineRule="auto" w:after="0" w:before="0"/>
        <w:jc w:val="left"/>
      </w:pPr>
      <w:r>
        <w:rPr/>
        <w:t>1200 SW Fifth Avenue, Suite 2800</w:t>
      </w:r>
    </w:p>
    <w:p>
      <w:pPr>
        <w:spacing w:line="240" w:lineRule="auto" w:after="0" w:before="0"/>
        <w:jc w:val="left"/>
      </w:pPr>
      <w:r>
        <w:rPr/>
        <w:t>Portland, Oregon 97204</w:t>
      </w:r>
    </w:p>
    <w:p>
      <w:pPr>
        <w:spacing w:line="240" w:lineRule="auto" w:after="0" w:before="0"/>
        <w:jc w:val="left"/>
      </w:pPr>
      <w:r>
        <w:rPr/>
        <w:t>Telephone: (503) 555-7400 | Facsimile: (503) 555-7401</w:t>
      </w:r>
    </w:p>
    <w:p>
      <w:pPr>
        <w:spacing w:line="240" w:lineRule="auto" w:after="0" w:before="0"/>
        <w:jc w:val="left"/>
      </w:pPr>
      <w:r>
        <w:rPr>
          <w:i/>
        </w:rPr>
        <w:t>Attorneys for Cascadia Timber Holdings, Inc., Reorganized Debtor</w:t>
      </w:r>
    </w:p>
    <w:p>
      <w:pPr>
        <w:spacing w:line="240" w:lineRule="auto" w:after="240" w:before="0"/>
        <w:ind w:firstLine="720"/>
        <w:jc w:val="both"/>
      </w:pPr>
    </w:p>
    <w:p>
      <w:pPr>
        <w:spacing w:line="240" w:lineRule="auto" w:after="0" w:before="0"/>
        <w:jc w:val="both"/>
      </w:pPr>
      <w:r>
        <w:rPr/>
        <w:t>cc:</w:t>
        <w:tab/>
        <w:t>Office of the United States Trustee, Region 18 (Christopher R. Dalton); Stonecreek Advisory Group, LLC (Douglas R. Emmerich); all ECF participants; and all parties on the service list attached to the Motion.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