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PRIVILEGED &amp; CONFIDENTIAL</w:t>
        <w:br/>
        <w:t>ATTORNEY-CLIENT COMMUNICATION / ATTORNEY WORK PRODUCT</w:t>
        <w:br/>
        <w:t>PREPARED AT THE REQUEST OF COUNSEL IN CONNECTION WITH PENDING CHAPTER 11 PROCEEDINGS</w:t>
      </w:r>
    </w:p>
    <w:p>
      <w:pPr>
        <w:jc w:val="center"/>
      </w:pPr>
      <w:r>
        <w:rPr>
          <w:b/>
          <w:sz w:val="28"/>
        </w:rPr>
        <w:t>BLACKWELL &amp; HARGROVE LLP</w:t>
      </w:r>
    </w:p>
    <w:p>
      <w:pPr>
        <w:jc w:val="center"/>
      </w:pPr>
      <w:r>
        <w:rPr>
          <w:b/>
          <w:sz w:val="26"/>
        </w:rPr>
        <w:t>MEMORANDUM</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D9E2F3"/>
          </w:tcPr>
          <w:p>
            <w:r/>
            <w:r>
              <w:rPr>
                <w:b/>
                <w:sz w:val="20"/>
              </w:rPr>
            </w:r>
          </w:p>
        </w:tc>
        <w:tc>
          <w:tcPr>
            <w:tcW w:type="dxa" w:w="7920"/>
            <w:shd w:val="clear" w:color="auto" w:fill="D9E2F3"/>
          </w:tcPr>
          <w:p>
            <w:r/>
            <w:r>
              <w:rPr>
                <w:b/>
                <w:sz w:val="20"/>
              </w:rPr>
            </w:r>
          </w:p>
        </w:tc>
      </w:tr>
      <w:tr>
        <w:tc>
          <w:tcPr>
            <w:tcW w:type="dxa" w:w="1440"/>
          </w:tcPr>
          <w:p>
            <w:r>
              <w:rPr>
                <w:sz w:val="20"/>
              </w:rPr>
            </w:r>
            <w:r>
              <w:rPr>
                <w:b/>
                <w:sz w:val="20"/>
              </w:rPr>
              <w:t>TO:</w:t>
            </w:r>
          </w:p>
        </w:tc>
        <w:tc>
          <w:tcPr>
            <w:tcW w:type="dxa" w:w="7920"/>
          </w:tcPr>
          <w:p>
            <w:r>
              <w:rPr>
                <w:sz w:val="20"/>
              </w:rPr>
            </w:r>
            <w:r>
              <w:rPr>
                <w:sz w:val="20"/>
              </w:rPr>
              <w:t>Ad Hoc Group of Second Lien Lenders (12 institutional holders; c/o David Wentworth, Managing Director, Harborpoint Credit Management, LLC)</w:t>
            </w:r>
          </w:p>
        </w:tc>
      </w:tr>
      <w:tr>
        <w:tc>
          <w:tcPr>
            <w:tcW w:type="dxa" w:w="1440"/>
          </w:tcPr>
          <w:p>
            <w:r>
              <w:rPr>
                <w:sz w:val="20"/>
              </w:rPr>
            </w:r>
            <w:r>
              <w:rPr>
                <w:b/>
                <w:sz w:val="20"/>
              </w:rPr>
              <w:t>FROM:</w:t>
            </w:r>
          </w:p>
        </w:tc>
        <w:tc>
          <w:tcPr>
            <w:tcW w:type="dxa" w:w="7920"/>
          </w:tcPr>
          <w:p>
            <w:r>
              <w:rPr>
                <w:sz w:val="20"/>
              </w:rPr>
            </w:r>
            <w:r>
              <w:rPr>
                <w:sz w:val="20"/>
              </w:rPr>
              <w:t>Blackwell &amp; Hargrove LLP (Rebecca Thornton; Michael D. Chen)</w:t>
            </w:r>
          </w:p>
        </w:tc>
      </w:tr>
      <w:tr>
        <w:tc>
          <w:tcPr>
            <w:tcW w:type="dxa" w:w="1440"/>
          </w:tcPr>
          <w:p>
            <w:r>
              <w:rPr>
                <w:sz w:val="20"/>
              </w:rPr>
            </w:r>
            <w:r>
              <w:rPr>
                <w:b/>
                <w:sz w:val="20"/>
              </w:rPr>
              <w:t>DATE:</w:t>
            </w:r>
          </w:p>
        </w:tc>
        <w:tc>
          <w:tcPr>
            <w:tcW w:type="dxa" w:w="7920"/>
          </w:tcPr>
          <w:p>
            <w:r>
              <w:rPr>
                <w:sz w:val="20"/>
              </w:rPr>
            </w:r>
            <w:r>
              <w:rPr>
                <w:sz w:val="20"/>
              </w:rPr>
              <w:t>March 21, 2025</w:t>
            </w:r>
          </w:p>
        </w:tc>
      </w:tr>
      <w:tr>
        <w:tc>
          <w:tcPr>
            <w:tcW w:type="dxa" w:w="1440"/>
          </w:tcPr>
          <w:p>
            <w:r>
              <w:rPr>
                <w:sz w:val="20"/>
              </w:rPr>
            </w:r>
            <w:r>
              <w:rPr>
                <w:b/>
                <w:sz w:val="20"/>
              </w:rPr>
              <w:t>RE:</w:t>
            </w:r>
          </w:p>
        </w:tc>
        <w:tc>
          <w:tcPr>
            <w:tcW w:type="dxa" w:w="7920"/>
          </w:tcPr>
          <w:p>
            <w:r>
              <w:rPr>
                <w:sz w:val="20"/>
              </w:rPr>
            </w:r>
            <w:r>
              <w:rPr>
                <w:sz w:val="20"/>
              </w:rPr>
              <w:t>In re Ridgeline Consumer Products, Inc., Case No. 25-10437 (Bankr. S.D.N.Y.) (Harmon, J.) - Key Terms of the First Lien / Second Lien Intercreditor Agreement (June 15, 2021) and the Secured / Unsecured Intercreditor Agreement (October 1, 2022); Priority Questions; DIP, Adequate Protection, Sale, Turnover, Insurance and Cross-Agreement Issues</w:t>
            </w:r>
          </w:p>
        </w:tc>
      </w:tr>
    </w:tbl>
    <w:p>
      <w:pPr>
        <w:spacing w:after="40"/>
      </w:pPr>
    </w:p>
    <w:p>
      <w:pPr>
        <w:jc w:val="both"/>
      </w:pPr>
      <w:r>
        <w:rPr>
          <w:b/>
        </w:rPr>
        <w:t>Documents reviewed.</w:t>
      </w:r>
      <w:r>
        <w:t xml:space="preserve"> (1) First Lien / Second Lien Intercreditor Agreement dated as of June 15, 2021 among Aldersgate National Bank, N.A. (First Lien Agent) and Stonebridge Capital Advisors LLC (Second Lien Agent), acknowledged by the Grantors (the “</w:t>
      </w:r>
      <w:r>
        <w:rPr>
          <w:b/>
        </w:rPr>
        <w:t>1L/2L ICA</w:t>
      </w:r>
      <w:r>
        <w:t>”); (2) Secured / Unsecured Intercreditor Agreement dated as of October 1, 2022 among Aldersgate, Stonebridge and Allegheny Trust Company (Unsecured Notes Trustee), acknowledged by the Grantors (the “</w:t>
      </w:r>
      <w:r>
        <w:rPr>
          <w:b/>
        </w:rPr>
        <w:t>S/U ICA</w:t>
      </w:r>
      <w:r>
        <w:t>”); (3) Declaration of Sandra M. Novak (CFO) in support of First Day Motions dated March 14, 2025 (the “</w:t>
      </w:r>
      <w:r>
        <w:rPr>
          <w:b/>
        </w:rPr>
        <w:t>First Day Declaration</w:t>
      </w:r>
      <w:r>
        <w:t>” or “</w:t>
      </w:r>
      <w:r>
        <w:rPr>
          <w:b/>
        </w:rPr>
        <w:t>FDD</w:t>
      </w:r>
      <w:r>
        <w:t>”); (4) Pinnacle Advisory Group LLC capital structure summary workbook (Capital Structure, Valuation Summary, Recovery Waterfall and Key Dates tabs) (the “</w:t>
      </w:r>
      <w:r>
        <w:rPr>
          <w:b/>
        </w:rPr>
        <w:t>Pinnacle Workbook</w:t>
      </w:r>
      <w:r>
        <w:t xml:space="preserve">”); and (5) David Wentworth’s email of March 17, 2025 setting out the group’s priorities. We have </w:t>
      </w:r>
      <w:r>
        <w:rPr>
          <w:b/>
        </w:rPr>
        <w:t>not</w:t>
      </w:r>
      <w:r>
        <w:t xml:space="preserve"> reviewed the First Lien or Second Lien Credit Agreements, the security documents, the Unsecured Notes Indenture, or the DIP term sheet / credit agreement / proposed interim order; several conclusions below are expressly subject to that review. Section references are to the 1L/2L ICA unless noted as “S/U §”.</w:t>
      </w:r>
    </w:p>
    <w:p>
      <w:pPr>
        <w:pStyle w:val="Heading1"/>
      </w:pPr>
      <w:r>
        <w:t>I. Executive Summary</w:t>
      </w:r>
    </w:p>
    <w:p>
      <w:pPr>
        <w:jc w:val="both"/>
      </w:pPr>
      <w:r>
        <w:t>The bottom lines for the group are as follows. Each is developed, with supporting text and citations, in the sections that follow.</w:t>
      </w:r>
    </w:p>
    <w:p>
      <w:pPr>
        <w:pStyle w:val="ListBullet"/>
        <w:spacing w:after="60"/>
      </w:pPr>
      <w:r>
        <w:rPr>
          <w:b/>
        </w:rPr>
        <w:t>Purchase option (§3.5) — extinguished.</w:t>
      </w:r>
      <w:r>
        <w:t xml:space="preserve"> By its express terms the option had to be exercised within 10 business days after the Second Lien Agent’s receipt of written notice of a triggering event “and in any event prior to the commencement of any Insolvency Proceeding,” and it “shall expire and be of no further force or effect” if an Insolvency Proceeding is commenced before an exercise notice is delivered (§3.5(b)). Ridgeline filed on March 14, 2025 and no exercise notice was delivered. The record also does not show that the option was ever triggered: the First Day Declaration describes only a notice of default and reservation of rights (Feb. 21, 2025), not an acceleration or an Enforcement Action (FDD ¶48), contrary to the assumption in the March 17 email. We see no credible equitable-tolling or “unexpired window” theory. The practical substitutes are (i) negotiating a par take-out right in the DIP/plan context, (ii) purchasing first lien claims in the secondary market (likely below par), or (iii) a plan that pays the first lien in full in cash. We also caution that a par purchase (~$314.5 million or more with accrued interest and fees) is economically questionable at Pinnacle’s valuation, particularly once the $85 million priming DIP is layered in.</w:t>
      </w:r>
    </w:p>
    <w:p>
      <w:pPr>
        <w:pStyle w:val="ListBullet"/>
        <w:spacing w:after="60"/>
      </w:pPr>
      <w:r>
        <w:rPr>
          <w:b/>
        </w:rPr>
        <w:t>Plan voting (§6.5) — real but narrower than Whitfield &amp; Crane asserts.</w:t>
      </w:r>
      <w:r>
        <w:t xml:space="preserve"> §6.5(a) bars the second lien from voting </w:t>
      </w:r>
      <w:r>
        <w:rPr>
          <w:b/>
        </w:rPr>
        <w:t>for</w:t>
      </w:r>
      <w:r>
        <w:t xml:space="preserve"> a plan that is not “acceptable to the Required First Lien Lenders” unless the plan pays the First Lien Obligations in full in cash on the effective date. Nothing in the ICA obligates the second lien to </w:t>
      </w:r>
      <w:r>
        <w:rPr>
          <w:b/>
        </w:rPr>
        <w:t>support</w:t>
      </w:r>
      <w:r>
        <w:t xml:space="preserve"> any plan; the group remains free to vote to </w:t>
      </w:r>
      <w:r>
        <w:rPr>
          <w:b/>
        </w:rPr>
        <w:t>reject</w:t>
      </w:r>
      <w:r>
        <w:t xml:space="preserve">, and §6.5(d) expressly preserves §1129(b) cramdown objections. §6.5(c)’s no-objection covenant applies only to a first-lien-supported plan that respects the §3.3 waterfall. Enforceability of voting restrictions is unsettled nationally, but Southern District of New York precedent (e.g., </w:t>
      </w:r>
      <w:r>
        <w:rPr>
          <w:i/>
        </w:rPr>
        <w:t>In re Ion Media Networks</w:t>
      </w:r>
      <w:r>
        <w:t>) generally enforces clear ICA restrictions between sophisticated lenders; the group should plan on §6.5(a) being enforced. “Appraised Collateral Value” in §6.5(b) is undefined anywhere in the ICA (we confirmed by full-text review); the carve-out is usable only for a plan proposed by the Second Lien Agent and, realistically, only with a court-determined value under Bankruptcy Code §506(a) / Bankruptcy Rule 3012 rather than Pinnacle’s debtor-side enterprise valuation.</w:t>
      </w:r>
    </w:p>
    <w:p>
      <w:pPr>
        <w:pStyle w:val="ListBullet"/>
        <w:spacing w:after="60"/>
      </w:pPr>
      <w:r>
        <w:rPr>
          <w:b/>
        </w:rPr>
        <w:t>Plan-filing timeline (§6.6) — both restrictions apply cumulatively; the later one controls.</w:t>
      </w:r>
      <w:r>
        <w:t xml:space="preserve"> §6.6(a) bars filing, proposing or supporting a plan during the statutory Exclusivity Period (including extensions); §6.6(c) separately bars it for 180 days after the Petition Date (through </w:t>
      </w:r>
      <w:r>
        <w:rPr>
          <w:b/>
        </w:rPr>
        <w:t>September 10, 2025</w:t>
      </w:r>
      <w:r>
        <w:t xml:space="preserve">) “regardless of whether the Exclusivity Period is terminated or expires” earlier. The 120-day exclusive filing period ends July 12, 2025, a Saturday, so it runs through </w:t>
      </w:r>
      <w:r>
        <w:rPr>
          <w:b/>
        </w:rPr>
        <w:t>Monday, July 14, 2025</w:t>
      </w:r>
      <w:r>
        <w:t xml:space="preserve"> under Bankruptcy Rule 9006(a). The “two-month gap” is narrower in practice than it appears: if the Debtor files a plan within the 120-day period, §1121(c)(3) gives it the exclusive right to solicit acceptances through September 10, 2025 anyway. Conversely, if exclusivity is extended past September 10 (it can be extended to September 14, 2026), §6.6(a) keeps the group locked out for the extended period. The enforceability of §6.6(c) is open to challenge, but the group should not plan on breaching it. A §1121(d) motion to cut exclusivity short early has limited value while §6.6(c) remains in force; the better course is to oppose any extension, build a record, and be ready to file on September 10.</w:t>
      </w:r>
    </w:p>
    <w:p>
      <w:pPr>
        <w:pStyle w:val="ListBullet"/>
        <w:spacing w:after="60"/>
      </w:pPr>
      <w:r>
        <w:rPr>
          <w:b/>
        </w:rPr>
        <w:t>DIP ($85 million, first-lien-provided, priming) — the priming consent probably applies, but there is meaningful objection leverage.</w:t>
      </w:r>
      <w:r>
        <w:t xml:space="preserve"> On the most natural reading, the $85 million DIP is well within both the 115% “DIP Consent Threshold” (§6.1(a); at least $356.5 million) and the $350 million First Lien Cap Amount (§6.1(b)). The group’s strongest leverage points are: (1) §6.1(c), under which the no-objection covenant on superpriority claims applies only if the DIP superpriority claims </w:t>
      </w:r>
      <w:r>
        <w:rPr>
          <w:b/>
        </w:rPr>
        <w:t>do not prime the second lien’s adequate protection claims</w:t>
      </w:r>
      <w:r>
        <w:t xml:space="preserve">; (2) §6.1(a)’s requirement that the DIP be “on terms substantially consistent with the First Lien Documents”; (3) any roll-up, §506(c)/§552(b)/marshaling waivers, liens on unencumbered assets, milestones and releases, none of which the consent covers; (4) the fact that only the parent filed: the operating subsidiaries (RPC and RHP) and Holdings are </w:t>
      </w:r>
      <w:r>
        <w:rPr>
          <w:b/>
        </w:rPr>
        <w:t>not debtors</w:t>
      </w:r>
      <w:r>
        <w:t>, so §364(d) cannot prime the second lien on their assets, and any DIP guarantees or liens from them need careful scrutiny under §§2.5 and 6.1; and (5) the right to adequate protection, which the priming consent does not waive (§§6.1(c), 6.3(b), 6.3(d)). An “aggregate” reading of the caps (first lien of $310 million plus the DIP of $85 million, or $395 million, against the $350 million cap) is colorable but weak.</w:t>
      </w:r>
    </w:p>
    <w:p>
      <w:pPr>
        <w:pStyle w:val="ListBullet"/>
        <w:spacing w:after="60"/>
      </w:pPr>
      <w:r>
        <w:rPr>
          <w:b/>
        </w:rPr>
        <w:t>Adequate protection — entitled, but junior and constrained.</w:t>
      </w:r>
      <w:r>
        <w:t xml:space="preserve"> The second lien may seek adequate protection (§6.3(d)), expressly including junior replacement liens (§6.3(b)) and, by necessary implication, junior §507(b) claims (§§6.1(c), 6.3(a)). Any cash adequate protection is subordinate to the first lien’s (§6.3(a)) and, under S/U §4.2(a)(i) (to which Stonebridge is a party), may not be paid unless the first lien’s adequate protection (including current cash interest at the non-default contract rate) is current. The group may not object to the first lien’s adequate protection package (§6.3(c)). Entitlement is measured by diminution in value of the second lien’s interest in the collateral after the Petition Date; at Pinnacle’s midpoint the second lien has roughly $40–45 million of collateral value before the DIP and essentially none after it, which is the core of our adequate protection case.</w:t>
      </w:r>
    </w:p>
    <w:p>
      <w:pPr>
        <w:pStyle w:val="ListBullet"/>
        <w:spacing w:after="60"/>
      </w:pPr>
      <w:r>
        <w:rPr>
          <w:b/>
        </w:rPr>
        <w:t>Credit bidding — waived</w:t>
      </w:r>
      <w:r>
        <w:t xml:space="preserve"> until Discharge of First Lien Obligations (§§6.2(b), 6.7(b)), and the group has irrevocably consented not to oppose any first lien credit bid (§6.2(c)). The right revives only after the first lien is paid in full in cash (§6.2(d)), which supports a cash bid or a combined structure that takes out the first lien in cash at closing.</w:t>
      </w:r>
    </w:p>
    <w:p>
      <w:pPr>
        <w:pStyle w:val="ListBullet"/>
        <w:spacing w:after="60"/>
      </w:pPr>
      <w:r>
        <w:rPr>
          <w:b/>
        </w:rPr>
        <w:t>363 sales — protections are thin:</w:t>
      </w:r>
      <w:r>
        <w:t xml:space="preserve"> 10 business days’ prior written notice for an “all or substantially all” sale (§4.2(d)), application of proceeds per the §3.3 waterfall (§§4.2(c), 6.7(a)), and a general right to object where relief would “materially impair” the second lien’s rights under the ICA (§3.1(e)(iii)). There is </w:t>
      </w:r>
      <w:r>
        <w:rPr>
          <w:b/>
        </w:rPr>
        <w:t>no</w:t>
      </w:r>
      <w:r>
        <w:t xml:space="preserve"> consent right and </w:t>
      </w:r>
      <w:r>
        <w:rPr>
          <w:b/>
        </w:rPr>
        <w:t>no</w:t>
      </w:r>
      <w:r>
        <w:t xml:space="preserve"> minimum-price protection. Smaller dispositions permitted by the First Lien Documents release the second lien automatically without notice (§§4.1, 4.2(a)–(b)).</w:t>
      </w:r>
    </w:p>
    <w:p>
      <w:pPr>
        <w:pStyle w:val="ListBullet"/>
        <w:spacing w:after="60"/>
      </w:pPr>
      <w:r>
        <w:rPr>
          <w:b/>
        </w:rPr>
        <w:t>Turnover (§2.1(c)) — broad, and the main “weaponization” risk.</w:t>
      </w:r>
      <w:r>
        <w:t xml:space="preserve"> It reaches amounts received “from any source,” expressly including “any distribution in any Insolvency Proceeding,” but only amounts received “in violation of this Agreement.” The first lien may argue that this converts lien subordination into payment subordination, reaching plan distributions on the group’s deficiency claims. We think the better reading is that the ICA is a lien-subordination agreement (§2.1(a)), but the risk is real and should be addressed in any plan or RSA. Immediate diligence item: whether any second lien payments were received after the February 15, 2025 payment default (§7.4).</w:t>
      </w:r>
    </w:p>
    <w:p>
      <w:pPr>
        <w:pStyle w:val="ListBullet"/>
        <w:spacing w:after="60"/>
      </w:pPr>
      <w:r>
        <w:rPr>
          <w:b/>
        </w:rPr>
        <w:t>Insurance — the first lien controls casualty and condemnation proceeds</w:t>
      </w:r>
      <w:r>
        <w:t xml:space="preserve"> (§4.5(a), (c)–(d)); the second lien receives nothing until Discharge of First Lien Obligations. Business interruption proceeds are carved out and made available to the Company for operations (§4.5(b)). The S/U ICA takes the opposite position on business interruption proceeds (S/U §5.3(a)), which is a direct conflict between the two agreements.</w:t>
      </w:r>
    </w:p>
    <w:p>
      <w:pPr>
        <w:pStyle w:val="ListBullet"/>
        <w:spacing w:after="60"/>
      </w:pPr>
      <w:r>
        <w:rPr>
          <w:b/>
        </w:rPr>
        <w:t>Cross-agreement conflicts.</w:t>
      </w:r>
      <w:r>
        <w:t xml:space="preserve"> We identify more than fifteen inconsistencies (Section XIII). The most exploitable by Allegheny or the noteholders are: (i) business interruption proceeds; (ii) the S/U ICA’s collateral-only payment subordination (S/U §§2.1, 2.3(b)(ii)), which leaves the noteholders sharing pro rata with the group’s deficiency claims in any unencumbered value; (iii) the 5-Business-Day versus 10-business-day sale notice periods, with different consequences for non-compliance; (iv) the self-contradictory “Material Indebtedness” definition (S/U §5.4); and (v) different DIP and adequate protection standards. Conversely, S/U §4.3(b)(i) gives the Required Second Lien Lenders, a threshold the group controls at 82.86%, a </w:t>
      </w:r>
      <w:r>
        <w:rPr>
          <w:b/>
        </w:rPr>
        <w:t>separate consent right</w:t>
      </w:r>
      <w:r>
        <w:t xml:space="preserve"> over noteholder votes for any plan that does not pay the senior secured debt in full in cash. That is significant leverage the group did not flag.</w:t>
      </w:r>
    </w:p>
    <w:p>
      <w:pPr>
        <w:pStyle w:val="ListBullet"/>
        <w:spacing w:after="60"/>
      </w:pPr>
      <w:r>
        <w:rPr>
          <w:b/>
        </w:rPr>
        <w:t>Immediate actions:</w:t>
      </w:r>
      <w:r>
        <w:t xml:space="preserve"> (1) direct Stonebridge (Required Second Lien Lenders direction) to prepare a limited objection and reservation of rights for the adjourned DIP hearing, expected around March 31, 2025; (2) obtain the DIP documents and the proposed interim and final orders; (3) confirm with Stonebridge what notices it received, and when, and whether any payments were received after February 15; (4) commission an independent collateral and enterprise valuation and a lien-perfection and unencumbered-asset review; and (5) prepare a second lien plan term sheet for a filing on or after September 10, 2025. See Section XVI.</w:t>
      </w:r>
    </w:p>
    <w:p>
      <w:pPr>
        <w:pStyle w:val="Heading1"/>
      </w:pPr>
      <w:r>
        <w:t>II. Background: Capital Structure, Valuation and Key Dates</w:t>
      </w:r>
    </w:p>
    <w:p>
      <w:pPr>
        <w:pStyle w:val="Heading2"/>
      </w:pPr>
      <w:r>
        <w:t>A. Funded debt and intercreditor architecture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12"/>
            <w:shd w:val="clear" w:color="auto" w:fill="D9E2F3"/>
          </w:tcPr>
          <w:p>
            <w:r/>
            <w:r>
              <w:rPr>
                <w:b/>
                <w:sz w:val="16"/>
              </w:rPr>
              <w:t>Tranche</w:t>
            </w:r>
          </w:p>
        </w:tc>
        <w:tc>
          <w:tcPr>
            <w:tcW w:type="dxa" w:w="1512"/>
            <w:shd w:val="clear" w:color="auto" w:fill="D9E2F3"/>
          </w:tcPr>
          <w:p>
            <w:r/>
            <w:r>
              <w:rPr>
                <w:b/>
                <w:sz w:val="16"/>
              </w:rPr>
              <w:t>Agent / Trustee</w:t>
            </w:r>
          </w:p>
        </w:tc>
        <w:tc>
          <w:tcPr>
            <w:tcW w:type="dxa" w:w="1584"/>
            <w:shd w:val="clear" w:color="auto" w:fill="D9E2F3"/>
          </w:tcPr>
          <w:p>
            <w:r/>
            <w:r>
              <w:rPr>
                <w:b/>
                <w:sz w:val="16"/>
              </w:rPr>
              <w:t>Principal at Petition Date</w:t>
            </w:r>
          </w:p>
        </w:tc>
        <w:tc>
          <w:tcPr>
            <w:tcW w:type="dxa" w:w="1656"/>
            <w:shd w:val="clear" w:color="auto" w:fill="D9E2F3"/>
          </w:tcPr>
          <w:p>
            <w:r/>
            <w:r>
              <w:rPr>
                <w:b/>
                <w:sz w:val="16"/>
              </w:rPr>
              <w:t>Pricing / Maturity</w:t>
            </w:r>
          </w:p>
        </w:tc>
        <w:tc>
          <w:tcPr>
            <w:tcW w:type="dxa" w:w="1728"/>
            <w:shd w:val="clear" w:color="auto" w:fill="D9E2F3"/>
          </w:tcPr>
          <w:p>
            <w:r/>
            <w:r>
              <w:rPr>
                <w:b/>
                <w:sz w:val="16"/>
              </w:rPr>
              <w:t>Lien / Ranking</w:t>
            </w:r>
          </w:p>
        </w:tc>
        <w:tc>
          <w:tcPr>
            <w:tcW w:type="dxa" w:w="1440"/>
            <w:shd w:val="clear" w:color="auto" w:fill="D9E2F3"/>
          </w:tcPr>
          <w:p>
            <w:r/>
            <w:r>
              <w:rPr>
                <w:b/>
                <w:sz w:val="16"/>
              </w:rPr>
              <w:t>Governing ICA(s)</w:t>
            </w:r>
          </w:p>
        </w:tc>
      </w:tr>
      <w:tr>
        <w:tc>
          <w:tcPr>
            <w:tcW w:type="dxa" w:w="1512"/>
          </w:tcPr>
          <w:p>
            <w:r>
              <w:rPr>
                <w:sz w:val="16"/>
              </w:rPr>
            </w:r>
            <w:r>
              <w:rPr>
                <w:sz w:val="16"/>
              </w:rPr>
              <w:t>First Lien Term Loan</w:t>
            </w:r>
          </w:p>
        </w:tc>
        <w:tc>
          <w:tcPr>
            <w:tcW w:type="dxa" w:w="1512"/>
          </w:tcPr>
          <w:p>
            <w:r>
              <w:rPr>
                <w:sz w:val="16"/>
              </w:rPr>
            </w:r>
            <w:r>
              <w:rPr>
                <w:sz w:val="16"/>
              </w:rPr>
              <w:t>Aldersgate National Bank, N.A.</w:t>
            </w:r>
          </w:p>
        </w:tc>
        <w:tc>
          <w:tcPr>
            <w:tcW w:type="dxa" w:w="1584"/>
          </w:tcPr>
          <w:p>
            <w:r>
              <w:rPr>
                <w:sz w:val="16"/>
              </w:rPr>
            </w:r>
            <w:r>
              <w:rPr>
                <w:sz w:val="16"/>
              </w:rPr>
              <w:t>$310.0M (orig. $325.0M; $15.0M amortized)</w:t>
            </w:r>
          </w:p>
        </w:tc>
        <w:tc>
          <w:tcPr>
            <w:tcW w:type="dxa" w:w="1656"/>
          </w:tcPr>
          <w:p>
            <w:r>
              <w:rPr>
                <w:sz w:val="16"/>
              </w:rPr>
            </w:r>
            <w:r>
              <w:rPr>
                <w:sz w:val="16"/>
              </w:rPr>
              <w:t>SOFR + 3.50% (all-in ~7.85%); June 15, 2028</w:t>
            </w:r>
          </w:p>
        </w:tc>
        <w:tc>
          <w:tcPr>
            <w:tcW w:type="dxa" w:w="1728"/>
          </w:tcPr>
          <w:p>
            <w:r>
              <w:rPr>
                <w:sz w:val="16"/>
              </w:rPr>
            </w:r>
            <w:r>
              <w:rPr>
                <w:sz w:val="16"/>
              </w:rPr>
              <w:t>First priority, substantially all assets (incl. former ABL Priority Collateral)</w:t>
            </w:r>
          </w:p>
        </w:tc>
        <w:tc>
          <w:tcPr>
            <w:tcW w:type="dxa" w:w="1440"/>
          </w:tcPr>
          <w:p>
            <w:r>
              <w:rPr>
                <w:sz w:val="16"/>
              </w:rPr>
            </w:r>
            <w:r>
              <w:rPr>
                <w:sz w:val="16"/>
              </w:rPr>
              <w:t>1L/2L ICA; S/U ICA (as “Senior Secured Party”)</w:t>
            </w:r>
          </w:p>
        </w:tc>
      </w:tr>
      <w:tr>
        <w:tc>
          <w:tcPr>
            <w:tcW w:type="dxa" w:w="1512"/>
          </w:tcPr>
          <w:p>
            <w:r>
              <w:rPr>
                <w:sz w:val="16"/>
              </w:rPr>
            </w:r>
            <w:r>
              <w:rPr>
                <w:sz w:val="16"/>
              </w:rPr>
              <w:t>Second Lien Term Loan</w:t>
            </w:r>
          </w:p>
        </w:tc>
        <w:tc>
          <w:tcPr>
            <w:tcW w:type="dxa" w:w="1512"/>
          </w:tcPr>
          <w:p>
            <w:r>
              <w:rPr>
                <w:sz w:val="16"/>
              </w:rPr>
            </w:r>
            <w:r>
              <w:rPr>
                <w:sz w:val="16"/>
              </w:rPr>
              <w:t>Stonebridge Capital Advisors LLC</w:t>
            </w:r>
          </w:p>
        </w:tc>
        <w:tc>
          <w:tcPr>
            <w:tcW w:type="dxa" w:w="1584"/>
          </w:tcPr>
          <w:p>
            <w:r>
              <w:rPr>
                <w:sz w:val="16"/>
              </w:rPr>
            </w:r>
            <w:r>
              <w:rPr>
                <w:sz w:val="16"/>
              </w:rPr>
              <w:t>$175.0M (no amortization)</w:t>
            </w:r>
          </w:p>
        </w:tc>
        <w:tc>
          <w:tcPr>
            <w:tcW w:type="dxa" w:w="1656"/>
          </w:tcPr>
          <w:p>
            <w:r>
              <w:rPr>
                <w:sz w:val="16"/>
              </w:rPr>
            </w:r>
            <w:r>
              <w:rPr>
                <w:sz w:val="16"/>
              </w:rPr>
              <w:t>SOFR + 7.25% (all-in ~11.60%); Dec. 15, 2028</w:t>
            </w:r>
          </w:p>
        </w:tc>
        <w:tc>
          <w:tcPr>
            <w:tcW w:type="dxa" w:w="1728"/>
          </w:tcPr>
          <w:p>
            <w:r>
              <w:rPr>
                <w:sz w:val="16"/>
              </w:rPr>
            </w:r>
            <w:r>
              <w:rPr>
                <w:sz w:val="16"/>
              </w:rPr>
              <w:t>Second priority, same collateral (§4.3)</w:t>
            </w:r>
          </w:p>
        </w:tc>
        <w:tc>
          <w:tcPr>
            <w:tcW w:type="dxa" w:w="1440"/>
          </w:tcPr>
          <w:p>
            <w:r>
              <w:rPr>
                <w:sz w:val="16"/>
              </w:rPr>
            </w:r>
            <w:r>
              <w:rPr>
                <w:sz w:val="16"/>
              </w:rPr>
              <w:t>1L/2L ICA (junior); S/U ICA (as “Senior Secured Party”)</w:t>
            </w:r>
          </w:p>
        </w:tc>
      </w:tr>
      <w:tr>
        <w:tc>
          <w:tcPr>
            <w:tcW w:type="dxa" w:w="1512"/>
          </w:tcPr>
          <w:p>
            <w:r>
              <w:rPr>
                <w:sz w:val="16"/>
              </w:rPr>
            </w:r>
            <w:r>
              <w:rPr>
                <w:sz w:val="16"/>
              </w:rPr>
              <w:t>9.500% Senior Unsecured Notes</w:t>
            </w:r>
          </w:p>
        </w:tc>
        <w:tc>
          <w:tcPr>
            <w:tcW w:type="dxa" w:w="1512"/>
          </w:tcPr>
          <w:p>
            <w:r>
              <w:rPr>
                <w:sz w:val="16"/>
              </w:rPr>
            </w:r>
            <w:r>
              <w:rPr>
                <w:sz w:val="16"/>
              </w:rPr>
              <w:t>Allegheny Trust Company</w:t>
            </w:r>
          </w:p>
        </w:tc>
        <w:tc>
          <w:tcPr>
            <w:tcW w:type="dxa" w:w="1584"/>
          </w:tcPr>
          <w:p>
            <w:r>
              <w:rPr>
                <w:sz w:val="16"/>
              </w:rPr>
            </w:r>
            <w:r>
              <w:rPr>
                <w:sz w:val="16"/>
              </w:rPr>
              <w:t>$125.0M</w:t>
            </w:r>
          </w:p>
        </w:tc>
        <w:tc>
          <w:tcPr>
            <w:tcW w:type="dxa" w:w="1656"/>
          </w:tcPr>
          <w:p>
            <w:r>
              <w:rPr>
                <w:sz w:val="16"/>
              </w:rPr>
            </w:r>
            <w:r>
              <w:rPr>
                <w:sz w:val="16"/>
              </w:rPr>
              <w:t>9.500% fixed; Oct. 1, 2029</w:t>
            </w:r>
          </w:p>
        </w:tc>
        <w:tc>
          <w:tcPr>
            <w:tcW w:type="dxa" w:w="1728"/>
          </w:tcPr>
          <w:p>
            <w:r>
              <w:rPr>
                <w:sz w:val="16"/>
              </w:rPr>
            </w:r>
            <w:r>
              <w:rPr>
                <w:sz w:val="16"/>
              </w:rPr>
              <w:t>Unsecured; collateral-proceeds subordination only (S/U §§2.1–2.3)</w:t>
            </w:r>
          </w:p>
        </w:tc>
        <w:tc>
          <w:tcPr>
            <w:tcW w:type="dxa" w:w="1440"/>
          </w:tcPr>
          <w:p>
            <w:r>
              <w:rPr>
                <w:sz w:val="16"/>
              </w:rPr>
            </w:r>
            <w:r>
              <w:rPr>
                <w:sz w:val="16"/>
              </w:rPr>
              <w:t>S/U ICA only</w:t>
            </w:r>
          </w:p>
        </w:tc>
      </w:tr>
      <w:tr>
        <w:tc>
          <w:tcPr>
            <w:tcW w:type="dxa" w:w="1512"/>
          </w:tcPr>
          <w:p>
            <w:r>
              <w:rPr>
                <w:sz w:val="16"/>
              </w:rPr>
            </w:r>
            <w:r>
              <w:rPr>
                <w:sz w:val="16"/>
              </w:rPr>
              <w:t>Proposed DIP</w:t>
            </w:r>
          </w:p>
        </w:tc>
        <w:tc>
          <w:tcPr>
            <w:tcW w:type="dxa" w:w="1512"/>
          </w:tcPr>
          <w:p>
            <w:r>
              <w:rPr>
                <w:sz w:val="16"/>
              </w:rPr>
            </w:r>
            <w:r>
              <w:rPr>
                <w:sz w:val="16"/>
              </w:rPr>
              <w:t>Aldersgate (proposed)</w:t>
            </w:r>
          </w:p>
        </w:tc>
        <w:tc>
          <w:tcPr>
            <w:tcW w:type="dxa" w:w="1584"/>
          </w:tcPr>
          <w:p>
            <w:r>
              <w:rPr>
                <w:sz w:val="16"/>
              </w:rPr>
            </w:r>
            <w:r>
              <w:rPr>
                <w:sz w:val="16"/>
              </w:rPr>
              <w:t>$85.0M (proposed; not yet approved)</w:t>
            </w:r>
          </w:p>
        </w:tc>
        <w:tc>
          <w:tcPr>
            <w:tcW w:type="dxa" w:w="1656"/>
          </w:tcPr>
          <w:p>
            <w:r>
              <w:rPr>
                <w:sz w:val="16"/>
              </w:rPr>
            </w:r>
            <w:r>
              <w:rPr>
                <w:sz w:val="16"/>
              </w:rPr>
              <w:t>TBD</w:t>
            </w:r>
          </w:p>
        </w:tc>
        <w:tc>
          <w:tcPr>
            <w:tcW w:type="dxa" w:w="1728"/>
          </w:tcPr>
          <w:p>
            <w:r>
              <w:rPr>
                <w:sz w:val="16"/>
              </w:rPr>
            </w:r>
            <w:r>
              <w:rPr>
                <w:sz w:val="16"/>
              </w:rPr>
              <w:t>Priming superpriority liens on Debtor’s assets (FDD ¶55)</w:t>
            </w:r>
          </w:p>
        </w:tc>
        <w:tc>
          <w:tcPr>
            <w:tcW w:type="dxa" w:w="1440"/>
          </w:tcPr>
          <w:p>
            <w:r>
              <w:rPr>
                <w:sz w:val="16"/>
              </w:rPr>
            </w:r>
            <w:r>
              <w:rPr>
                <w:sz w:val="16"/>
              </w:rPr>
              <w:t>1L/2L §6.1; S/U §4.1</w:t>
            </w:r>
          </w:p>
        </w:tc>
      </w:tr>
      <w:tr>
        <w:tc>
          <w:tcPr>
            <w:tcW w:type="dxa" w:w="1512"/>
          </w:tcPr>
          <w:p>
            <w:r>
              <w:rPr>
                <w:sz w:val="16"/>
              </w:rPr>
            </w:r>
            <w:r>
              <w:rPr>
                <w:sz w:val="16"/>
              </w:rPr>
              <w:t>ABL Revolver</w:t>
            </w:r>
          </w:p>
        </w:tc>
        <w:tc>
          <w:tcPr>
            <w:tcW w:type="dxa" w:w="1512"/>
          </w:tcPr>
          <w:p>
            <w:r>
              <w:rPr>
                <w:sz w:val="16"/>
              </w:rPr>
            </w:r>
            <w:r>
              <w:rPr>
                <w:sz w:val="16"/>
              </w:rPr>
              <w:t>Cartwright Commercial Lending</w:t>
            </w:r>
          </w:p>
        </w:tc>
        <w:tc>
          <w:tcPr>
            <w:tcW w:type="dxa" w:w="1584"/>
          </w:tcPr>
          <w:p>
            <w:r>
              <w:rPr>
                <w:sz w:val="16"/>
              </w:rPr>
            </w:r>
            <w:r>
              <w:rPr>
                <w:sz w:val="16"/>
              </w:rPr>
              <w:t>$0 (repaid / terminated)</w:t>
            </w:r>
          </w:p>
        </w:tc>
        <w:tc>
          <w:tcPr>
            <w:tcW w:type="dxa" w:w="1656"/>
          </w:tcPr>
          <w:p>
            <w:r>
              <w:rPr>
                <w:sz w:val="16"/>
              </w:rPr>
            </w:r>
            <w:r>
              <w:rPr>
                <w:sz w:val="16"/>
              </w:rPr>
              <w:t>n/a</w:t>
            </w:r>
          </w:p>
        </w:tc>
        <w:tc>
          <w:tcPr>
            <w:tcW w:type="dxa" w:w="1728"/>
          </w:tcPr>
          <w:p>
            <w:r>
              <w:rPr>
                <w:sz w:val="16"/>
              </w:rPr>
            </w:r>
            <w:r>
              <w:rPr>
                <w:sz w:val="16"/>
              </w:rPr>
              <w:t>Formerly first priority on ABL Priority Collateral</w:t>
            </w:r>
          </w:p>
        </w:tc>
        <w:tc>
          <w:tcPr>
            <w:tcW w:type="dxa" w:w="1440"/>
          </w:tcPr>
          <w:p>
            <w:r>
              <w:rPr>
                <w:sz w:val="16"/>
              </w:rPr>
            </w:r>
            <w:r>
              <w:rPr>
                <w:sz w:val="16"/>
              </w:rPr>
              <w:t>Referenced in both ICAs; vestigial</w:t>
            </w:r>
          </w:p>
        </w:tc>
      </w:tr>
    </w:tbl>
    <w:p>
      <w:pPr>
        <w:spacing w:after="40"/>
      </w:pPr>
    </w:p>
    <w:p>
      <w:pPr>
        <w:jc w:val="both"/>
      </w:pPr>
      <w:r>
        <w:t xml:space="preserve">The ad hoc group holds approximately </w:t>
      </w:r>
      <w:r>
        <w:rPr>
          <w:b/>
        </w:rPr>
        <w:t>$145 million of $175 million (82.86%)</w:t>
      </w:r>
      <w:r>
        <w:t xml:space="preserve"> of the second lien loans, which comfortably exceeds the “Required Second Lien Lenders” threshold (more than 50% of outstanding principal; §1.1; S/U §1.1). The group therefore controls the direction of the Second Lien Agent for every right that the 1L/2L ICA vests in the Agent “acting at the direction of the Required Second Lien Lenders” (e.g., §§3.5(a), 6.5(b), 9.2(a)), and holds the separate consent right under S/U §4.3(b)(i). Harborpoint’s $38 million represents about 21.7% of the class and 26.2% of the group.</w:t>
      </w:r>
    </w:p>
    <w:p>
      <w:pPr>
        <w:jc w:val="both"/>
      </w:pPr>
      <w:r>
        <w:rPr>
          <w:b/>
        </w:rPr>
        <w:t>Only the parent has filed.</w:t>
      </w:r>
      <w:r>
        <w:t xml:space="preserve"> Ridgeline Consumer Products, Inc. is the sole debtor. Holdings (the parent guarantor) and the two operating subsidiaries, Ridgeline Personal Care, Inc. (RPC) and Ridgeline Home Products, Inc. (RHP), which manufacture and distribute substantially all of the Company’s products, have </w:t>
      </w:r>
      <w:r>
        <w:rPr>
          <w:b/>
        </w:rPr>
        <w:t>not</w:t>
      </w:r>
      <w:r>
        <w:t xml:space="preserve"> filed (FDD ¶¶10–11). All four entities are “Grantors” under both ICAs. This has consequences that recur throughout this memorandum: the automatic stay does not protect the non-debtor Grantors’ assets, §364(d) priming does not reach their assets, and the guarantees remain enforceable outside the bankruptcy, subject to the ICA restrictions.</w:t>
      </w:r>
    </w:p>
    <w:p>
      <w:pPr>
        <w:pStyle w:val="Heading2"/>
      </w:pPr>
      <w:r>
        <w:t>B. Valuation and recovery implications</w:t>
      </w:r>
    </w:p>
    <w:p>
      <w:pPr>
        <w:jc w:val="both"/>
      </w:pPr>
      <w:r>
        <w:t xml:space="preserve">Pinnacle (with Northgate Valuation Services) has selected an enterprise value range of </w:t>
      </w:r>
      <w:r>
        <w:rPr>
          <w:b/>
        </w:rPr>
        <w:t>$340–$400 million (midpoint $370 million)</w:t>
      </w:r>
      <w:r>
        <w:t xml:space="preserve"> (FDD ¶20). The blended methodologies in the Pinnacle Workbook in fact produce $325.2 million, $364.5 million and $403.7 million; the selected low case is therefore about $15 million </w:t>
      </w:r>
      <w:r>
        <w:rPr>
          <w:b/>
        </w:rPr>
        <w:t>above</w:t>
      </w:r>
      <w:r>
        <w:t xml:space="preserve"> Pinnacle’s own blended low case. Adjusted EBITDA is $62 million against GAAP EBITDA of $54 million, with $8 million of add-backs. The table below sets out the second lien’s position under the Pinnacle Workbook’s two waterfalls.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032"/>
            <w:shd w:val="clear" w:color="auto" w:fill="D9E2F3"/>
          </w:tcPr>
          <w:p>
            <w:r/>
            <w:r>
              <w:rPr>
                <w:b/>
                <w:sz w:val="18"/>
              </w:rPr>
              <w:t>Scenario (Pinnacle Workbook)</w:t>
            </w:r>
          </w:p>
        </w:tc>
        <w:tc>
          <w:tcPr>
            <w:tcW w:type="dxa" w:w="1800"/>
            <w:shd w:val="clear" w:color="auto" w:fill="D9E2F3"/>
          </w:tcPr>
          <w:p>
            <w:r/>
            <w:r>
              <w:rPr>
                <w:b/>
                <w:sz w:val="18"/>
              </w:rPr>
              <w:t>Low ($340M)</w:t>
            </w:r>
          </w:p>
        </w:tc>
        <w:tc>
          <w:tcPr>
            <w:tcW w:type="dxa" w:w="1800"/>
            <w:shd w:val="clear" w:color="auto" w:fill="D9E2F3"/>
          </w:tcPr>
          <w:p>
            <w:r/>
            <w:r>
              <w:rPr>
                <w:b/>
                <w:sz w:val="18"/>
              </w:rPr>
              <w:t>Mid ($370M)</w:t>
            </w:r>
          </w:p>
        </w:tc>
        <w:tc>
          <w:tcPr>
            <w:tcW w:type="dxa" w:w="1800"/>
            <w:shd w:val="clear" w:color="auto" w:fill="D9E2F3"/>
          </w:tcPr>
          <w:p>
            <w:r/>
            <w:r>
              <w:rPr>
                <w:b/>
                <w:sz w:val="18"/>
              </w:rPr>
              <w:t>High ($400M)</w:t>
            </w:r>
          </w:p>
        </w:tc>
      </w:tr>
      <w:tr>
        <w:tc>
          <w:tcPr>
            <w:tcW w:type="dxa" w:w="4032"/>
          </w:tcPr>
          <w:p>
            <w:r>
              <w:rPr>
                <w:sz w:val="18"/>
              </w:rPr>
            </w:r>
            <w:r>
              <w:rPr>
                <w:sz w:val="18"/>
              </w:rPr>
              <w:t>Net value after $15M admin claims, before DIP</w:t>
            </w:r>
          </w:p>
        </w:tc>
        <w:tc>
          <w:tcPr>
            <w:tcW w:type="dxa" w:w="1800"/>
          </w:tcPr>
          <w:p>
            <w:r>
              <w:rPr>
                <w:sz w:val="18"/>
              </w:rPr>
            </w:r>
            <w:r>
              <w:rPr>
                <w:sz w:val="18"/>
              </w:rPr>
              <w:t>$325M</w:t>
            </w:r>
          </w:p>
        </w:tc>
        <w:tc>
          <w:tcPr>
            <w:tcW w:type="dxa" w:w="1800"/>
          </w:tcPr>
          <w:p>
            <w:r>
              <w:rPr>
                <w:sz w:val="18"/>
              </w:rPr>
            </w:r>
            <w:r>
              <w:rPr>
                <w:sz w:val="18"/>
              </w:rPr>
              <w:t>$355M</w:t>
            </w:r>
          </w:p>
        </w:tc>
        <w:tc>
          <w:tcPr>
            <w:tcW w:type="dxa" w:w="1800"/>
          </w:tcPr>
          <w:p>
            <w:r>
              <w:rPr>
                <w:sz w:val="18"/>
              </w:rPr>
            </w:r>
            <w:r>
              <w:rPr>
                <w:sz w:val="18"/>
              </w:rPr>
              <w:t>$385M</w:t>
            </w:r>
          </w:p>
        </w:tc>
      </w:tr>
      <w:tr>
        <w:tc>
          <w:tcPr>
            <w:tcW w:type="dxa" w:w="4032"/>
          </w:tcPr>
          <w:p>
            <w:r>
              <w:rPr>
                <w:sz w:val="18"/>
              </w:rPr>
            </w:r>
            <w:r>
              <w:rPr>
                <w:sz w:val="18"/>
              </w:rPr>
              <w:t>First lien principal ($310M) coverage before DIP</w:t>
            </w:r>
          </w:p>
        </w:tc>
        <w:tc>
          <w:tcPr>
            <w:tcW w:type="dxa" w:w="1800"/>
          </w:tcPr>
          <w:p>
            <w:r>
              <w:rPr>
                <w:sz w:val="18"/>
              </w:rPr>
            </w:r>
            <w:r>
              <w:rPr>
                <w:sz w:val="18"/>
              </w:rPr>
              <w:t>Covered; $15M residual</w:t>
            </w:r>
          </w:p>
        </w:tc>
        <w:tc>
          <w:tcPr>
            <w:tcW w:type="dxa" w:w="1800"/>
          </w:tcPr>
          <w:p>
            <w:r>
              <w:rPr>
                <w:sz w:val="18"/>
              </w:rPr>
            </w:r>
            <w:r>
              <w:rPr>
                <w:sz w:val="18"/>
              </w:rPr>
              <w:t>Covered; $45M residual</w:t>
            </w:r>
          </w:p>
        </w:tc>
        <w:tc>
          <w:tcPr>
            <w:tcW w:type="dxa" w:w="1800"/>
          </w:tcPr>
          <w:p>
            <w:r>
              <w:rPr>
                <w:sz w:val="18"/>
              </w:rPr>
            </w:r>
            <w:r>
              <w:rPr>
                <w:sz w:val="18"/>
              </w:rPr>
              <w:t>Covered; $75M residual</w:t>
            </w:r>
          </w:p>
        </w:tc>
      </w:tr>
      <w:tr>
        <w:tc>
          <w:tcPr>
            <w:tcW w:type="dxa" w:w="4032"/>
          </w:tcPr>
          <w:p>
            <w:r>
              <w:rPr>
                <w:sz w:val="18"/>
              </w:rPr>
            </w:r>
            <w:r>
              <w:rPr>
                <w:sz w:val="18"/>
              </w:rPr>
              <w:t>Second lien recovery before DIP (secured portion)</w:t>
            </w:r>
          </w:p>
        </w:tc>
        <w:tc>
          <w:tcPr>
            <w:tcW w:type="dxa" w:w="1800"/>
          </w:tcPr>
          <w:p>
            <w:r>
              <w:rPr>
                <w:sz w:val="18"/>
              </w:rPr>
            </w:r>
            <w:r>
              <w:rPr>
                <w:sz w:val="18"/>
              </w:rPr>
              <w:t>$15M (8.6%)</w:t>
            </w:r>
          </w:p>
        </w:tc>
        <w:tc>
          <w:tcPr>
            <w:tcW w:type="dxa" w:w="1800"/>
          </w:tcPr>
          <w:p>
            <w:r>
              <w:rPr>
                <w:sz w:val="18"/>
              </w:rPr>
            </w:r>
            <w:r>
              <w:rPr>
                <w:sz w:val="18"/>
              </w:rPr>
              <w:t>$45M (25.7%)</w:t>
            </w:r>
          </w:p>
        </w:tc>
        <w:tc>
          <w:tcPr>
            <w:tcW w:type="dxa" w:w="1800"/>
          </w:tcPr>
          <w:p>
            <w:r>
              <w:rPr>
                <w:sz w:val="18"/>
              </w:rPr>
            </w:r>
            <w:r>
              <w:rPr>
                <w:sz w:val="18"/>
              </w:rPr>
              <w:t>$75M (42.9%)</w:t>
            </w:r>
          </w:p>
        </w:tc>
      </w:tr>
      <w:tr>
        <w:tc>
          <w:tcPr>
            <w:tcW w:type="dxa" w:w="4032"/>
          </w:tcPr>
          <w:p>
            <w:r>
              <w:rPr>
                <w:sz w:val="18"/>
              </w:rPr>
            </w:r>
            <w:r>
              <w:rPr>
                <w:sz w:val="18"/>
              </w:rPr>
              <w:t>After full draw of $85M priming DIP: first lien recovery</w:t>
            </w:r>
          </w:p>
        </w:tc>
        <w:tc>
          <w:tcPr>
            <w:tcW w:type="dxa" w:w="1800"/>
          </w:tcPr>
          <w:p>
            <w:r>
              <w:rPr>
                <w:sz w:val="18"/>
              </w:rPr>
            </w:r>
            <w:r>
              <w:rPr>
                <w:sz w:val="18"/>
              </w:rPr>
              <w:t>$240M (77.4%)</w:t>
            </w:r>
          </w:p>
        </w:tc>
        <w:tc>
          <w:tcPr>
            <w:tcW w:type="dxa" w:w="1800"/>
          </w:tcPr>
          <w:p>
            <w:r>
              <w:rPr>
                <w:sz w:val="18"/>
              </w:rPr>
            </w:r>
            <w:r>
              <w:rPr>
                <w:sz w:val="18"/>
              </w:rPr>
              <w:t>$270M (87.1%)</w:t>
            </w:r>
          </w:p>
        </w:tc>
        <w:tc>
          <w:tcPr>
            <w:tcW w:type="dxa" w:w="1800"/>
          </w:tcPr>
          <w:p>
            <w:r>
              <w:rPr>
                <w:sz w:val="18"/>
              </w:rPr>
            </w:r>
            <w:r>
              <w:rPr>
                <w:sz w:val="18"/>
              </w:rPr>
              <w:t>$300M (96.8%)</w:t>
            </w:r>
          </w:p>
        </w:tc>
      </w:tr>
      <w:tr>
        <w:tc>
          <w:tcPr>
            <w:tcW w:type="dxa" w:w="4032"/>
          </w:tcPr>
          <w:p>
            <w:r>
              <w:rPr>
                <w:sz w:val="18"/>
              </w:rPr>
            </w:r>
            <w:r>
              <w:rPr>
                <w:sz w:val="18"/>
              </w:rPr>
              <w:t>After DIP: second lien secured recovery</w:t>
            </w:r>
          </w:p>
        </w:tc>
        <w:tc>
          <w:tcPr>
            <w:tcW w:type="dxa" w:w="1800"/>
          </w:tcPr>
          <w:p>
            <w:r>
              <w:rPr>
                <w:sz w:val="18"/>
              </w:rPr>
            </w:r>
            <w:r>
              <w:rPr>
                <w:sz w:val="18"/>
              </w:rPr>
              <w:t>$0</w:t>
            </w:r>
          </w:p>
        </w:tc>
        <w:tc>
          <w:tcPr>
            <w:tcW w:type="dxa" w:w="1800"/>
          </w:tcPr>
          <w:p>
            <w:r>
              <w:rPr>
                <w:sz w:val="18"/>
              </w:rPr>
            </w:r>
            <w:r>
              <w:rPr>
                <w:sz w:val="18"/>
              </w:rPr>
              <w:t>$0</w:t>
            </w:r>
          </w:p>
        </w:tc>
        <w:tc>
          <w:tcPr>
            <w:tcW w:type="dxa" w:w="1800"/>
          </w:tcPr>
          <w:p>
            <w:r>
              <w:rPr>
                <w:sz w:val="18"/>
              </w:rPr>
            </w:r>
            <w:r>
              <w:rPr>
                <w:sz w:val="18"/>
              </w:rPr>
              <w:t>$0</w:t>
            </w:r>
          </w:p>
        </w:tc>
      </w:tr>
      <w:tr>
        <w:tc>
          <w:tcPr>
            <w:tcW w:type="dxa" w:w="4032"/>
          </w:tcPr>
          <w:p>
            <w:r>
              <w:rPr>
                <w:sz w:val="18"/>
              </w:rPr>
            </w:r>
            <w:r>
              <w:rPr>
                <w:sz w:val="18"/>
              </w:rPr>
              <w:t>Second lien deficiency claim (unsecured)</w:t>
            </w:r>
          </w:p>
        </w:tc>
        <w:tc>
          <w:tcPr>
            <w:tcW w:type="dxa" w:w="1800"/>
          </w:tcPr>
          <w:p>
            <w:r>
              <w:rPr>
                <w:sz w:val="18"/>
              </w:rPr>
            </w:r>
            <w:r>
              <w:rPr>
                <w:sz w:val="18"/>
              </w:rPr>
              <w:t>$175M (after DIP)</w:t>
            </w:r>
          </w:p>
        </w:tc>
        <w:tc>
          <w:tcPr>
            <w:tcW w:type="dxa" w:w="1800"/>
          </w:tcPr>
          <w:p>
            <w:r>
              <w:rPr>
                <w:sz w:val="18"/>
              </w:rPr>
            </w:r>
            <w:r>
              <w:rPr>
                <w:sz w:val="18"/>
              </w:rPr>
              <w:t>$175M (after DIP)</w:t>
            </w:r>
          </w:p>
        </w:tc>
        <w:tc>
          <w:tcPr>
            <w:tcW w:type="dxa" w:w="1800"/>
          </w:tcPr>
          <w:p>
            <w:r>
              <w:rPr>
                <w:sz w:val="18"/>
              </w:rPr>
            </w:r>
            <w:r>
              <w:rPr>
                <w:sz w:val="18"/>
              </w:rPr>
              <w:t>$175M (after DIP)</w:t>
            </w:r>
          </w:p>
        </w:tc>
      </w:tr>
    </w:tbl>
    <w:p>
      <w:pPr>
        <w:spacing w:after="40"/>
      </w:pPr>
    </w:p>
    <w:p>
      <w:pPr>
        <w:jc w:val="both"/>
      </w:pPr>
      <w:r>
        <w:t xml:space="preserve">Three points follow. </w:t>
      </w:r>
      <w:r>
        <w:rPr>
          <w:b/>
        </w:rPr>
        <w:t>First</w:t>
      </w:r>
      <w:r>
        <w:t xml:space="preserve">, the March 17 email’s statement that “at the midpoint valuation of $370 million, the first lien is undersecured by roughly $60 million” has it backwards. At $370 million the first lien’s $310 million of principal has a cushion of roughly $60 million, or about $45 million after administrative claims and about $40 million after Pinnacle’s estimate of roughly $4.5 million of accrued pre-petition first lien interest (Valuation Summary, n.(a)). The first lien becomes undersecured only once the $85 million priming DIP is deducted. </w:t>
      </w:r>
      <w:r>
        <w:rPr>
          <w:b/>
        </w:rPr>
        <w:t>Second</w:t>
      </w:r>
      <w:r>
        <w:t xml:space="preserve">, it is therefore the priming DIP, more than the starting valuation, that moves the second lien from a partially secured position ($15–75 million) to fully out of the money. That is the central fact for both the DIP objection and the adequate protection case. </w:t>
      </w:r>
      <w:r>
        <w:rPr>
          <w:b/>
        </w:rPr>
        <w:t>Third</w:t>
      </w:r>
      <w:r>
        <w:t>, at the midpoint after the DIP, the group’s $175 million deficiency claim would be approximately 49% of Pinnacle’s estimated $360 million unsecured pool, making the second lien the largest unsecured constituency. That matters for plan classification and voting, for any committee, and for the S/U ICA analysis in Section XIII. (The Workbook’s “FIRST LIEN IS UNDERSECURED AT ALL POINTS” label on the Valuation Summary tab is inconsistent with its own cushion lines and should not be relied on without the DIP adjustment.)</w:t>
      </w:r>
    </w:p>
    <w:p>
      <w:pPr>
        <w:pStyle w:val="Heading2"/>
      </w:pPr>
      <w:r>
        <w:t>C. Key dates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7"/>
              </w:rPr>
              <w:t>Date</w:t>
            </w:r>
          </w:p>
        </w:tc>
        <w:tc>
          <w:tcPr>
            <w:tcW w:type="dxa" w:w="3744"/>
            <w:shd w:val="clear" w:color="auto" w:fill="D9E2F3"/>
          </w:tcPr>
          <w:p>
            <w:r/>
            <w:r>
              <w:rPr>
                <w:b/>
                <w:sz w:val="17"/>
              </w:rPr>
              <w:t>Event</w:t>
            </w:r>
          </w:p>
        </w:tc>
        <w:tc>
          <w:tcPr>
            <w:tcW w:type="dxa" w:w="3744"/>
            <w:shd w:val="clear" w:color="auto" w:fill="D9E2F3"/>
          </w:tcPr>
          <w:p>
            <w:r/>
            <w:r>
              <w:rPr>
                <w:b/>
                <w:sz w:val="17"/>
              </w:rPr>
              <w:t>Source / Comment</w:t>
            </w:r>
          </w:p>
        </w:tc>
      </w:tr>
      <w:tr>
        <w:tc>
          <w:tcPr>
            <w:tcW w:type="dxa" w:w="1872"/>
          </w:tcPr>
          <w:p>
            <w:r>
              <w:rPr>
                <w:sz w:val="17"/>
              </w:rPr>
            </w:r>
            <w:r>
              <w:rPr>
                <w:sz w:val="17"/>
              </w:rPr>
              <w:t>June 15, 2021</w:t>
            </w:r>
          </w:p>
        </w:tc>
        <w:tc>
          <w:tcPr>
            <w:tcW w:type="dxa" w:w="3744"/>
          </w:tcPr>
          <w:p>
            <w:r>
              <w:rPr>
                <w:sz w:val="17"/>
              </w:rPr>
            </w:r>
            <w:r>
              <w:rPr>
                <w:sz w:val="17"/>
              </w:rPr>
              <w:t>1L and 2L credit agreements; 1L/2L ICA</w:t>
            </w:r>
          </w:p>
        </w:tc>
        <w:tc>
          <w:tcPr>
            <w:tcW w:type="dxa" w:w="3744"/>
          </w:tcPr>
          <w:p>
            <w:r>
              <w:rPr>
                <w:sz w:val="17"/>
              </w:rPr>
            </w:r>
            <w:r>
              <w:rPr>
                <w:sz w:val="17"/>
              </w:rPr>
              <w:t>1L/2L ICA §10.1</w:t>
            </w:r>
          </w:p>
        </w:tc>
      </w:tr>
      <w:tr>
        <w:tc>
          <w:tcPr>
            <w:tcW w:type="dxa" w:w="1872"/>
          </w:tcPr>
          <w:p>
            <w:r>
              <w:rPr>
                <w:sz w:val="17"/>
              </w:rPr>
            </w:r>
            <w:r>
              <w:rPr>
                <w:sz w:val="17"/>
              </w:rPr>
              <w:t>Oct. 1, 2022</w:t>
            </w:r>
          </w:p>
        </w:tc>
        <w:tc>
          <w:tcPr>
            <w:tcW w:type="dxa" w:w="3744"/>
          </w:tcPr>
          <w:p>
            <w:r>
              <w:rPr>
                <w:sz w:val="17"/>
              </w:rPr>
            </w:r>
            <w:r>
              <w:rPr>
                <w:sz w:val="17"/>
              </w:rPr>
              <w:t>Unsecured Notes issued; S/U ICA</w:t>
            </w:r>
          </w:p>
        </w:tc>
        <w:tc>
          <w:tcPr>
            <w:tcW w:type="dxa" w:w="3744"/>
          </w:tcPr>
          <w:p>
            <w:r>
              <w:rPr>
                <w:sz w:val="17"/>
              </w:rPr>
            </w:r>
            <w:r>
              <w:rPr>
                <w:sz w:val="17"/>
              </w:rPr>
              <w:t>S/U ICA recitals</w:t>
            </w:r>
          </w:p>
        </w:tc>
      </w:tr>
      <w:tr>
        <w:tc>
          <w:tcPr>
            <w:tcW w:type="dxa" w:w="1872"/>
          </w:tcPr>
          <w:p>
            <w:r>
              <w:rPr>
                <w:sz w:val="17"/>
              </w:rPr>
            </w:r>
            <w:r>
              <w:rPr>
                <w:sz w:val="17"/>
              </w:rPr>
              <w:t>Feb. 15, 2025</w:t>
            </w:r>
          </w:p>
        </w:tc>
        <w:tc>
          <w:tcPr>
            <w:tcW w:type="dxa" w:w="3744"/>
          </w:tcPr>
          <w:p>
            <w:r>
              <w:rPr>
                <w:sz w:val="17"/>
              </w:rPr>
            </w:r>
            <w:r>
              <w:rPr>
                <w:sz w:val="17"/>
              </w:rPr>
              <w:t>Missed first lien interest payment (payment default)</w:t>
            </w:r>
          </w:p>
        </w:tc>
        <w:tc>
          <w:tcPr>
            <w:tcW w:type="dxa" w:w="3744"/>
          </w:tcPr>
          <w:p>
            <w:r>
              <w:rPr>
                <w:sz w:val="17"/>
              </w:rPr>
            </w:r>
            <w:r>
              <w:rPr>
                <w:sz w:val="17"/>
              </w:rPr>
              <w:t>FDD ¶45. Under §7.4 this cuts off the second lien’s right to receive scheduled payments; any receipt thereafter is subject to turnover.</w:t>
            </w:r>
          </w:p>
        </w:tc>
      </w:tr>
      <w:tr>
        <w:tc>
          <w:tcPr>
            <w:tcW w:type="dxa" w:w="1872"/>
          </w:tcPr>
          <w:p>
            <w:r>
              <w:rPr>
                <w:sz w:val="17"/>
              </w:rPr>
            </w:r>
            <w:r>
              <w:rPr>
                <w:sz w:val="17"/>
              </w:rPr>
              <w:t>Feb. 21, 2025</w:t>
            </w:r>
          </w:p>
        </w:tc>
        <w:tc>
          <w:tcPr>
            <w:tcW w:type="dxa" w:w="3744"/>
          </w:tcPr>
          <w:p>
            <w:r>
              <w:rPr>
                <w:sz w:val="17"/>
              </w:rPr>
            </w:r>
            <w:r>
              <w:rPr>
                <w:sz w:val="17"/>
              </w:rPr>
              <w:t>First Lien Agent notice of default and reservation of rights (to Company)</w:t>
            </w:r>
          </w:p>
        </w:tc>
        <w:tc>
          <w:tcPr>
            <w:tcW w:type="dxa" w:w="3744"/>
          </w:tcPr>
          <w:p>
            <w:r>
              <w:rPr>
                <w:sz w:val="17"/>
              </w:rPr>
            </w:r>
            <w:r>
              <w:rPr>
                <w:sz w:val="17"/>
              </w:rPr>
              <w:t xml:space="preserve">FDD ¶48. </w:t>
            </w:r>
            <w:r>
              <w:rPr>
                <w:b/>
                <w:sz w:val="17"/>
              </w:rPr>
              <w:t>Not an acceleration</w:t>
            </w:r>
            <w:r>
              <w:rPr>
                <w:sz w:val="17"/>
              </w:rPr>
              <w:t>; no forbearance reached.</w:t>
            </w:r>
          </w:p>
        </w:tc>
      </w:tr>
      <w:tr>
        <w:tc>
          <w:tcPr>
            <w:tcW w:type="dxa" w:w="1872"/>
          </w:tcPr>
          <w:p>
            <w:r>
              <w:rPr>
                <w:sz w:val="17"/>
              </w:rPr>
            </w:r>
            <w:r>
              <w:rPr>
                <w:sz w:val="17"/>
              </w:rPr>
              <w:t>Feb. 28, 2025</w:t>
            </w:r>
          </w:p>
        </w:tc>
        <w:tc>
          <w:tcPr>
            <w:tcW w:type="dxa" w:w="3744"/>
          </w:tcPr>
          <w:p>
            <w:r>
              <w:rPr>
                <w:sz w:val="17"/>
              </w:rPr>
            </w:r>
            <w:r>
              <w:rPr>
                <w:sz w:val="17"/>
              </w:rPr>
              <w:t>Stonebridge “cross-default notice” under 2L Credit Agreement §8.1(f) (per Pinnacle Key Dates tab)</w:t>
            </w:r>
          </w:p>
        </w:tc>
        <w:tc>
          <w:tcPr>
            <w:tcW w:type="dxa" w:w="3744"/>
          </w:tcPr>
          <w:p>
            <w:r>
              <w:rPr>
                <w:sz w:val="17"/>
              </w:rPr>
            </w:r>
            <w:r>
              <w:rPr>
                <w:sz w:val="17"/>
              </w:rPr>
              <w:t xml:space="preserve">A 1L default is </w:t>
            </w:r>
            <w:r>
              <w:rPr>
                <w:b/>
                <w:sz w:val="17"/>
              </w:rPr>
              <w:t>not</w:t>
            </w:r>
            <w:r>
              <w:rPr>
                <w:sz w:val="17"/>
              </w:rPr>
              <w:t xml:space="preserve"> a 2L default absent an independent default, disregarding cross-default clauses (§§5.4, 7.2; FDD ¶46). Effectiveness is doubtful; see Section XV.</w:t>
            </w:r>
          </w:p>
        </w:tc>
      </w:tr>
      <w:tr>
        <w:tc>
          <w:tcPr>
            <w:tcW w:type="dxa" w:w="1872"/>
          </w:tcPr>
          <w:p>
            <w:r>
              <w:rPr>
                <w:sz w:val="17"/>
              </w:rPr>
            </w:r>
            <w:r>
              <w:rPr>
                <w:sz w:val="17"/>
              </w:rPr>
              <w:t>Mar. 14, 2025</w:t>
            </w:r>
          </w:p>
        </w:tc>
        <w:tc>
          <w:tcPr>
            <w:tcW w:type="dxa" w:w="3744"/>
          </w:tcPr>
          <w:p>
            <w:r>
              <w:rPr>
                <w:sz w:val="17"/>
              </w:rPr>
            </w:r>
            <w:r>
              <w:rPr>
                <w:sz w:val="17"/>
              </w:rPr>
              <w:t>Petition Date (Bankr. S.D.N.Y.)</w:t>
            </w:r>
          </w:p>
        </w:tc>
        <w:tc>
          <w:tcPr>
            <w:tcW w:type="dxa" w:w="3744"/>
          </w:tcPr>
          <w:p>
            <w:r>
              <w:rPr>
                <w:sz w:val="17"/>
              </w:rPr>
            </w:r>
            <w:r>
              <w:rPr>
                <w:sz w:val="17"/>
              </w:rPr>
              <w:t>§3.5 purchase option expired (§3.5(b)); 1L/2L Standstill Period terminates by its terms (§3.1(d)(i))</w:t>
            </w:r>
          </w:p>
        </w:tc>
      </w:tr>
      <w:tr>
        <w:tc>
          <w:tcPr>
            <w:tcW w:type="dxa" w:w="1872"/>
          </w:tcPr>
          <w:p>
            <w:r>
              <w:rPr>
                <w:sz w:val="17"/>
              </w:rPr>
            </w:r>
            <w:r>
              <w:rPr>
                <w:sz w:val="17"/>
              </w:rPr>
              <w:t>Mar. 17, 2025</w:t>
            </w:r>
          </w:p>
        </w:tc>
        <w:tc>
          <w:tcPr>
            <w:tcW w:type="dxa" w:w="3744"/>
          </w:tcPr>
          <w:p>
            <w:r>
              <w:rPr>
                <w:sz w:val="17"/>
              </w:rPr>
            </w:r>
            <w:r>
              <w:rPr>
                <w:sz w:val="17"/>
              </w:rPr>
              <w:t>First day hearing; DIP motion adjourned two weeks</w:t>
            </w:r>
          </w:p>
        </w:tc>
        <w:tc>
          <w:tcPr>
            <w:tcW w:type="dxa" w:w="3744"/>
          </w:tcPr>
          <w:p>
            <w:r>
              <w:rPr>
                <w:sz w:val="17"/>
              </w:rPr>
            </w:r>
            <w:r>
              <w:rPr>
                <w:sz w:val="17"/>
              </w:rPr>
              <w:t>Wentworth email</w:t>
            </w:r>
          </w:p>
        </w:tc>
      </w:tr>
      <w:tr>
        <w:tc>
          <w:tcPr>
            <w:tcW w:type="dxa" w:w="1872"/>
          </w:tcPr>
          <w:p>
            <w:r>
              <w:rPr>
                <w:sz w:val="17"/>
              </w:rPr>
            </w:r>
            <w:r>
              <w:rPr>
                <w:sz w:val="17"/>
              </w:rPr>
              <w:t>~Mar. 31, 2025</w:t>
            </w:r>
          </w:p>
        </w:tc>
        <w:tc>
          <w:tcPr>
            <w:tcW w:type="dxa" w:w="3744"/>
          </w:tcPr>
          <w:p>
            <w:r>
              <w:rPr>
                <w:sz w:val="17"/>
              </w:rPr>
            </w:r>
            <w:r>
              <w:rPr>
                <w:sz w:val="17"/>
              </w:rPr>
              <w:t>Expected adjourned DIP hearing</w:t>
            </w:r>
          </w:p>
        </w:tc>
        <w:tc>
          <w:tcPr>
            <w:tcW w:type="dxa" w:w="3744"/>
          </w:tcPr>
          <w:p>
            <w:r>
              <w:rPr>
                <w:sz w:val="17"/>
              </w:rPr>
            </w:r>
            <w:r>
              <w:rPr>
                <w:sz w:val="17"/>
              </w:rPr>
              <w:t>Two weeks from March 17; confirm on docket</w:t>
            </w:r>
          </w:p>
        </w:tc>
      </w:tr>
      <w:tr>
        <w:tc>
          <w:tcPr>
            <w:tcW w:type="dxa" w:w="1872"/>
          </w:tcPr>
          <w:p>
            <w:r>
              <w:rPr>
                <w:sz w:val="17"/>
              </w:rPr>
            </w:r>
            <w:r>
              <w:rPr>
                <w:sz w:val="17"/>
              </w:rPr>
              <w:t>June 12, 2025</w:t>
            </w:r>
          </w:p>
        </w:tc>
        <w:tc>
          <w:tcPr>
            <w:tcW w:type="dxa" w:w="3744"/>
          </w:tcPr>
          <w:p>
            <w:r>
              <w:rPr>
                <w:sz w:val="17"/>
              </w:rPr>
            </w:r>
            <w:r>
              <w:rPr>
                <w:sz w:val="17"/>
              </w:rPr>
              <w:t>Proposed bar date (90 days)</w:t>
            </w:r>
          </w:p>
        </w:tc>
        <w:tc>
          <w:tcPr>
            <w:tcW w:type="dxa" w:w="3744"/>
          </w:tcPr>
          <w:p>
            <w:r>
              <w:rPr>
                <w:sz w:val="17"/>
              </w:rPr>
            </w:r>
            <w:r>
              <w:rPr>
                <w:sz w:val="17"/>
              </w:rPr>
              <w:t>FDD ¶64; Agent master proof of claim permitted (§3.1(e)(i))</w:t>
            </w:r>
          </w:p>
        </w:tc>
      </w:tr>
      <w:tr>
        <w:tc>
          <w:tcPr>
            <w:tcW w:type="dxa" w:w="1872"/>
          </w:tcPr>
          <w:p>
            <w:r>
              <w:rPr>
                <w:sz w:val="17"/>
              </w:rPr>
            </w:r>
            <w:r>
              <w:rPr>
                <w:sz w:val="17"/>
              </w:rPr>
              <w:t>July 12, 2025 (Sat.) → July 14, 2025</w:t>
            </w:r>
          </w:p>
        </w:tc>
        <w:tc>
          <w:tcPr>
            <w:tcW w:type="dxa" w:w="3744"/>
          </w:tcPr>
          <w:p>
            <w:r>
              <w:rPr>
                <w:sz w:val="17"/>
              </w:rPr>
            </w:r>
            <w:r>
              <w:rPr>
                <w:sz w:val="17"/>
              </w:rPr>
              <w:t>Expiry of 120-day exclusive filing period (§1121(b))</w:t>
            </w:r>
          </w:p>
        </w:tc>
        <w:tc>
          <w:tcPr>
            <w:tcW w:type="dxa" w:w="3744"/>
          </w:tcPr>
          <w:p>
            <w:r>
              <w:rPr>
                <w:sz w:val="17"/>
              </w:rPr>
            </w:r>
            <w:r>
              <w:rPr>
                <w:sz w:val="17"/>
              </w:rPr>
              <w:t>Rule 9006(a)(1)(C) rolls the deadline to the next business day; §6.6(a) restriction tracks it</w:t>
            </w:r>
          </w:p>
        </w:tc>
      </w:tr>
      <w:tr>
        <w:tc>
          <w:tcPr>
            <w:tcW w:type="dxa" w:w="1872"/>
          </w:tcPr>
          <w:p>
            <w:r>
              <w:rPr>
                <w:sz w:val="17"/>
              </w:rPr>
            </w:r>
            <w:r>
              <w:rPr>
                <w:sz w:val="17"/>
              </w:rPr>
              <w:t>Sept. 10, 2025</w:t>
            </w:r>
          </w:p>
        </w:tc>
        <w:tc>
          <w:tcPr>
            <w:tcW w:type="dxa" w:w="3744"/>
          </w:tcPr>
          <w:p>
            <w:r>
              <w:rPr>
                <w:sz w:val="17"/>
              </w:rPr>
            </w:r>
            <w:r>
              <w:rPr>
                <w:sz w:val="17"/>
              </w:rPr>
              <w:t>180 days after Petition Date: §6.6(c) contractual plan standstill ends; §1121(c)(3) acceptance period ends if Debtor has filed a plan</w:t>
            </w:r>
          </w:p>
        </w:tc>
        <w:tc>
          <w:tcPr>
            <w:tcW w:type="dxa" w:w="3744"/>
          </w:tcPr>
          <w:p>
            <w:r>
              <w:rPr>
                <w:sz w:val="17"/>
              </w:rPr>
            </w:r>
            <w:r>
              <w:rPr>
                <w:sz w:val="17"/>
              </w:rPr>
              <w:t>Earliest date the group can file / support a plan absent waiver</w:t>
            </w:r>
          </w:p>
        </w:tc>
      </w:tr>
      <w:tr>
        <w:tc>
          <w:tcPr>
            <w:tcW w:type="dxa" w:w="1872"/>
          </w:tcPr>
          <w:p>
            <w:r>
              <w:rPr>
                <w:sz w:val="17"/>
              </w:rPr>
            </w:r>
            <w:r>
              <w:rPr>
                <w:sz w:val="17"/>
              </w:rPr>
              <w:t>Sept. 14, 2026 / Nov. 14, 2026</w:t>
            </w:r>
          </w:p>
        </w:tc>
        <w:tc>
          <w:tcPr>
            <w:tcW w:type="dxa" w:w="3744"/>
          </w:tcPr>
          <w:p>
            <w:r>
              <w:rPr>
                <w:sz w:val="17"/>
              </w:rPr>
            </w:r>
            <w:r>
              <w:rPr>
                <w:sz w:val="17"/>
              </w:rPr>
              <w:t>Statutory outside dates for extended exclusivity (18 / 20 months; §1121(d)(2))</w:t>
            </w:r>
          </w:p>
        </w:tc>
        <w:tc>
          <w:tcPr>
            <w:tcW w:type="dxa" w:w="3744"/>
          </w:tcPr>
          <w:p>
            <w:r>
              <w:rPr>
                <w:sz w:val="17"/>
              </w:rPr>
            </w:r>
            <w:r>
              <w:rPr>
                <w:sz w:val="17"/>
              </w:rPr>
              <w:t>§6.6(a) would extend with any extension</w:t>
            </w:r>
          </w:p>
        </w:tc>
      </w:tr>
    </w:tbl>
    <w:p>
      <w:pPr>
        <w:spacing w:after="40"/>
      </w:pPr>
    </w:p>
    <w:p>
      <w:pPr>
        <w:pStyle w:val="Heading2"/>
      </w:pPr>
      <w:r>
        <w:t>D. Corrections to working assumptions</w:t>
      </w:r>
    </w:p>
    <w:p>
      <w:pPr>
        <w:jc w:val="both"/>
      </w:pPr>
      <w:r>
        <w:t>Several premises in the March 17 email, and in statements made by other parties, should be corrected before the group’s March 24 call:</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D9E2F3"/>
          </w:tcPr>
          <w:p>
            <w:r/>
            <w:r>
              <w:rPr>
                <w:b/>
                <w:sz w:val="17"/>
              </w:rPr>
              <w:t>Working assumption</w:t>
            </w:r>
          </w:p>
        </w:tc>
        <w:tc>
          <w:tcPr>
            <w:tcW w:type="dxa" w:w="3744"/>
            <w:shd w:val="clear" w:color="auto" w:fill="D9E2F3"/>
          </w:tcPr>
          <w:p>
            <w:r/>
            <w:r>
              <w:rPr>
                <w:b/>
                <w:sz w:val="17"/>
              </w:rPr>
              <w:t>What the documents show</w:t>
            </w:r>
          </w:p>
        </w:tc>
        <w:tc>
          <w:tcPr>
            <w:tcW w:type="dxa" w:w="3024"/>
            <w:shd w:val="clear" w:color="auto" w:fill="D9E2F3"/>
          </w:tcPr>
          <w:p>
            <w:r/>
            <w:r>
              <w:rPr>
                <w:b/>
                <w:sz w:val="17"/>
              </w:rPr>
              <w:t>Why it matters</w:t>
            </w:r>
          </w:p>
        </w:tc>
      </w:tr>
      <w:tr>
        <w:tc>
          <w:tcPr>
            <w:tcW w:type="dxa" w:w="2592"/>
          </w:tcPr>
          <w:p>
            <w:r>
              <w:rPr>
                <w:sz w:val="17"/>
              </w:rPr>
            </w:r>
            <w:r>
              <w:rPr>
                <w:sz w:val="17"/>
              </w:rPr>
              <w:t>The first lien lenders accelerated after the Feb. 15 missed payment.</w:t>
            </w:r>
          </w:p>
        </w:tc>
        <w:tc>
          <w:tcPr>
            <w:tcW w:type="dxa" w:w="3744"/>
          </w:tcPr>
          <w:p>
            <w:r>
              <w:rPr>
                <w:sz w:val="17"/>
              </w:rPr>
            </w:r>
            <w:r>
              <w:rPr>
                <w:sz w:val="17"/>
              </w:rPr>
              <w:t>The FDD records only a notice of default and reservation of rights (Feb. 21) and forbearance negotiations (¶48). No acceleration or Enforcement Action is described.</w:t>
            </w:r>
          </w:p>
        </w:tc>
        <w:tc>
          <w:tcPr>
            <w:tcW w:type="dxa" w:w="3024"/>
          </w:tcPr>
          <w:p>
            <w:r>
              <w:rPr>
                <w:sz w:val="17"/>
              </w:rPr>
            </w:r>
            <w:r>
              <w:rPr>
                <w:sz w:val="17"/>
              </w:rPr>
              <w:t>The §3.5 trigger may never have occurred pre-petition. The option is extinguished in any event (§3.5(b)).</w:t>
            </w:r>
          </w:p>
        </w:tc>
      </w:tr>
      <w:tr>
        <w:tc>
          <w:tcPr>
            <w:tcW w:type="dxa" w:w="2592"/>
          </w:tcPr>
          <w:p>
            <w:r>
              <w:rPr>
                <w:sz w:val="17"/>
              </w:rPr>
            </w:r>
            <w:r>
              <w:rPr>
                <w:sz w:val="17"/>
              </w:rPr>
              <w:t>At $370M the first lien is undersecured by ~$60M.</w:t>
            </w:r>
          </w:p>
        </w:tc>
        <w:tc>
          <w:tcPr>
            <w:tcW w:type="dxa" w:w="3744"/>
          </w:tcPr>
          <w:p>
            <w:r>
              <w:rPr>
                <w:sz w:val="17"/>
              </w:rPr>
            </w:r>
            <w:r>
              <w:rPr>
                <w:sz w:val="17"/>
              </w:rPr>
              <w:t xml:space="preserve">$370M less $310M = ~$60M </w:t>
            </w:r>
            <w:r>
              <w:rPr>
                <w:b/>
                <w:sz w:val="17"/>
              </w:rPr>
              <w:t>cushion</w:t>
            </w:r>
            <w:r>
              <w:rPr>
                <w:sz w:val="17"/>
              </w:rPr>
              <w:t>. The first lien is undersecured only after deducting the $85M DIP and $15M of admin claims.</w:t>
            </w:r>
          </w:p>
        </w:tc>
        <w:tc>
          <w:tcPr>
            <w:tcW w:type="dxa" w:w="3024"/>
          </w:tcPr>
          <w:p>
            <w:r>
              <w:rPr>
                <w:sz w:val="17"/>
              </w:rPr>
            </w:r>
            <w:r>
              <w:rPr>
                <w:sz w:val="17"/>
              </w:rPr>
              <w:t>Drives §506(b) post-petition interest for the first lien, adequate protection, purchase-option economics, and the DIP objection.</w:t>
            </w:r>
          </w:p>
        </w:tc>
      </w:tr>
      <w:tr>
        <w:tc>
          <w:tcPr>
            <w:tcW w:type="dxa" w:w="2592"/>
          </w:tcPr>
          <w:p>
            <w:r>
              <w:rPr>
                <w:sz w:val="17"/>
              </w:rPr>
            </w:r>
            <w:r>
              <w:rPr>
                <w:sz w:val="17"/>
              </w:rPr>
              <w:t>Second lien is “contractually bound to support whatever plan the first lien proposes” (Whitfield &amp; Crane).</w:t>
            </w:r>
          </w:p>
        </w:tc>
        <w:tc>
          <w:tcPr>
            <w:tcW w:type="dxa" w:w="3744"/>
          </w:tcPr>
          <w:p>
            <w:r>
              <w:rPr>
                <w:sz w:val="17"/>
              </w:rPr>
            </w:r>
            <w:r>
              <w:rPr>
                <w:sz w:val="17"/>
              </w:rPr>
              <w:t xml:space="preserve">No support obligation exists. §6.5(a) restricts only votes </w:t>
            </w:r>
            <w:r>
              <w:rPr>
                <w:b/>
                <w:sz w:val="17"/>
              </w:rPr>
              <w:t>in favor</w:t>
            </w:r>
            <w:r>
              <w:rPr>
                <w:sz w:val="17"/>
              </w:rPr>
              <w:t>. Rejection votes and §1129(b) objections are preserved (§6.5(d); §3.1(e)(ii)). §6.5(c) is conditional on waterfall compliance.</w:t>
            </w:r>
          </w:p>
        </w:tc>
        <w:tc>
          <w:tcPr>
            <w:tcW w:type="dxa" w:w="3024"/>
          </w:tcPr>
          <w:p>
            <w:r>
              <w:rPr>
                <w:sz w:val="17"/>
              </w:rPr>
            </w:r>
            <w:r>
              <w:rPr>
                <w:sz w:val="17"/>
              </w:rPr>
              <w:t>The group retains blocking and cramdown leverage.</w:t>
            </w:r>
          </w:p>
        </w:tc>
      </w:tr>
      <w:tr>
        <w:tc>
          <w:tcPr>
            <w:tcW w:type="dxa" w:w="2592"/>
          </w:tcPr>
          <w:p>
            <w:r>
              <w:rPr>
                <w:sz w:val="17"/>
              </w:rPr>
            </w:r>
            <w:r>
              <w:rPr>
                <w:sz w:val="17"/>
              </w:rPr>
              <w:t>“Required First Lien Lenders” means holders of more than 50% of first lien obligations.</w:t>
            </w:r>
          </w:p>
        </w:tc>
        <w:tc>
          <w:tcPr>
            <w:tcW w:type="dxa" w:w="3744"/>
          </w:tcPr>
          <w:p>
            <w:r>
              <w:rPr>
                <w:sz w:val="17"/>
              </w:rPr>
            </w:r>
            <w:r>
              <w:rPr>
                <w:sz w:val="17"/>
              </w:rPr>
              <w:t xml:space="preserve">More than 50% of aggregate outstanding </w:t>
            </w:r>
            <w:r>
              <w:rPr>
                <w:b/>
                <w:sz w:val="17"/>
              </w:rPr>
              <w:t>principal</w:t>
            </w:r>
            <w:r>
              <w:rPr>
                <w:sz w:val="17"/>
              </w:rPr>
              <w:t xml:space="preserve"> (§1.1). In the S/U ICA, Grantor affiliates are excluded; in the 1L/2L ICA they are not.</w:t>
            </w:r>
          </w:p>
        </w:tc>
        <w:tc>
          <w:tcPr>
            <w:tcW w:type="dxa" w:w="3024"/>
          </w:tcPr>
          <w:p>
            <w:r>
              <w:rPr>
                <w:sz w:val="17"/>
              </w:rPr>
            </w:r>
            <w:r>
              <w:rPr>
                <w:sz w:val="17"/>
              </w:rPr>
              <w:t>Relevant if the group (or anyone else) acquires first lien claims.</w:t>
            </w:r>
          </w:p>
        </w:tc>
      </w:tr>
      <w:tr>
        <w:tc>
          <w:tcPr>
            <w:tcW w:type="dxa" w:w="2592"/>
          </w:tcPr>
          <w:p>
            <w:r>
              <w:rPr>
                <w:sz w:val="17"/>
              </w:rPr>
            </w:r>
            <w:r>
              <w:rPr>
                <w:sz w:val="17"/>
              </w:rPr>
              <w:t>The Company “proposed” a 120-day exclusivity period.</w:t>
            </w:r>
          </w:p>
        </w:tc>
        <w:tc>
          <w:tcPr>
            <w:tcW w:type="dxa" w:w="3744"/>
          </w:tcPr>
          <w:p>
            <w:r>
              <w:rPr>
                <w:sz w:val="17"/>
              </w:rPr>
            </w:r>
            <w:r>
              <w:rPr>
                <w:sz w:val="17"/>
              </w:rPr>
              <w:t>120 days is automatic under §1121(b). July 12, 2025 is a Saturday, so the deadline runs to July 14. A filed plan extends solicitation exclusivity to 180 days (§1121(c)(3)).</w:t>
            </w:r>
          </w:p>
        </w:tc>
        <w:tc>
          <w:tcPr>
            <w:tcW w:type="dxa" w:w="3024"/>
          </w:tcPr>
          <w:p>
            <w:r>
              <w:rPr>
                <w:sz w:val="17"/>
              </w:rPr>
            </w:r>
            <w:r>
              <w:rPr>
                <w:sz w:val="17"/>
              </w:rPr>
              <w:t>Narrows the perceived July 12–September 10 gap.</w:t>
            </w:r>
          </w:p>
        </w:tc>
      </w:tr>
      <w:tr>
        <w:tc>
          <w:tcPr>
            <w:tcW w:type="dxa" w:w="2592"/>
          </w:tcPr>
          <w:p>
            <w:r>
              <w:rPr>
                <w:sz w:val="17"/>
              </w:rPr>
            </w:r>
            <w:r>
              <w:rPr>
                <w:sz w:val="17"/>
              </w:rPr>
              <w:t>Ridgeline and its subsidiaries are in Chapter 11.</w:t>
            </w:r>
          </w:p>
        </w:tc>
        <w:tc>
          <w:tcPr>
            <w:tcW w:type="dxa" w:w="3744"/>
          </w:tcPr>
          <w:p>
            <w:r>
              <w:rPr>
                <w:sz w:val="17"/>
              </w:rPr>
            </w:r>
            <w:r>
              <w:rPr>
                <w:sz w:val="17"/>
              </w:rPr>
              <w:t>Only the parent filed. RPC, RHP and Holdings are non-debtor Grantors (FDD ¶11).</w:t>
            </w:r>
          </w:p>
        </w:tc>
        <w:tc>
          <w:tcPr>
            <w:tcW w:type="dxa" w:w="3024"/>
          </w:tcPr>
          <w:p>
            <w:r>
              <w:rPr>
                <w:sz w:val="17"/>
              </w:rPr>
            </w:r>
            <w:r>
              <w:rPr>
                <w:sz w:val="17"/>
              </w:rPr>
              <w:t>Affects DIP priming reach, stay, guarantees and the scope of the “Insolvency Proceeding” provisions.</w:t>
            </w:r>
          </w:p>
        </w:tc>
      </w:tr>
      <w:tr>
        <w:tc>
          <w:tcPr>
            <w:tcW w:type="dxa" w:w="2592"/>
          </w:tcPr>
          <w:p>
            <w:r>
              <w:rPr>
                <w:sz w:val="17"/>
              </w:rPr>
            </w:r>
            <w:r>
              <w:rPr>
                <w:sz w:val="17"/>
              </w:rPr>
              <w:t>The Unsecured Notes are “structurally subordinated” (FDD ¶32; Pinnacle Workbook).</w:t>
            </w:r>
          </w:p>
        </w:tc>
        <w:tc>
          <w:tcPr>
            <w:tcW w:type="dxa" w:w="3744"/>
          </w:tcPr>
          <w:p>
            <w:r>
              <w:rPr>
                <w:sz w:val="17"/>
              </w:rPr>
            </w:r>
            <w:r>
              <w:rPr>
                <w:sz w:val="17"/>
              </w:rPr>
              <w:t xml:space="preserve">They are issued by the same obligor and guaranteed by the same entities. They are </w:t>
            </w:r>
            <w:r>
              <w:rPr>
                <w:b/>
                <w:sz w:val="17"/>
              </w:rPr>
              <w:t>effectively</w:t>
            </w:r>
            <w:r>
              <w:rPr>
                <w:sz w:val="17"/>
              </w:rPr>
              <w:t xml:space="preserve"> subordinated (unsecured) and contractually subordinated </w:t>
            </w:r>
            <w:r>
              <w:rPr>
                <w:b/>
                <w:sz w:val="17"/>
              </w:rPr>
              <w:t>only</w:t>
            </w:r>
            <w:r>
              <w:rPr>
                <w:sz w:val="17"/>
              </w:rPr>
              <w:t xml:space="preserve"> as to Collateral Proceeds (S/U §§2.1, 2.3(b)(ii)).</w:t>
            </w:r>
          </w:p>
        </w:tc>
        <w:tc>
          <w:tcPr>
            <w:tcW w:type="dxa" w:w="3024"/>
          </w:tcPr>
          <w:p>
            <w:r>
              <w:rPr>
                <w:sz w:val="17"/>
              </w:rPr>
            </w:r>
            <w:r>
              <w:rPr>
                <w:sz w:val="17"/>
              </w:rPr>
              <w:t>Unencumbered value is shared pro rata with the group’s deficiency claims.</w:t>
            </w:r>
          </w:p>
        </w:tc>
      </w:tr>
    </w:tbl>
    <w:p>
      <w:pPr>
        <w:spacing w:after="40"/>
      </w:pPr>
    </w:p>
    <w:p>
      <w:pPr>
        <w:pStyle w:val="Heading1"/>
      </w:pPr>
      <w:r>
        <w:t>III. Priority Question 1 — Section 3.5 Purchase Option</w:t>
      </w:r>
    </w:p>
    <w:p>
      <w:pPr>
        <w:pStyle w:val="Heading2"/>
      </w:pPr>
      <w:r>
        <w:t>A. The provision</w:t>
      </w:r>
    </w:p>
    <w:p>
      <w:pPr>
        <w:pStyle w:val="ListBullet"/>
        <w:spacing w:after="60"/>
      </w:pPr>
      <w:r>
        <w:rPr>
          <w:b/>
        </w:rPr>
        <w:t>Trigger (§3.5(a)):</w:t>
      </w:r>
      <w:r>
        <w:t xml:space="preserve"> (i) an acceleration of the First Lien Obligations in accordance with the First Lien Documents, or (ii) commencement by the First Lien Agent of an Enforcement Action with respect to any material portion of the Collateral.</w:t>
      </w:r>
    </w:p>
    <w:p>
      <w:pPr>
        <w:pStyle w:val="ListBullet"/>
        <w:spacing w:after="60"/>
      </w:pPr>
      <w:r>
        <w:rPr>
          <w:b/>
        </w:rPr>
        <w:t>Holder / direction:</w:t>
      </w:r>
      <w:r>
        <w:t xml:space="preserve"> the Second Lien Agent, “acting at the direction of the Required Second Lien Lenders.” The group satisfies that threshold. Individual lenders have no independent right.</w:t>
      </w:r>
    </w:p>
    <w:p>
      <w:pPr>
        <w:pStyle w:val="ListBullet"/>
        <w:spacing w:after="60"/>
      </w:pPr>
      <w:r>
        <w:rPr>
          <w:b/>
        </w:rPr>
        <w:t>Scope / price:</w:t>
      </w:r>
      <w:r>
        <w:t xml:space="preserve"> all (but not less than all) First Lien Obligations, at outstanding principal plus accrued and unpaid interest plus all fees, expenses and other amounts then owing (the “Purchase Price”). On the documents, that is at least $310 million plus ~$4.5 million of accrued interest, plus fees and any default interest, prepayment premium or indemnity amounts the First Lien Credit Agreement provides. The price is fixed at par plus accrued amounts and is not reduced by reference to collateral value.</w:t>
      </w:r>
    </w:p>
    <w:p>
      <w:pPr>
        <w:pStyle w:val="ListBullet"/>
        <w:spacing w:after="60"/>
      </w:pPr>
      <w:r>
        <w:rPr>
          <w:b/>
        </w:rPr>
        <w:t>Exercise period (§3.5(b)):</w:t>
      </w:r>
      <w:r>
        <w:t xml:space="preserve"> written notice “within 10 business days following receipt by the Second Lien Agent of written notice of the acceleration or commencement of Enforcement Action … </w:t>
      </w:r>
      <w:r>
        <w:rPr>
          <w:b/>
        </w:rPr>
        <w:t>and in any event prior to the commencement of any Insolvency Proceeding with respect to any Grantor</w:t>
      </w:r>
      <w:r>
        <w:t>.” If the notice is not delivered within the 10 business days, “</w:t>
      </w:r>
      <w:r>
        <w:rPr>
          <w:b/>
        </w:rPr>
        <w:t>or if an Insolvency Proceeding is commenced with respect to any Grantor prior to such delivery</w:t>
      </w:r>
      <w:r>
        <w:t>, the purchase option … shall expire and be of no further force or effect.”</w:t>
      </w:r>
    </w:p>
    <w:p>
      <w:pPr>
        <w:pStyle w:val="ListBullet"/>
        <w:spacing w:after="60"/>
      </w:pPr>
      <w:r>
        <w:rPr>
          <w:b/>
        </w:rPr>
        <w:t>Closing (§3.5(c)–(d)):</w:t>
      </w:r>
      <w:r>
        <w:t xml:space="preserve"> within 10 business days after exercise; the assignment is without recourse other than title and no-lien representations.</w:t>
      </w:r>
    </w:p>
    <w:p>
      <w:pPr>
        <w:pStyle w:val="Heading2"/>
      </w:pPr>
      <w:r>
        <w:t>B. Analysis: the right did not survive the Petition Date</w:t>
      </w:r>
    </w:p>
    <w:p>
      <w:pPr>
        <w:jc w:val="both"/>
      </w:pPr>
      <w:r>
        <w:rPr>
          <w:b/>
        </w:rPr>
        <w:t>1. Express extinguishment.</w:t>
      </w:r>
      <w:r>
        <w:t xml:space="preserve"> The March 14, 2025 Chapter 11 filing by the Company, which is a “Grantor,” is an “Insolvency Proceeding” (§1.1). Because no exercise notice had been delivered by then, §3.5(b) provides in terms that the option “shall expire and be of no further force or effect.” The provision contains two independent outside limits (the 10-business-day window </w:t>
      </w:r>
      <w:r>
        <w:rPr>
          <w:b/>
        </w:rPr>
        <w:t>and</w:t>
      </w:r>
      <w:r>
        <w:t xml:space="preserve"> the pre-petition requirement) joined by “and in any event.” Even an open 10-business-day window would not have survived the filing. Under New York law (§9.3), unambiguous option deadlines in agreements among sophisticated commercial parties are enforced as written, and the ICA directs plain-language interpretation without any presumption against the drafter (§1.2(h)).</w:t>
      </w:r>
    </w:p>
    <w:p>
      <w:pPr>
        <w:jc w:val="both"/>
      </w:pPr>
      <w:r>
        <w:rPr>
          <w:b/>
        </w:rPr>
        <w:t>2. The trigger may never have occurred.</w:t>
      </w:r>
      <w:r>
        <w:t xml:space="preserve"> The group’s premise that the first lien “accelerated” is not supported by the record we have. The First Day Declaration describes a February 21, 2025 notice of default and reservation of rights and failed forbearance talks, not an acceleration (FDD ¶48), and the Pinnacle Key Dates tab likewise lists no acceleration. A reservation of rights is not an acceleration or an Enforcement Action. If there was no pre-petition acceleration, the 10-business-day window never opened. Any automatic acceleration under the First Lien Credit Agreement’s bankruptcy default would have occurred simultaneously with the filing, which is the very event that extinguishes the option. Even if the February 21 notice were treated as a trigger and was received by Stonebridge that day, 10 business days ran on </w:t>
      </w:r>
      <w:r>
        <w:rPr>
          <w:b/>
        </w:rPr>
        <w:t>March 7, 2025</w:t>
      </w:r>
      <w:r>
        <w:t xml:space="preserve">, a week before the filing. </w:t>
      </w:r>
      <w:r>
        <w:rPr>
          <w:b/>
        </w:rPr>
        <w:t>Action:</w:t>
      </w:r>
      <w:r>
        <w:t xml:space="preserve"> confirm with Stonebridge what written notices it received from Aldersgate, and when (§7.5 requires prompt sharing of default and acceleration notices). Note also that the email address listed for Aldersgate in both ICAs uses a “crestviewnational.com” domain (§9.1; S/U §10.1). This should be corrected, and in the meantime all notices to Aldersgate should go by hand or courier.</w:t>
      </w:r>
    </w:p>
    <w:p>
      <w:pPr>
        <w:jc w:val="both"/>
      </w:pPr>
      <w:r>
        <w:rPr>
          <w:b/>
        </w:rPr>
        <w:t>3. Equitable tolling / preservation theories are not viable.</w:t>
      </w:r>
    </w:p>
    <w:p>
      <w:pPr>
        <w:pStyle w:val="ListBullet"/>
        <w:spacing w:after="60"/>
      </w:pPr>
      <w:r>
        <w:rPr>
          <w:i/>
        </w:rPr>
        <w:t>Equitable tolling</w:t>
      </w:r>
      <w:r>
        <w:t xml:space="preserve"> is a doctrine applied to statutes of limitation. It does not rewrite a bargained-for contractual expiration. New York courts relieve a party from a late exercise of an option only in narrow circumstances, typically to avoid a forfeiture of substantial improvements by a tenant after an honest mistake, and only where the counterparty is not prejudiced (see </w:t>
      </w:r>
      <w:r>
        <w:rPr>
          <w:i/>
        </w:rPr>
        <w:t>J.N.A. Realty Corp. v. Cross Bay Chelsea, Inc.</w:t>
      </w:r>
      <w:r>
        <w:t>, 42 N.Y.2d 392 (1977)). None of those elements is present: the group lost no investment, the first lien would be prejudiced, and the deadline was a negotiated risk allocation.</w:t>
      </w:r>
    </w:p>
    <w:p>
      <w:pPr>
        <w:pStyle w:val="ListBullet"/>
        <w:spacing w:after="60"/>
      </w:pPr>
      <w:r>
        <w:rPr>
          <w:i/>
        </w:rPr>
        <w:t>An “unexpired window” preserved by the filing</w:t>
      </w:r>
      <w:r>
        <w:t xml:space="preserve"> is foreclosed by the text, which makes the filing itself a terminating event regardless of the window.</w:t>
      </w:r>
    </w:p>
    <w:p>
      <w:pPr>
        <w:pStyle w:val="ListBullet"/>
        <w:spacing w:after="60"/>
      </w:pPr>
      <w:r>
        <w:rPr>
          <w:i/>
        </w:rPr>
        <w:t>Bankruptcy Code §108(b)</w:t>
      </w:r>
      <w:r>
        <w:t xml:space="preserve"> extends certain deadlines only for the </w:t>
      </w:r>
      <w:r>
        <w:rPr>
          <w:b/>
        </w:rPr>
        <w:t>debtor or trustee</w:t>
      </w:r>
      <w:r>
        <w:t>, not for creditors exercising rights among themselves. The automatic stay (§362) did not prevent exercise (a purchase of claims among creditors is not an act against the debtor or its property); the right simply lapsed.</w:t>
      </w:r>
    </w:p>
    <w:p>
      <w:pPr>
        <w:pStyle w:val="ListBullet"/>
        <w:spacing w:after="60"/>
      </w:pPr>
      <w:r>
        <w:rPr>
          <w:i/>
        </w:rPr>
        <w:t>Implied covenant / bad-faith timing.</w:t>
      </w:r>
      <w:r>
        <w:t xml:space="preserve"> A colorable argument would exist only if facts showed the first lien and the Company deliberately structured the timing of acceleration and filing to defeat the option, for example by accelerating and filing before notice could be given. Nothing in the record suggests this; we would want to see the Stonebridge notice file before dismissing it entirely.</w:t>
      </w:r>
    </w:p>
    <w:p>
      <w:pPr>
        <w:pStyle w:val="Heading2"/>
      </w:pPr>
      <w:r>
        <w:t>C. Alternatives to obtain a control position</w:t>
      </w:r>
    </w:p>
    <w:p>
      <w:pPr>
        <w:pStyle w:val="ListNumber"/>
        <w:spacing w:after="60"/>
      </w:pPr>
      <w:r>
        <w:rPr>
          <w:b/>
        </w:rPr>
        <w:t>Negotiated take-out right.</w:t>
      </w:r>
      <w:r>
        <w:t xml:space="preserve"> Seek, as part of the DIP settlement or plan negotiations, a right for the group to purchase the first lien claims (or to fund a plan paying them in full in cash) on defined terms. A plan that indefeasibly pays the First Lien Obligations in full in cash on the effective date falls outside the §6.5(a) voting restriction altogether.</w:t>
      </w:r>
    </w:p>
    <w:p>
      <w:pPr>
        <w:pStyle w:val="ListNumber"/>
        <w:spacing w:after="60"/>
      </w:pPr>
      <w:r>
        <w:rPr>
          <w:b/>
        </w:rPr>
        <w:t>Secondary-market purchases of first lien claims.</w:t>
      </w:r>
      <w:r>
        <w:t xml:space="preserve"> Nothing in the 1L/2L ICA prohibits second lien holders from buying first lien debt, and its “Required First Lien Lenders” definition does not exclude affiliates (only Grantor affiliates are excluded in the S/U ICA). A holding of more than one-third of the first lien class could block acceptance under §1126(c); more than 50% would control “Required First Lien Lenders” determinations (DIP consent, sale consent, plan acceptability under §6.5(a)). Risks: transfer restrictions in the First Lien Credit Agreement (not reviewed); Bankruptcy Rule 3001(e) transfer notices; designation of votes under §1126(e) for a purchaser acting to gain a strategic advantage in another class (</w:t>
      </w:r>
      <w:r>
        <w:rPr>
          <w:i/>
        </w:rPr>
        <w:t>In re DBSD North America, Inc.</w:t>
      </w:r>
      <w:r>
        <w:t>, 634 F.3d 79 (2d Cir. 2011), binding in this Circuit); and joinder under §9.7.</w:t>
      </w:r>
    </w:p>
    <w:p>
      <w:pPr>
        <w:pStyle w:val="ListNumber"/>
        <w:spacing w:after="60"/>
      </w:pPr>
      <w:r>
        <w:rPr>
          <w:b/>
        </w:rPr>
        <w:t>Economics.</w:t>
      </w:r>
      <w:r>
        <w:t xml:space="preserve"> At Pinnacle’s midpoint, after the DIP, the first lien’s recovery is about $270 million (87.1%) against a par purchase price above $314.5 million, so a par purchase would cost the group roughly $45 million or more in value immediately. Before the DIP the first lien is fully covered, so a par purchase buys a claim with little upside beyond control. A par purchase makes sense only if the group’s own valuation is materially above Pinnacle’s, or if control of the first lien’s DIP, sale and plan levers is worth that cost to the group. If all 2L holders participated pro rata, Harborpoint’s ~21.7% share of a ~$314.5 million price would be ~$68 million; if only the group funds, Harborpoint’s ~26.2% share would be ~$82 million.</w:t>
      </w:r>
    </w:p>
    <w:p>
      <w:pPr>
        <w:pStyle w:val="Heading1"/>
      </w:pPr>
      <w:r>
        <w:t>IV. Priority Question 2 — Plan Voting (Section 6.5)</w:t>
      </w:r>
    </w:p>
    <w:p>
      <w:pPr>
        <w:pStyle w:val="Heading2"/>
      </w:pPr>
      <w:r>
        <w:t>A. The provisions</w:t>
      </w:r>
    </w:p>
    <w:p>
      <w:pPr>
        <w:pStyle w:val="ListBullet"/>
        <w:spacing w:after="60"/>
      </w:pPr>
      <w:r>
        <w:rPr>
          <w:b/>
        </w:rPr>
        <w:t>§6.5(a) Voting restriction:</w:t>
      </w:r>
      <w:r>
        <w:t xml:space="preserve"> no Second Lien Secured Party shall “vote in favor of, consent to, or support” a plan “not acceptable to the Required First Lien Lenders,” unless it provides for indefeasible payment in full in cash of all First Lien Obligations on the effective date. A plan is “acceptable” if the Required First Lien Lenders affirmatively vote for it or the First Lien Agent confirms acceptance in writing.</w:t>
      </w:r>
    </w:p>
    <w:p>
      <w:pPr>
        <w:pStyle w:val="ListBullet"/>
        <w:spacing w:after="60"/>
      </w:pPr>
      <w:r>
        <w:rPr>
          <w:b/>
        </w:rPr>
        <w:t>§6.5(b) Carve-out:</w:t>
      </w:r>
      <w:r>
        <w:t xml:space="preserve"> second lien holders may support a plan “proposed by the Second Lien Agent on behalf of the Required Second Lien Lenders” if it pays First Lien Obligations “in an amount not less than the </w:t>
      </w:r>
      <w:r>
        <w:rPr>
          <w:b/>
        </w:rPr>
        <w:t>Appraised Collateral Value</w:t>
      </w:r>
      <w:r>
        <w:t xml:space="preserve"> of the Collateral as of the effective date.”</w:t>
      </w:r>
    </w:p>
    <w:p>
      <w:pPr>
        <w:pStyle w:val="ListBullet"/>
        <w:spacing w:after="60"/>
      </w:pPr>
      <w:r>
        <w:rPr>
          <w:b/>
        </w:rPr>
        <w:t>§6.5(c) No objection to first lien plan:</w:t>
      </w:r>
      <w:r>
        <w:t xml:space="preserve"> the second lien will not object to a plan supported by the Required First Lien Lenders, </w:t>
      </w:r>
      <w:r>
        <w:rPr>
          <w:b/>
        </w:rPr>
        <w:t>provided</w:t>
      </w:r>
      <w:r>
        <w:t xml:space="preserve"> that it does not impair the second lien’s right to distributions in accordance with the §3.3 waterfall.</w:t>
      </w:r>
    </w:p>
    <w:p>
      <w:pPr>
        <w:pStyle w:val="ListBullet"/>
        <w:spacing w:after="60"/>
      </w:pPr>
      <w:r>
        <w:rPr>
          <w:b/>
        </w:rPr>
        <w:t>§6.5(d) Cramdown reservation:</w:t>
      </w:r>
      <w:r>
        <w:t xml:space="preserve"> objections under §1129(b) as to the second lien class are preserved. See also §3.1(e)(ii) (voting permitted subject to §6.5) and §6.6(d)(ii)–(iii) (right to be heard and to object to plans impairing rights inconsistently with the ICA).</w:t>
      </w:r>
    </w:p>
    <w:p>
      <w:pPr>
        <w:pStyle w:val="Heading2"/>
      </w:pPr>
      <w:r>
        <w:t>B. What the restriction does and does not do</w:t>
      </w:r>
    </w:p>
    <w:p>
      <w:pPr>
        <w:pStyle w:val="ListBullet"/>
        <w:spacing w:after="60"/>
      </w:pPr>
      <w:r>
        <w:t xml:space="preserve">It </w:t>
      </w:r>
      <w:r>
        <w:rPr>
          <w:b/>
        </w:rPr>
        <w:t>does not</w:t>
      </w:r>
      <w:r>
        <w:t xml:space="preserve"> compel the group to vote for, or otherwise support, any plan. Whitfield &amp; Crane’s “bound to support whatever plan the first lien proposes” position finds no support in the text. The group may vote to </w:t>
      </w:r>
      <w:r>
        <w:rPr>
          <w:b/>
        </w:rPr>
        <w:t>reject</w:t>
      </w:r>
      <w:r>
        <w:t xml:space="preserve"> any plan. A rejecting second lien class forces the plan proponent to satisfy §1129(b) (no unfair discrimination; fair and equitable / absolute priority) as to that class, and those objections are preserved by §6.5(d).</w:t>
      </w:r>
    </w:p>
    <w:p>
      <w:pPr>
        <w:pStyle w:val="ListBullet"/>
        <w:spacing w:after="60"/>
      </w:pPr>
      <w:r>
        <w:t xml:space="preserve">It </w:t>
      </w:r>
      <w:r>
        <w:rPr>
          <w:b/>
        </w:rPr>
        <w:t>does</w:t>
      </w:r>
      <w:r>
        <w:t xml:space="preserve"> mean that, absent first lien acceptance or full cash payment, the group cannot vote </w:t>
      </w:r>
      <w:r>
        <w:rPr>
          <w:b/>
        </w:rPr>
        <w:t>for</w:t>
      </w:r>
      <w:r>
        <w:t xml:space="preserve"> a non-first-lien plan, such as a committee plan or an alternative plan, other than a §6.5(b) Second Lien Agent plan.</w:t>
      </w:r>
    </w:p>
    <w:p>
      <w:pPr>
        <w:pStyle w:val="ListBullet"/>
        <w:spacing w:after="60"/>
      </w:pPr>
      <w:r>
        <w:rPr>
          <w:b/>
        </w:rPr>
        <w:t>§6.5(c) is conditional.</w:t>
      </w:r>
      <w:r>
        <w:t xml:space="preserve"> A first-lien-supported plan that gives value to junior creditors or equity ahead of the second lien, or allocates collateral value contrary to §3.3 (e.g., gifting to unsecured creditors, or a first lien recovery above the full amount of its claim), is outside the no-objection covenant.</w:t>
      </w:r>
    </w:p>
    <w:p>
      <w:pPr>
        <w:pStyle w:val="ListBullet"/>
        <w:spacing w:after="60"/>
      </w:pPr>
      <w:r>
        <w:rPr>
          <w:b/>
        </w:rPr>
        <w:t>Deficiency-claim votes.</w:t>
      </w:r>
      <w:r>
        <w:t xml:space="preserve"> §6.5(a) applies to any vote by a “Second Lien Secured Party” and is not limited to votes on the secured claim. The first lien will argue it covers votes on the group’s deficiency claims in an unsecured class. There is a respectable counter-argument that the ICA is confined to rights “with respect to the Collateral” (recitals; §2.1(a)), but the text is broad and the group should assume the restriction applies to all of its claims.</w:t>
      </w:r>
    </w:p>
    <w:p>
      <w:pPr>
        <w:pStyle w:val="Heading2"/>
      </w:pPr>
      <w:r>
        <w:t>C. Enforceability in bankruptcy</w:t>
      </w:r>
    </w:p>
    <w:p>
      <w:pPr>
        <w:jc w:val="both"/>
      </w:pPr>
      <w:r>
        <w:t xml:space="preserve">Bankruptcy Code §510(a) makes subordination agreements enforceable in bankruptcy “to the same extent” as under non-bankruptcy law, and §2.1(d) recites that the ICA is a §510(a) agreement. Courts are divided on whether §510(a) reaches provisions that restrict or assign a creditor’s plan </w:t>
      </w:r>
      <w:r>
        <w:rPr>
          <w:b/>
        </w:rPr>
        <w:t>vote</w:t>
      </w:r>
      <w:r>
        <w:t>, as distinct from payment and lien priority:</w:t>
      </w:r>
    </w:p>
    <w:p>
      <w:pPr>
        <w:pStyle w:val="ListBullet"/>
        <w:spacing w:after="60"/>
      </w:pPr>
      <w:r>
        <w:rPr>
          <w:b/>
        </w:rPr>
        <w:t>Not enforced / narrowly construed:</w:t>
      </w:r>
      <w:r>
        <w:t xml:space="preserve"> </w:t>
      </w:r>
      <w:r>
        <w:rPr>
          <w:i/>
        </w:rPr>
        <w:t>In re 203 North LaSalle Street P’ship</w:t>
      </w:r>
      <w:r>
        <w:t xml:space="preserve">, 246 B.R. 325 (Bankr. N.D. Ill. 2000) (assignment of a subordinated creditor’s vote unenforceable; §1126 voting rights are not “subordination”); </w:t>
      </w:r>
      <w:r>
        <w:rPr>
          <w:i/>
        </w:rPr>
        <w:t>In re Croatan Surf Club, LLC</w:t>
      </w:r>
      <w:r>
        <w:t xml:space="preserve">, 2011 WL 5909199 (Bankr. E.D.N.C. 2011); </w:t>
      </w:r>
      <w:r>
        <w:rPr>
          <w:i/>
        </w:rPr>
        <w:t>In re SW Boston Hotel Venture, LLC</w:t>
      </w:r>
      <w:r>
        <w:t xml:space="preserve">, 460 B.R. 38 (Bankr. D. Mass. 2011). In this District, </w:t>
      </w:r>
      <w:r>
        <w:rPr>
          <w:i/>
        </w:rPr>
        <w:t>In re Boston Generating, LLC</w:t>
      </w:r>
      <w:r>
        <w:t>, 440 B.R. 302 (Bankr. S.D.N.Y. 2010), declined to find a waiver of the second lien’s right to object to a sale where the ICA was not explicit, signaling that waivers of bankruptcy rights must be clear.</w:t>
      </w:r>
    </w:p>
    <w:p>
      <w:pPr>
        <w:pStyle w:val="ListBullet"/>
        <w:spacing w:after="60"/>
      </w:pPr>
      <w:r>
        <w:rPr>
          <w:b/>
        </w:rPr>
        <w:t>Enforced:</w:t>
      </w:r>
      <w:r>
        <w:t xml:space="preserve"> </w:t>
      </w:r>
      <w:r>
        <w:rPr>
          <w:i/>
        </w:rPr>
        <w:t>In re Ion Media Networks, Inc.</w:t>
      </w:r>
      <w:r>
        <w:t xml:space="preserve">, 419 B.R. 585 (Bankr. S.D.N.Y. 2009) (enforcing an ICA against a second lien holder that sought to contest the first lien’s rights, and noting the importance of predictability in intercreditor bargains); </w:t>
      </w:r>
      <w:r>
        <w:rPr>
          <w:i/>
        </w:rPr>
        <w:t>In re Aerosol Packaging, LLC</w:t>
      </w:r>
      <w:r>
        <w:t xml:space="preserve">, 362 B.R. 43 (Bankr. N.D. Ga. 2006); </w:t>
      </w:r>
      <w:r>
        <w:rPr>
          <w:i/>
        </w:rPr>
        <w:t>In re Erickson Retirement Communities, LLC</w:t>
      </w:r>
      <w:r>
        <w:t>, 425 B.R. 309 (Bankr. N.D. Tex. 2010).</w:t>
      </w:r>
    </w:p>
    <w:p>
      <w:pPr>
        <w:jc w:val="both"/>
      </w:pPr>
      <w:r>
        <w:rPr>
          <w:b/>
        </w:rPr>
        <w:t>Our view:</w:t>
      </w:r>
      <w:r>
        <w:t xml:space="preserve"> In the Southern District of New York, a clear voting </w:t>
      </w:r>
      <w:r>
        <w:rPr>
          <w:b/>
        </w:rPr>
        <w:t>restriction</w:t>
      </w:r>
      <w:r>
        <w:t xml:space="preserve"> (as opposed to an outright assignment of the vote to the first lien agent) in a negotiated ICA between institutional lenders is more likely than not to be enforced, at least through designation or disregard of votes cast in breach, or through damages. §6.5(a) is a restriction, not an assignment, and it is drafted with reasonable clarity. The group should plan on it being enforced, while preserving the argument that it cannot reach votes on unsecured deficiency claims and may not be applied to override §1126 or §1129. We do not recommend a deliberate breach. The leverage the group actually has lies in the </w:t>
      </w:r>
      <w:r>
        <w:rPr>
          <w:b/>
        </w:rPr>
        <w:t>rejection vote</w:t>
      </w:r>
      <w:r>
        <w:t xml:space="preserve"> and the §1129(b) objections, which are expressly preserved, and in S/U §4.3(b)(i) (Section XIII).</w:t>
      </w:r>
    </w:p>
    <w:p>
      <w:pPr>
        <w:pStyle w:val="Heading2"/>
      </w:pPr>
      <w:r>
        <w:t>D. “Appraised Collateral Value”</w:t>
      </w:r>
    </w:p>
    <w:p>
      <w:pPr>
        <w:jc w:val="both"/>
      </w:pPr>
      <w:r>
        <w:t xml:space="preserve">We confirmed by full-text review that “Appraised Collateral Value” appears once in the 1L/2L ICA (§6.5(b)) and is not defined in §1.1 or anywhere else in that agreement, the exhibits, or the S/U ICA. There is no cross-reference to the credit agreements, so the term may be defined there; </w:t>
      </w:r>
      <w:r>
        <w:rPr>
          <w:b/>
        </w:rPr>
        <w:t>the First Lien and Second Lien Credit Agreements should be checked immediately</w:t>
      </w:r>
      <w:r>
        <w:t>.</w:t>
      </w:r>
    </w:p>
    <w:p>
      <w:pPr>
        <w:pStyle w:val="ListBullet"/>
        <w:spacing w:after="60"/>
      </w:pPr>
      <w:r>
        <w:rPr>
          <w:b/>
        </w:rPr>
        <w:t>Usability:</w:t>
      </w:r>
      <w:r>
        <w:t xml:space="preserve"> The first lien will argue that the carve-out fails for indefiniteness, so that §6.5(a) governs without exception. Under New York law, courts strive to give effect to every term and avoid rendering provisions meaningless. An undefined term is given its ordinary meaning, and if it is ambiguous, extrinsic evidence of the parties’ intent is admissible. §9.6 also directs that an unenforceable provision be modified “to the minimum extent necessary to render it valid.” The carve-out is therefore unlikely to be voided outright. A court is more likely to supply a value.</w:t>
      </w:r>
    </w:p>
    <w:p>
      <w:pPr>
        <w:pStyle w:val="ListBullet"/>
        <w:spacing w:after="60"/>
      </w:pPr>
      <w:r>
        <w:rPr>
          <w:b/>
        </w:rPr>
        <w:t>What value applies:</w:t>
      </w:r>
      <w:r>
        <w:t xml:space="preserve"> The words “appraised” and “Collateral Value” point to (i) a valuation of the </w:t>
      </w:r>
      <w:r>
        <w:rPr>
          <w:b/>
        </w:rPr>
        <w:t>Collateral</w:t>
      </w:r>
      <w:r>
        <w:t xml:space="preserve"> (not the enterprise as a whole, and not unencumbered assets), (ii) as of the plan effective date, (iii) determined by appraisal, i.e., an independent valuation process. Pinnacle’s range is a debtor-side </w:t>
      </w:r>
      <w:r>
        <w:rPr>
          <w:b/>
        </w:rPr>
        <w:t>enterprise</w:t>
      </w:r>
      <w:r>
        <w:t xml:space="preserve"> valuation prepared as of February 2025 for other purposes, and it does not include asset-level collateral appraisals; it is a starting point, not a substitute. The most defensible approach is to ask the Court to fix collateral value under Bankruptcy Code §506(a) (“in light of the purpose of the valuation and of the proposed disposition or use”) and Bankruptcy Rule 3012, in connection with confirmation of the Second Lien Agent’s plan, supported by the group’s own appraisal evidence. Expect the first lien to argue for a value at or above its claim, and to point to §2.2(b), under which First Lien Obligations include post-petition interest whether or not allowed.</w:t>
      </w:r>
    </w:p>
    <w:p>
      <w:pPr>
        <w:pStyle w:val="ListBullet"/>
        <w:spacing w:after="60"/>
      </w:pPr>
      <w:r>
        <w:rPr>
          <w:b/>
        </w:rPr>
        <w:t>Other constraints on §6.5(b):</w:t>
      </w:r>
      <w:r>
        <w:t xml:space="preserve"> the plan must be </w:t>
      </w:r>
      <w:r>
        <w:rPr>
          <w:b/>
        </w:rPr>
        <w:t>proposed by the Second Lien Agent</w:t>
      </w:r>
      <w:r>
        <w:t xml:space="preserve"> on behalf of the Required Second Lien Lenders (so it is subject to the §6.6 timing restrictions). The form of “payment” is not specified, so it could be cash, new debt or other consideration, but the first lien class would almost certainly reject, requiring cramdown under §1129(b)(2)(A) (retention of liens plus deferred cash payments of present value at least equal to the allowed secured claim, sale with liens attaching to proceeds, or the “indubitable equivalent”). Note also the first lien’s possible §1111(b) election.</w:t>
      </w:r>
    </w:p>
    <w:p>
      <w:pPr>
        <w:pStyle w:val="Heading1"/>
      </w:pPr>
      <w:r>
        <w:t>V. Priority Question 3 — Plan-Filing Timeline (Section 6.6)</w:t>
      </w:r>
    </w:p>
    <w:p>
      <w:pPr>
        <w:pStyle w:val="Heading2"/>
      </w:pPr>
      <w:r>
        <w:t>A. Which restriction controls</w:t>
      </w:r>
    </w:p>
    <w:p>
      <w:pPr>
        <w:jc w:val="both"/>
      </w:pPr>
      <w:r>
        <w:t xml:space="preserve">Neither restriction displaces the other. §6.6(a) bars the second lien from filing, proposing or supporting any plan “during the Exclusivity Period,” defined as the period in which the Debtor has the exclusive right </w:t>
      </w:r>
      <w:r>
        <w:rPr>
          <w:b/>
        </w:rPr>
        <w:t>to file</w:t>
      </w:r>
      <w:r>
        <w:t xml:space="preserve"> a plan under §1121, “including any extensions” (§1.1). §6.6(b) permits plan activity after exclusivity “subject to … the additional restrictions set forth in Section 6.6(c).” §6.6(c) imposes a flat 180-day post-petition bar “notwithstanding anything in this Agreement to the contrary,” applying “independently of, and in addition to” §6.6(a) and “regardless of whether the Exclusivity Period is terminated or expires” earlier. </w:t>
      </w:r>
      <w:r>
        <w:rPr>
          <w:b/>
        </w:rPr>
        <w:t>The operative restriction is therefore whichever ends later: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D9E2F3"/>
          </w:tcPr>
          <w:p>
            <w:r/>
            <w:r>
              <w:rPr>
                <w:b/>
                <w:sz w:val="17"/>
              </w:rPr>
              <w:t>Scenario</w:t>
            </w:r>
          </w:p>
        </w:tc>
        <w:tc>
          <w:tcPr>
            <w:tcW w:type="dxa" w:w="1440"/>
            <w:shd w:val="clear" w:color="auto" w:fill="D9E2F3"/>
          </w:tcPr>
          <w:p>
            <w:r/>
            <w:r>
              <w:rPr>
                <w:b/>
                <w:sz w:val="17"/>
              </w:rPr>
              <w:t>§6.6(a) ends</w:t>
            </w:r>
          </w:p>
        </w:tc>
        <w:tc>
          <w:tcPr>
            <w:tcW w:type="dxa" w:w="1296"/>
            <w:shd w:val="clear" w:color="auto" w:fill="D9E2F3"/>
          </w:tcPr>
          <w:p>
            <w:r/>
            <w:r>
              <w:rPr>
                <w:b/>
                <w:sz w:val="17"/>
              </w:rPr>
              <w:t>§6.6(c) ends</w:t>
            </w:r>
          </w:p>
        </w:tc>
        <w:tc>
          <w:tcPr>
            <w:tcW w:type="dxa" w:w="2304"/>
            <w:shd w:val="clear" w:color="auto" w:fill="D9E2F3"/>
          </w:tcPr>
          <w:p>
            <w:r/>
            <w:r>
              <w:rPr>
                <w:b/>
                <w:sz w:val="17"/>
              </w:rPr>
              <w:t>Statutory position</w:t>
            </w:r>
          </w:p>
        </w:tc>
        <w:tc>
          <w:tcPr>
            <w:tcW w:type="dxa" w:w="2016"/>
            <w:shd w:val="clear" w:color="auto" w:fill="D9E2F3"/>
          </w:tcPr>
          <w:p>
            <w:r/>
            <w:r>
              <w:rPr>
                <w:b/>
                <w:sz w:val="17"/>
              </w:rPr>
              <w:t>Earliest group plan filing</w:t>
            </w:r>
          </w:p>
        </w:tc>
      </w:tr>
      <w:tr>
        <w:tc>
          <w:tcPr>
            <w:tcW w:type="dxa" w:w="2304"/>
          </w:tcPr>
          <w:p>
            <w:r>
              <w:rPr>
                <w:sz w:val="17"/>
              </w:rPr>
            </w:r>
            <w:r>
              <w:rPr>
                <w:sz w:val="17"/>
              </w:rPr>
              <w:t>No extension; Debtor files plan by July 14, 2025</w:t>
            </w:r>
          </w:p>
        </w:tc>
        <w:tc>
          <w:tcPr>
            <w:tcW w:type="dxa" w:w="1440"/>
          </w:tcPr>
          <w:p>
            <w:r>
              <w:rPr>
                <w:sz w:val="17"/>
              </w:rPr>
            </w:r>
            <w:r>
              <w:rPr>
                <w:sz w:val="17"/>
              </w:rPr>
              <w:t>July 14, 2025</w:t>
            </w:r>
          </w:p>
        </w:tc>
        <w:tc>
          <w:tcPr>
            <w:tcW w:type="dxa" w:w="1296"/>
          </w:tcPr>
          <w:p>
            <w:r>
              <w:rPr>
                <w:sz w:val="17"/>
              </w:rPr>
            </w:r>
            <w:r>
              <w:rPr>
                <w:sz w:val="17"/>
              </w:rPr>
              <w:t>Sept. 10, 2025</w:t>
            </w:r>
          </w:p>
        </w:tc>
        <w:tc>
          <w:tcPr>
            <w:tcW w:type="dxa" w:w="2304"/>
          </w:tcPr>
          <w:p>
            <w:r>
              <w:rPr>
                <w:sz w:val="17"/>
              </w:rPr>
            </w:r>
            <w:r>
              <w:rPr>
                <w:sz w:val="17"/>
              </w:rPr>
              <w:t>§1121(c)(3): Debtor’s solicitation exclusivity runs to Sept. 10, 2025</w:t>
            </w:r>
          </w:p>
        </w:tc>
        <w:tc>
          <w:tcPr>
            <w:tcW w:type="dxa" w:w="2016"/>
          </w:tcPr>
          <w:p>
            <w:r>
              <w:rPr>
                <w:sz w:val="17"/>
              </w:rPr>
            </w:r>
            <w:r>
              <w:rPr>
                <w:sz w:val="17"/>
              </w:rPr>
              <w:t>Sept. 10, 2025 (statute and contract coincide)</w:t>
            </w:r>
          </w:p>
        </w:tc>
      </w:tr>
      <w:tr>
        <w:tc>
          <w:tcPr>
            <w:tcW w:type="dxa" w:w="2304"/>
          </w:tcPr>
          <w:p>
            <w:r>
              <w:rPr>
                <w:sz w:val="17"/>
              </w:rPr>
            </w:r>
            <w:r>
              <w:rPr>
                <w:sz w:val="17"/>
              </w:rPr>
              <w:t>No extension; Debtor files no plan by July 14</w:t>
            </w:r>
          </w:p>
        </w:tc>
        <w:tc>
          <w:tcPr>
            <w:tcW w:type="dxa" w:w="1440"/>
          </w:tcPr>
          <w:p>
            <w:r>
              <w:rPr>
                <w:sz w:val="17"/>
              </w:rPr>
            </w:r>
            <w:r>
              <w:rPr>
                <w:sz w:val="17"/>
              </w:rPr>
              <w:t>July 14, 2025</w:t>
            </w:r>
          </w:p>
        </w:tc>
        <w:tc>
          <w:tcPr>
            <w:tcW w:type="dxa" w:w="1296"/>
          </w:tcPr>
          <w:p>
            <w:r>
              <w:rPr>
                <w:sz w:val="17"/>
              </w:rPr>
            </w:r>
            <w:r>
              <w:rPr>
                <w:sz w:val="17"/>
              </w:rPr>
              <w:t>Sept. 10, 2025</w:t>
            </w:r>
          </w:p>
        </w:tc>
        <w:tc>
          <w:tcPr>
            <w:tcW w:type="dxa" w:w="2304"/>
          </w:tcPr>
          <w:p>
            <w:r>
              <w:rPr>
                <w:sz w:val="17"/>
              </w:rPr>
            </w:r>
            <w:r>
              <w:rPr>
                <w:sz w:val="17"/>
              </w:rPr>
              <w:t>Any party may file after July 14 (§1121(c)(2))</w:t>
            </w:r>
          </w:p>
        </w:tc>
        <w:tc>
          <w:tcPr>
            <w:tcW w:type="dxa" w:w="2016"/>
          </w:tcPr>
          <w:p>
            <w:r>
              <w:rPr>
                <w:sz w:val="17"/>
              </w:rPr>
            </w:r>
            <w:r>
              <w:rPr>
                <w:sz w:val="17"/>
              </w:rPr>
              <w:t>Sept. 10, 2025 (contract adds ~58 days)</w:t>
            </w:r>
          </w:p>
        </w:tc>
      </w:tr>
      <w:tr>
        <w:tc>
          <w:tcPr>
            <w:tcW w:type="dxa" w:w="2304"/>
          </w:tcPr>
          <w:p>
            <w:r>
              <w:rPr>
                <w:sz w:val="17"/>
              </w:rPr>
            </w:r>
            <w:r>
              <w:rPr>
                <w:sz w:val="17"/>
              </w:rPr>
              <w:t>Exclusivity terminated early under §1121(d)</w:t>
            </w:r>
          </w:p>
        </w:tc>
        <w:tc>
          <w:tcPr>
            <w:tcW w:type="dxa" w:w="1440"/>
          </w:tcPr>
          <w:p>
            <w:r>
              <w:rPr>
                <w:sz w:val="17"/>
              </w:rPr>
            </w:r>
            <w:r>
              <w:rPr>
                <w:sz w:val="17"/>
              </w:rPr>
              <w:t>On termination</w:t>
            </w:r>
          </w:p>
        </w:tc>
        <w:tc>
          <w:tcPr>
            <w:tcW w:type="dxa" w:w="1296"/>
          </w:tcPr>
          <w:p>
            <w:r>
              <w:rPr>
                <w:sz w:val="17"/>
              </w:rPr>
            </w:r>
            <w:r>
              <w:rPr>
                <w:sz w:val="17"/>
              </w:rPr>
              <w:t>Sept. 10, 2025</w:t>
            </w:r>
          </w:p>
        </w:tc>
        <w:tc>
          <w:tcPr>
            <w:tcW w:type="dxa" w:w="2304"/>
          </w:tcPr>
          <w:p>
            <w:r>
              <w:rPr>
                <w:sz w:val="17"/>
              </w:rPr>
            </w:r>
            <w:r>
              <w:rPr>
                <w:sz w:val="17"/>
              </w:rPr>
              <w:t>Open filing</w:t>
            </w:r>
          </w:p>
        </w:tc>
        <w:tc>
          <w:tcPr>
            <w:tcW w:type="dxa" w:w="2016"/>
          </w:tcPr>
          <w:p>
            <w:r>
              <w:rPr>
                <w:sz w:val="17"/>
              </w:rPr>
            </w:r>
            <w:r>
              <w:rPr>
                <w:sz w:val="17"/>
              </w:rPr>
              <w:t>Sept. 10, 2025</w:t>
            </w:r>
          </w:p>
        </w:tc>
      </w:tr>
      <w:tr>
        <w:tc>
          <w:tcPr>
            <w:tcW w:type="dxa" w:w="2304"/>
          </w:tcPr>
          <w:p>
            <w:r>
              <w:rPr>
                <w:sz w:val="17"/>
              </w:rPr>
            </w:r>
            <w:r>
              <w:rPr>
                <w:sz w:val="17"/>
              </w:rPr>
              <w:t>Exclusivity extended beyond Sept. 10, 2025</w:t>
            </w:r>
          </w:p>
        </w:tc>
        <w:tc>
          <w:tcPr>
            <w:tcW w:type="dxa" w:w="1440"/>
          </w:tcPr>
          <w:p>
            <w:r>
              <w:rPr>
                <w:sz w:val="17"/>
              </w:rPr>
            </w:r>
            <w:r>
              <w:rPr>
                <w:sz w:val="17"/>
              </w:rPr>
              <w:t>On expiry of extension (up to Sept. 14, 2026)</w:t>
            </w:r>
          </w:p>
        </w:tc>
        <w:tc>
          <w:tcPr>
            <w:tcW w:type="dxa" w:w="1296"/>
          </w:tcPr>
          <w:p>
            <w:r>
              <w:rPr>
                <w:sz w:val="17"/>
              </w:rPr>
            </w:r>
            <w:r>
              <w:rPr>
                <w:sz w:val="17"/>
              </w:rPr>
              <w:t>Sept. 10, 2025</w:t>
            </w:r>
          </w:p>
        </w:tc>
        <w:tc>
          <w:tcPr>
            <w:tcW w:type="dxa" w:w="2304"/>
          </w:tcPr>
          <w:p>
            <w:r>
              <w:rPr>
                <w:sz w:val="17"/>
              </w:rPr>
            </w:r>
            <w:r>
              <w:rPr>
                <w:sz w:val="17"/>
              </w:rPr>
              <w:t>Debtor exclusive</w:t>
            </w:r>
          </w:p>
        </w:tc>
        <w:tc>
          <w:tcPr>
            <w:tcW w:type="dxa" w:w="2016"/>
          </w:tcPr>
          <w:p>
            <w:r>
              <w:rPr>
                <w:sz w:val="17"/>
              </w:rPr>
            </w:r>
            <w:r>
              <w:rPr>
                <w:sz w:val="17"/>
              </w:rPr>
              <w:t>End of extended period</w:t>
            </w:r>
          </w:p>
        </w:tc>
      </w:tr>
    </w:tbl>
    <w:p>
      <w:pPr>
        <w:spacing w:after="40"/>
      </w:pPr>
    </w:p>
    <w:p>
      <w:pPr>
        <w:jc w:val="both"/>
      </w:pPr>
      <w:r>
        <w:t xml:space="preserve">Two drafting points cut in the group’s favor. First, “Exclusivity Period” covers only the exclusive period </w:t>
      </w:r>
      <w:r>
        <w:rPr>
          <w:b/>
        </w:rPr>
        <w:t>to file</w:t>
      </w:r>
      <w:r>
        <w:t xml:space="preserve">, not the §1121(c)(3) solicitation period, so §6.6(a) itself ends on July 14 unless extended. Second, §6.6(c) bars the second lien from </w:t>
      </w:r>
      <w:r>
        <w:rPr>
          <w:b/>
        </w:rPr>
        <w:t>supporting</w:t>
      </w:r>
      <w:r>
        <w:t xml:space="preserve"> “any plan” for 180 days, which literally includes a first-lien-acceptable plan. That reading is in tension with §6.5(a), which contemplates the second lien voting for first-lien-acceptable plans, and with the practical reality that a consensual deal would require the group’s support (an RSA) well before September 10. The first lien will need a written waiver from the group (§9.2(b)) to lock in second lien support early. That is leverage in a global negotiation.</w:t>
      </w:r>
    </w:p>
    <w:p>
      <w:pPr>
        <w:pStyle w:val="Heading2"/>
      </w:pPr>
      <w:r>
        <w:t>B. Enforceability of the 180-day standstill</w:t>
      </w:r>
    </w:p>
    <w:p>
      <w:pPr>
        <w:jc w:val="both"/>
      </w:pPr>
      <w:r>
        <w:rPr>
          <w:b/>
        </w:rPr>
        <w:t>Arguments against enforcement:</w:t>
      </w:r>
      <w:r>
        <w:t xml:space="preserve"> §1121(c) confers on “any party in interest” the right to file a plan once exclusivity ends, and Congress gave the Court, not private contract, the power to set exclusivity (§1121(d)). A covenant that extends exclusivity in favor of the Debtor’s plan process is not a “subordination agreement” protected by §510(a) (the </w:t>
      </w:r>
      <w:r>
        <w:rPr>
          <w:i/>
        </w:rPr>
        <w:t>203 North LaSalle</w:t>
      </w:r>
      <w:r>
        <w:t xml:space="preserve"> line of reasoning). Courts scrutinize pre-petition waivers of core Chapter 11 rights (</w:t>
      </w:r>
      <w:r>
        <w:rPr>
          <w:i/>
        </w:rPr>
        <w:t>Boston Generating</w:t>
      </w:r>
      <w:r>
        <w:t xml:space="preserve"> requires a clear waiver). </w:t>
      </w:r>
      <w:r>
        <w:rPr>
          <w:b/>
        </w:rPr>
        <w:t>Arguments for enforcement:</w:t>
      </w:r>
      <w:r>
        <w:t xml:space="preserve"> the restriction is explicit, deliberately negotiated (“independently,” “regardless”), runs only between sophisticated creditors rather than in favor of the Debtor, is time-limited, and the ICA mandates plain-language interpretation (§1.2(h)) and severability-based reformation (§9.6). SDNY courts value the predictability of intercreditor bargains (</w:t>
      </w:r>
      <w:r>
        <w:rPr>
          <w:i/>
        </w:rPr>
        <w:t>Ion Media</w:t>
      </w:r>
      <w:r>
        <w:t>).</w:t>
      </w:r>
    </w:p>
    <w:p>
      <w:pPr>
        <w:jc w:val="both"/>
      </w:pPr>
      <w:r>
        <w:rPr>
          <w:b/>
        </w:rPr>
        <w:t>Our view:</w:t>
      </w:r>
      <w:r>
        <w:t xml:space="preserve"> this is a genuinely open question. A court could decline to strike a plan filed after exclusivity ends, but it could equally enforce §6.6(c) by striking or refusing to consider a plan, by declining to count second lien support, or by awarding damages, and the group would face indemnity exposure and loss of credibility. The prudent course is to treat September 10, 2025 as the operative date unless the group obtains a waiver or a ruling first.</w:t>
      </w:r>
    </w:p>
    <w:p>
      <w:pPr>
        <w:pStyle w:val="Heading2"/>
      </w:pPr>
      <w:r>
        <w:t>C. Should the group move under §1121(d) early?</w:t>
      </w:r>
    </w:p>
    <w:p>
      <w:pPr>
        <w:pStyle w:val="ListBullet"/>
        <w:spacing w:after="60"/>
      </w:pPr>
      <w:r>
        <w:rPr>
          <w:b/>
        </w:rPr>
        <w:t>Utility is limited while §6.6(c) stands.</w:t>
      </w:r>
      <w:r>
        <w:t xml:space="preserve"> Terminating exclusivity before September 10 would open the field to other parties, such as a committee, but the group could not file, propose or even “support” a plan before September 10 without breaching §6.6(c).</w:t>
      </w:r>
    </w:p>
    <w:p>
      <w:pPr>
        <w:pStyle w:val="ListBullet"/>
        <w:spacing w:after="60"/>
      </w:pPr>
      <w:r>
        <w:rPr>
          <w:b/>
        </w:rPr>
        <w:t>Standard.</w:t>
      </w:r>
      <w:r>
        <w:t xml:space="preserve"> “Cause” is assessed under multi-factor tests (e.g., </w:t>
      </w:r>
      <w:r>
        <w:rPr>
          <w:i/>
        </w:rPr>
        <w:t>In re Adelphia Commc’ns Corp.</w:t>
      </w:r>
      <w:r>
        <w:t>, 352 B.R. 578 (Bankr. S.D.N.Y. 2006)): size and complexity, good-faith progress, whether the debtor is paying post-petition bills, reasonable prospects for a viable plan, progress with creditors, unresolved contingencies, whether exclusivity is being used to pressure creditors, and elapsed time. A motion in the first 120 days of a case of this size rarely succeeds, and the burden is on the movant.</w:t>
      </w:r>
    </w:p>
    <w:p>
      <w:pPr>
        <w:pStyle w:val="ListBullet"/>
        <w:spacing w:after="60"/>
      </w:pPr>
      <w:r>
        <w:rPr>
          <w:b/>
        </w:rPr>
        <w:t>Recommendation.</w:t>
      </w:r>
      <w:r>
        <w:t xml:space="preserve"> (i) Do not file an early §1121(d) termination motion now. (ii) Reserve rights on the record and </w:t>
      </w:r>
      <w:r>
        <w:rPr>
          <w:b/>
        </w:rPr>
        <w:t>oppose any extension</w:t>
      </w:r>
      <w:r>
        <w:t xml:space="preserve"> of exclusivity, especially one that would carry §6.6(a) beyond September 10. (iii) Build a record (milestones dictated by the first lien/DIP, any pressure tactics) supporting “cause” if the Debtor seeks an extension. (iv) Consider asking the Court for a ruling on the enforceability of §6.6(c) in connection with any exclusivity extension motion. (v) Negotiate a waiver of §6.6(c) as part of the DIP or global settlement. (vi) Have a second lien plan and term sheet ready to file on September 10, 2025. Note that appearing and being heard, including objecting to an exclusivity extension, is expressly permitted (§6.6(d)(ii)).</w:t>
      </w:r>
    </w:p>
    <w:p>
      <w:pPr>
        <w:pStyle w:val="Heading1"/>
      </w:pPr>
      <w:r>
        <w:t>VI. DIP Financing — Consent and Objection Rights (Section 6.1)</w:t>
      </w:r>
    </w:p>
    <w:p>
      <w:pPr>
        <w:pStyle w:val="Heading2"/>
      </w:pPr>
      <w:r>
        <w:t>A. The provisions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val="clear" w:color="auto" w:fill="D9E2F3"/>
          </w:tcPr>
          <w:p>
            <w:r/>
            <w:r>
              <w:rPr>
                <w:b/>
                <w:sz w:val="17"/>
              </w:rPr>
              <w:t>Provision</w:t>
            </w:r>
          </w:p>
        </w:tc>
        <w:tc>
          <w:tcPr>
            <w:tcW w:type="dxa" w:w="3888"/>
            <w:shd w:val="clear" w:color="auto" w:fill="D9E2F3"/>
          </w:tcPr>
          <w:p>
            <w:r/>
            <w:r>
              <w:rPr>
                <w:b/>
                <w:sz w:val="17"/>
              </w:rPr>
              <w:t>Text (summary)</w:t>
            </w:r>
          </w:p>
        </w:tc>
        <w:tc>
          <w:tcPr>
            <w:tcW w:type="dxa" w:w="3600"/>
            <w:shd w:val="clear" w:color="auto" w:fill="D9E2F3"/>
          </w:tcPr>
          <w:p>
            <w:r/>
            <w:r>
              <w:rPr>
                <w:b/>
                <w:sz w:val="17"/>
              </w:rPr>
              <w:t>Application to the $85M DIP</w:t>
            </w:r>
          </w:p>
        </w:tc>
      </w:tr>
      <w:tr>
        <w:tc>
          <w:tcPr>
            <w:tcW w:type="dxa" w:w="1872"/>
          </w:tcPr>
          <w:p>
            <w:r>
              <w:rPr>
                <w:sz w:val="17"/>
              </w:rPr>
            </w:r>
            <w:r>
              <w:rPr>
                <w:sz w:val="17"/>
              </w:rPr>
              <w:t>§6.1(a), first sentence</w:t>
            </w:r>
          </w:p>
        </w:tc>
        <w:tc>
          <w:tcPr>
            <w:tcW w:type="dxa" w:w="3888"/>
          </w:tcPr>
          <w:p>
            <w:r>
              <w:rPr>
                <w:sz w:val="17"/>
              </w:rPr>
            </w:r>
            <w:r>
              <w:rPr>
                <w:sz w:val="17"/>
              </w:rPr>
              <w:t>2L “shall not object to, and hereby irrevocably consents to,” any DIP “on terms substantially consistent with the First Lien Documents,” including priming liens.</w:t>
            </w:r>
          </w:p>
        </w:tc>
        <w:tc>
          <w:tcPr>
            <w:tcW w:type="dxa" w:w="3600"/>
          </w:tcPr>
          <w:p>
            <w:r>
              <w:rPr>
                <w:sz w:val="17"/>
              </w:rPr>
            </w:r>
            <w:r>
              <w:rPr>
                <w:sz w:val="17"/>
              </w:rPr>
              <w:t>Conditional on DIP terms being substantially consistent with First Lien Documents. Requires review of DIP pricing, fees, covenants, milestones, roll-up and releases.</w:t>
            </w:r>
          </w:p>
        </w:tc>
      </w:tr>
      <w:tr>
        <w:tc>
          <w:tcPr>
            <w:tcW w:type="dxa" w:w="1872"/>
          </w:tcPr>
          <w:p>
            <w:r>
              <w:rPr>
                <w:sz w:val="17"/>
              </w:rPr>
            </w:r>
            <w:r>
              <w:rPr>
                <w:sz w:val="17"/>
              </w:rPr>
              <w:t>§6.1(a), second sentence (“DIP Consent Threshold”)</w:t>
            </w:r>
          </w:p>
        </w:tc>
        <w:tc>
          <w:tcPr>
            <w:tcW w:type="dxa" w:w="3888"/>
          </w:tcPr>
          <w:p>
            <w:r>
              <w:rPr>
                <w:sz w:val="17"/>
              </w:rPr>
            </w:r>
            <w:r>
              <w:rPr>
                <w:sz w:val="17"/>
              </w:rPr>
              <w:t>2L will not object to any DIP “that does not exceed 115% of the aggregate First Lien Obligations outstanding as of the Petition Date.”</w:t>
            </w:r>
          </w:p>
        </w:tc>
        <w:tc>
          <w:tcPr>
            <w:tcW w:type="dxa" w:w="3600"/>
          </w:tcPr>
          <w:p>
            <w:r>
              <w:rPr>
                <w:sz w:val="17"/>
              </w:rPr>
            </w:r>
            <w:r>
              <w:rPr>
                <w:sz w:val="17"/>
              </w:rPr>
              <w:t>115% × $310M principal = $356.5M. Because First Lien Obligations include accrued interest and fees (§1.1), the true threshold is higher (≈$361.7M at ~$314.5M). $85M is well within it.</w:t>
            </w:r>
          </w:p>
        </w:tc>
      </w:tr>
      <w:tr>
        <w:tc>
          <w:tcPr>
            <w:tcW w:type="dxa" w:w="1872"/>
          </w:tcPr>
          <w:p>
            <w:r>
              <w:rPr>
                <w:sz w:val="17"/>
              </w:rPr>
            </w:r>
            <w:r>
              <w:rPr>
                <w:sz w:val="17"/>
              </w:rPr>
              <w:t>§6.1(b) Priming consent</w:t>
            </w:r>
          </w:p>
        </w:tc>
        <w:tc>
          <w:tcPr>
            <w:tcW w:type="dxa" w:w="3888"/>
          </w:tcPr>
          <w:p>
            <w:r>
              <w:rPr>
                <w:sz w:val="17"/>
              </w:rPr>
            </w:r>
            <w:r>
              <w:rPr>
                <w:sz w:val="17"/>
              </w:rPr>
              <w:t>Irrevocable consent to a §364(d) priming DIP if “the aggregate commitment amount of such DIP Financing does not exceed the First Lien Cap Amount” ($350M).</w:t>
            </w:r>
          </w:p>
        </w:tc>
        <w:tc>
          <w:tcPr>
            <w:tcW w:type="dxa" w:w="3600"/>
          </w:tcPr>
          <w:p>
            <w:r>
              <w:rPr>
                <w:sz w:val="17"/>
              </w:rPr>
            </w:r>
            <w:r>
              <w:rPr>
                <w:sz w:val="17"/>
              </w:rPr>
              <w:t>$85M is within it on a DIP-only reading.</w:t>
            </w:r>
          </w:p>
        </w:tc>
      </w:tr>
      <w:tr>
        <w:tc>
          <w:tcPr>
            <w:tcW w:type="dxa" w:w="1872"/>
          </w:tcPr>
          <w:p>
            <w:r>
              <w:rPr>
                <w:sz w:val="17"/>
              </w:rPr>
            </w:r>
            <w:r>
              <w:rPr>
                <w:sz w:val="17"/>
              </w:rPr>
              <w:t>§6.1(c) Superpriority</w:t>
            </w:r>
          </w:p>
        </w:tc>
        <w:tc>
          <w:tcPr>
            <w:tcW w:type="dxa" w:w="3888"/>
          </w:tcPr>
          <w:p>
            <w:r>
              <w:rPr>
                <w:sz w:val="17"/>
              </w:rPr>
            </w:r>
            <w:r>
              <w:rPr>
                <w:sz w:val="17"/>
              </w:rPr>
              <w:t>No objection to §364(c)(1) superpriority claims “</w:t>
            </w:r>
            <w:r>
              <w:rPr>
                <w:b/>
                <w:sz w:val="17"/>
              </w:rPr>
              <w:t>provided</w:t>
            </w:r>
            <w:r>
              <w:rPr>
                <w:sz w:val="17"/>
              </w:rPr>
              <w:t xml:space="preserve"> that such superpriority claims do not prime or have priority over the adequate protection claims … of the Second Lien Secured Parties.”</w:t>
            </w:r>
          </w:p>
        </w:tc>
        <w:tc>
          <w:tcPr>
            <w:tcW w:type="dxa" w:w="3600"/>
          </w:tcPr>
          <w:p>
            <w:r>
              <w:rPr>
                <w:sz w:val="17"/>
              </w:rPr>
            </w:r>
            <w:r>
              <w:rPr>
                <w:b/>
                <w:sz w:val="17"/>
              </w:rPr>
              <w:t>Key leverage.</w:t>
            </w:r>
            <w:r>
              <w:rPr>
                <w:sz w:val="17"/>
              </w:rPr>
              <w:t xml:space="preserve"> Standard DIP orders rank DIP superpriority claims ahead of all §507(b) claims. If so, the no-objection covenant does not apply.</w:t>
            </w:r>
          </w:p>
        </w:tc>
      </w:tr>
      <w:tr>
        <w:tc>
          <w:tcPr>
            <w:tcW w:type="dxa" w:w="1872"/>
          </w:tcPr>
          <w:p>
            <w:r>
              <w:rPr>
                <w:sz w:val="17"/>
              </w:rPr>
            </w:r>
            <w:r>
              <w:rPr>
                <w:sz w:val="17"/>
              </w:rPr>
              <w:t>§6.1(d) Reservation</w:t>
            </w:r>
          </w:p>
        </w:tc>
        <w:tc>
          <w:tcPr>
            <w:tcW w:type="dxa" w:w="3888"/>
          </w:tcPr>
          <w:p>
            <w:r>
              <w:rPr>
                <w:sz w:val="17"/>
              </w:rPr>
            </w:r>
            <w:r>
              <w:rPr>
                <w:sz w:val="17"/>
              </w:rPr>
              <w:t>No waiver of the right to object to any DIP exceeding the DIP Consent Threshold or the First Lien Cap Amount, “as applicable,” or not satisfying §6.1 conditions; if both are exceeded, the 2L may object to “the entirety of such excess.”</w:t>
            </w:r>
          </w:p>
        </w:tc>
        <w:tc>
          <w:tcPr>
            <w:tcW w:type="dxa" w:w="3600"/>
          </w:tcPr>
          <w:p>
            <w:r>
              <w:rPr>
                <w:sz w:val="17"/>
              </w:rPr>
            </w:r>
            <w:r>
              <w:rPr>
                <w:sz w:val="17"/>
              </w:rPr>
              <w:t>Preserves objections to non-conforming terms.</w:t>
            </w:r>
          </w:p>
        </w:tc>
      </w:tr>
    </w:tbl>
    <w:p>
      <w:pPr>
        <w:spacing w:after="40"/>
      </w:pPr>
    </w:p>
    <w:p>
      <w:pPr>
        <w:pStyle w:val="Heading2"/>
      </w:pPr>
      <w:r>
        <w:t>B. The two thresholds</w:t>
      </w:r>
    </w:p>
    <w:p>
      <w:pPr>
        <w:jc w:val="both"/>
      </w:pPr>
      <w:r>
        <w:t xml:space="preserve">The Pinnacle Workbook flags a “$6.5 million discrepancy” between the 115% threshold ($356.5 million) and the $350 million First Lien Cap Amount and asks which controls. In our view they are </w:t>
      </w:r>
      <w:r>
        <w:rPr>
          <w:b/>
        </w:rPr>
        <w:t>different tests that apply cumulatively</w:t>
      </w:r>
      <w:r>
        <w:t xml:space="preserve">, not competing measures of the same thing. §6.1(a) governs the general non-objection covenant; §6.1(b) governs consent to </w:t>
      </w:r>
      <w:r>
        <w:rPr>
          <w:b/>
        </w:rPr>
        <w:t>priming</w:t>
      </w:r>
      <w:r>
        <w:t xml:space="preserve"> specifically; and §6.1(d) treats them as alternative ceilings (“as applicable”). For a priming DIP, the lower $350 million cap is the binding constraint, and only objections to the excess over both are fully unrestricted. The Workbook also understates the 115% figure by using principal only. The issue is academic at $85 million, but it would matter for any upsizing or roll-up.</w:t>
      </w:r>
    </w:p>
    <w:p>
      <w:pPr>
        <w:jc w:val="both"/>
      </w:pPr>
      <w:r>
        <w:rPr>
          <w:b/>
        </w:rPr>
        <w:t>Aggregate reading.</w:t>
      </w:r>
      <w:r>
        <w:t xml:space="preserve"> The group could argue that the caps are intended to limit </w:t>
      </w:r>
      <w:r>
        <w:rPr>
          <w:b/>
        </w:rPr>
        <w:t>total</w:t>
      </w:r>
      <w:r>
        <w:t xml:space="preserve"> debt priming the second lien: $310 million of first lien plus an $85 million DIP equals $395 million, which exceeds the $350 million cap by $45 million and the $356.5 million threshold by $38.5 million. On that reading the group would be free under §6.1(d) to object to the $38.5–45 million excess. The text, however (“aggregate commitment amount </w:t>
      </w:r>
      <w:r>
        <w:rPr>
          <w:b/>
        </w:rPr>
        <w:t>of such DIP Financing</w:t>
      </w:r>
      <w:r>
        <w:t>”; DIP “that does not exceed 115% …”), measures the DIP alone. We regard the aggregate argument as colorable negotiating leverage but unlikely to prevail.</w:t>
      </w:r>
    </w:p>
    <w:p>
      <w:pPr>
        <w:pStyle w:val="Heading2"/>
      </w:pPr>
      <w:r>
        <w:t>C. Grounds for objection that survive the consent</w:t>
      </w:r>
    </w:p>
    <w:p>
      <w:pPr>
        <w:pStyle w:val="ListNumber"/>
        <w:spacing w:after="60"/>
      </w:pPr>
      <w:r>
        <w:rPr>
          <w:b/>
        </w:rPr>
        <w:t>§6.1(c) priority over second lien adequate protection claims.</w:t>
      </w:r>
      <w:r>
        <w:t xml:space="preserve"> Insist that the DIP superpriority claims not prime the second lien’s adequate protection claims (replacement liens and §507(b) claims). If the proposed order provides otherwise, the group is not bound to remain silent.</w:t>
      </w:r>
    </w:p>
    <w:p>
      <w:pPr>
        <w:pStyle w:val="ListNumber"/>
        <w:spacing w:after="60"/>
      </w:pPr>
      <w:r>
        <w:rPr>
          <w:b/>
        </w:rPr>
        <w:t>“Substantially consistent with the First Lien Documents” (§6.1(a)).</w:t>
      </w:r>
      <w:r>
        <w:t xml:space="preserve"> Test the DIP’s interest margin, fees (commitment, exit, backstop), maturity, covenants, events of default and milestones against the First Lien Credit Agreement. Material divergence arguably takes the facility outside the first-sentence consent, although the second-sentence non-objection is not expressly so conditioned. This drafting tension should be argued.</w:t>
      </w:r>
    </w:p>
    <w:p>
      <w:pPr>
        <w:pStyle w:val="ListNumber"/>
        <w:spacing w:after="60"/>
      </w:pPr>
      <w:r>
        <w:rPr>
          <w:b/>
        </w:rPr>
        <w:t>Roll-up.</w:t>
      </w:r>
      <w:r>
        <w:t xml:space="preserve"> Any conversion of pre-petition first lien debt into DIP obligations increases the DIP amount for threshold purposes, elevates pre-petition claims to superpriority status, and is not “financing” in the ordinary sense. It is unlikely to be within the consent as written.</w:t>
      </w:r>
    </w:p>
    <w:p>
      <w:pPr>
        <w:pStyle w:val="ListNumber"/>
        <w:spacing w:after="60"/>
      </w:pPr>
      <w:r>
        <w:rPr>
          <w:b/>
        </w:rPr>
        <w:t>Terms outside §6.1 entirely.</w:t>
      </w:r>
      <w:r>
        <w:t xml:space="preserve"> Waivers of §506(c) surcharge, the §552(b) “equities of the case” exception and marshaling; DIP and adequate protection liens on avoidance actions, commercial tort claims or other </w:t>
      </w:r>
      <w:r>
        <w:rPr>
          <w:b/>
        </w:rPr>
        <w:t>unencumbered</w:t>
      </w:r>
      <w:r>
        <w:t xml:space="preserve"> assets (value the group would otherwise share in through its deficiency claim); stipulations to the first lien’s claims, liens and releases (the group cannot contest those, §§2.4(a), 7.1, but other estate parties can); sale milestones that effectively dictate a §363 sale (a potential </w:t>
      </w:r>
      <w:r>
        <w:rPr>
          <w:i/>
        </w:rPr>
        <w:t>sub rosa</w:t>
      </w:r>
      <w:r>
        <w:t xml:space="preserve"> plan); carve-out sizing; and limits on the use of collateral to investigate. §3.1(e)(iii) permits objection to relief that would “materially impair” the second lien’s ICA rights.</w:t>
      </w:r>
    </w:p>
    <w:p>
      <w:pPr>
        <w:pStyle w:val="ListNumber"/>
        <w:spacing w:after="60"/>
      </w:pPr>
      <w:r>
        <w:rPr>
          <w:b/>
        </w:rPr>
        <w:t>Non-debtor Grantors.</w:t>
      </w:r>
      <w:r>
        <w:t xml:space="preserve"> RPC, RHP and Holdings are not debtors. §364(d) priming liens attach only to property of the </w:t>
      </w:r>
      <w:r>
        <w:rPr>
          <w:b/>
        </w:rPr>
        <w:t>estate</w:t>
      </w:r>
      <w:r>
        <w:t xml:space="preserve">, and the second lien’s liens on the subsidiaries’ assets (including the manufacturing assets of the operating companies) can be primed outside bankruptcy only with its consent. If the DIP is to be guaranteed or secured by the non-debtor subsidiaries, the first lien will argue that §6.1’s consent covers any “DIP Financing obtained by any Grantor … in connection with any Insolvency Proceeding, whether pursuant to Section 364 … or otherwise” (§1.1). The group can respond that the consents are framed around bankruptcy-court-approved financing in a proceeding to which the Grantor is subject (“If any Grantor shall become subject to any Insolvency Proceeding,” §6.1(a)), and that §2.5 (no new liens without a matching lien in the same relative priority) applies. </w:t>
      </w:r>
      <w:r>
        <w:rPr>
          <w:b/>
        </w:rPr>
        <w:t>This is likely the group’s most significant point of DIP leverage and requires immediate review of the DIP documents.</w:t>
      </w:r>
    </w:p>
    <w:p>
      <w:pPr>
        <w:pStyle w:val="ListNumber"/>
        <w:spacing w:after="60"/>
      </w:pPr>
      <w:r>
        <w:rPr>
          <w:b/>
        </w:rPr>
        <w:t>Adequate protection.</w:t>
      </w:r>
      <w:r>
        <w:t xml:space="preserve"> Consent to priming is not a waiver of adequate protection. §364(d)(1)(B) requires that the primed lienholder’s interest be adequately protected, and the debtor bears the burden (§364(d)(2)). §6.3(d) reserves the right to seek it.</w:t>
      </w:r>
    </w:p>
    <w:p>
      <w:pPr>
        <w:jc w:val="both"/>
      </w:pPr>
      <w:r>
        <w:rPr>
          <w:b/>
        </w:rPr>
        <w:t>Alternative financing.</w:t>
      </w:r>
      <w:r>
        <w:t xml:space="preserve"> The 1L/2L ICA does not prohibit the second lien from proposing its own DIP (S/U §4.1(b) restricts only the noteholders). A competing priming DIP would face the first lien’s adequate protection objection and the group’s §2.4/§7.1 covenants, but a junior DIP or a credit-support proposal may be a useful lever in negotiating the first lien DIP.</w:t>
      </w:r>
    </w:p>
    <w:p>
      <w:pPr>
        <w:jc w:val="both"/>
      </w:pPr>
      <w:r>
        <w:rPr>
          <w:b/>
        </w:rPr>
        <w:t>Recommended position for the adjourned hearing:</w:t>
      </w:r>
      <w:r>
        <w:t xml:space="preserve"> a limited objection and reservation of rights targeted at items 1–5 above, plus an adequate protection package (Section VII), rather than a frontal challenge to the priming consent, which would likely fail and could expose the Agent to a breach claim.</w:t>
      </w:r>
    </w:p>
    <w:p>
      <w:pPr>
        <w:pStyle w:val="Heading1"/>
      </w:pPr>
      <w:r>
        <w:t>VII. Adequate Protection (Section 6.3; S/U §4.2)</w:t>
      </w:r>
    </w:p>
    <w:p>
      <w:pPr>
        <w:pStyle w:val="ListBullet"/>
        <w:spacing w:after="60"/>
      </w:pPr>
      <w:r>
        <w:rPr>
          <w:b/>
        </w:rPr>
        <w:t>Entitlement.</w:t>
      </w:r>
      <w:r>
        <w:t xml:space="preserve"> As a secured creditor whose collateral is being used (§363(e)) and primed (§364(d)(1)(B)), the second lien is entitled to adequate protection against </w:t>
      </w:r>
      <w:r>
        <w:rPr>
          <w:b/>
        </w:rPr>
        <w:t>diminution in value of its interest in the collateral after the Petition Date</w:t>
      </w:r>
      <w:r>
        <w:t xml:space="preserve"> (§361; </w:t>
      </w:r>
      <w:r>
        <w:rPr>
          <w:i/>
        </w:rPr>
        <w:t>United Sav. Ass’n of Tex. v. Timbers of Inwood Forest Assocs., Ltd.</w:t>
      </w:r>
      <w:r>
        <w:t>, 484 U.S. 365 (1988), which holds that an undersecured creditor is not entitled to compensation for delay). On Pinnacle’s numbers, the second lien has a petition-date collateral interest of roughly $15–75 million ($40–45 million at the midpoint) that the $85 million priming DIP would substantially eliminate. That is a concrete, quantifiable diminution claim.</w:t>
      </w:r>
    </w:p>
    <w:p>
      <w:pPr>
        <w:pStyle w:val="ListBullet"/>
        <w:spacing w:after="60"/>
      </w:pPr>
      <w:r>
        <w:rPr>
          <w:b/>
        </w:rPr>
        <w:t>Forms permitted.</w:t>
      </w:r>
      <w:r>
        <w:t xml:space="preserve"> §6.3(b) expressly permits </w:t>
      </w:r>
      <w:r>
        <w:rPr>
          <w:b/>
        </w:rPr>
        <w:t>replacement liens</w:t>
      </w:r>
      <w:r>
        <w:t xml:space="preserve"> on the Collateral, including after-acquired Collateral, junior to the first lien and any DIP permitted under §6.1. §6.3(a) contemplates second lien adequate protection “in the form of additional or replacement Liens, superpriority claims, cash payments, or otherwise,” subordinate to the first lien’s. §6.1(c) contemplates </w:t>
      </w:r>
      <w:r>
        <w:rPr>
          <w:b/>
        </w:rPr>
        <w:t>superpriority adequate protection claims</w:t>
      </w:r>
      <w:r>
        <w:t xml:space="preserve"> (§507(b)). §6.3(d) reserves all other rights. </w:t>
      </w:r>
      <w:r>
        <w:rPr>
          <w:b/>
        </w:rPr>
        <w:t>Cash payments</w:t>
      </w:r>
      <w:r>
        <w:t xml:space="preserve"> are therefore not prohibited by the 1L/2L ICA, but under S/U §4.2(a)(i), to which Stonebridge is a party, no cash adequate protection may be paid to the second lien unless all first lien adequate protection obligations, including current cash interest at the non-default contract rate, fees and expenses, are current and paid in full.</w:t>
      </w:r>
    </w:p>
    <w:p>
      <w:pPr>
        <w:pStyle w:val="ListBullet"/>
        <w:spacing w:after="60"/>
      </w:pPr>
      <w:r>
        <w:rPr>
          <w:b/>
        </w:rPr>
        <w:t>Restrictions.</w:t>
      </w:r>
      <w:r>
        <w:t xml:space="preserve"> All second lien adequate protection is junior to the first lien’s (§6.3(a)). The group may not object to the first lien’s request for current cash interest, fees, replacement liens or §507(b) claims (§6.3(c)); compare S/U §4.2(b)(i), which contemplates first lien cash adequate protection at the </w:t>
      </w:r>
      <w:r>
        <w:rPr>
          <w:b/>
        </w:rPr>
        <w:t>default</w:t>
      </w:r>
      <w:r>
        <w:t xml:space="preserve"> rate. If the first lien proves undersecured, cash payments to it are vulnerable to recharacterization as principal (§506(b)), but §§6.3(c) and 7.1 limit the group’s ability to press that point. Other estate parties (a committee) may.</w:t>
      </w:r>
    </w:p>
    <w:p>
      <w:pPr>
        <w:pStyle w:val="ListBullet"/>
        <w:spacing w:after="60"/>
      </w:pPr>
      <w:r>
        <w:rPr>
          <w:b/>
        </w:rPr>
        <w:t>Realistic package to request:</w:t>
      </w:r>
      <w:r>
        <w:t xml:space="preserve"> (i) junior replacement liens on all DIP collateral, including post-petition assets, and ideally on non-debtor subsidiary assets to the extent the DIP reaches them; (ii) a junior §507(b) claim, </w:t>
      </w:r>
      <w:r>
        <w:rPr>
          <w:b/>
        </w:rPr>
        <w:t>not</w:t>
      </w:r>
      <w:r>
        <w:t xml:space="preserve"> primed by DIP superpriority claims (§6.1(c)); (iii) current payment of the Second Lien Agent’s and the group’s professional fees (the S/U §4.2(a) “cash adequate protection” condition must be addressed); (iv) financial and sale-process reporting equal to the DIP lenders’ (compare §7.5 reporting); (v) notice of, and the right to be heard on, milestones and sale processes; and (vi) a reservation of the right to seek further adequate protection and of all §1129 rights.</w:t>
      </w:r>
    </w:p>
    <w:p>
      <w:pPr>
        <w:pStyle w:val="Heading1"/>
      </w:pPr>
      <w:r>
        <w:t>VIII. Credit Bidding (Section 6.2)</w:t>
      </w:r>
    </w:p>
    <w:p>
      <w:pPr>
        <w:pStyle w:val="ListBullet"/>
        <w:spacing w:after="60"/>
      </w:pPr>
      <w:r>
        <w:rPr>
          <w:b/>
        </w:rPr>
        <w:t>First lien:</w:t>
      </w:r>
      <w:r>
        <w:t xml:space="preserve"> “exclusive” right to credit bid all or any portion of First Lien Obligations in any §363 sale, plan sale or other disposition (§6.2(a)). The group has irrevocably consented not to object to, oppose or contest any first lien credit bid (§6.2(c)). Under the S/U ICA, the noteholders likewise may not oppose credit bids by Senior Secured Parties (S/U §§4.4(b), 5.1(b), 6.1(d)).</w:t>
      </w:r>
    </w:p>
    <w:p>
      <w:pPr>
        <w:pStyle w:val="ListBullet"/>
        <w:spacing w:after="60"/>
      </w:pPr>
      <w:r>
        <w:rPr>
          <w:b/>
        </w:rPr>
        <w:t>Second lien:</w:t>
      </w:r>
      <w:r>
        <w:t xml:space="preserve"> irrevocable waiver of any right to credit bid under §363(k), in a plan or otherwise, “at any time prior to the Discharge of First Lien Obligations” (§6.2(b); §6.7(b)). The right is reinstated “unrestricted” only after Discharge, meaning indefeasible payment in full </w:t>
      </w:r>
      <w:r>
        <w:rPr>
          <w:b/>
        </w:rPr>
        <w:t>in cash</w:t>
      </w:r>
      <w:r>
        <w:t xml:space="preserve"> of all First Lien Obligations (§6.2(d)).</w:t>
      </w:r>
    </w:p>
    <w:p>
      <w:pPr>
        <w:pStyle w:val="ListBullet"/>
        <w:spacing w:after="60"/>
      </w:pPr>
      <w:r>
        <w:rPr>
          <w:b/>
        </w:rPr>
        <w:t>Implications and options.</w:t>
      </w:r>
      <w:r>
        <w:t xml:space="preserve"> The group cannot use its $175 million claim as currency in a sale while the first lien is outstanding. Options: (i) a </w:t>
      </w:r>
      <w:r>
        <w:rPr>
          <w:b/>
        </w:rPr>
        <w:t>cash</w:t>
      </w:r>
      <w:r>
        <w:t xml:space="preserve"> bid, alone or with a sponsor; (ii) a structured bid that pays the First Lien Obligations in full in cash at closing and credit bids the second lien claim for the balance. The first lien will argue Discharge must precede the credit bid, so this would require simultaneity mechanics and probably Court approval; (iii) pressing for robust marketing and bidding procedures so that any first lien credit bid is tested against market value; and (iv) using the §6.7(a) waterfall condition to resist any allocation of sale consideration that departs from §3.3.</w:t>
      </w:r>
    </w:p>
    <w:p>
      <w:pPr>
        <w:pStyle w:val="Heading1"/>
      </w:pPr>
      <w:r>
        <w:t>IX. Collateral Release and Section 363 Sales (Articles IV and VI)</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D9E2F3"/>
          </w:tcPr>
          <w:p>
            <w:r/>
            <w:r>
              <w:rPr>
                <w:b/>
                <w:sz w:val="17"/>
              </w:rPr>
              <w:t>Protection</w:t>
            </w:r>
          </w:p>
        </w:tc>
        <w:tc>
          <w:tcPr>
            <w:tcW w:type="dxa" w:w="1296"/>
            <w:shd w:val="clear" w:color="auto" w:fill="D9E2F3"/>
          </w:tcPr>
          <w:p>
            <w:r/>
            <w:r>
              <w:rPr>
                <w:b/>
                <w:sz w:val="17"/>
              </w:rPr>
              <w:t>Section</w:t>
            </w:r>
          </w:p>
        </w:tc>
        <w:tc>
          <w:tcPr>
            <w:tcW w:type="dxa" w:w="5760"/>
            <w:shd w:val="clear" w:color="auto" w:fill="D9E2F3"/>
          </w:tcPr>
          <w:p>
            <w:r/>
            <w:r>
              <w:rPr>
                <w:b/>
                <w:sz w:val="17"/>
              </w:rPr>
              <w:t>Scope / Limits</w:t>
            </w:r>
          </w:p>
        </w:tc>
      </w:tr>
      <w:tr>
        <w:tc>
          <w:tcPr>
            <w:tcW w:type="dxa" w:w="2304"/>
          </w:tcPr>
          <w:p>
            <w:r>
              <w:rPr>
                <w:sz w:val="17"/>
              </w:rPr>
            </w:r>
            <w:r>
              <w:rPr>
                <w:sz w:val="17"/>
              </w:rPr>
              <w:t>Automatic release on permitted dispositions</w:t>
            </w:r>
          </w:p>
        </w:tc>
        <w:tc>
          <w:tcPr>
            <w:tcW w:type="dxa" w:w="1296"/>
          </w:tcPr>
          <w:p>
            <w:r>
              <w:rPr>
                <w:sz w:val="17"/>
              </w:rPr>
            </w:r>
            <w:r>
              <w:rPr>
                <w:sz w:val="17"/>
              </w:rPr>
              <w:t>§§4.1, 4.2(a)–(b)</w:t>
            </w:r>
          </w:p>
        </w:tc>
        <w:tc>
          <w:tcPr>
            <w:tcW w:type="dxa" w:w="5760"/>
          </w:tcPr>
          <w:p>
            <w:r>
              <w:rPr>
                <w:sz w:val="17"/>
              </w:rPr>
            </w:r>
            <w:r>
              <w:rPr>
                <w:sz w:val="17"/>
              </w:rPr>
              <w:t>Any disposition permitted by the First Lien Documents, “including by any amendment, waiver, or modification thereof,” releases 2L liens automatically, whether or not permitted by the 2L Documents. The first lien can therefore expand permitted dispositions unilaterally. Agent irrevocably authorizes 1L Agent to file releases.</w:t>
            </w:r>
          </w:p>
        </w:tc>
      </w:tr>
      <w:tr>
        <w:tc>
          <w:tcPr>
            <w:tcW w:type="dxa" w:w="2304"/>
          </w:tcPr>
          <w:p>
            <w:r>
              <w:rPr>
                <w:sz w:val="17"/>
              </w:rPr>
            </w:r>
            <w:r>
              <w:rPr>
                <w:sz w:val="17"/>
              </w:rPr>
              <w:t>Proceeds follow waterfall</w:t>
            </w:r>
          </w:p>
        </w:tc>
        <w:tc>
          <w:tcPr>
            <w:tcW w:type="dxa" w:w="1296"/>
          </w:tcPr>
          <w:p>
            <w:r>
              <w:rPr>
                <w:sz w:val="17"/>
              </w:rPr>
            </w:r>
            <w:r>
              <w:rPr>
                <w:sz w:val="17"/>
              </w:rPr>
              <w:t>§§3.3, 4.2(c), 6.7(a)</w:t>
            </w:r>
          </w:p>
        </w:tc>
        <w:tc>
          <w:tcPr>
            <w:tcW w:type="dxa" w:w="5760"/>
          </w:tcPr>
          <w:p>
            <w:r>
              <w:rPr>
                <w:sz w:val="17"/>
              </w:rPr>
            </w:r>
            <w:r>
              <w:rPr>
                <w:sz w:val="17"/>
              </w:rPr>
              <w:t>Proceeds applied: 1L Agent costs; 1L Obligations to Discharge; 2L Agent costs; 2L Obligations; Grantors. 2L liens attach to residual proceeds.</w:t>
            </w:r>
          </w:p>
        </w:tc>
      </w:tr>
      <w:tr>
        <w:tc>
          <w:tcPr>
            <w:tcW w:type="dxa" w:w="2304"/>
          </w:tcPr>
          <w:p>
            <w:r>
              <w:rPr>
                <w:sz w:val="17"/>
              </w:rPr>
            </w:r>
            <w:r>
              <w:rPr>
                <w:sz w:val="17"/>
              </w:rPr>
              <w:t>All or substantially all: 10 business days’ notice</w:t>
            </w:r>
          </w:p>
        </w:tc>
        <w:tc>
          <w:tcPr>
            <w:tcW w:type="dxa" w:w="1296"/>
          </w:tcPr>
          <w:p>
            <w:r>
              <w:rPr>
                <w:sz w:val="17"/>
              </w:rPr>
            </w:r>
            <w:r>
              <w:rPr>
                <w:sz w:val="17"/>
              </w:rPr>
              <w:t>§§4.2(d), 6.7(c)</w:t>
            </w:r>
          </w:p>
        </w:tc>
        <w:tc>
          <w:tcPr>
            <w:tcW w:type="dxa" w:w="5760"/>
          </w:tcPr>
          <w:p>
            <w:r>
              <w:rPr>
                <w:sz w:val="17"/>
              </w:rPr>
            </w:r>
            <w:r>
              <w:rPr>
                <w:sz w:val="17"/>
              </w:rPr>
              <w:t xml:space="preserve">Automatic release does not apply unless 2L Agent receives written notice ≥10 business days before consummation describing material terms. On notice, 2L “shall release.” “Business days” is undefined in the 1L/2L ICA; “all or substantially all” is undefined. It is a notice right only: </w:t>
            </w:r>
            <w:r>
              <w:rPr>
                <w:b/>
                <w:sz w:val="17"/>
              </w:rPr>
              <w:t>no consent and no minimum price</w:t>
            </w:r>
            <w:r>
              <w:rPr>
                <w:sz w:val="17"/>
              </w:rPr>
              <w:t>.</w:t>
            </w:r>
          </w:p>
        </w:tc>
      </w:tr>
      <w:tr>
        <w:tc>
          <w:tcPr>
            <w:tcW w:type="dxa" w:w="2304"/>
          </w:tcPr>
          <w:p>
            <w:r>
              <w:rPr>
                <w:sz w:val="17"/>
              </w:rPr>
            </w:r>
            <w:r>
              <w:rPr>
                <w:sz w:val="17"/>
              </w:rPr>
              <w:t>No objection to 1L-consented sale</w:t>
            </w:r>
          </w:p>
        </w:tc>
        <w:tc>
          <w:tcPr>
            <w:tcW w:type="dxa" w:w="1296"/>
          </w:tcPr>
          <w:p>
            <w:r>
              <w:rPr>
                <w:sz w:val="17"/>
              </w:rPr>
            </w:r>
            <w:r>
              <w:rPr>
                <w:sz w:val="17"/>
              </w:rPr>
              <w:t>§6.7(a)</w:t>
            </w:r>
          </w:p>
        </w:tc>
        <w:tc>
          <w:tcPr>
            <w:tcW w:type="dxa" w:w="5760"/>
          </w:tcPr>
          <w:p>
            <w:r>
              <w:rPr>
                <w:sz w:val="17"/>
              </w:rPr>
            </w:r>
            <w:r>
              <w:rPr>
                <w:sz w:val="17"/>
              </w:rPr>
              <w:t xml:space="preserve">Only if sale is consented to by Required First Lien Lenders </w:t>
            </w:r>
            <w:r>
              <w:rPr>
                <w:b/>
                <w:sz w:val="17"/>
              </w:rPr>
              <w:t>and</w:t>
            </w:r>
            <w:r>
              <w:rPr>
                <w:sz w:val="17"/>
              </w:rPr>
              <w:t xml:space="preserve"> proceeds are applied per §3.3. A sale with non-waterfall allocations (gifting, releases funded by collateral value) falls outside.</w:t>
            </w:r>
          </w:p>
        </w:tc>
      </w:tr>
      <w:tr>
        <w:tc>
          <w:tcPr>
            <w:tcW w:type="dxa" w:w="2304"/>
          </w:tcPr>
          <w:p>
            <w:r>
              <w:rPr>
                <w:sz w:val="17"/>
              </w:rPr>
            </w:r>
            <w:r>
              <w:rPr>
                <w:sz w:val="17"/>
              </w:rPr>
              <w:t>Objection where rights materially impaired</w:t>
            </w:r>
          </w:p>
        </w:tc>
        <w:tc>
          <w:tcPr>
            <w:tcW w:type="dxa" w:w="1296"/>
          </w:tcPr>
          <w:p>
            <w:r>
              <w:rPr>
                <w:sz w:val="17"/>
              </w:rPr>
            </w:r>
            <w:r>
              <w:rPr>
                <w:sz w:val="17"/>
              </w:rPr>
              <w:t>§3.1(e)(iii)</w:t>
            </w:r>
          </w:p>
        </w:tc>
        <w:tc>
          <w:tcPr>
            <w:tcW w:type="dxa" w:w="5760"/>
          </w:tcPr>
          <w:p>
            <w:r>
              <w:rPr>
                <w:sz w:val="17"/>
              </w:rPr>
            </w:r>
            <w:r>
              <w:rPr>
                <w:sz w:val="17"/>
              </w:rPr>
              <w:t>General right to object to relief that would materially impair 2L rights under the ICA.</w:t>
            </w:r>
          </w:p>
        </w:tc>
      </w:tr>
      <w:tr>
        <w:tc>
          <w:tcPr>
            <w:tcW w:type="dxa" w:w="2304"/>
          </w:tcPr>
          <w:p>
            <w:r>
              <w:rPr>
                <w:sz w:val="17"/>
              </w:rPr>
            </w:r>
            <w:r>
              <w:rPr>
                <w:sz w:val="17"/>
              </w:rPr>
              <w:t>First lien control of enforcement</w:t>
            </w:r>
          </w:p>
        </w:tc>
        <w:tc>
          <w:tcPr>
            <w:tcW w:type="dxa" w:w="1296"/>
          </w:tcPr>
          <w:p>
            <w:r>
              <w:rPr>
                <w:sz w:val="17"/>
              </w:rPr>
            </w:r>
            <w:r>
              <w:rPr>
                <w:sz w:val="17"/>
              </w:rPr>
              <w:t>§§3.2(b)–(c)</w:t>
            </w:r>
          </w:p>
        </w:tc>
        <w:tc>
          <w:tcPr>
            <w:tcW w:type="dxa" w:w="5760"/>
          </w:tcPr>
          <w:p>
            <w:r>
              <w:rPr>
                <w:sz w:val="17"/>
              </w:rPr>
            </w:r>
            <w:r>
              <w:rPr>
                <w:sz w:val="17"/>
              </w:rPr>
              <w:t>1L Agent has exclusive control of the time, manner and terms of any sale in an Enforcement Action. 2L must not “interfere with, hinder, or delay.” Enforcement Action includes “any sale or other disposition of Collateral.”</w:t>
            </w:r>
          </w:p>
        </w:tc>
      </w:tr>
    </w:tbl>
    <w:p>
      <w:pPr>
        <w:spacing w:after="40"/>
      </w:pPr>
    </w:p>
    <w:p>
      <w:pPr>
        <w:jc w:val="both"/>
      </w:pPr>
      <w:r>
        <w:rPr>
          <w:b/>
        </w:rPr>
        <w:t>Assessment.</w:t>
      </w:r>
      <w:r>
        <w:t xml:space="preserve"> The group’s sale protections are minimal. In contrast to many market ICAs, the 1L/2L ICA contains </w:t>
      </w:r>
      <w:r>
        <w:rPr>
          <w:b/>
        </w:rPr>
        <w:t>no general reservation of the second lien’s rights as an unsecured creditor</w:t>
      </w:r>
      <w:r>
        <w:t xml:space="preserve">. In </w:t>
      </w:r>
      <w:r>
        <w:rPr>
          <w:i/>
        </w:rPr>
        <w:t>Boston Generating</w:t>
      </w:r>
      <w:r>
        <w:t xml:space="preserve"> such a reservation (and ambiguity) allowed second lien lenders to object to a sale; here the group must rely on §3.1(e)(iii), §6.6(d)(ii)–(iii), §6.7(a)’s waterfall condition, and the Court’s independent obligation to find a sound business purpose for a pre-plan sale of substantially all assets (</w:t>
      </w:r>
      <w:r>
        <w:rPr>
          <w:i/>
        </w:rPr>
        <w:t>Comm. of Equity Sec. Holders v. Lionel Corp.</w:t>
      </w:r>
      <w:r>
        <w:t>, 722 F.2d 1063 (2d Cir. 1983)). We recommend that the group focus on bidding procedures, marketing period, stalking-horse protections, credit-bid valuation and allocation of proceeds, and that it insist the Debtor give notice to Stonebridge under §4.2(d) and to Allegheny under S/U §5.1(d) on a common, conservative timetable.</w:t>
      </w:r>
    </w:p>
    <w:p>
      <w:pPr>
        <w:pStyle w:val="Heading1"/>
      </w:pPr>
      <w:r>
        <w:t>X. Turnover Obligations — Exposure Analysis</w:t>
      </w:r>
    </w:p>
    <w:p>
      <w:pPr>
        <w:jc w:val="both"/>
      </w:pPr>
      <w:r>
        <w:rPr>
          <w:b/>
        </w:rPr>
        <w:t>§2.1(c):</w:t>
      </w:r>
      <w:r>
        <w:t xml:space="preserve"> any amounts received by a Second Lien Secured Party before Discharge of First Lien Obligations “on account of the Second Lien Obligations from any source </w:t>
      </w:r>
      <w:r>
        <w:rPr>
          <w:b/>
        </w:rPr>
        <w:t>in violation of this Agreement</w:t>
      </w:r>
      <w:r>
        <w:t>” must be held in trust and turned over in the form received. The provision expressly reaches setoff, “any distribution in any Insolvency Proceeding,” and insurance or condemnation proceeds. Related provisions: §3.4 (reinstatement if first lien payments are avoided), §7.3 (no subrogation until Discharge; subrogation receipts are turned over) and §7.4 (scheduled payments are permitted only while no first lien payment default exists and the first lien has not been accelerated).</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D9E2F3"/>
          </w:tcPr>
          <w:p>
            <w:r/>
            <w:r>
              <w:rPr>
                <w:b/>
                <w:sz w:val="17"/>
              </w:rPr>
              <w:t>Exposure</w:t>
            </w:r>
          </w:p>
        </w:tc>
        <w:tc>
          <w:tcPr>
            <w:tcW w:type="dxa" w:w="1296"/>
            <w:shd w:val="clear" w:color="auto" w:fill="D9E2F3"/>
          </w:tcPr>
          <w:p>
            <w:r/>
            <w:r>
              <w:rPr>
                <w:b/>
                <w:sz w:val="17"/>
              </w:rPr>
              <w:t>Risk</w:t>
            </w:r>
          </w:p>
        </w:tc>
        <w:tc>
          <w:tcPr>
            <w:tcW w:type="dxa" w:w="5616"/>
            <w:shd w:val="clear" w:color="auto" w:fill="D9E2F3"/>
          </w:tcPr>
          <w:p>
            <w:r/>
            <w:r>
              <w:rPr>
                <w:b/>
                <w:sz w:val="17"/>
              </w:rPr>
              <w:t>Comment / Mitigation</w:t>
            </w:r>
          </w:p>
        </w:tc>
      </w:tr>
      <w:tr>
        <w:tc>
          <w:tcPr>
            <w:tcW w:type="dxa" w:w="2448"/>
          </w:tcPr>
          <w:p>
            <w:r>
              <w:rPr>
                <w:sz w:val="17"/>
              </w:rPr>
            </w:r>
            <w:r>
              <w:rPr>
                <w:sz w:val="17"/>
              </w:rPr>
              <w:t>Payments received after the Feb. 15, 2025 first lien payment default</w:t>
            </w:r>
          </w:p>
        </w:tc>
        <w:tc>
          <w:tcPr>
            <w:tcW w:type="dxa" w:w="1296"/>
          </w:tcPr>
          <w:p>
            <w:r>
              <w:rPr>
                <w:sz w:val="17"/>
              </w:rPr>
            </w:r>
            <w:r>
              <w:rPr>
                <w:sz w:val="17"/>
              </w:rPr>
              <w:t>High if any were received</w:t>
            </w:r>
          </w:p>
        </w:tc>
        <w:tc>
          <w:tcPr>
            <w:tcW w:type="dxa" w:w="5616"/>
          </w:tcPr>
          <w:p>
            <w:r>
              <w:rPr>
                <w:sz w:val="17"/>
              </w:rPr>
            </w:r>
            <w:r>
              <w:rPr>
                <w:sz w:val="17"/>
              </w:rPr>
              <w:t xml:space="preserve">§7.4(i) bars receipt during a 1L payment default. </w:t>
            </w:r>
            <w:r>
              <w:rPr>
                <w:b/>
                <w:sz w:val="17"/>
              </w:rPr>
              <w:t>Confirm immediately</w:t>
            </w:r>
            <w:r>
              <w:rPr>
                <w:sz w:val="17"/>
              </w:rPr>
              <w:t xml:space="preserve"> with Stonebridge whether any 2L interest, fees or other amounts were paid after Feb. 15. Any such receipts are held in trust for the first lien.</w:t>
            </w:r>
          </w:p>
        </w:tc>
      </w:tr>
      <w:tr>
        <w:tc>
          <w:tcPr>
            <w:tcW w:type="dxa" w:w="2448"/>
          </w:tcPr>
          <w:p>
            <w:r>
              <w:rPr>
                <w:sz w:val="17"/>
              </w:rPr>
            </w:r>
            <w:r>
              <w:rPr>
                <w:sz w:val="17"/>
              </w:rPr>
              <w:t>Plan distributions on 2L deficiency claims (unsecured recoveries)</w:t>
            </w:r>
          </w:p>
        </w:tc>
        <w:tc>
          <w:tcPr>
            <w:tcW w:type="dxa" w:w="1296"/>
          </w:tcPr>
          <w:p>
            <w:r>
              <w:rPr>
                <w:sz w:val="17"/>
              </w:rPr>
            </w:r>
            <w:r>
              <w:rPr>
                <w:sz w:val="17"/>
              </w:rPr>
              <w:t>Moderate</w:t>
            </w:r>
          </w:p>
        </w:tc>
        <w:tc>
          <w:tcPr>
            <w:tcW w:type="dxa" w:w="5616"/>
          </w:tcPr>
          <w:p>
            <w:r>
              <w:rPr>
                <w:sz w:val="17"/>
              </w:rPr>
            </w:r>
            <w:r>
              <w:rPr>
                <w:sz w:val="17"/>
              </w:rPr>
              <w:t xml:space="preserve">The first lien may argue that “from any source” and “any distribution in any Insolvency Proceeding” make the ICA a payment subordination, so that the group must turn over unsecured recoveries until the first lien (including post-petition interest, §2.2(b)) is paid in full. Counter-arguments: §2.1(a) subordinates </w:t>
            </w:r>
            <w:r>
              <w:rPr>
                <w:b/>
                <w:sz w:val="17"/>
              </w:rPr>
              <w:t>Liens</w:t>
            </w:r>
            <w:r>
              <w:rPr>
                <w:sz w:val="17"/>
              </w:rPr>
              <w:t xml:space="preserve">; the trigger is receipt “in violation of this Agreement,” and nothing in the ICA prohibits receipt of deficiency-claim distributions; §6.5(c) frames the 2L’s plan rights by reference to the collateral waterfall; and courts have declined to stretch lien-subordination ICAs into payment subordination absent clear language (see </w:t>
            </w:r>
            <w:r>
              <w:rPr>
                <w:i/>
                <w:sz w:val="17"/>
              </w:rPr>
              <w:t>In re MPM Silicones, LLC</w:t>
            </w:r>
            <w:r>
              <w:rPr>
                <w:sz w:val="17"/>
              </w:rPr>
              <w:t xml:space="preserve"> (Bankr. S.D.N.Y. 2014), aff’d, 531 B.R. 321 (S.D.N.Y. 2015)). Address expressly in any plan or RSA.</w:t>
            </w:r>
          </w:p>
        </w:tc>
      </w:tr>
      <w:tr>
        <w:tc>
          <w:tcPr>
            <w:tcW w:type="dxa" w:w="2448"/>
          </w:tcPr>
          <w:p>
            <w:r>
              <w:rPr>
                <w:sz w:val="17"/>
              </w:rPr>
            </w:r>
            <w:r>
              <w:rPr>
                <w:sz w:val="17"/>
              </w:rPr>
              <w:t>Adequate protection receipts</w:t>
            </w:r>
          </w:p>
        </w:tc>
        <w:tc>
          <w:tcPr>
            <w:tcW w:type="dxa" w:w="1296"/>
          </w:tcPr>
          <w:p>
            <w:r>
              <w:rPr>
                <w:sz w:val="17"/>
              </w:rPr>
            </w:r>
            <w:r>
              <w:rPr>
                <w:sz w:val="17"/>
              </w:rPr>
              <w:t>Low–moderate</w:t>
            </w:r>
          </w:p>
        </w:tc>
        <w:tc>
          <w:tcPr>
            <w:tcW w:type="dxa" w:w="5616"/>
          </w:tcPr>
          <w:p>
            <w:r>
              <w:rPr>
                <w:sz w:val="17"/>
              </w:rPr>
            </w:r>
            <w:r>
              <w:rPr>
                <w:sz w:val="17"/>
              </w:rPr>
              <w:t>Receipts authorized by Court order and consistent with §6.3 are not “in violation.” Cash adequate protection paid while first lien adequate protection is not current would breach S/U §4.2(a)(i) and invite turnover.</w:t>
            </w:r>
          </w:p>
        </w:tc>
      </w:tr>
      <w:tr>
        <w:tc>
          <w:tcPr>
            <w:tcW w:type="dxa" w:w="2448"/>
          </w:tcPr>
          <w:p>
            <w:r>
              <w:rPr>
                <w:sz w:val="17"/>
              </w:rPr>
            </w:r>
            <w:r>
              <w:rPr>
                <w:sz w:val="17"/>
              </w:rPr>
              <w:t>Recoveries from non-debtor guarantors (Holdings, RPC, RHP)</w:t>
            </w:r>
          </w:p>
        </w:tc>
        <w:tc>
          <w:tcPr>
            <w:tcW w:type="dxa" w:w="1296"/>
          </w:tcPr>
          <w:p>
            <w:r>
              <w:rPr>
                <w:sz w:val="17"/>
              </w:rPr>
            </w:r>
            <w:r>
              <w:rPr>
                <w:sz w:val="17"/>
              </w:rPr>
              <w:t>Moderate</w:t>
            </w:r>
          </w:p>
        </w:tc>
        <w:tc>
          <w:tcPr>
            <w:tcW w:type="dxa" w:w="5616"/>
          </w:tcPr>
          <w:p>
            <w:r>
              <w:rPr>
                <w:sz w:val="17"/>
              </w:rPr>
            </w:r>
            <w:r>
              <w:rPr>
                <w:sz w:val="17"/>
              </w:rPr>
              <w:t>A suit on a guarantee is arguably not an “Enforcement Action” (which concerns Collateral). But recoveries from Collateral of the non-debtor Grantors are subject to the §3.3 waterfall and turnover, and §3.2(b) gives the first lien exclusive control of enforcement.</w:t>
            </w:r>
          </w:p>
        </w:tc>
      </w:tr>
      <w:tr>
        <w:tc>
          <w:tcPr>
            <w:tcW w:type="dxa" w:w="2448"/>
          </w:tcPr>
          <w:p>
            <w:r>
              <w:rPr>
                <w:sz w:val="17"/>
              </w:rPr>
            </w:r>
            <w:r>
              <w:rPr>
                <w:sz w:val="17"/>
              </w:rPr>
              <w:t>Insurance / condemnation proceeds</w:t>
            </w:r>
          </w:p>
        </w:tc>
        <w:tc>
          <w:tcPr>
            <w:tcW w:type="dxa" w:w="1296"/>
          </w:tcPr>
          <w:p>
            <w:r>
              <w:rPr>
                <w:sz w:val="17"/>
              </w:rPr>
            </w:r>
            <w:r>
              <w:rPr>
                <w:sz w:val="17"/>
              </w:rPr>
              <w:t>High</w:t>
            </w:r>
          </w:p>
        </w:tc>
        <w:tc>
          <w:tcPr>
            <w:tcW w:type="dxa" w:w="5616"/>
          </w:tcPr>
          <w:p>
            <w:r>
              <w:rPr>
                <w:sz w:val="17"/>
              </w:rPr>
            </w:r>
            <w:r>
              <w:rPr>
                <w:sz w:val="17"/>
              </w:rPr>
              <w:t>Expressly covered (§§2.1(c), 4.5).</w:t>
            </w:r>
          </w:p>
        </w:tc>
      </w:tr>
      <w:tr>
        <w:tc>
          <w:tcPr>
            <w:tcW w:type="dxa" w:w="2448"/>
          </w:tcPr>
          <w:p>
            <w:r>
              <w:rPr>
                <w:sz w:val="17"/>
              </w:rPr>
            </w:r>
            <w:r>
              <w:rPr>
                <w:sz w:val="17"/>
              </w:rPr>
              <w:t>Reinstatement (§3.4)</w:t>
            </w:r>
          </w:p>
        </w:tc>
        <w:tc>
          <w:tcPr>
            <w:tcW w:type="dxa" w:w="1296"/>
          </w:tcPr>
          <w:p>
            <w:r>
              <w:rPr>
                <w:sz w:val="17"/>
              </w:rPr>
            </w:r>
            <w:r>
              <w:rPr>
                <w:sz w:val="17"/>
              </w:rPr>
              <w:t>Contingent</w:t>
            </w:r>
          </w:p>
        </w:tc>
        <w:tc>
          <w:tcPr>
            <w:tcW w:type="dxa" w:w="5616"/>
          </w:tcPr>
          <w:p>
            <w:r>
              <w:rPr>
                <w:sz w:val="17"/>
              </w:rPr>
            </w:r>
            <w:r>
              <w:rPr>
                <w:sz w:val="17"/>
              </w:rPr>
              <w:t>If a committee avoids any first lien payment or lien, priorities are reinstated and the group must disgorge any resulting benefit. Note §2.1(b): 2L subordination survives even defects in the first lien’s perfection.</w:t>
            </w:r>
          </w:p>
        </w:tc>
      </w:tr>
    </w:tbl>
    <w:p>
      <w:pPr>
        <w:spacing w:after="40"/>
      </w:pPr>
    </w:p>
    <w:p>
      <w:pPr>
        <w:jc w:val="both"/>
      </w:pPr>
      <w:r>
        <w:rPr>
          <w:b/>
        </w:rPr>
        <w:t>Can turnover be “weaponized”?</w:t>
      </w:r>
      <w:r>
        <w:t xml:space="preserve"> The most likely use is as a threat against any plan in which the group receives value on its deficiency claim while the first lien is impaired. The first lien would argue that the value must be paid over to it, and would combine that argument with §6.5(a) to pressure the group into a first-lien-favorable plan. The group’s defenses are textual (lien versus payment subordination; the “in violation” limiter) and should be preserved in every pleading. The safest structural fix is an express plan provision, or a §1129 finding, that plan distributions to the second lien class are not subject to turnover.</w:t>
      </w:r>
    </w:p>
    <w:p>
      <w:pPr>
        <w:pStyle w:val="Heading1"/>
      </w:pPr>
      <w:r>
        <w:t>XI. Insurance and Condemnation Proceeds (Section 4.5; S/U §5.3)</w:t>
      </w:r>
    </w:p>
    <w:p>
      <w:pPr>
        <w:pStyle w:val="ListBullet"/>
        <w:spacing w:after="60"/>
      </w:pPr>
      <w:r>
        <w:rPr>
          <w:b/>
        </w:rPr>
        <w:t>Casualty / property proceeds:</w:t>
      </w:r>
      <w:r>
        <w:t xml:space="preserve"> treated as Proceeds of Collateral and applied under §3.3, “with first application to the First Lien Obligations until the Discharge of First Lien Obligations.” The second lien receives nothing until Discharge (§4.5(a)). Condemnation awards are treated the same way (§4.5(c)). The First Lien Agent’s status as loss payee and additional insured is preserved (§4.5(d)), and as against the noteholders the Senior Secured Parties have the sole right to adjust and settle claims (S/U §5.3(b)). As between 1L and 2L, the first lien controls adjustment through §§3.2(b) and 4.5(d) (S/U §3.1 defers to the 1L/2L ICA).</w:t>
      </w:r>
    </w:p>
    <w:p>
      <w:pPr>
        <w:pStyle w:val="ListBullet"/>
        <w:spacing w:after="60"/>
      </w:pPr>
      <w:r>
        <w:rPr>
          <w:b/>
        </w:rPr>
        <w:t>Business interruption proceeds:</w:t>
      </w:r>
      <w:r>
        <w:t xml:space="preserve"> excluded from §4.5 and “made available to the Company for use in the ordinary course … for operating expenses, including payroll, supplier payments” (§4.5(b)). Note the drafting gap: §4.5(b) says business interruption proceeds “shall not constitute Collateral Proceeds,” a term the 1L/2L ICA never defines (it is defined only in the S/U ICA), while Exhibit A(n) includes “insurance proceeds” within Collateral. The S/U ICA, by contrast, treats business interruption proceeds as Collateral Proceeds “without exception” (S/U §5.3(a)). See Section XIII.</w:t>
      </w:r>
    </w:p>
    <w:p>
      <w:pPr>
        <w:pStyle w:val="ListBullet"/>
        <w:spacing w:after="60"/>
      </w:pPr>
      <w:r>
        <w:rPr>
          <w:b/>
        </w:rPr>
        <w:t>In the Chapter 11 case:</w:t>
      </w:r>
      <w:r>
        <w:t xml:space="preserve"> insurance proceeds received by the Debtor are estate property and cash collateral (§363(a)); their use requires consent or a Court order with adequate protection. The group can insist that any use of casualty proceeds of its collateral be conditioned on adequate protection, subject to the §6.3 subordination. Note that only the parent is a debtor; if the damaged facility is owned by RPC or RHP, the proceeds are not estate property and the ICA governs directly.</w:t>
      </w:r>
    </w:p>
    <w:p>
      <w:pPr>
        <w:pStyle w:val="ListBullet"/>
        <w:spacing w:after="60"/>
      </w:pPr>
      <w:r>
        <w:rPr>
          <w:b/>
        </w:rPr>
        <w:t>Facilities:</w:t>
      </w:r>
      <w:r>
        <w:t xml:space="preserve"> the Company operates seven manufacturing facilities in NC, OH, GA and TX (FDD ¶¶7, 15; Exhibit A(k)). The FDD also reports that the Cleveland, Ohio facility was closed in FY2024 (¶42(d)), yet it still lists Cleveland among the seven facilities. The current facility count, ownership entity, mortgages and loss-payee endorsements should be confirmed.</w:t>
      </w:r>
    </w:p>
    <w:p>
      <w:pPr>
        <w:pStyle w:val="Heading1"/>
      </w:pPr>
      <w:r>
        <w:t>XII. Other Key Terms — 1L/2L ICA Extraction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656"/>
            <w:shd w:val="clear" w:color="auto" w:fill="D9E2F3"/>
          </w:tcPr>
          <w:p>
            <w:r/>
            <w:r>
              <w:rPr>
                <w:b/>
                <w:sz w:val="16"/>
              </w:rPr>
              <w:t>Term</w:t>
            </w:r>
          </w:p>
        </w:tc>
        <w:tc>
          <w:tcPr>
            <w:tcW w:type="dxa" w:w="1080"/>
            <w:shd w:val="clear" w:color="auto" w:fill="D9E2F3"/>
          </w:tcPr>
          <w:p>
            <w:r/>
            <w:r>
              <w:rPr>
                <w:b/>
                <w:sz w:val="16"/>
              </w:rPr>
              <w:t>Section</w:t>
            </w:r>
          </w:p>
        </w:tc>
        <w:tc>
          <w:tcPr>
            <w:tcW w:type="dxa" w:w="3456"/>
            <w:shd w:val="clear" w:color="auto" w:fill="D9E2F3"/>
          </w:tcPr>
          <w:p>
            <w:r/>
            <w:r>
              <w:rPr>
                <w:b/>
                <w:sz w:val="16"/>
              </w:rPr>
              <w:t>Key Terms</w:t>
            </w:r>
          </w:p>
        </w:tc>
        <w:tc>
          <w:tcPr>
            <w:tcW w:type="dxa" w:w="3168"/>
            <w:shd w:val="clear" w:color="auto" w:fill="D9E2F3"/>
          </w:tcPr>
          <w:p>
            <w:r/>
            <w:r>
              <w:rPr>
                <w:b/>
                <w:sz w:val="16"/>
              </w:rPr>
              <w:t>Significance for Group</w:t>
            </w:r>
          </w:p>
        </w:tc>
      </w:tr>
      <w:tr>
        <w:tc>
          <w:tcPr>
            <w:tcW w:type="dxa" w:w="1656"/>
          </w:tcPr>
          <w:p>
            <w:r>
              <w:rPr>
                <w:sz w:val="16"/>
              </w:rPr>
            </w:r>
            <w:r>
              <w:rPr>
                <w:sz w:val="16"/>
              </w:rPr>
              <w:t>Lien subordination</w:t>
            </w:r>
          </w:p>
        </w:tc>
        <w:tc>
          <w:tcPr>
            <w:tcW w:type="dxa" w:w="1080"/>
          </w:tcPr>
          <w:p>
            <w:r>
              <w:rPr>
                <w:sz w:val="16"/>
              </w:rPr>
            </w:r>
            <w:r>
              <w:rPr>
                <w:sz w:val="16"/>
              </w:rPr>
              <w:t>§2.1(a)–(b), (d)</w:t>
            </w:r>
          </w:p>
        </w:tc>
        <w:tc>
          <w:tcPr>
            <w:tcW w:type="dxa" w:w="3456"/>
          </w:tcPr>
          <w:p>
            <w:r>
              <w:rPr>
                <w:sz w:val="16"/>
              </w:rPr>
            </w:r>
            <w:r>
              <w:rPr>
                <w:sz w:val="16"/>
              </w:rPr>
              <w:t>2L liens junior “in all respects” regardless of filing order or perfection; effective notwithstanding defects in 1L liens; §510(a) subordination agreement.</w:t>
            </w:r>
          </w:p>
        </w:tc>
        <w:tc>
          <w:tcPr>
            <w:tcW w:type="dxa" w:w="3168"/>
          </w:tcPr>
          <w:p>
            <w:r>
              <w:rPr>
                <w:sz w:val="16"/>
              </w:rPr>
            </w:r>
            <w:r>
              <w:rPr>
                <w:sz w:val="16"/>
              </w:rPr>
              <w:t>2L stays junior even if a committee proves a 1L perfection defect.</w:t>
            </w:r>
          </w:p>
        </w:tc>
      </w:tr>
      <w:tr>
        <w:tc>
          <w:tcPr>
            <w:tcW w:type="dxa" w:w="1656"/>
          </w:tcPr>
          <w:p>
            <w:r>
              <w:rPr>
                <w:sz w:val="16"/>
              </w:rPr>
            </w:r>
            <w:r>
              <w:rPr>
                <w:sz w:val="16"/>
              </w:rPr>
              <w:t>Post-petition interest for 1L</w:t>
            </w:r>
          </w:p>
        </w:tc>
        <w:tc>
          <w:tcPr>
            <w:tcW w:type="dxa" w:w="1080"/>
          </w:tcPr>
          <w:p>
            <w:r>
              <w:rPr>
                <w:sz w:val="16"/>
              </w:rPr>
            </w:r>
            <w:r>
              <w:rPr>
                <w:sz w:val="16"/>
              </w:rPr>
              <w:t>§2.2(b); §1.1</w:t>
            </w:r>
          </w:p>
        </w:tc>
        <w:tc>
          <w:tcPr>
            <w:tcW w:type="dxa" w:w="3456"/>
          </w:tcPr>
          <w:p>
            <w:r>
              <w:rPr>
                <w:sz w:val="16"/>
              </w:rPr>
            </w:r>
            <w:r>
              <w:rPr>
                <w:sz w:val="16"/>
              </w:rPr>
              <w:t>First Lien Obligations include post-petition interest “whether or not … allowed or allowable.”</w:t>
            </w:r>
          </w:p>
        </w:tc>
        <w:tc>
          <w:tcPr>
            <w:tcW w:type="dxa" w:w="3168"/>
          </w:tcPr>
          <w:p>
            <w:r>
              <w:rPr>
                <w:sz w:val="16"/>
              </w:rPr>
            </w:r>
            <w:r>
              <w:rPr>
                <w:sz w:val="16"/>
              </w:rPr>
              <w:t>Satisfies the New York “rule of explicitness”; raises the bar for any turnover or waterfall.</w:t>
            </w:r>
          </w:p>
        </w:tc>
      </w:tr>
      <w:tr>
        <w:tc>
          <w:tcPr>
            <w:tcW w:type="dxa" w:w="1656"/>
          </w:tcPr>
          <w:p>
            <w:r>
              <w:rPr>
                <w:sz w:val="16"/>
              </w:rPr>
            </w:r>
            <w:r>
              <w:rPr>
                <w:sz w:val="16"/>
              </w:rPr>
              <w:t>No lien contest</w:t>
            </w:r>
          </w:p>
        </w:tc>
        <w:tc>
          <w:tcPr>
            <w:tcW w:type="dxa" w:w="1080"/>
          </w:tcPr>
          <w:p>
            <w:r>
              <w:rPr>
                <w:sz w:val="16"/>
              </w:rPr>
            </w:r>
            <w:r>
              <w:rPr>
                <w:sz w:val="16"/>
              </w:rPr>
              <w:t>§§2.4(a), 7.1</w:t>
            </w:r>
          </w:p>
        </w:tc>
        <w:tc>
          <w:tcPr>
            <w:tcW w:type="dxa" w:w="3456"/>
          </w:tcPr>
          <w:p>
            <w:r>
              <w:rPr>
                <w:sz w:val="16"/>
              </w:rPr>
            </w:r>
            <w:r>
              <w:rPr>
                <w:sz w:val="16"/>
              </w:rPr>
              <w:t>2L may not contest or support contesting 1L liens, or the amount, validity, priority or enforceability of First Lien Obligations.</w:t>
            </w:r>
          </w:p>
        </w:tc>
        <w:tc>
          <w:tcPr>
            <w:tcW w:type="dxa" w:w="3168"/>
          </w:tcPr>
          <w:p>
            <w:r>
              <w:rPr>
                <w:sz w:val="16"/>
              </w:rPr>
            </w:r>
            <w:r>
              <w:rPr>
                <w:sz w:val="16"/>
              </w:rPr>
              <w:t>Group cannot run lien challenges or object to 1L claim stipulations in the DIP order.</w:t>
            </w:r>
          </w:p>
        </w:tc>
      </w:tr>
      <w:tr>
        <w:tc>
          <w:tcPr>
            <w:tcW w:type="dxa" w:w="1656"/>
          </w:tcPr>
          <w:p>
            <w:r>
              <w:rPr>
                <w:sz w:val="16"/>
              </w:rPr>
            </w:r>
            <w:r>
              <w:rPr>
                <w:sz w:val="16"/>
              </w:rPr>
              <w:t>Reciprocal no-contest</w:t>
            </w:r>
          </w:p>
        </w:tc>
        <w:tc>
          <w:tcPr>
            <w:tcW w:type="dxa" w:w="1080"/>
          </w:tcPr>
          <w:p>
            <w:r>
              <w:rPr>
                <w:sz w:val="16"/>
              </w:rPr>
            </w:r>
            <w:r>
              <w:rPr>
                <w:sz w:val="16"/>
              </w:rPr>
              <w:t>§2.4(b)</w:t>
            </w:r>
          </w:p>
        </w:tc>
        <w:tc>
          <w:tcPr>
            <w:tcW w:type="dxa" w:w="3456"/>
          </w:tcPr>
          <w:p>
            <w:r>
              <w:rPr>
                <w:sz w:val="16"/>
              </w:rPr>
            </w:r>
            <w:r>
              <w:rPr>
                <w:sz w:val="16"/>
              </w:rPr>
              <w:t>1L may not contest 2L liens (subject to subordination).</w:t>
            </w:r>
          </w:p>
        </w:tc>
        <w:tc>
          <w:tcPr>
            <w:tcW w:type="dxa" w:w="3168"/>
          </w:tcPr>
          <w:p>
            <w:r>
              <w:rPr>
                <w:sz w:val="16"/>
              </w:rPr>
            </w:r>
            <w:r>
              <w:rPr>
                <w:sz w:val="16"/>
              </w:rPr>
              <w:t>Helpful against 1L, but does not bind a committee.</w:t>
            </w:r>
          </w:p>
        </w:tc>
      </w:tr>
      <w:tr>
        <w:tc>
          <w:tcPr>
            <w:tcW w:type="dxa" w:w="1656"/>
          </w:tcPr>
          <w:p>
            <w:r>
              <w:rPr>
                <w:sz w:val="16"/>
              </w:rPr>
            </w:r>
            <w:r>
              <w:rPr>
                <w:sz w:val="16"/>
              </w:rPr>
              <w:t>No new liens</w:t>
            </w:r>
          </w:p>
        </w:tc>
        <w:tc>
          <w:tcPr>
            <w:tcW w:type="dxa" w:w="1080"/>
          </w:tcPr>
          <w:p>
            <w:r>
              <w:rPr>
                <w:sz w:val="16"/>
              </w:rPr>
            </w:r>
            <w:r>
              <w:rPr>
                <w:sz w:val="16"/>
              </w:rPr>
              <w:t>§2.5</w:t>
            </w:r>
          </w:p>
        </w:tc>
        <w:tc>
          <w:tcPr>
            <w:tcW w:type="dxa" w:w="3456"/>
          </w:tcPr>
          <w:p>
            <w:r>
              <w:rPr>
                <w:sz w:val="16"/>
              </w:rPr>
            </w:r>
            <w:r>
              <w:rPr>
                <w:sz w:val="16"/>
              </w:rPr>
              <w:t>Neither Agent may take liens on non-shared assets without a matching lien in the same priority for the other.</w:t>
            </w:r>
          </w:p>
        </w:tc>
        <w:tc>
          <w:tcPr>
            <w:tcW w:type="dxa" w:w="3168"/>
          </w:tcPr>
          <w:p>
            <w:r>
              <w:rPr>
                <w:sz w:val="16"/>
              </w:rPr>
            </w:r>
            <w:r>
              <w:rPr>
                <w:sz w:val="16"/>
              </w:rPr>
              <w:t>Relevant to DIP/adequate protection liens granted by non-debtor subsidiaries and to any additional 1L collateral.</w:t>
            </w:r>
          </w:p>
        </w:tc>
      </w:tr>
      <w:tr>
        <w:tc>
          <w:tcPr>
            <w:tcW w:type="dxa" w:w="1656"/>
          </w:tcPr>
          <w:p>
            <w:r>
              <w:rPr>
                <w:sz w:val="16"/>
              </w:rPr>
            </w:r>
            <w:r>
              <w:rPr>
                <w:sz w:val="16"/>
              </w:rPr>
              <w:t>Standstill</w:t>
            </w:r>
          </w:p>
        </w:tc>
        <w:tc>
          <w:tcPr>
            <w:tcW w:type="dxa" w:w="1080"/>
          </w:tcPr>
          <w:p>
            <w:r>
              <w:rPr>
                <w:sz w:val="16"/>
              </w:rPr>
            </w:r>
            <w:r>
              <w:rPr>
                <w:sz w:val="16"/>
              </w:rPr>
              <w:t>§3.1(a)–(d)</w:t>
            </w:r>
          </w:p>
        </w:tc>
        <w:tc>
          <w:tcPr>
            <w:tcW w:type="dxa" w:w="3456"/>
          </w:tcPr>
          <w:p>
            <w:r>
              <w:rPr>
                <w:sz w:val="16"/>
              </w:rPr>
            </w:r>
            <w:r>
              <w:rPr>
                <w:sz w:val="16"/>
              </w:rPr>
              <w:t>180 days after an Enforcement Notice (judicial foreclosure permitted after 150 days, but no sale before 180). Terminates on an Insolvency Proceeding, Discharge, or 1L consent.</w:t>
            </w:r>
          </w:p>
        </w:tc>
        <w:tc>
          <w:tcPr>
            <w:tcW w:type="dxa" w:w="3168"/>
          </w:tcPr>
          <w:p>
            <w:r>
              <w:rPr>
                <w:sz w:val="16"/>
              </w:rPr>
            </w:r>
            <w:r>
              <w:rPr>
                <w:sz w:val="16"/>
              </w:rPr>
              <w:t xml:space="preserve">Standstill technically terminated on March 14 (§3.1(d)(i)), but the stay, §6.4 and §3.2(b) (1L exclusive control) constrain the group. Against the </w:t>
            </w:r>
            <w:r>
              <w:rPr>
                <w:b/>
                <w:sz w:val="16"/>
              </w:rPr>
              <w:t>non-debtor</w:t>
            </w:r>
            <w:r>
              <w:rPr>
                <w:sz w:val="16"/>
              </w:rPr>
              <w:t xml:space="preserve"> Grantors there is no stay; §3.2(b) remains the main obstacle. Any 2L Enforcement Notice requires an independent 2L default (§3.1(b)); the Feb. 28 cross-default notice likely does not qualify, but the bankruptcy event of default under the 2L Credit Agreement probably does (to be confirmed).</w:t>
            </w:r>
          </w:p>
        </w:tc>
      </w:tr>
      <w:tr>
        <w:tc>
          <w:tcPr>
            <w:tcW w:type="dxa" w:w="1656"/>
          </w:tcPr>
          <w:p>
            <w:r>
              <w:rPr>
                <w:sz w:val="16"/>
              </w:rPr>
            </w:r>
            <w:r>
              <w:rPr>
                <w:sz w:val="16"/>
              </w:rPr>
              <w:t>Standstill exceptions</w:t>
            </w:r>
          </w:p>
        </w:tc>
        <w:tc>
          <w:tcPr>
            <w:tcW w:type="dxa" w:w="1080"/>
          </w:tcPr>
          <w:p>
            <w:r>
              <w:rPr>
                <w:sz w:val="16"/>
              </w:rPr>
            </w:r>
            <w:r>
              <w:rPr>
                <w:sz w:val="16"/>
              </w:rPr>
              <w:t>§3.1(e)</w:t>
            </w:r>
          </w:p>
        </w:tc>
        <w:tc>
          <w:tcPr>
            <w:tcW w:type="dxa" w:w="3456"/>
          </w:tcPr>
          <w:p>
            <w:r>
              <w:rPr>
                <w:sz w:val="16"/>
              </w:rPr>
            </w:r>
            <w:r>
              <w:rPr>
                <w:sz w:val="16"/>
              </w:rPr>
              <w:t>Proofs of claim; plan voting (subject to §6.5); objections to relief that would materially impair 2L ICA rights.</w:t>
            </w:r>
          </w:p>
        </w:tc>
        <w:tc>
          <w:tcPr>
            <w:tcW w:type="dxa" w:w="3168"/>
          </w:tcPr>
          <w:p>
            <w:r>
              <w:rPr>
                <w:sz w:val="16"/>
              </w:rPr>
            </w:r>
            <w:r>
              <w:rPr>
                <w:sz w:val="16"/>
              </w:rPr>
              <w:t>Core preserved rights.</w:t>
            </w:r>
          </w:p>
        </w:tc>
      </w:tr>
      <w:tr>
        <w:tc>
          <w:tcPr>
            <w:tcW w:type="dxa" w:w="1656"/>
          </w:tcPr>
          <w:p>
            <w:r>
              <w:rPr>
                <w:sz w:val="16"/>
              </w:rPr>
            </w:r>
            <w:r>
              <w:rPr>
                <w:sz w:val="16"/>
              </w:rPr>
              <w:t>Waterfall</w:t>
            </w:r>
          </w:p>
        </w:tc>
        <w:tc>
          <w:tcPr>
            <w:tcW w:type="dxa" w:w="1080"/>
          </w:tcPr>
          <w:p>
            <w:r>
              <w:rPr>
                <w:sz w:val="16"/>
              </w:rPr>
            </w:r>
            <w:r>
              <w:rPr>
                <w:sz w:val="16"/>
              </w:rPr>
              <w:t>§3.3</w:t>
            </w:r>
          </w:p>
        </w:tc>
        <w:tc>
          <w:tcPr>
            <w:tcW w:type="dxa" w:w="3456"/>
          </w:tcPr>
          <w:p>
            <w:r>
              <w:rPr>
                <w:sz w:val="16"/>
              </w:rPr>
            </w:r>
            <w:r>
              <w:rPr>
                <w:sz w:val="16"/>
              </w:rPr>
              <w:t>1L Agent costs → 1L Obligations → 2L Agent costs → 2L Obligations → Grantors.</w:t>
            </w:r>
          </w:p>
        </w:tc>
        <w:tc>
          <w:tcPr>
            <w:tcW w:type="dxa" w:w="3168"/>
          </w:tcPr>
          <w:p>
            <w:r>
              <w:rPr>
                <w:sz w:val="16"/>
              </w:rPr>
            </w:r>
            <w:r>
              <w:rPr>
                <w:sz w:val="16"/>
              </w:rPr>
              <w:t>Differs from S/U §5.2 (see XIII).</w:t>
            </w:r>
          </w:p>
        </w:tc>
      </w:tr>
      <w:tr>
        <w:tc>
          <w:tcPr>
            <w:tcW w:type="dxa" w:w="1656"/>
          </w:tcPr>
          <w:p>
            <w:r>
              <w:rPr>
                <w:sz w:val="16"/>
              </w:rPr>
            </w:r>
            <w:r>
              <w:rPr>
                <w:sz w:val="16"/>
              </w:rPr>
              <w:t>Permitted 1L refinancing</w:t>
            </w:r>
          </w:p>
        </w:tc>
        <w:tc>
          <w:tcPr>
            <w:tcW w:type="dxa" w:w="1080"/>
          </w:tcPr>
          <w:p>
            <w:r>
              <w:rPr>
                <w:sz w:val="16"/>
              </w:rPr>
            </w:r>
            <w:r>
              <w:rPr>
                <w:sz w:val="16"/>
              </w:rPr>
              <w:t>§5.1</w:t>
            </w:r>
          </w:p>
        </w:tc>
        <w:tc>
          <w:tcPr>
            <w:tcW w:type="dxa" w:w="3456"/>
          </w:tcPr>
          <w:p>
            <w:r>
              <w:rPr>
                <w:sz w:val="16"/>
              </w:rPr>
            </w:r>
            <w:r>
              <w:rPr>
                <w:sz w:val="16"/>
              </w:rPr>
              <w:t>Refinancings are First Lien Obligations if ≤ First Lien Cap Amount ($350M) and a joinder is signed.</w:t>
            </w:r>
          </w:p>
        </w:tc>
        <w:tc>
          <w:tcPr>
            <w:tcW w:type="dxa" w:w="3168"/>
          </w:tcPr>
          <w:p>
            <w:r>
              <w:rPr>
                <w:sz w:val="16"/>
              </w:rPr>
            </w:r>
            <w:r>
              <w:rPr>
                <w:sz w:val="16"/>
              </w:rPr>
              <w:t>Exit or refinancing debt above $350M would not be senior under the ICA.</w:t>
            </w:r>
          </w:p>
        </w:tc>
      </w:tr>
      <w:tr>
        <w:tc>
          <w:tcPr>
            <w:tcW w:type="dxa" w:w="1656"/>
          </w:tcPr>
          <w:p>
            <w:r>
              <w:rPr>
                <w:sz w:val="16"/>
              </w:rPr>
            </w:r>
            <w:r>
              <w:rPr>
                <w:sz w:val="16"/>
              </w:rPr>
              <w:t>2L amendments</w:t>
            </w:r>
          </w:p>
        </w:tc>
        <w:tc>
          <w:tcPr>
            <w:tcW w:type="dxa" w:w="1080"/>
          </w:tcPr>
          <w:p>
            <w:r>
              <w:rPr>
                <w:sz w:val="16"/>
              </w:rPr>
            </w:r>
            <w:r>
              <w:rPr>
                <w:sz w:val="16"/>
              </w:rPr>
              <w:t>§5.3</w:t>
            </w:r>
          </w:p>
        </w:tc>
        <w:tc>
          <w:tcPr>
            <w:tcW w:type="dxa" w:w="3456"/>
          </w:tcPr>
          <w:p>
            <w:r>
              <w:rPr>
                <w:sz w:val="16"/>
              </w:rPr>
            </w:r>
            <w:r>
              <w:rPr>
                <w:sz w:val="16"/>
              </w:rPr>
              <w:t>1L consent is required to increase principal or rate, shorten maturity, add defaults, or make adverse collateral changes.</w:t>
            </w:r>
          </w:p>
        </w:tc>
        <w:tc>
          <w:tcPr>
            <w:tcW w:type="dxa" w:w="3168"/>
          </w:tcPr>
          <w:p>
            <w:r>
              <w:rPr>
                <w:sz w:val="16"/>
              </w:rPr>
            </w:r>
            <w:r>
              <w:rPr>
                <w:sz w:val="16"/>
              </w:rPr>
              <w:t>Constrains any 2L-led amendment or DIP-related changes to 2L Documents.</w:t>
            </w:r>
          </w:p>
        </w:tc>
      </w:tr>
      <w:tr>
        <w:tc>
          <w:tcPr>
            <w:tcW w:type="dxa" w:w="1656"/>
          </w:tcPr>
          <w:p>
            <w:r>
              <w:rPr>
                <w:sz w:val="16"/>
              </w:rPr>
            </w:r>
            <w:r>
              <w:rPr>
                <w:sz w:val="16"/>
              </w:rPr>
              <w:t>No cross-default</w:t>
            </w:r>
          </w:p>
        </w:tc>
        <w:tc>
          <w:tcPr>
            <w:tcW w:type="dxa" w:w="1080"/>
          </w:tcPr>
          <w:p>
            <w:r>
              <w:rPr>
                <w:sz w:val="16"/>
              </w:rPr>
            </w:r>
            <w:r>
              <w:rPr>
                <w:sz w:val="16"/>
              </w:rPr>
              <w:t>§§5.4, 7.2</w:t>
            </w:r>
          </w:p>
        </w:tc>
        <w:tc>
          <w:tcPr>
            <w:tcW w:type="dxa" w:w="3456"/>
          </w:tcPr>
          <w:p>
            <w:r>
              <w:rPr>
                <w:sz w:val="16"/>
              </w:rPr>
            </w:r>
            <w:r>
              <w:rPr>
                <w:sz w:val="16"/>
              </w:rPr>
              <w:t>A 1L default is not by itself a 2L default.</w:t>
            </w:r>
          </w:p>
        </w:tc>
        <w:tc>
          <w:tcPr>
            <w:tcW w:type="dxa" w:w="3168"/>
          </w:tcPr>
          <w:p>
            <w:r>
              <w:rPr>
                <w:sz w:val="16"/>
              </w:rPr>
            </w:r>
            <w:r>
              <w:rPr>
                <w:sz w:val="16"/>
              </w:rPr>
              <w:t>Relevant to Feb. 28 Stonebridge notice.</w:t>
            </w:r>
          </w:p>
        </w:tc>
      </w:tr>
      <w:tr>
        <w:tc>
          <w:tcPr>
            <w:tcW w:type="dxa" w:w="1656"/>
          </w:tcPr>
          <w:p>
            <w:r>
              <w:rPr>
                <w:sz w:val="16"/>
              </w:rPr>
            </w:r>
            <w:r>
              <w:rPr>
                <w:sz w:val="16"/>
              </w:rPr>
              <w:t>Stay relief</w:t>
            </w:r>
          </w:p>
        </w:tc>
        <w:tc>
          <w:tcPr>
            <w:tcW w:type="dxa" w:w="1080"/>
          </w:tcPr>
          <w:p>
            <w:r>
              <w:rPr>
                <w:sz w:val="16"/>
              </w:rPr>
            </w:r>
            <w:r>
              <w:rPr>
                <w:sz w:val="16"/>
              </w:rPr>
              <w:t>§6.4</w:t>
            </w:r>
          </w:p>
        </w:tc>
        <w:tc>
          <w:tcPr>
            <w:tcW w:type="dxa" w:w="3456"/>
          </w:tcPr>
          <w:p>
            <w:r>
              <w:rPr>
                <w:sz w:val="16"/>
              </w:rPr>
            </w:r>
            <w:r>
              <w:rPr>
                <w:sz w:val="16"/>
              </w:rPr>
              <w:t>2L may not seek stay relief unless 1L has, or the Standstill Period has expired or terminated; may seek relief if 1L has not done so within 30 days after the standstill ends.</w:t>
            </w:r>
          </w:p>
        </w:tc>
        <w:tc>
          <w:tcPr>
            <w:tcW w:type="dxa" w:w="3168"/>
          </w:tcPr>
          <w:p>
            <w:r>
              <w:rPr>
                <w:sz w:val="16"/>
              </w:rPr>
            </w:r>
            <w:r>
              <w:rPr>
                <w:sz w:val="16"/>
              </w:rPr>
              <w:t>Because §3.1(d)(i) terminated the standstill on the Petition Date, a literal reading may open §6.4(a)(ii)/(b). Expect the 1L to dispute this. Low practical value given §3.2(b).</w:t>
            </w:r>
          </w:p>
        </w:tc>
      </w:tr>
      <w:tr>
        <w:tc>
          <w:tcPr>
            <w:tcW w:type="dxa" w:w="1656"/>
          </w:tcPr>
          <w:p>
            <w:r>
              <w:rPr>
                <w:sz w:val="16"/>
              </w:rPr>
            </w:r>
            <w:r>
              <w:rPr>
                <w:sz w:val="16"/>
              </w:rPr>
              <w:t>Payments permitted</w:t>
            </w:r>
          </w:p>
        </w:tc>
        <w:tc>
          <w:tcPr>
            <w:tcW w:type="dxa" w:w="1080"/>
          </w:tcPr>
          <w:p>
            <w:r>
              <w:rPr>
                <w:sz w:val="16"/>
              </w:rPr>
            </w:r>
            <w:r>
              <w:rPr>
                <w:sz w:val="16"/>
              </w:rPr>
              <w:t>§7.4</w:t>
            </w:r>
          </w:p>
        </w:tc>
        <w:tc>
          <w:tcPr>
            <w:tcW w:type="dxa" w:w="3456"/>
          </w:tcPr>
          <w:p>
            <w:r>
              <w:rPr>
                <w:sz w:val="16"/>
              </w:rPr>
            </w:r>
            <w:r>
              <w:rPr>
                <w:sz w:val="16"/>
              </w:rPr>
              <w:t>Scheduled 2L payments allowed only absent a 1L payment default or accelerated 1L EoD.</w:t>
            </w:r>
          </w:p>
        </w:tc>
        <w:tc>
          <w:tcPr>
            <w:tcW w:type="dxa" w:w="3168"/>
          </w:tcPr>
          <w:p>
            <w:r>
              <w:rPr>
                <w:sz w:val="16"/>
              </w:rPr>
            </w:r>
            <w:r>
              <w:rPr>
                <w:sz w:val="16"/>
              </w:rPr>
              <w:t>Turnover exposure for post-Feb. 15 receipts.</w:t>
            </w:r>
          </w:p>
        </w:tc>
      </w:tr>
      <w:tr>
        <w:tc>
          <w:tcPr>
            <w:tcW w:type="dxa" w:w="1656"/>
          </w:tcPr>
          <w:p>
            <w:r>
              <w:rPr>
                <w:sz w:val="16"/>
              </w:rPr>
            </w:r>
            <w:r>
              <w:rPr>
                <w:sz w:val="16"/>
              </w:rPr>
              <w:t>Information</w:t>
            </w:r>
          </w:p>
        </w:tc>
        <w:tc>
          <w:tcPr>
            <w:tcW w:type="dxa" w:w="1080"/>
          </w:tcPr>
          <w:p>
            <w:r>
              <w:rPr>
                <w:sz w:val="16"/>
              </w:rPr>
            </w:r>
            <w:r>
              <w:rPr>
                <w:sz w:val="16"/>
              </w:rPr>
              <w:t>§7.5</w:t>
            </w:r>
          </w:p>
        </w:tc>
        <w:tc>
          <w:tcPr>
            <w:tcW w:type="dxa" w:w="3456"/>
          </w:tcPr>
          <w:p>
            <w:r>
              <w:rPr>
                <w:sz w:val="16"/>
              </w:rPr>
            </w:r>
            <w:r>
              <w:rPr>
                <w:sz w:val="16"/>
              </w:rPr>
              <w:t>Agents share default, acceleration and Enforcement Notices; Company delivers quarterly reporting to 2L Agent within 60 days.</w:t>
            </w:r>
          </w:p>
        </w:tc>
        <w:tc>
          <w:tcPr>
            <w:tcW w:type="dxa" w:w="3168"/>
          </w:tcPr>
          <w:p>
            <w:r>
              <w:rPr>
                <w:sz w:val="16"/>
              </w:rPr>
            </w:r>
            <w:r>
              <w:rPr>
                <w:sz w:val="16"/>
              </w:rPr>
              <w:t>Basis to demand the notice record from both Agents.</w:t>
            </w:r>
          </w:p>
        </w:tc>
      </w:tr>
      <w:tr>
        <w:tc>
          <w:tcPr>
            <w:tcW w:type="dxa" w:w="1656"/>
          </w:tcPr>
          <w:p>
            <w:r>
              <w:rPr>
                <w:sz w:val="16"/>
              </w:rPr>
            </w:r>
            <w:r>
              <w:rPr>
                <w:sz w:val="16"/>
              </w:rPr>
              <w:t>Amendment / waiver</w:t>
            </w:r>
          </w:p>
        </w:tc>
        <w:tc>
          <w:tcPr>
            <w:tcW w:type="dxa" w:w="1080"/>
          </w:tcPr>
          <w:p>
            <w:r>
              <w:rPr>
                <w:sz w:val="16"/>
              </w:rPr>
            </w:r>
            <w:r>
              <w:rPr>
                <w:sz w:val="16"/>
              </w:rPr>
              <w:t>§9.2</w:t>
            </w:r>
          </w:p>
        </w:tc>
        <w:tc>
          <w:tcPr>
            <w:tcW w:type="dxa" w:w="3456"/>
          </w:tcPr>
          <w:p>
            <w:r>
              <w:rPr>
                <w:sz w:val="16"/>
              </w:rPr>
            </w:r>
            <w:r>
              <w:rPr>
                <w:sz w:val="16"/>
              </w:rPr>
              <w:t>Written instrument by 1L Agent (Required 1L) and 2L Agent (Required 2L), acknowledged by Company. Waivers in writing.</w:t>
            </w:r>
          </w:p>
        </w:tc>
        <w:tc>
          <w:tcPr>
            <w:tcW w:type="dxa" w:w="3168"/>
          </w:tcPr>
          <w:p>
            <w:r>
              <w:rPr>
                <w:sz w:val="16"/>
              </w:rPr>
            </w:r>
            <w:r>
              <w:rPr>
                <w:sz w:val="16"/>
              </w:rPr>
              <w:t>Group controls 2L side; any §6.6(c) waiver must be written.</w:t>
            </w:r>
          </w:p>
        </w:tc>
      </w:tr>
      <w:tr>
        <w:tc>
          <w:tcPr>
            <w:tcW w:type="dxa" w:w="1656"/>
          </w:tcPr>
          <w:p>
            <w:r>
              <w:rPr>
                <w:sz w:val="16"/>
              </w:rPr>
            </w:r>
            <w:r>
              <w:rPr>
                <w:sz w:val="16"/>
              </w:rPr>
              <w:t>Law / forum</w:t>
            </w:r>
          </w:p>
        </w:tc>
        <w:tc>
          <w:tcPr>
            <w:tcW w:type="dxa" w:w="1080"/>
          </w:tcPr>
          <w:p>
            <w:r>
              <w:rPr>
                <w:sz w:val="16"/>
              </w:rPr>
            </w:r>
            <w:r>
              <w:rPr>
                <w:sz w:val="16"/>
              </w:rPr>
              <w:t>§§9.3–9.5</w:t>
            </w:r>
          </w:p>
        </w:tc>
        <w:tc>
          <w:tcPr>
            <w:tcW w:type="dxa" w:w="3456"/>
          </w:tcPr>
          <w:p>
            <w:r>
              <w:rPr>
                <w:sz w:val="16"/>
              </w:rPr>
            </w:r>
            <w:r>
              <w:rPr>
                <w:sz w:val="16"/>
              </w:rPr>
              <w:t>New York law; exclusive S.D.N.Y. / NY County courts; jury waiver.</w:t>
            </w:r>
          </w:p>
        </w:tc>
        <w:tc>
          <w:tcPr>
            <w:tcW w:type="dxa" w:w="3168"/>
          </w:tcPr>
          <w:p>
            <w:r>
              <w:rPr>
                <w:sz w:val="16"/>
              </w:rPr>
            </w:r>
            <w:r>
              <w:rPr>
                <w:sz w:val="16"/>
              </w:rPr>
              <w:t>Consistent with Chapter 11 venue (Bankr. S.D.N.Y.).</w:t>
            </w:r>
          </w:p>
        </w:tc>
      </w:tr>
      <w:tr>
        <w:tc>
          <w:tcPr>
            <w:tcW w:type="dxa" w:w="1656"/>
          </w:tcPr>
          <w:p>
            <w:r>
              <w:rPr>
                <w:sz w:val="16"/>
              </w:rPr>
            </w:r>
            <w:r>
              <w:rPr>
                <w:sz w:val="16"/>
              </w:rPr>
              <w:t>Transferees</w:t>
            </w:r>
          </w:p>
        </w:tc>
        <w:tc>
          <w:tcPr>
            <w:tcW w:type="dxa" w:w="1080"/>
          </w:tcPr>
          <w:p>
            <w:r>
              <w:rPr>
                <w:sz w:val="16"/>
              </w:rPr>
            </w:r>
            <w:r>
              <w:rPr>
                <w:sz w:val="16"/>
              </w:rPr>
              <w:t>§9.7</w:t>
            </w:r>
          </w:p>
        </w:tc>
        <w:tc>
          <w:tcPr>
            <w:tcW w:type="dxa" w:w="3456"/>
          </w:tcPr>
          <w:p>
            <w:r>
              <w:rPr>
                <w:sz w:val="16"/>
              </w:rPr>
            </w:r>
            <w:r>
              <w:rPr>
                <w:sz w:val="16"/>
              </w:rPr>
              <w:t>Transferees of 1L or 2L debt are bound; joinder if requested.</w:t>
            </w:r>
          </w:p>
        </w:tc>
        <w:tc>
          <w:tcPr>
            <w:tcW w:type="dxa" w:w="3168"/>
          </w:tcPr>
          <w:p>
            <w:r>
              <w:rPr>
                <w:sz w:val="16"/>
              </w:rPr>
            </w:r>
            <w:r>
              <w:rPr>
                <w:sz w:val="16"/>
              </w:rPr>
              <w:t>Group members are bound; claim purchasers too.</w:t>
            </w:r>
          </w:p>
        </w:tc>
      </w:tr>
      <w:tr>
        <w:tc>
          <w:tcPr>
            <w:tcW w:type="dxa" w:w="1656"/>
          </w:tcPr>
          <w:p>
            <w:r>
              <w:rPr>
                <w:sz w:val="16"/>
              </w:rPr>
            </w:r>
            <w:r>
              <w:rPr>
                <w:sz w:val="16"/>
              </w:rPr>
              <w:t>Indemnity</w:t>
            </w:r>
          </w:p>
        </w:tc>
        <w:tc>
          <w:tcPr>
            <w:tcW w:type="dxa" w:w="1080"/>
          </w:tcPr>
          <w:p>
            <w:r>
              <w:rPr>
                <w:sz w:val="16"/>
              </w:rPr>
            </w:r>
            <w:r>
              <w:rPr>
                <w:sz w:val="16"/>
              </w:rPr>
              <w:t>§9.10</w:t>
            </w:r>
          </w:p>
        </w:tc>
        <w:tc>
          <w:tcPr>
            <w:tcW w:type="dxa" w:w="3456"/>
          </w:tcPr>
          <w:p>
            <w:r>
              <w:rPr>
                <w:sz w:val="16"/>
              </w:rPr>
            </w:r>
            <w:r>
              <w:rPr>
                <w:sz w:val="16"/>
              </w:rPr>
              <w:t xml:space="preserve">Company indemnifies both Agents; </w:t>
            </w:r>
            <w:r>
              <w:rPr>
                <w:b/>
                <w:sz w:val="16"/>
              </w:rPr>
              <w:t>2L Agent indemnifies 1L Agent for Enforcement Actions in breach of Article III standstill.</w:t>
            </w:r>
          </w:p>
        </w:tc>
        <w:tc>
          <w:tcPr>
            <w:tcW w:type="dxa" w:w="3168"/>
          </w:tcPr>
          <w:p>
            <w:r>
              <w:rPr>
                <w:sz w:val="16"/>
              </w:rPr>
            </w:r>
            <w:r>
              <w:rPr>
                <w:sz w:val="16"/>
              </w:rPr>
              <w:t>Agent will seek indemnity from directing lenders before any aggressive action.</w:t>
            </w:r>
          </w:p>
        </w:tc>
      </w:tr>
      <w:tr>
        <w:tc>
          <w:tcPr>
            <w:tcW w:type="dxa" w:w="1656"/>
          </w:tcPr>
          <w:p>
            <w:r>
              <w:rPr>
                <w:sz w:val="16"/>
              </w:rPr>
            </w:r>
            <w:r>
              <w:rPr>
                <w:sz w:val="16"/>
              </w:rPr>
              <w:t>Discharge / termination</w:t>
            </w:r>
          </w:p>
        </w:tc>
        <w:tc>
          <w:tcPr>
            <w:tcW w:type="dxa" w:w="1080"/>
          </w:tcPr>
          <w:p>
            <w:r>
              <w:rPr>
                <w:sz w:val="16"/>
              </w:rPr>
            </w:r>
            <w:r>
              <w:rPr>
                <w:sz w:val="16"/>
              </w:rPr>
              <w:t>§§10.2–10.3</w:t>
            </w:r>
          </w:p>
        </w:tc>
        <w:tc>
          <w:tcPr>
            <w:tcW w:type="dxa" w:w="3456"/>
          </w:tcPr>
          <w:p>
            <w:r>
              <w:rPr>
                <w:sz w:val="16"/>
              </w:rPr>
            </w:r>
            <w:r>
              <w:rPr>
                <w:sz w:val="16"/>
              </w:rPr>
              <w:t>On Discharge of First Lien Obligations, the subordination ends and 2L liens become first priority automatically.</w:t>
            </w:r>
          </w:p>
        </w:tc>
        <w:tc>
          <w:tcPr>
            <w:tcW w:type="dxa" w:w="3168"/>
          </w:tcPr>
          <w:p>
            <w:r>
              <w:rPr>
                <w:sz w:val="16"/>
              </w:rPr>
            </w:r>
            <w:r>
              <w:rPr>
                <w:sz w:val="16"/>
              </w:rPr>
              <w:t>Supports any take-out strategy.</w:t>
            </w:r>
          </w:p>
        </w:tc>
      </w:tr>
    </w:tbl>
    <w:p>
      <w:pPr>
        <w:spacing w:after="40"/>
      </w:pPr>
    </w:p>
    <w:p>
      <w:pPr>
        <w:pStyle w:val="Heading1"/>
      </w:pPr>
      <w:r>
        <w:t>XIII. Inconsistencies and Gaps Between the Two ICAs</w:t>
      </w:r>
    </w:p>
    <w:p>
      <w:pPr>
        <w:jc w:val="both"/>
      </w:pPr>
      <w:r>
        <w:t>S/U §3.1 provides that, as between the First Lien Agent and the Second Lien Agent, the 1L/2L ICA governs “exclusively,” and that the S/U ICA is to be read consistently with it “to the maximum extent possible.” Both agreements contain conflict clauses favoring themselves over the underlying debt documents (§§1.2(g), 1.3; S/U §§1.2(f), 10.9). The conflicts below matter chiefly (a) vis-à-vis Allegheny and the noteholders, who are party only to the S/U ICA, and (b) where the S/U ICA imposes obligations on Stonebridge directly.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
            <w:shd w:val="clear" w:color="auto" w:fill="D9E2F3"/>
          </w:tcPr>
          <w:p>
            <w:r/>
            <w:r>
              <w:rPr>
                <w:b/>
                <w:sz w:val="15"/>
              </w:rPr>
              <w:t>#</w:t>
            </w:r>
          </w:p>
        </w:tc>
        <w:tc>
          <w:tcPr>
            <w:tcW w:type="dxa" w:w="1440"/>
            <w:shd w:val="clear" w:color="auto" w:fill="D9E2F3"/>
          </w:tcPr>
          <w:p>
            <w:r/>
            <w:r>
              <w:rPr>
                <w:b/>
                <w:sz w:val="15"/>
              </w:rPr>
              <w:t>Issue</w:t>
            </w:r>
          </w:p>
        </w:tc>
        <w:tc>
          <w:tcPr>
            <w:tcW w:type="dxa" w:w="2232"/>
            <w:shd w:val="clear" w:color="auto" w:fill="D9E2F3"/>
          </w:tcPr>
          <w:p>
            <w:r/>
            <w:r>
              <w:rPr>
                <w:b/>
                <w:sz w:val="15"/>
              </w:rPr>
              <w:t>1L/2L ICA</w:t>
            </w:r>
          </w:p>
        </w:tc>
        <w:tc>
          <w:tcPr>
            <w:tcW w:type="dxa" w:w="2520"/>
            <w:shd w:val="clear" w:color="auto" w:fill="D9E2F3"/>
          </w:tcPr>
          <w:p>
            <w:r/>
            <w:r>
              <w:rPr>
                <w:b/>
                <w:sz w:val="15"/>
              </w:rPr>
              <w:t>S/U ICA</w:t>
            </w:r>
          </w:p>
        </w:tc>
        <w:tc>
          <w:tcPr>
            <w:tcW w:type="dxa" w:w="2808"/>
            <w:shd w:val="clear" w:color="auto" w:fill="D9E2F3"/>
          </w:tcPr>
          <w:p>
            <w:r/>
            <w:r>
              <w:rPr>
                <w:b/>
                <w:sz w:val="15"/>
              </w:rPr>
              <w:t>Risk / Exploitation and Recommended Position</w:t>
            </w:r>
          </w:p>
        </w:tc>
      </w:tr>
      <w:tr>
        <w:tc>
          <w:tcPr>
            <w:tcW w:type="dxa" w:w="360"/>
          </w:tcPr>
          <w:p>
            <w:r>
              <w:rPr>
                <w:sz w:val="15"/>
              </w:rPr>
            </w:r>
            <w:r>
              <w:rPr>
                <w:sz w:val="15"/>
              </w:rPr>
              <w:t>1</w:t>
            </w:r>
          </w:p>
        </w:tc>
        <w:tc>
          <w:tcPr>
            <w:tcW w:type="dxa" w:w="1440"/>
          </w:tcPr>
          <w:p>
            <w:r>
              <w:rPr>
                <w:sz w:val="15"/>
              </w:rPr>
            </w:r>
            <w:r>
              <w:rPr>
                <w:sz w:val="15"/>
              </w:rPr>
              <w:t>Business interruption insurance</w:t>
            </w:r>
          </w:p>
        </w:tc>
        <w:tc>
          <w:tcPr>
            <w:tcW w:type="dxa" w:w="2232"/>
          </w:tcPr>
          <w:p>
            <w:r>
              <w:rPr>
                <w:sz w:val="15"/>
              </w:rPr>
            </w:r>
            <w:r>
              <w:rPr>
                <w:sz w:val="15"/>
              </w:rPr>
              <w:t>Excluded from Collateral Proceeds; to Company for operations (§4.5(b)).</w:t>
            </w:r>
          </w:p>
        </w:tc>
        <w:tc>
          <w:tcPr>
            <w:tcW w:type="dxa" w:w="2520"/>
          </w:tcPr>
          <w:p>
            <w:r>
              <w:rPr>
                <w:sz w:val="15"/>
              </w:rPr>
            </w:r>
            <w:r>
              <w:rPr>
                <w:sz w:val="15"/>
              </w:rPr>
              <w:t>Included “without exception” (§5.3(a)).</w:t>
            </w:r>
          </w:p>
        </w:tc>
        <w:tc>
          <w:tcPr>
            <w:tcW w:type="dxa" w:w="2808"/>
          </w:tcPr>
          <w:p>
            <w:r>
              <w:rPr>
                <w:sz w:val="15"/>
              </w:rPr>
            </w:r>
            <w:r>
              <w:rPr>
                <w:sz w:val="15"/>
              </w:rPr>
              <w:t xml:space="preserve">Noteholders may argue BI proceeds are </w:t>
            </w:r>
            <w:r>
              <w:rPr>
                <w:b/>
                <w:sz w:val="15"/>
              </w:rPr>
              <w:t>not</w:t>
            </w:r>
            <w:r>
              <w:rPr>
                <w:sz w:val="15"/>
              </w:rPr>
              <w:t xml:space="preserve"> Collateral as to the 2L (per 1L/2L) and therefore unencumbered and shareable (S/U §2.3(b)(ii)). Group should take the position that BI proceeds remain Collateral (Exhibit A(n)) and that §4.5(b) governs only use, not lien status.</w:t>
            </w:r>
          </w:p>
        </w:tc>
      </w:tr>
      <w:tr>
        <w:tc>
          <w:tcPr>
            <w:tcW w:type="dxa" w:w="360"/>
          </w:tcPr>
          <w:p>
            <w:r>
              <w:rPr>
                <w:sz w:val="15"/>
              </w:rPr>
            </w:r>
            <w:r>
              <w:rPr>
                <w:sz w:val="15"/>
              </w:rPr>
              <w:t>2</w:t>
            </w:r>
          </w:p>
        </w:tc>
        <w:tc>
          <w:tcPr>
            <w:tcW w:type="dxa" w:w="1440"/>
          </w:tcPr>
          <w:p>
            <w:r>
              <w:rPr>
                <w:sz w:val="15"/>
              </w:rPr>
            </w:r>
            <w:r>
              <w:rPr>
                <w:sz w:val="15"/>
              </w:rPr>
              <w:t>Nature of noteholder subordination</w:t>
            </w:r>
          </w:p>
        </w:tc>
        <w:tc>
          <w:tcPr>
            <w:tcW w:type="dxa" w:w="2232"/>
          </w:tcPr>
          <w:p>
            <w:r>
              <w:rPr>
                <w:sz w:val="15"/>
              </w:rPr>
            </w:r>
            <w:r>
              <w:rPr>
                <w:sz w:val="15"/>
              </w:rPr>
              <w:t>n/a</w:t>
            </w:r>
          </w:p>
        </w:tc>
        <w:tc>
          <w:tcPr>
            <w:tcW w:type="dxa" w:w="2520"/>
          </w:tcPr>
          <w:p>
            <w:r>
              <w:rPr>
                <w:sz w:val="15"/>
              </w:rPr>
            </w:r>
            <w:r>
              <w:rPr>
                <w:sz w:val="15"/>
              </w:rPr>
              <w:t>“Subordinated in right of payment … to the extent” set forth, but “solely” as to Collateral and Collateral Proceeds (§2.1); turnover excludes payments from non-Collateral assets (§2.3(b)(ii)); waterfall “Fourth” is pro rata with all unsecured claims (§5.2).</w:t>
            </w:r>
          </w:p>
        </w:tc>
        <w:tc>
          <w:tcPr>
            <w:tcW w:type="dxa" w:w="2808"/>
          </w:tcPr>
          <w:p>
            <w:r>
              <w:rPr>
                <w:sz w:val="15"/>
              </w:rPr>
            </w:r>
            <w:r>
              <w:rPr>
                <w:sz w:val="15"/>
              </w:rPr>
              <w:t xml:space="preserve">No contractual subordination of the notes to the group’s </w:t>
            </w:r>
            <w:r>
              <w:rPr>
                <w:b/>
                <w:sz w:val="15"/>
              </w:rPr>
              <w:t>deficiency</w:t>
            </w:r>
            <w:r>
              <w:rPr>
                <w:sz w:val="15"/>
              </w:rPr>
              <w:t xml:space="preserve"> claims as to unencumbered value. Group should promptly identify unencumbered assets (avoidance actions, unidentified commercial tort claims, excluded assets, BI proceeds, any unmortgaged real property) and resist DIP or adequate protection liens on them.</w:t>
            </w:r>
          </w:p>
        </w:tc>
      </w:tr>
      <w:tr>
        <w:tc>
          <w:tcPr>
            <w:tcW w:type="dxa" w:w="360"/>
          </w:tcPr>
          <w:p>
            <w:r>
              <w:rPr>
                <w:sz w:val="15"/>
              </w:rPr>
            </w:r>
            <w:r>
              <w:rPr>
                <w:sz w:val="15"/>
              </w:rPr>
              <w:t>3</w:t>
            </w:r>
          </w:p>
        </w:tc>
        <w:tc>
          <w:tcPr>
            <w:tcW w:type="dxa" w:w="1440"/>
          </w:tcPr>
          <w:p>
            <w:r>
              <w:rPr>
                <w:sz w:val="15"/>
              </w:rPr>
            </w:r>
            <w:r>
              <w:rPr>
                <w:sz w:val="15"/>
              </w:rPr>
              <w:t>All/substantially all sale notice</w:t>
            </w:r>
          </w:p>
        </w:tc>
        <w:tc>
          <w:tcPr>
            <w:tcW w:type="dxa" w:w="2232"/>
          </w:tcPr>
          <w:p>
            <w:r>
              <w:rPr>
                <w:sz w:val="15"/>
              </w:rPr>
            </w:r>
            <w:r>
              <w:rPr>
                <w:sz w:val="15"/>
              </w:rPr>
              <w:t>10 “business days” (undefined) to 2L Agent; absent notice, automatic release does not apply (§4.2(d)).</w:t>
            </w:r>
          </w:p>
        </w:tc>
        <w:tc>
          <w:tcPr>
            <w:tcW w:type="dxa" w:w="2520"/>
          </w:tcPr>
          <w:p>
            <w:r>
              <w:rPr>
                <w:sz w:val="15"/>
              </w:rPr>
            </w:r>
            <w:r>
              <w:rPr>
                <w:sz w:val="15"/>
              </w:rPr>
              <w:t>5 Business Days (defined, NY banking days) to Trustee; failure does not invalidate sale; injunction limited to delay pending notice (§5.1(d)).</w:t>
            </w:r>
          </w:p>
        </w:tc>
        <w:tc>
          <w:tcPr>
            <w:tcW w:type="dxa" w:w="2808"/>
          </w:tcPr>
          <w:p>
            <w:r>
              <w:rPr>
                <w:sz w:val="15"/>
              </w:rPr>
            </w:r>
            <w:r>
              <w:rPr>
                <w:sz w:val="15"/>
              </w:rPr>
              <w:t>Mismatch in timing and remedy. FDD ¶39 also mischaracterizes S/U §5.1. Insist on ≥10 NY business days’ notice to all.</w:t>
            </w:r>
          </w:p>
        </w:tc>
      </w:tr>
      <w:tr>
        <w:tc>
          <w:tcPr>
            <w:tcW w:type="dxa" w:w="360"/>
          </w:tcPr>
          <w:p>
            <w:r>
              <w:rPr>
                <w:sz w:val="15"/>
              </w:rPr>
            </w:r>
            <w:r>
              <w:rPr>
                <w:sz w:val="15"/>
              </w:rPr>
              <w:t>4</w:t>
            </w:r>
          </w:p>
        </w:tc>
        <w:tc>
          <w:tcPr>
            <w:tcW w:type="dxa" w:w="1440"/>
          </w:tcPr>
          <w:p>
            <w:r>
              <w:rPr>
                <w:sz w:val="15"/>
              </w:rPr>
            </w:r>
            <w:r>
              <w:rPr>
                <w:sz w:val="15"/>
              </w:rPr>
              <w:t>Waterfall: Agent costs</w:t>
            </w:r>
          </w:p>
        </w:tc>
        <w:tc>
          <w:tcPr>
            <w:tcW w:type="dxa" w:w="2232"/>
          </w:tcPr>
          <w:p>
            <w:r>
              <w:rPr>
                <w:sz w:val="15"/>
              </w:rPr>
            </w:r>
            <w:r>
              <w:rPr>
                <w:sz w:val="15"/>
              </w:rPr>
              <w:t>1L Agent costs first; 2L Agent costs only after Discharge of 1L (§3.3(a)(i), (iii)).</w:t>
            </w:r>
          </w:p>
        </w:tc>
        <w:tc>
          <w:tcPr>
            <w:tcW w:type="dxa" w:w="2520"/>
          </w:tcPr>
          <w:p>
            <w:r>
              <w:rPr>
                <w:sz w:val="15"/>
              </w:rPr>
            </w:r>
            <w:r>
              <w:rPr>
                <w:sz w:val="15"/>
              </w:rPr>
              <w:t xml:space="preserve">Costs of </w:t>
            </w:r>
            <w:r>
              <w:rPr>
                <w:b/>
                <w:sz w:val="15"/>
              </w:rPr>
              <w:t>both</w:t>
            </w:r>
            <w:r>
              <w:rPr>
                <w:sz w:val="15"/>
              </w:rPr>
              <w:t xml:space="preserve"> Agents pari passu at “First” (§5.2).</w:t>
            </w:r>
          </w:p>
        </w:tc>
        <w:tc>
          <w:tcPr>
            <w:tcW w:type="dxa" w:w="2808"/>
          </w:tcPr>
          <w:p>
            <w:r>
              <w:rPr>
                <w:sz w:val="15"/>
              </w:rPr>
            </w:r>
            <w:r>
              <w:rPr>
                <w:sz w:val="15"/>
              </w:rPr>
              <w:t>As between 1L and 2L, the 1L/2L ICA controls (S/U §3.1), but the group can cite S/U §5.2 in negotiating payment of its Agent’s costs from collateral proceeds.</w:t>
            </w:r>
          </w:p>
        </w:tc>
      </w:tr>
      <w:tr>
        <w:tc>
          <w:tcPr>
            <w:tcW w:type="dxa" w:w="360"/>
          </w:tcPr>
          <w:p>
            <w:r>
              <w:rPr>
                <w:sz w:val="15"/>
              </w:rPr>
            </w:r>
            <w:r>
              <w:rPr>
                <w:sz w:val="15"/>
              </w:rPr>
              <w:t>5</w:t>
            </w:r>
          </w:p>
        </w:tc>
        <w:tc>
          <w:tcPr>
            <w:tcW w:type="dxa" w:w="1440"/>
          </w:tcPr>
          <w:p>
            <w:r>
              <w:rPr>
                <w:sz w:val="15"/>
              </w:rPr>
            </w:r>
            <w:r>
              <w:rPr>
                <w:sz w:val="15"/>
              </w:rPr>
              <w:t>DIP consent standard</w:t>
            </w:r>
          </w:p>
        </w:tc>
        <w:tc>
          <w:tcPr>
            <w:tcW w:type="dxa" w:w="2232"/>
          </w:tcPr>
          <w:p>
            <w:r>
              <w:rPr>
                <w:sz w:val="15"/>
              </w:rPr>
            </w:r>
            <w:r>
              <w:rPr>
                <w:sz w:val="15"/>
              </w:rPr>
              <w:t>Caps: 115% of 1L Obligations / $350M; “substantially consistent” terms; §6.1(c) adequate protection proviso.</w:t>
            </w:r>
          </w:p>
        </w:tc>
        <w:tc>
          <w:tcPr>
            <w:tcW w:type="dxa" w:w="2520"/>
          </w:tcPr>
          <w:p>
            <w:r>
              <w:rPr>
                <w:sz w:val="15"/>
              </w:rPr>
            </w:r>
            <w:r>
              <w:rPr>
                <w:sz w:val="15"/>
              </w:rPr>
              <w:t xml:space="preserve">No objection to priming DIP from Senior Secured Parties or affiliates (or a person acceptable to Required 1L) up to an amount the </w:t>
            </w:r>
            <w:r>
              <w:rPr>
                <w:b/>
                <w:sz w:val="15"/>
              </w:rPr>
              <w:t>1L Agent determines in its reasonable discretion</w:t>
            </w:r>
            <w:r>
              <w:rPr>
                <w:sz w:val="15"/>
              </w:rPr>
              <w:t xml:space="preserve"> (§4.1(a)); noteholders may object to terms directly and adversely affecting the notes (§4.1(c)); noteholders may not provide a DIP without 1L Agent consent (§4.1(b)).</w:t>
            </w:r>
          </w:p>
        </w:tc>
        <w:tc>
          <w:tcPr>
            <w:tcW w:type="dxa" w:w="2808"/>
          </w:tcPr>
          <w:p>
            <w:r>
              <w:rPr>
                <w:sz w:val="15"/>
              </w:rPr>
            </w:r>
            <w:r>
              <w:rPr>
                <w:sz w:val="15"/>
              </w:rPr>
              <w:t>Noteholders retain an objection right for DIP terms affecting them (e.g., releases). Expect them to attack terms that also matter to the group (liens on unencumbered assets); there may be common ground.</w:t>
            </w:r>
          </w:p>
        </w:tc>
      </w:tr>
      <w:tr>
        <w:tc>
          <w:tcPr>
            <w:tcW w:type="dxa" w:w="360"/>
          </w:tcPr>
          <w:p>
            <w:r>
              <w:rPr>
                <w:sz w:val="15"/>
              </w:rPr>
            </w:r>
            <w:r>
              <w:rPr>
                <w:sz w:val="15"/>
              </w:rPr>
              <w:t>6</w:t>
            </w:r>
          </w:p>
        </w:tc>
        <w:tc>
          <w:tcPr>
            <w:tcW w:type="dxa" w:w="1440"/>
          </w:tcPr>
          <w:p>
            <w:r>
              <w:rPr>
                <w:sz w:val="15"/>
              </w:rPr>
            </w:r>
            <w:r>
              <w:rPr>
                <w:sz w:val="15"/>
              </w:rPr>
              <w:t>2L cash adequate protection</w:t>
            </w:r>
          </w:p>
        </w:tc>
        <w:tc>
          <w:tcPr>
            <w:tcW w:type="dxa" w:w="2232"/>
          </w:tcPr>
          <w:p>
            <w:r>
              <w:rPr>
                <w:sz w:val="15"/>
              </w:rPr>
            </w:r>
            <w:r>
              <w:rPr>
                <w:sz w:val="15"/>
              </w:rPr>
              <w:t>Permitted but subordinate (§6.3(a)–(b), (d)).</w:t>
            </w:r>
          </w:p>
        </w:tc>
        <w:tc>
          <w:tcPr>
            <w:tcW w:type="dxa" w:w="2520"/>
          </w:tcPr>
          <w:p>
            <w:r>
              <w:rPr>
                <w:sz w:val="15"/>
              </w:rPr>
            </w:r>
            <w:r>
              <w:rPr>
                <w:sz w:val="15"/>
              </w:rPr>
              <w:t>No cash adequate protection to 2L unless all 1L adequate protection (incl. current cash interest at non-default rate) is current (§4.2(a)(i)). “Junior Secured Party” undefined.</w:t>
            </w:r>
          </w:p>
        </w:tc>
        <w:tc>
          <w:tcPr>
            <w:tcW w:type="dxa" w:w="2808"/>
          </w:tcPr>
          <w:p>
            <w:r>
              <w:rPr>
                <w:sz w:val="15"/>
              </w:rPr>
            </w:r>
            <w:r>
              <w:rPr>
                <w:sz w:val="15"/>
              </w:rPr>
              <w:t>An additional condition binding Stonebridge. Structure any cash or fee adequate protection with that condition in mind.</w:t>
            </w:r>
          </w:p>
        </w:tc>
      </w:tr>
      <w:tr>
        <w:tc>
          <w:tcPr>
            <w:tcW w:type="dxa" w:w="360"/>
          </w:tcPr>
          <w:p>
            <w:r>
              <w:rPr>
                <w:sz w:val="15"/>
              </w:rPr>
            </w:r>
            <w:r>
              <w:rPr>
                <w:sz w:val="15"/>
              </w:rPr>
              <w:t>7</w:t>
            </w:r>
          </w:p>
        </w:tc>
        <w:tc>
          <w:tcPr>
            <w:tcW w:type="dxa" w:w="1440"/>
          </w:tcPr>
          <w:p>
            <w:r>
              <w:rPr>
                <w:sz w:val="15"/>
              </w:rPr>
            </w:r>
            <w:r>
              <w:rPr>
                <w:sz w:val="15"/>
              </w:rPr>
              <w:t>1L adequate protection rate</w:t>
            </w:r>
          </w:p>
        </w:tc>
        <w:tc>
          <w:tcPr>
            <w:tcW w:type="dxa" w:w="2232"/>
          </w:tcPr>
          <w:p>
            <w:r>
              <w:rPr>
                <w:sz w:val="15"/>
              </w:rPr>
            </w:r>
            <w:r>
              <w:rPr>
                <w:sz w:val="15"/>
              </w:rPr>
              <w:t>Silent on rate (§6.3(c)).</w:t>
            </w:r>
          </w:p>
        </w:tc>
        <w:tc>
          <w:tcPr>
            <w:tcW w:type="dxa" w:w="2520"/>
          </w:tcPr>
          <w:p>
            <w:r>
              <w:rPr>
                <w:sz w:val="15"/>
              </w:rPr>
            </w:r>
            <w:r>
              <w:rPr>
                <w:sz w:val="15"/>
              </w:rPr>
              <w:t xml:space="preserve">Contemplates cash interest “including the default rate, if applicable” (§4.2(b)(i)) but conditions 2L cash adequate protection on 1L being current at the </w:t>
            </w:r>
            <w:r>
              <w:rPr>
                <w:b/>
                <w:sz w:val="15"/>
              </w:rPr>
              <w:t>non-default</w:t>
            </w:r>
            <w:r>
              <w:rPr>
                <w:sz w:val="15"/>
              </w:rPr>
              <w:t xml:space="preserve"> rate (§4.2(a)(i)).</w:t>
            </w:r>
          </w:p>
        </w:tc>
        <w:tc>
          <w:tcPr>
            <w:tcW w:type="dxa" w:w="2808"/>
          </w:tcPr>
          <w:p>
            <w:r>
              <w:rPr>
                <w:sz w:val="15"/>
              </w:rPr>
            </w:r>
            <w:r>
              <w:rPr>
                <w:sz w:val="15"/>
              </w:rPr>
              <w:t>Internal inconsistency. Argue that the 2L’s condition is satisfied once non-default-rate interest is current.</w:t>
            </w:r>
          </w:p>
        </w:tc>
      </w:tr>
      <w:tr>
        <w:tc>
          <w:tcPr>
            <w:tcW w:type="dxa" w:w="360"/>
          </w:tcPr>
          <w:p>
            <w:r>
              <w:rPr>
                <w:sz w:val="15"/>
              </w:rPr>
            </w:r>
            <w:r>
              <w:rPr>
                <w:sz w:val="15"/>
              </w:rPr>
              <w:t>8</w:t>
            </w:r>
          </w:p>
        </w:tc>
        <w:tc>
          <w:tcPr>
            <w:tcW w:type="dxa" w:w="1440"/>
          </w:tcPr>
          <w:p>
            <w:r>
              <w:rPr>
                <w:sz w:val="15"/>
              </w:rPr>
            </w:r>
            <w:r>
              <w:rPr>
                <w:sz w:val="15"/>
              </w:rPr>
              <w:t>Plan voting</w:t>
            </w:r>
          </w:p>
        </w:tc>
        <w:tc>
          <w:tcPr>
            <w:tcW w:type="dxa" w:w="2232"/>
          </w:tcPr>
          <w:p>
            <w:r>
              <w:rPr>
                <w:sz w:val="15"/>
              </w:rPr>
            </w:r>
            <w:r>
              <w:rPr>
                <w:sz w:val="15"/>
              </w:rPr>
              <w:t>2L may not vote for a plan unacceptable to Required 1L unless 1L is paid in full in cash (§6.5(a)).</w:t>
            </w:r>
          </w:p>
        </w:tc>
        <w:tc>
          <w:tcPr>
            <w:tcW w:type="dxa" w:w="2520"/>
          </w:tcPr>
          <w:p>
            <w:r>
              <w:rPr>
                <w:sz w:val="15"/>
              </w:rPr>
            </w:r>
            <w:r>
              <w:rPr>
                <w:sz w:val="15"/>
              </w:rPr>
              <w:t xml:space="preserve">Notes may not vote for a plan not discharging </w:t>
            </w:r>
            <w:r>
              <w:rPr>
                <w:b/>
                <w:sz w:val="15"/>
              </w:rPr>
              <w:t>all</w:t>
            </w:r>
            <w:r>
              <w:rPr>
                <w:sz w:val="15"/>
              </w:rPr>
              <w:t xml:space="preserve"> Senior Secured Obligations in cash unless Required 1L </w:t>
            </w:r>
            <w:r>
              <w:rPr>
                <w:b/>
                <w:sz w:val="15"/>
              </w:rPr>
              <w:t>and Required 2L</w:t>
            </w:r>
            <w:r>
              <w:rPr>
                <w:sz w:val="15"/>
              </w:rPr>
              <w:t xml:space="preserve"> each consent in writing, or the plan gives notes a distribution “solely on account of their unsecured deficiency claims” and satisfies §1129 (§4.3(b)).</w:t>
            </w:r>
          </w:p>
        </w:tc>
        <w:tc>
          <w:tcPr>
            <w:tcW w:type="dxa" w:w="2808"/>
          </w:tcPr>
          <w:p>
            <w:r>
              <w:rPr>
                <w:sz w:val="15"/>
              </w:rPr>
            </w:r>
            <w:r>
              <w:rPr>
                <w:b/>
                <w:sz w:val="15"/>
              </w:rPr>
              <w:t>Leverage for the group:</w:t>
            </w:r>
            <w:r>
              <w:rPr>
                <w:sz w:val="15"/>
              </w:rPr>
              <w:t xml:space="preserve"> a first-lien/Debtor plan needing noteholder support requires the group’s consent under (i). The noteholders will invoke exception (ii), whose reference to “deficiency claims” is inapt for unsecured notes and arguably makes the exception unusable or ambiguous.</w:t>
            </w:r>
          </w:p>
        </w:tc>
      </w:tr>
      <w:tr>
        <w:tc>
          <w:tcPr>
            <w:tcW w:type="dxa" w:w="360"/>
          </w:tcPr>
          <w:p>
            <w:r>
              <w:rPr>
                <w:sz w:val="15"/>
              </w:rPr>
            </w:r>
            <w:r>
              <w:rPr>
                <w:sz w:val="15"/>
              </w:rPr>
              <w:t>9</w:t>
            </w:r>
          </w:p>
        </w:tc>
        <w:tc>
          <w:tcPr>
            <w:tcW w:type="dxa" w:w="1440"/>
          </w:tcPr>
          <w:p>
            <w:r>
              <w:rPr>
                <w:sz w:val="15"/>
              </w:rPr>
            </w:r>
            <w:r>
              <w:rPr>
                <w:sz w:val="15"/>
              </w:rPr>
              <w:t>Required Lender definitions</w:t>
            </w:r>
          </w:p>
        </w:tc>
        <w:tc>
          <w:tcPr>
            <w:tcW w:type="dxa" w:w="2232"/>
          </w:tcPr>
          <w:p>
            <w:r>
              <w:rPr>
                <w:sz w:val="15"/>
              </w:rPr>
            </w:r>
            <w:r>
              <w:rPr>
                <w:sz w:val="15"/>
              </w:rPr>
              <w:t>No affiliate exclusion (§1.1).</w:t>
            </w:r>
          </w:p>
        </w:tc>
        <w:tc>
          <w:tcPr>
            <w:tcW w:type="dxa" w:w="2520"/>
          </w:tcPr>
          <w:p>
            <w:r>
              <w:rPr>
                <w:sz w:val="15"/>
              </w:rPr>
            </w:r>
            <w:r>
              <w:rPr>
                <w:sz w:val="15"/>
              </w:rPr>
              <w:t>Excludes debt held by Grantors or their affiliates (§1.1).</w:t>
            </w:r>
          </w:p>
        </w:tc>
        <w:tc>
          <w:tcPr>
            <w:tcW w:type="dxa" w:w="2808"/>
          </w:tcPr>
          <w:p>
            <w:r>
              <w:rPr>
                <w:sz w:val="15"/>
              </w:rPr>
            </w:r>
            <w:r>
              <w:rPr>
                <w:sz w:val="15"/>
              </w:rPr>
              <w:t>Matters for any Debtor-affiliated holder and for claim purchases.</w:t>
            </w:r>
          </w:p>
        </w:tc>
      </w:tr>
      <w:tr>
        <w:tc>
          <w:tcPr>
            <w:tcW w:type="dxa" w:w="360"/>
          </w:tcPr>
          <w:p>
            <w:r>
              <w:rPr>
                <w:sz w:val="15"/>
              </w:rPr>
            </w:r>
            <w:r>
              <w:rPr>
                <w:sz w:val="15"/>
              </w:rPr>
              <w:t>10</w:t>
            </w:r>
          </w:p>
        </w:tc>
        <w:tc>
          <w:tcPr>
            <w:tcW w:type="dxa" w:w="1440"/>
          </w:tcPr>
          <w:p>
            <w:r>
              <w:rPr>
                <w:sz w:val="15"/>
              </w:rPr>
            </w:r>
            <w:r>
              <w:rPr>
                <w:sz w:val="15"/>
              </w:rPr>
              <w:t>Discharge definitions</w:t>
            </w:r>
          </w:p>
        </w:tc>
        <w:tc>
          <w:tcPr>
            <w:tcW w:type="dxa" w:w="2232"/>
          </w:tcPr>
          <w:p>
            <w:r>
              <w:rPr>
                <w:sz w:val="15"/>
              </w:rPr>
            </w:r>
            <w:r>
              <w:rPr>
                <w:sz w:val="15"/>
              </w:rPr>
              <w:t>“Indefeasible payment in full in cash” plus commitment termination.</w:t>
            </w:r>
          </w:p>
        </w:tc>
        <w:tc>
          <w:tcPr>
            <w:tcW w:type="dxa" w:w="2520"/>
          </w:tcPr>
          <w:p>
            <w:r>
              <w:rPr>
                <w:sz w:val="15"/>
              </w:rPr>
            </w:r>
            <w:r>
              <w:rPr>
                <w:sz w:val="15"/>
              </w:rPr>
              <w:t xml:space="preserve">Adds letter-of-credit cash collateralization; termination on the “earliest” of Discharge of </w:t>
            </w:r>
            <w:r>
              <w:rPr>
                <w:b/>
                <w:sz w:val="15"/>
              </w:rPr>
              <w:t>both</w:t>
            </w:r>
            <w:r>
              <w:rPr>
                <w:sz w:val="15"/>
              </w:rPr>
              <w:t xml:space="preserve"> tranches, notes payoff, or agreement (§9.1).</w:t>
            </w:r>
          </w:p>
        </w:tc>
        <w:tc>
          <w:tcPr>
            <w:tcW w:type="dxa" w:w="2808"/>
          </w:tcPr>
          <w:p>
            <w:r>
              <w:rPr>
                <w:sz w:val="15"/>
              </w:rPr>
            </w:r>
            <w:r>
              <w:rPr>
                <w:sz w:val="15"/>
              </w:rPr>
              <w:t>S/U protections continue in the group’s favor until the 2L is paid in full, even after the 1L is repaid.</w:t>
            </w:r>
          </w:p>
        </w:tc>
      </w:tr>
      <w:tr>
        <w:tc>
          <w:tcPr>
            <w:tcW w:type="dxa" w:w="360"/>
          </w:tcPr>
          <w:p>
            <w:r>
              <w:rPr>
                <w:sz w:val="15"/>
              </w:rPr>
            </w:r>
            <w:r>
              <w:rPr>
                <w:sz w:val="15"/>
              </w:rPr>
              <w:t>11</w:t>
            </w:r>
          </w:p>
        </w:tc>
        <w:tc>
          <w:tcPr>
            <w:tcW w:type="dxa" w:w="1440"/>
          </w:tcPr>
          <w:p>
            <w:r>
              <w:rPr>
                <w:sz w:val="15"/>
              </w:rPr>
            </w:r>
            <w:r>
              <w:rPr>
                <w:sz w:val="15"/>
              </w:rPr>
              <w:t>Turnover mechanics</w:t>
            </w:r>
          </w:p>
        </w:tc>
        <w:tc>
          <w:tcPr>
            <w:tcW w:type="dxa" w:w="2232"/>
          </w:tcPr>
          <w:p>
            <w:r>
              <w:rPr>
                <w:sz w:val="15"/>
              </w:rPr>
            </w:r>
            <w:r>
              <w:rPr>
                <w:sz w:val="15"/>
              </w:rPr>
              <w:t>“Promptly,” in form received, to 1L Agent (§2.1(c)).</w:t>
            </w:r>
          </w:p>
        </w:tc>
        <w:tc>
          <w:tcPr>
            <w:tcW w:type="dxa" w:w="2520"/>
          </w:tcPr>
          <w:p>
            <w:r>
              <w:rPr>
                <w:sz w:val="15"/>
              </w:rPr>
            </w:r>
            <w:r>
              <w:rPr>
                <w:sz w:val="15"/>
              </w:rPr>
              <w:t>Within 5 Business Days, to 1L Agent for distribution under the 1L/2L ICA (§2.3(a), (c)).</w:t>
            </w:r>
          </w:p>
        </w:tc>
        <w:tc>
          <w:tcPr>
            <w:tcW w:type="dxa" w:w="2808"/>
          </w:tcPr>
          <w:p>
            <w:r>
              <w:rPr>
                <w:sz w:val="15"/>
              </w:rPr>
            </w:r>
            <w:r>
              <w:rPr>
                <w:sz w:val="15"/>
              </w:rPr>
              <w:t>Noteholder turnover flows to the 1L first; the group benefits only after 1L Discharge.</w:t>
            </w:r>
          </w:p>
        </w:tc>
      </w:tr>
      <w:tr>
        <w:tc>
          <w:tcPr>
            <w:tcW w:type="dxa" w:w="360"/>
          </w:tcPr>
          <w:p>
            <w:r>
              <w:rPr>
                <w:sz w:val="15"/>
              </w:rPr>
            </w:r>
            <w:r>
              <w:rPr>
                <w:sz w:val="15"/>
              </w:rPr>
              <w:t>12</w:t>
            </w:r>
          </w:p>
        </w:tc>
        <w:tc>
          <w:tcPr>
            <w:tcW w:type="dxa" w:w="1440"/>
          </w:tcPr>
          <w:p>
            <w:r>
              <w:rPr>
                <w:sz w:val="15"/>
              </w:rPr>
            </w:r>
            <w:r>
              <w:rPr>
                <w:sz w:val="15"/>
              </w:rPr>
              <w:t>Cross-default / Material Indebtedness</w:t>
            </w:r>
          </w:p>
        </w:tc>
        <w:tc>
          <w:tcPr>
            <w:tcW w:type="dxa" w:w="2232"/>
          </w:tcPr>
          <w:p>
            <w:r>
              <w:rPr>
                <w:sz w:val="15"/>
              </w:rPr>
            </w:r>
            <w:r>
              <w:rPr>
                <w:sz w:val="15"/>
              </w:rPr>
              <w:t>No cross-default between 1L and 2L (§§5.4, 7.2).</w:t>
            </w:r>
          </w:p>
        </w:tc>
        <w:tc>
          <w:tcPr>
            <w:tcW w:type="dxa" w:w="2520"/>
          </w:tcPr>
          <w:p>
            <w:r>
              <w:rPr>
                <w:sz w:val="15"/>
              </w:rPr>
            </w:r>
            <w:r>
              <w:rPr>
                <w:sz w:val="15"/>
              </w:rPr>
              <w:t xml:space="preserve">“Material Indebtedness” </w:t>
            </w:r>
            <w:r>
              <w:rPr>
                <w:b/>
                <w:sz w:val="15"/>
              </w:rPr>
              <w:t>excludes</w:t>
            </w:r>
            <w:r>
              <w:rPr>
                <w:sz w:val="15"/>
              </w:rPr>
              <w:t xml:space="preserve"> Senior Secured Documents (§1.1; §5.4(a)), yet §5.4(b) states a 1L/2L payment default </w:t>
            </w:r>
            <w:r>
              <w:rPr>
                <w:b/>
                <w:sz w:val="15"/>
              </w:rPr>
              <w:t>is</w:t>
            </w:r>
            <w:r>
              <w:rPr>
                <w:sz w:val="15"/>
              </w:rPr>
              <w:t xml:space="preserve"> a Material Indebtedness payment default.</w:t>
            </w:r>
          </w:p>
        </w:tc>
        <w:tc>
          <w:tcPr>
            <w:tcW w:type="dxa" w:w="2808"/>
          </w:tcPr>
          <w:p>
            <w:r>
              <w:rPr>
                <w:sz w:val="15"/>
              </w:rPr>
            </w:r>
            <w:r>
              <w:rPr>
                <w:sz w:val="15"/>
              </w:rPr>
              <w:t>Internally contradictory. Little practical effect now (the bankruptcy filing itself is a default, and claims are measured as of the Petition Date under §502), but it illustrates drafting weakness the noteholders may cite to argue the S/U ICA is ambiguous and should be construed against restrictions on them.</w:t>
            </w:r>
          </w:p>
        </w:tc>
      </w:tr>
      <w:tr>
        <w:tc>
          <w:tcPr>
            <w:tcW w:type="dxa" w:w="360"/>
          </w:tcPr>
          <w:p>
            <w:r>
              <w:rPr>
                <w:sz w:val="15"/>
              </w:rPr>
            </w:r>
            <w:r>
              <w:rPr>
                <w:sz w:val="15"/>
              </w:rPr>
              <w:t>13</w:t>
            </w:r>
          </w:p>
        </w:tc>
        <w:tc>
          <w:tcPr>
            <w:tcW w:type="dxa" w:w="1440"/>
          </w:tcPr>
          <w:p>
            <w:r>
              <w:rPr>
                <w:sz w:val="15"/>
              </w:rPr>
            </w:r>
            <w:r>
              <w:rPr>
                <w:sz w:val="15"/>
              </w:rPr>
              <w:t>Lien-challenge carve-out</w:t>
            </w:r>
          </w:p>
        </w:tc>
        <w:tc>
          <w:tcPr>
            <w:tcW w:type="dxa" w:w="2232"/>
          </w:tcPr>
          <w:p>
            <w:r>
              <w:rPr>
                <w:sz w:val="15"/>
              </w:rPr>
            </w:r>
            <w:r>
              <w:rPr>
                <w:sz w:val="15"/>
              </w:rPr>
              <w:t>2L barred (§§2.4, 7.1).</w:t>
            </w:r>
          </w:p>
        </w:tc>
        <w:tc>
          <w:tcPr>
            <w:tcW w:type="dxa" w:w="2520"/>
          </w:tcPr>
          <w:p>
            <w:r>
              <w:rPr>
                <w:sz w:val="15"/>
              </w:rPr>
            </w:r>
            <w:r>
              <w:rPr>
                <w:sz w:val="15"/>
              </w:rPr>
              <w:t>Noteholders barred from challenging Senior Secured liens “except as expressly set forth in Section 4.4” (§3.2), but §4.4 contains no lien-challenge carve-out; §4.4(c)(v) preserves claims “not related to the Collateral.”</w:t>
            </w:r>
          </w:p>
        </w:tc>
        <w:tc>
          <w:tcPr>
            <w:tcW w:type="dxa" w:w="2808"/>
          </w:tcPr>
          <w:p>
            <w:r>
              <w:rPr>
                <w:sz w:val="15"/>
              </w:rPr>
            </w:r>
            <w:r>
              <w:rPr>
                <w:sz w:val="15"/>
              </w:rPr>
              <w:t xml:space="preserve">A dangling cross-reference the noteholders may exploit. More importantly, an </w:t>
            </w:r>
            <w:r>
              <w:rPr>
                <w:b/>
                <w:sz w:val="15"/>
              </w:rPr>
              <w:t>official committee is not bound</w:t>
            </w:r>
            <w:r>
              <w:rPr>
                <w:sz w:val="15"/>
              </w:rPr>
              <w:t xml:space="preserve"> by either ICA and may challenge 2L liens. Group should commission a 2L perfection review now (mortgages in four states, deposit account control agreements, commercial tort claims, IP filings).</w:t>
            </w:r>
          </w:p>
        </w:tc>
      </w:tr>
      <w:tr>
        <w:tc>
          <w:tcPr>
            <w:tcW w:type="dxa" w:w="360"/>
          </w:tcPr>
          <w:p>
            <w:r>
              <w:rPr>
                <w:sz w:val="15"/>
              </w:rPr>
            </w:r>
            <w:r>
              <w:rPr>
                <w:sz w:val="15"/>
              </w:rPr>
              <w:t>14</w:t>
            </w:r>
          </w:p>
        </w:tc>
        <w:tc>
          <w:tcPr>
            <w:tcW w:type="dxa" w:w="1440"/>
          </w:tcPr>
          <w:p>
            <w:r>
              <w:rPr>
                <w:sz w:val="15"/>
              </w:rPr>
            </w:r>
            <w:r>
              <w:rPr>
                <w:sz w:val="15"/>
              </w:rPr>
              <w:t>Collateral description / ABL history</w:t>
            </w:r>
          </w:p>
        </w:tc>
        <w:tc>
          <w:tcPr>
            <w:tcW w:type="dxa" w:w="2232"/>
          </w:tcPr>
          <w:p>
            <w:r>
              <w:rPr>
                <w:sz w:val="15"/>
              </w:rPr>
            </w:r>
            <w:r>
              <w:rPr>
                <w:sz w:val="15"/>
              </w:rPr>
              <w:t>Exhibit A begins “all personal property and fixtures” but includes real property; ABL “repaid in full and terminated as of the date hereof” (June 15, 2021).</w:t>
            </w:r>
          </w:p>
        </w:tc>
        <w:tc>
          <w:tcPr>
            <w:tcW w:type="dxa" w:w="2520"/>
          </w:tcPr>
          <w:p>
            <w:r>
              <w:rPr>
                <w:sz w:val="15"/>
              </w:rPr>
            </w:r>
            <w:r>
              <w:rPr>
                <w:sz w:val="15"/>
              </w:rPr>
              <w:t>Collateral by reference to Senior Secured Documents; ABL repaid and terminated “as of the date hereof” (Oct. 1, 2022).</w:t>
            </w:r>
          </w:p>
        </w:tc>
        <w:tc>
          <w:tcPr>
            <w:tcW w:type="dxa" w:w="2808"/>
          </w:tcPr>
          <w:p>
            <w:r>
              <w:rPr>
                <w:sz w:val="15"/>
              </w:rPr>
            </w:r>
            <w:r>
              <w:rPr>
                <w:sz w:val="15"/>
              </w:rPr>
              <w:t>Dates conflict with each other and with the FDD (terminated upon the March 14, 2025 filing, ¶22) and the Pinnacle Workbook (repaid Jan. 15, 2025; originated June 15, 2021, versus March 1, 2019 in the 1L/2L ICA). Confirm the ABL payoff and the release of ABL liens. Any unreleased ABL lien or late-paid ABL obligation could raise priority or preference questions for the former ABL Priority Collateral.</w:t>
            </w:r>
          </w:p>
        </w:tc>
      </w:tr>
      <w:tr>
        <w:tc>
          <w:tcPr>
            <w:tcW w:type="dxa" w:w="360"/>
          </w:tcPr>
          <w:p>
            <w:r>
              <w:rPr>
                <w:sz w:val="15"/>
              </w:rPr>
            </w:r>
            <w:r>
              <w:rPr>
                <w:sz w:val="15"/>
              </w:rPr>
              <w:t>15</w:t>
            </w:r>
          </w:p>
        </w:tc>
        <w:tc>
          <w:tcPr>
            <w:tcW w:type="dxa" w:w="1440"/>
          </w:tcPr>
          <w:p>
            <w:r>
              <w:rPr>
                <w:sz w:val="15"/>
              </w:rPr>
            </w:r>
            <w:r>
              <w:rPr>
                <w:sz w:val="15"/>
              </w:rPr>
              <w:t>Notice details</w:t>
            </w:r>
          </w:p>
        </w:tc>
        <w:tc>
          <w:tcPr>
            <w:tcW w:type="dxa" w:w="2232"/>
          </w:tcPr>
          <w:p>
            <w:r>
              <w:rPr>
                <w:sz w:val="15"/>
              </w:rPr>
            </w:r>
            <w:r>
              <w:rPr>
                <w:sz w:val="15"/>
              </w:rPr>
              <w:t>2L Agent: agency@stonebridgecapital.com; Attn: Agency and Restructuring Group. Email notice effective on confirmation (read receipt OK).</w:t>
            </w:r>
          </w:p>
        </w:tc>
        <w:tc>
          <w:tcPr>
            <w:tcW w:type="dxa" w:w="2520"/>
          </w:tcPr>
          <w:p>
            <w:r>
              <w:rPr>
                <w:sz w:val="15"/>
              </w:rPr>
            </w:r>
            <w:r>
              <w:rPr>
                <w:sz w:val="15"/>
              </w:rPr>
              <w:t>2L Agent: creditadmin@stonebridgecap.com; Attn: Credit Administration. Email notice requires written confirmation.</w:t>
            </w:r>
          </w:p>
        </w:tc>
        <w:tc>
          <w:tcPr>
            <w:tcW w:type="dxa" w:w="2808"/>
          </w:tcPr>
          <w:p>
            <w:r>
              <w:rPr>
                <w:sz w:val="15"/>
              </w:rPr>
            </w:r>
            <w:r>
              <w:rPr>
                <w:sz w:val="15"/>
              </w:rPr>
              <w:t>Notices to the group’s Agent could be misdirected. Both ICAs list a “crestviewnational.com” email for Aldersgate. Send all notices by hand or courier to all listed addresses.</w:t>
            </w:r>
          </w:p>
        </w:tc>
      </w:tr>
      <w:tr>
        <w:tc>
          <w:tcPr>
            <w:tcW w:type="dxa" w:w="360"/>
          </w:tcPr>
          <w:p>
            <w:r>
              <w:rPr>
                <w:sz w:val="15"/>
              </w:rPr>
            </w:r>
            <w:r>
              <w:rPr>
                <w:sz w:val="15"/>
              </w:rPr>
              <w:t>16</w:t>
            </w:r>
          </w:p>
        </w:tc>
        <w:tc>
          <w:tcPr>
            <w:tcW w:type="dxa" w:w="1440"/>
          </w:tcPr>
          <w:p>
            <w:r>
              <w:rPr>
                <w:sz w:val="15"/>
              </w:rPr>
            </w:r>
            <w:r>
              <w:rPr>
                <w:sz w:val="15"/>
              </w:rPr>
              <w:t>Reporting</w:t>
            </w:r>
          </w:p>
        </w:tc>
        <w:tc>
          <w:tcPr>
            <w:tcW w:type="dxa" w:w="2232"/>
          </w:tcPr>
          <w:p>
            <w:r>
              <w:rPr>
                <w:sz w:val="15"/>
              </w:rPr>
            </w:r>
            <w:r>
              <w:rPr>
                <w:sz w:val="15"/>
              </w:rPr>
              <w:t>Quarterly to 2L Agent within 60 days (§7.5).</w:t>
            </w:r>
          </w:p>
        </w:tc>
        <w:tc>
          <w:tcPr>
            <w:tcW w:type="dxa" w:w="2520"/>
          </w:tcPr>
          <w:p>
            <w:r>
              <w:rPr>
                <w:sz w:val="15"/>
              </w:rPr>
            </w:r>
            <w:r>
              <w:rPr>
                <w:sz w:val="15"/>
              </w:rPr>
              <w:t>Trustee to receive quarterly (45 days) and annual (90 days) reports delivered to Senior Secured Parties (§6.2).</w:t>
            </w:r>
          </w:p>
        </w:tc>
        <w:tc>
          <w:tcPr>
            <w:tcW w:type="dxa" w:w="2808"/>
          </w:tcPr>
          <w:p>
            <w:r>
              <w:rPr>
                <w:sz w:val="15"/>
              </w:rPr>
            </w:r>
            <w:r>
              <w:rPr>
                <w:sz w:val="15"/>
              </w:rPr>
              <w:t>Implies the Company delivers quarterly reports within 45 days. The group should demand parity.</w:t>
            </w:r>
          </w:p>
        </w:tc>
      </w:tr>
      <w:tr>
        <w:tc>
          <w:tcPr>
            <w:tcW w:type="dxa" w:w="360"/>
          </w:tcPr>
          <w:p>
            <w:r>
              <w:rPr>
                <w:sz w:val="15"/>
              </w:rPr>
            </w:r>
            <w:r>
              <w:rPr>
                <w:sz w:val="15"/>
              </w:rPr>
              <w:t>17</w:t>
            </w:r>
          </w:p>
        </w:tc>
        <w:tc>
          <w:tcPr>
            <w:tcW w:type="dxa" w:w="1440"/>
          </w:tcPr>
          <w:p>
            <w:r>
              <w:rPr>
                <w:sz w:val="15"/>
              </w:rPr>
            </w:r>
            <w:r>
              <w:rPr>
                <w:sz w:val="15"/>
              </w:rPr>
              <w:t>Amendments</w:t>
            </w:r>
          </w:p>
        </w:tc>
        <w:tc>
          <w:tcPr>
            <w:tcW w:type="dxa" w:w="2232"/>
          </w:tcPr>
          <w:p>
            <w:r>
              <w:rPr>
                <w:sz w:val="15"/>
              </w:rPr>
            </w:r>
            <w:r>
              <w:rPr>
                <w:sz w:val="15"/>
              </w:rPr>
              <w:t>1L and 2L Agents plus Company acknowledgment (§9.2).</w:t>
            </w:r>
          </w:p>
        </w:tc>
        <w:tc>
          <w:tcPr>
            <w:tcW w:type="dxa" w:w="2520"/>
          </w:tcPr>
          <w:p>
            <w:r>
              <w:rPr>
                <w:sz w:val="15"/>
              </w:rPr>
            </w:r>
            <w:r>
              <w:rPr>
                <w:sz w:val="15"/>
              </w:rPr>
              <w:t>All three representatives; Trustee at the direction of 66⅔% of noteholders (§8.1).</w:t>
            </w:r>
          </w:p>
        </w:tc>
        <w:tc>
          <w:tcPr>
            <w:tcW w:type="dxa" w:w="2808"/>
          </w:tcPr>
          <w:p>
            <w:r>
              <w:rPr>
                <w:sz w:val="15"/>
              </w:rPr>
            </w:r>
            <w:r>
              <w:rPr>
                <w:sz w:val="15"/>
              </w:rPr>
              <w:t>Any global fix of these inconsistencies requires the noteholders’ consent.</w:t>
            </w:r>
          </w:p>
        </w:tc>
      </w:tr>
    </w:tbl>
    <w:p>
      <w:pPr>
        <w:spacing w:after="40"/>
      </w:pPr>
    </w:p>
    <w:p>
      <w:pPr>
        <w:pStyle w:val="Heading1"/>
      </w:pPr>
      <w:r>
        <w:t>XIV. Strategic Observations</w:t>
      </w:r>
    </w:p>
    <w:p>
      <w:pPr>
        <w:pStyle w:val="ListBullet"/>
        <w:spacing w:after="60"/>
      </w:pPr>
      <w:r>
        <w:rPr>
          <w:b/>
        </w:rPr>
        <w:t>The group’s best leverage is negative control plus timing:</w:t>
      </w:r>
      <w:r>
        <w:t xml:space="preserve"> (i) a rejection vote and cramdown objections (§6.5(d)); (ii) the S/U §4.3(b)(i) consent over noteholder votes; (iii) the §6.6(c) support restriction, which the first lien must have waived to obtain an early RSA; (iv) DIP terms outside §6.1 (adequate protection priority, non-debtor collateral, roll-up, waivers); and (v) valuation. Pinnacle’s low case is above its own blended analysis, and add-backs account for $8 million of the $62 million of EBITDA, which suggests a debtor-side valuation the group should test with its own advisor in both directions.</w:t>
      </w:r>
    </w:p>
    <w:p>
      <w:pPr>
        <w:pStyle w:val="ListBullet"/>
        <w:spacing w:after="60"/>
      </w:pPr>
      <w:r>
        <w:rPr>
          <w:b/>
        </w:rPr>
        <w:t>Valuation drives everything.</w:t>
      </w:r>
      <w:r>
        <w:t xml:space="preserve"> If the true value is near Pinnacle’s high case and the DIP is not fully drawn, the second lien is in the money on its secured claim. If the DIP is fully drawn, it is not. Fulcrum status, adequate protection, §6.5(b) “Appraised Collateral Value,” any par take-out and §1129(b) all turn on the same contested number. The group should retain its own valuation advisor now.</w:t>
      </w:r>
    </w:p>
    <w:p>
      <w:pPr>
        <w:pStyle w:val="ListBullet"/>
        <w:spacing w:after="60"/>
      </w:pPr>
      <w:r>
        <w:rPr>
          <w:b/>
        </w:rPr>
        <w:t>Non-debtor subsidiaries</w:t>
      </w:r>
      <w:r>
        <w:t xml:space="preserve"> hold the operating businesses. The first lien and the Debtor will likely want them to remain out of court. That gives the group leverage over any subsidiary-level DIP guarantees or liens and any out-of-court asset transfers, and it raises the question of whether the group’s guarantee claims against Holdings, RPC and RHP (outside the stay) can be used as a pressure point, subject to §3.2(b) and the turnover provisions.</w:t>
      </w:r>
    </w:p>
    <w:p>
      <w:pPr>
        <w:pStyle w:val="ListBullet"/>
        <w:spacing w:after="60"/>
      </w:pPr>
      <w:r>
        <w:rPr>
          <w:b/>
        </w:rPr>
        <w:t>Committee dynamics.</w:t>
      </w:r>
      <w:r>
        <w:t xml:space="preserve"> The noteholders are likely committee candidates, and a committee is not bound by either ICA. A committee may challenge the first lien’s liens, which, if successful, could free value for unsecured creditors, including the group’s deficiency claim (subject to the §2.1(b) and §3.4 subordination and reinstatement provisions), but it may equally challenge the second lien’s liens. The group’s deficiency claim (about 49% of the unsecured pool on Pinnacle’s midpoint after the DIP) could support committee membership for a group member, though conflicts would have to be managed.</w:t>
      </w:r>
    </w:p>
    <w:p>
      <w:pPr>
        <w:pStyle w:val="Heading1"/>
      </w:pPr>
      <w:r>
        <w:t>XV. Document Discrepancies and Diligence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
            <w:shd w:val="clear" w:color="auto" w:fill="D9E2F3"/>
          </w:tcPr>
          <w:p>
            <w:r/>
            <w:r>
              <w:rPr>
                <w:b/>
                <w:sz w:val="16"/>
              </w:rPr>
              <w:t>#</w:t>
            </w:r>
          </w:p>
        </w:tc>
        <w:tc>
          <w:tcPr>
            <w:tcW w:type="dxa" w:w="3744"/>
            <w:shd w:val="clear" w:color="auto" w:fill="D9E2F3"/>
          </w:tcPr>
          <w:p>
            <w:r/>
            <w:r>
              <w:rPr>
                <w:b/>
                <w:sz w:val="16"/>
              </w:rPr>
              <w:t>Discrepancy / Item</w:t>
            </w:r>
          </w:p>
        </w:tc>
        <w:tc>
          <w:tcPr>
            <w:tcW w:type="dxa" w:w="1944"/>
            <w:shd w:val="clear" w:color="auto" w:fill="D9E2F3"/>
          </w:tcPr>
          <w:p>
            <w:r/>
            <w:r>
              <w:rPr>
                <w:b/>
                <w:sz w:val="16"/>
              </w:rPr>
              <w:t>Source</w:t>
            </w:r>
          </w:p>
        </w:tc>
        <w:tc>
          <w:tcPr>
            <w:tcW w:type="dxa" w:w="3312"/>
            <w:shd w:val="clear" w:color="auto" w:fill="D9E2F3"/>
          </w:tcPr>
          <w:p>
            <w:r/>
            <w:r>
              <w:rPr>
                <w:b/>
                <w:sz w:val="16"/>
              </w:rPr>
              <w:t>Action</w:t>
            </w:r>
          </w:p>
        </w:tc>
      </w:tr>
      <w:tr>
        <w:tc>
          <w:tcPr>
            <w:tcW w:type="dxa" w:w="360"/>
          </w:tcPr>
          <w:p>
            <w:r>
              <w:rPr>
                <w:sz w:val="16"/>
              </w:rPr>
            </w:r>
            <w:r>
              <w:rPr>
                <w:sz w:val="16"/>
              </w:rPr>
              <w:t>1</w:t>
            </w:r>
          </w:p>
        </w:tc>
        <w:tc>
          <w:tcPr>
            <w:tcW w:type="dxa" w:w="3744"/>
          </w:tcPr>
          <w:p>
            <w:r>
              <w:rPr>
                <w:sz w:val="16"/>
              </w:rPr>
            </w:r>
            <w:r>
              <w:rPr>
                <w:sz w:val="16"/>
              </w:rPr>
              <w:t>1L/2L ICA signature block for the First Lien Agent identifies “</w:t>
            </w:r>
            <w:r>
              <w:rPr>
                <w:b/>
                <w:sz w:val="16"/>
              </w:rPr>
              <w:t>David A. Wentworth</w:t>
            </w:r>
            <w:r>
              <w:rPr>
                <w:sz w:val="16"/>
              </w:rPr>
              <w:t>, Managing Director” of Aldersgate. The group’s coordinator is David Wentworth of Harborpoint (described in FDD ¶51 as the group’s “advisor”).</w:t>
            </w:r>
          </w:p>
        </w:tc>
        <w:tc>
          <w:tcPr>
            <w:tcW w:type="dxa" w:w="1944"/>
          </w:tcPr>
          <w:p>
            <w:r>
              <w:rPr>
                <w:sz w:val="16"/>
              </w:rPr>
            </w:r>
            <w:r>
              <w:rPr>
                <w:sz w:val="16"/>
              </w:rPr>
              <w:t>1L/2L ICA signature page</w:t>
            </w:r>
          </w:p>
        </w:tc>
        <w:tc>
          <w:tcPr>
            <w:tcW w:type="dxa" w:w="3312"/>
          </w:tcPr>
          <w:p>
            <w:r>
              <w:rPr>
                <w:sz w:val="16"/>
              </w:rPr>
            </w:r>
            <w:r>
              <w:rPr>
                <w:sz w:val="16"/>
              </w:rPr>
              <w:t>We assume these are different individuals. Please confirm. If not, we need to discuss information-barrier and conflict implications before this memorandum circulates further.</w:t>
            </w:r>
          </w:p>
        </w:tc>
      </w:tr>
      <w:tr>
        <w:tc>
          <w:tcPr>
            <w:tcW w:type="dxa" w:w="360"/>
          </w:tcPr>
          <w:p>
            <w:r>
              <w:rPr>
                <w:sz w:val="16"/>
              </w:rPr>
            </w:r>
            <w:r>
              <w:rPr>
                <w:sz w:val="16"/>
              </w:rPr>
              <w:t>2</w:t>
            </w:r>
          </w:p>
        </w:tc>
        <w:tc>
          <w:tcPr>
            <w:tcW w:type="dxa" w:w="3744"/>
          </w:tcPr>
          <w:p>
            <w:r>
              <w:rPr>
                <w:sz w:val="16"/>
              </w:rPr>
            </w:r>
            <w:r>
              <w:rPr>
                <w:sz w:val="16"/>
              </w:rPr>
              <w:t>Aldersgate notice email uses “crestviewnational.com” domain.</w:t>
            </w:r>
          </w:p>
        </w:tc>
        <w:tc>
          <w:tcPr>
            <w:tcW w:type="dxa" w:w="1944"/>
          </w:tcPr>
          <w:p>
            <w:r>
              <w:rPr>
                <w:sz w:val="16"/>
              </w:rPr>
            </w:r>
            <w:r>
              <w:rPr>
                <w:sz w:val="16"/>
              </w:rPr>
              <w:t>1L/2L §9.1; S/U §10.1</w:t>
            </w:r>
          </w:p>
        </w:tc>
        <w:tc>
          <w:tcPr>
            <w:tcW w:type="dxa" w:w="3312"/>
          </w:tcPr>
          <w:p>
            <w:r>
              <w:rPr>
                <w:sz w:val="16"/>
              </w:rPr>
            </w:r>
            <w:r>
              <w:rPr>
                <w:sz w:val="16"/>
              </w:rPr>
              <w:t>Serve notices by hand or courier; request updated notice details.</w:t>
            </w:r>
          </w:p>
        </w:tc>
      </w:tr>
      <w:tr>
        <w:tc>
          <w:tcPr>
            <w:tcW w:type="dxa" w:w="360"/>
          </w:tcPr>
          <w:p>
            <w:r>
              <w:rPr>
                <w:sz w:val="16"/>
              </w:rPr>
            </w:r>
            <w:r>
              <w:rPr>
                <w:sz w:val="16"/>
              </w:rPr>
              <w:t>3</w:t>
            </w:r>
          </w:p>
        </w:tc>
        <w:tc>
          <w:tcPr>
            <w:tcW w:type="dxa" w:w="3744"/>
          </w:tcPr>
          <w:p>
            <w:r>
              <w:rPr>
                <w:sz w:val="16"/>
              </w:rPr>
            </w:r>
            <w:r>
              <w:rPr>
                <w:sz w:val="16"/>
              </w:rPr>
              <w:t>Stonebridge “cross-default notice” of Feb. 28, 2025 under 2L Credit Agreement §8.1(f) premised on the 1L payment default.</w:t>
            </w:r>
          </w:p>
        </w:tc>
        <w:tc>
          <w:tcPr>
            <w:tcW w:type="dxa" w:w="1944"/>
          </w:tcPr>
          <w:p>
            <w:r>
              <w:rPr>
                <w:sz w:val="16"/>
              </w:rPr>
            </w:r>
            <w:r>
              <w:rPr>
                <w:sz w:val="16"/>
              </w:rPr>
              <w:t>Pinnacle Key Dates tab</w:t>
            </w:r>
          </w:p>
        </w:tc>
        <w:tc>
          <w:tcPr>
            <w:tcW w:type="dxa" w:w="3312"/>
          </w:tcPr>
          <w:p>
            <w:r>
              <w:rPr>
                <w:sz w:val="16"/>
              </w:rPr>
            </w:r>
            <w:r>
              <w:rPr>
                <w:sz w:val="16"/>
              </w:rPr>
              <w:t>Likely ineffective as a 2L default under §§5.4/7.2 (and FDD ¶46). Obtain the notice; identify independent 2L defaults (bankruptcy filing; any missed 2L payment).</w:t>
            </w:r>
          </w:p>
        </w:tc>
      </w:tr>
      <w:tr>
        <w:tc>
          <w:tcPr>
            <w:tcW w:type="dxa" w:w="360"/>
          </w:tcPr>
          <w:p>
            <w:r>
              <w:rPr>
                <w:sz w:val="16"/>
              </w:rPr>
            </w:r>
            <w:r>
              <w:rPr>
                <w:sz w:val="16"/>
              </w:rPr>
              <w:t>4</w:t>
            </w:r>
          </w:p>
        </w:tc>
        <w:tc>
          <w:tcPr>
            <w:tcW w:type="dxa" w:w="3744"/>
          </w:tcPr>
          <w:p>
            <w:r>
              <w:rPr>
                <w:sz w:val="16"/>
              </w:rPr>
            </w:r>
            <w:r>
              <w:rPr>
                <w:sz w:val="16"/>
              </w:rPr>
              <w:t>No 1L acceleration shown; only a notice of default and reservation of rights.</w:t>
            </w:r>
          </w:p>
        </w:tc>
        <w:tc>
          <w:tcPr>
            <w:tcW w:type="dxa" w:w="1944"/>
          </w:tcPr>
          <w:p>
            <w:r>
              <w:rPr>
                <w:sz w:val="16"/>
              </w:rPr>
            </w:r>
            <w:r>
              <w:rPr>
                <w:sz w:val="16"/>
              </w:rPr>
              <w:t>FDD ¶48</w:t>
            </w:r>
          </w:p>
        </w:tc>
        <w:tc>
          <w:tcPr>
            <w:tcW w:type="dxa" w:w="3312"/>
          </w:tcPr>
          <w:p>
            <w:r>
              <w:rPr>
                <w:sz w:val="16"/>
              </w:rPr>
            </w:r>
            <w:r>
              <w:rPr>
                <w:sz w:val="16"/>
              </w:rPr>
              <w:t>Obtain all 1L notices delivered to Company and to Stonebridge.</w:t>
            </w:r>
          </w:p>
        </w:tc>
      </w:tr>
      <w:tr>
        <w:tc>
          <w:tcPr>
            <w:tcW w:type="dxa" w:w="360"/>
          </w:tcPr>
          <w:p>
            <w:r>
              <w:rPr>
                <w:sz w:val="16"/>
              </w:rPr>
            </w:r>
            <w:r>
              <w:rPr>
                <w:sz w:val="16"/>
              </w:rPr>
              <w:t>5</w:t>
            </w:r>
          </w:p>
        </w:tc>
        <w:tc>
          <w:tcPr>
            <w:tcW w:type="dxa" w:w="3744"/>
          </w:tcPr>
          <w:p>
            <w:r>
              <w:rPr>
                <w:sz w:val="16"/>
              </w:rPr>
            </w:r>
            <w:r>
              <w:rPr>
                <w:sz w:val="16"/>
              </w:rPr>
              <w:t>Email: first lien “undersecured by roughly $60 million” at midpoint.</w:t>
            </w:r>
          </w:p>
        </w:tc>
        <w:tc>
          <w:tcPr>
            <w:tcW w:type="dxa" w:w="1944"/>
          </w:tcPr>
          <w:p>
            <w:r>
              <w:rPr>
                <w:sz w:val="16"/>
              </w:rPr>
            </w:r>
            <w:r>
              <w:rPr>
                <w:sz w:val="16"/>
              </w:rPr>
              <w:t>Wentworth email</w:t>
            </w:r>
          </w:p>
        </w:tc>
        <w:tc>
          <w:tcPr>
            <w:tcW w:type="dxa" w:w="3312"/>
          </w:tcPr>
          <w:p>
            <w:r>
              <w:rPr>
                <w:sz w:val="16"/>
              </w:rPr>
            </w:r>
            <w:r>
              <w:rPr>
                <w:sz w:val="16"/>
              </w:rPr>
              <w:t>Corrected in Section II.B.</w:t>
            </w:r>
          </w:p>
        </w:tc>
      </w:tr>
      <w:tr>
        <w:tc>
          <w:tcPr>
            <w:tcW w:type="dxa" w:w="360"/>
          </w:tcPr>
          <w:p>
            <w:r>
              <w:rPr>
                <w:sz w:val="16"/>
              </w:rPr>
            </w:r>
            <w:r>
              <w:rPr>
                <w:sz w:val="16"/>
              </w:rPr>
              <w:t>6</w:t>
            </w:r>
          </w:p>
        </w:tc>
        <w:tc>
          <w:tcPr>
            <w:tcW w:type="dxa" w:w="3744"/>
          </w:tcPr>
          <w:p>
            <w:r>
              <w:rPr>
                <w:sz w:val="16"/>
              </w:rPr>
            </w:r>
            <w:r>
              <w:rPr>
                <w:sz w:val="16"/>
              </w:rPr>
              <w:t>Pinnacle Valuation Summary labels the first lien “UNDERSECURED AT ALL POINTS” while showing $30–90M cushions; leverage metrics labeled “net” are computed on gross debt (no deduction for $22M cash).</w:t>
            </w:r>
          </w:p>
        </w:tc>
        <w:tc>
          <w:tcPr>
            <w:tcW w:type="dxa" w:w="1944"/>
          </w:tcPr>
          <w:p>
            <w:r>
              <w:rPr>
                <w:sz w:val="16"/>
              </w:rPr>
            </w:r>
            <w:r>
              <w:rPr>
                <w:sz w:val="16"/>
              </w:rPr>
              <w:t>Pinnacle Workbook</w:t>
            </w:r>
          </w:p>
        </w:tc>
        <w:tc>
          <w:tcPr>
            <w:tcW w:type="dxa" w:w="3312"/>
          </w:tcPr>
          <w:p>
            <w:r>
              <w:rPr>
                <w:sz w:val="16"/>
              </w:rPr>
            </w:r>
            <w:r>
              <w:rPr>
                <w:sz w:val="16"/>
              </w:rPr>
              <w:t>Request corrected schedules and a collateral-level (not just enterprise) valuation.</w:t>
            </w:r>
          </w:p>
        </w:tc>
      </w:tr>
      <w:tr>
        <w:tc>
          <w:tcPr>
            <w:tcW w:type="dxa" w:w="360"/>
          </w:tcPr>
          <w:p>
            <w:r>
              <w:rPr>
                <w:sz w:val="16"/>
              </w:rPr>
            </w:r>
            <w:r>
              <w:rPr>
                <w:sz w:val="16"/>
              </w:rPr>
              <w:t>7</w:t>
            </w:r>
          </w:p>
        </w:tc>
        <w:tc>
          <w:tcPr>
            <w:tcW w:type="dxa" w:w="3744"/>
          </w:tcPr>
          <w:p>
            <w:r>
              <w:rPr>
                <w:sz w:val="16"/>
              </w:rPr>
            </w:r>
            <w:r>
              <w:rPr>
                <w:sz w:val="16"/>
              </w:rPr>
              <w:t>Selected EV range ($340–400M) versus blended outputs ($325.2–403.7M).</w:t>
            </w:r>
          </w:p>
        </w:tc>
        <w:tc>
          <w:tcPr>
            <w:tcW w:type="dxa" w:w="1944"/>
          </w:tcPr>
          <w:p>
            <w:r>
              <w:rPr>
                <w:sz w:val="16"/>
              </w:rPr>
            </w:r>
            <w:r>
              <w:rPr>
                <w:sz w:val="16"/>
              </w:rPr>
              <w:t>Pinnacle Workbook</w:t>
            </w:r>
          </w:p>
        </w:tc>
        <w:tc>
          <w:tcPr>
            <w:tcW w:type="dxa" w:w="3312"/>
          </w:tcPr>
          <w:p>
            <w:r>
              <w:rPr>
                <w:sz w:val="16"/>
              </w:rPr>
            </w:r>
            <w:r>
              <w:rPr>
                <w:sz w:val="16"/>
              </w:rPr>
              <w:t>Ask Pinnacle to explain the upward adjustment of the low case.</w:t>
            </w:r>
          </w:p>
        </w:tc>
      </w:tr>
      <w:tr>
        <w:tc>
          <w:tcPr>
            <w:tcW w:type="dxa" w:w="360"/>
          </w:tcPr>
          <w:p>
            <w:r>
              <w:rPr>
                <w:sz w:val="16"/>
              </w:rPr>
            </w:r>
            <w:r>
              <w:rPr>
                <w:sz w:val="16"/>
              </w:rPr>
              <w:t>8</w:t>
            </w:r>
          </w:p>
        </w:tc>
        <w:tc>
          <w:tcPr>
            <w:tcW w:type="dxa" w:w="3744"/>
          </w:tcPr>
          <w:p>
            <w:r>
              <w:rPr>
                <w:sz w:val="16"/>
              </w:rPr>
            </w:r>
            <w:r>
              <w:rPr>
                <w:sz w:val="16"/>
              </w:rPr>
              <w:t>DIP threshold “discrepancy” ($356.5M vs. $350M) computed on principal only.</w:t>
            </w:r>
          </w:p>
        </w:tc>
        <w:tc>
          <w:tcPr>
            <w:tcW w:type="dxa" w:w="1944"/>
          </w:tcPr>
          <w:p>
            <w:r>
              <w:rPr>
                <w:sz w:val="16"/>
              </w:rPr>
            </w:r>
            <w:r>
              <w:rPr>
                <w:sz w:val="16"/>
              </w:rPr>
              <w:t>Pinnacle Workbook</w:t>
            </w:r>
          </w:p>
        </w:tc>
        <w:tc>
          <w:tcPr>
            <w:tcW w:type="dxa" w:w="3312"/>
          </w:tcPr>
          <w:p>
            <w:r>
              <w:rPr>
                <w:sz w:val="16"/>
              </w:rPr>
            </w:r>
            <w:r>
              <w:rPr>
                <w:sz w:val="16"/>
              </w:rPr>
              <w:t>See Section VI.B: these are cumulative tests; the 115% figure should include accrued amounts.</w:t>
            </w:r>
          </w:p>
        </w:tc>
      </w:tr>
      <w:tr>
        <w:tc>
          <w:tcPr>
            <w:tcW w:type="dxa" w:w="360"/>
          </w:tcPr>
          <w:p>
            <w:r>
              <w:rPr>
                <w:sz w:val="16"/>
              </w:rPr>
            </w:r>
            <w:r>
              <w:rPr>
                <w:sz w:val="16"/>
              </w:rPr>
              <w:t>9</w:t>
            </w:r>
          </w:p>
        </w:tc>
        <w:tc>
          <w:tcPr>
            <w:tcW w:type="dxa" w:w="3744"/>
          </w:tcPr>
          <w:p>
            <w:r>
              <w:rPr>
                <w:sz w:val="16"/>
              </w:rPr>
            </w:r>
            <w:r>
              <w:rPr>
                <w:sz w:val="16"/>
              </w:rPr>
              <w:t>“Structurally subordinated” description of the notes.</w:t>
            </w:r>
          </w:p>
        </w:tc>
        <w:tc>
          <w:tcPr>
            <w:tcW w:type="dxa" w:w="1944"/>
          </w:tcPr>
          <w:p>
            <w:r>
              <w:rPr>
                <w:sz w:val="16"/>
              </w:rPr>
            </w:r>
            <w:r>
              <w:rPr>
                <w:sz w:val="16"/>
              </w:rPr>
              <w:t>FDD ¶32; Pinnacle Workbook</w:t>
            </w:r>
          </w:p>
        </w:tc>
        <w:tc>
          <w:tcPr>
            <w:tcW w:type="dxa" w:w="3312"/>
          </w:tcPr>
          <w:p>
            <w:r>
              <w:rPr>
                <w:sz w:val="16"/>
              </w:rPr>
            </w:r>
            <w:r>
              <w:rPr>
                <w:sz w:val="16"/>
              </w:rPr>
              <w:t>Inaccurate; the subordination is contractual and limited to Collateral Proceeds. Correct in any pleading.</w:t>
            </w:r>
          </w:p>
        </w:tc>
      </w:tr>
      <w:tr>
        <w:tc>
          <w:tcPr>
            <w:tcW w:type="dxa" w:w="360"/>
          </w:tcPr>
          <w:p>
            <w:r>
              <w:rPr>
                <w:sz w:val="16"/>
              </w:rPr>
            </w:r>
            <w:r>
              <w:rPr>
                <w:sz w:val="16"/>
              </w:rPr>
              <w:t>10</w:t>
            </w:r>
          </w:p>
        </w:tc>
        <w:tc>
          <w:tcPr>
            <w:tcW w:type="dxa" w:w="3744"/>
          </w:tcPr>
          <w:p>
            <w:r>
              <w:rPr>
                <w:sz w:val="16"/>
              </w:rPr>
            </w:r>
            <w:r>
              <w:rPr>
                <w:sz w:val="16"/>
              </w:rPr>
              <w:t>FDD ¶37(b) and (d) describe “payment subordination” and 1L exclusive remedies “during the standstill period”; FDD ¶39 misdescribes S/U §5.1 as a Trustee release obligation on 5 days’ notice.</w:t>
            </w:r>
          </w:p>
        </w:tc>
        <w:tc>
          <w:tcPr>
            <w:tcW w:type="dxa" w:w="1944"/>
          </w:tcPr>
          <w:p>
            <w:r>
              <w:rPr>
                <w:sz w:val="16"/>
              </w:rPr>
            </w:r>
            <w:r>
              <w:rPr>
                <w:sz w:val="16"/>
              </w:rPr>
              <w:t>FDD</w:t>
            </w:r>
          </w:p>
        </w:tc>
        <w:tc>
          <w:tcPr>
            <w:tcW w:type="dxa" w:w="3312"/>
          </w:tcPr>
          <w:p>
            <w:r>
              <w:rPr>
                <w:sz w:val="16"/>
              </w:rPr>
            </w:r>
            <w:r>
              <w:rPr>
                <w:sz w:val="16"/>
              </w:rPr>
              <w:t>Correct the record in our DIP and sale pleadings where relevant.</w:t>
            </w:r>
          </w:p>
        </w:tc>
      </w:tr>
      <w:tr>
        <w:tc>
          <w:tcPr>
            <w:tcW w:type="dxa" w:w="360"/>
          </w:tcPr>
          <w:p>
            <w:r>
              <w:rPr>
                <w:sz w:val="16"/>
              </w:rPr>
            </w:r>
            <w:r>
              <w:rPr>
                <w:sz w:val="16"/>
              </w:rPr>
              <w:t>11</w:t>
            </w:r>
          </w:p>
        </w:tc>
        <w:tc>
          <w:tcPr>
            <w:tcW w:type="dxa" w:w="3744"/>
          </w:tcPr>
          <w:p>
            <w:r>
              <w:rPr>
                <w:sz w:val="16"/>
              </w:rPr>
            </w:r>
            <w:r>
              <w:rPr>
                <w:sz w:val="16"/>
              </w:rPr>
              <w:t>Exclusivity “proposed” at 120 days ending July 12, 2025 (a Saturday).</w:t>
            </w:r>
          </w:p>
        </w:tc>
        <w:tc>
          <w:tcPr>
            <w:tcW w:type="dxa" w:w="1944"/>
          </w:tcPr>
          <w:p>
            <w:r>
              <w:rPr>
                <w:sz w:val="16"/>
              </w:rPr>
            </w:r>
            <w:r>
              <w:rPr>
                <w:sz w:val="16"/>
              </w:rPr>
              <w:t>FDD ¶63; Key Dates</w:t>
            </w:r>
          </w:p>
        </w:tc>
        <w:tc>
          <w:tcPr>
            <w:tcW w:type="dxa" w:w="3312"/>
          </w:tcPr>
          <w:p>
            <w:r>
              <w:rPr>
                <w:sz w:val="16"/>
              </w:rPr>
            </w:r>
            <w:r>
              <w:rPr>
                <w:sz w:val="16"/>
              </w:rPr>
              <w:t>Statutory; runs to July 14, 2025; §1121(c)(3) solicitation period to Sept. 10, 2025.</w:t>
            </w:r>
          </w:p>
        </w:tc>
      </w:tr>
      <w:tr>
        <w:tc>
          <w:tcPr>
            <w:tcW w:type="dxa" w:w="360"/>
          </w:tcPr>
          <w:p>
            <w:r>
              <w:rPr>
                <w:sz w:val="16"/>
              </w:rPr>
            </w:r>
            <w:r>
              <w:rPr>
                <w:sz w:val="16"/>
              </w:rPr>
              <w:t>12</w:t>
            </w:r>
          </w:p>
        </w:tc>
        <w:tc>
          <w:tcPr>
            <w:tcW w:type="dxa" w:w="3744"/>
          </w:tcPr>
          <w:p>
            <w:r>
              <w:rPr>
                <w:sz w:val="16"/>
              </w:rPr>
            </w:r>
            <w:r>
              <w:rPr>
                <w:sz w:val="16"/>
              </w:rPr>
              <w:t>Seven facilities listed including Cleveland, which the FDD says was closed in FY2024.</w:t>
            </w:r>
          </w:p>
        </w:tc>
        <w:tc>
          <w:tcPr>
            <w:tcW w:type="dxa" w:w="1944"/>
          </w:tcPr>
          <w:p>
            <w:r>
              <w:rPr>
                <w:sz w:val="16"/>
              </w:rPr>
            </w:r>
            <w:r>
              <w:rPr>
                <w:sz w:val="16"/>
              </w:rPr>
              <w:t>FDD ¶¶7, 15, 42(d)</w:t>
            </w:r>
          </w:p>
        </w:tc>
        <w:tc>
          <w:tcPr>
            <w:tcW w:type="dxa" w:w="3312"/>
          </w:tcPr>
          <w:p>
            <w:r>
              <w:rPr>
                <w:sz w:val="16"/>
              </w:rPr>
            </w:r>
            <w:r>
              <w:rPr>
                <w:sz w:val="16"/>
              </w:rPr>
              <w:t>Confirm the facility count, owning entity, and mortgage and insurance status.</w:t>
            </w:r>
          </w:p>
        </w:tc>
      </w:tr>
      <w:tr>
        <w:tc>
          <w:tcPr>
            <w:tcW w:type="dxa" w:w="360"/>
          </w:tcPr>
          <w:p>
            <w:r>
              <w:rPr>
                <w:sz w:val="16"/>
              </w:rPr>
            </w:r>
            <w:r>
              <w:rPr>
                <w:sz w:val="16"/>
              </w:rPr>
              <w:t>13</w:t>
            </w:r>
          </w:p>
        </w:tc>
        <w:tc>
          <w:tcPr>
            <w:tcW w:type="dxa" w:w="3744"/>
          </w:tcPr>
          <w:p>
            <w:r>
              <w:rPr>
                <w:sz w:val="16"/>
              </w:rPr>
            </w:r>
            <w:r>
              <w:rPr>
                <w:sz w:val="16"/>
              </w:rPr>
              <w:t>ABL origination and termination dates conflict across all four sources.</w:t>
            </w:r>
          </w:p>
        </w:tc>
        <w:tc>
          <w:tcPr>
            <w:tcW w:type="dxa" w:w="1944"/>
          </w:tcPr>
          <w:p>
            <w:r>
              <w:rPr>
                <w:sz w:val="16"/>
              </w:rPr>
            </w:r>
            <w:r>
              <w:rPr>
                <w:sz w:val="16"/>
              </w:rPr>
              <w:t>1L/2L §1.1; S/U §1.1; FDD ¶22; Workbook</w:t>
            </w:r>
          </w:p>
        </w:tc>
        <w:tc>
          <w:tcPr>
            <w:tcW w:type="dxa" w:w="3312"/>
          </w:tcPr>
          <w:p>
            <w:r>
              <w:rPr>
                <w:sz w:val="16"/>
              </w:rPr>
            </w:r>
            <w:r>
              <w:rPr>
                <w:sz w:val="16"/>
              </w:rPr>
              <w:t>Obtain the payoff letter and lien releases.</w:t>
            </w:r>
          </w:p>
        </w:tc>
      </w:tr>
      <w:tr>
        <w:tc>
          <w:tcPr>
            <w:tcW w:type="dxa" w:w="360"/>
          </w:tcPr>
          <w:p>
            <w:r>
              <w:rPr>
                <w:sz w:val="16"/>
              </w:rPr>
            </w:r>
            <w:r>
              <w:rPr>
                <w:sz w:val="16"/>
              </w:rPr>
              <w:t>14</w:t>
            </w:r>
          </w:p>
        </w:tc>
        <w:tc>
          <w:tcPr>
            <w:tcW w:type="dxa" w:w="3744"/>
          </w:tcPr>
          <w:p>
            <w:r>
              <w:rPr>
                <w:sz w:val="16"/>
              </w:rPr>
            </w:r>
            <w:r>
              <w:rPr>
                <w:sz w:val="16"/>
              </w:rPr>
              <w:t>“Appraised Collateral Value” undefined; “business days” undefined in 1L/2L ICA; “Collateral Proceeds” used but undefined in 1L/2L §4.5(b); “Junior Secured Party” undefined in S/U §4.2(a).</w:t>
            </w:r>
          </w:p>
        </w:tc>
        <w:tc>
          <w:tcPr>
            <w:tcW w:type="dxa" w:w="1944"/>
          </w:tcPr>
          <w:p>
            <w:r>
              <w:rPr>
                <w:sz w:val="16"/>
              </w:rPr>
            </w:r>
            <w:r>
              <w:rPr>
                <w:sz w:val="16"/>
              </w:rPr>
              <w:t>ICAs</w:t>
            </w:r>
          </w:p>
        </w:tc>
        <w:tc>
          <w:tcPr>
            <w:tcW w:type="dxa" w:w="3312"/>
          </w:tcPr>
          <w:p>
            <w:r>
              <w:rPr>
                <w:sz w:val="16"/>
              </w:rPr>
            </w:r>
            <w:r>
              <w:rPr>
                <w:sz w:val="16"/>
              </w:rPr>
              <w:t>Check credit agreements for definitions; preserve ambiguity arguments.</w:t>
            </w:r>
          </w:p>
        </w:tc>
      </w:tr>
      <w:tr>
        <w:tc>
          <w:tcPr>
            <w:tcW w:type="dxa" w:w="360"/>
          </w:tcPr>
          <w:p>
            <w:r>
              <w:rPr>
                <w:sz w:val="16"/>
              </w:rPr>
            </w:r>
            <w:r>
              <w:rPr>
                <w:sz w:val="16"/>
              </w:rPr>
              <w:t>15</w:t>
            </w:r>
          </w:p>
        </w:tc>
        <w:tc>
          <w:tcPr>
            <w:tcW w:type="dxa" w:w="3744"/>
          </w:tcPr>
          <w:p>
            <w:r>
              <w:rPr>
                <w:sz w:val="16"/>
              </w:rPr>
            </w:r>
            <w:r>
              <w:rPr>
                <w:sz w:val="16"/>
              </w:rPr>
              <w:t>Committee-formation “deadline” of April 14, 2025.</w:t>
            </w:r>
          </w:p>
        </w:tc>
        <w:tc>
          <w:tcPr>
            <w:tcW w:type="dxa" w:w="1944"/>
          </w:tcPr>
          <w:p>
            <w:r>
              <w:rPr>
                <w:sz w:val="16"/>
              </w:rPr>
            </w:r>
            <w:r>
              <w:rPr>
                <w:sz w:val="16"/>
              </w:rPr>
              <w:t>Workbook Key Dates</w:t>
            </w:r>
          </w:p>
        </w:tc>
        <w:tc>
          <w:tcPr>
            <w:tcW w:type="dxa" w:w="3312"/>
          </w:tcPr>
          <w:p>
            <w:r>
              <w:rPr>
                <w:sz w:val="16"/>
              </w:rPr>
            </w:r>
            <w:r>
              <w:rPr>
                <w:sz w:val="16"/>
              </w:rPr>
              <w:t>There is no statutory deadline; the U.S. Trustee appoints when practicable (§1102). Monitor.</w:t>
            </w:r>
          </w:p>
        </w:tc>
      </w:tr>
    </w:tbl>
    <w:p>
      <w:pPr>
        <w:spacing w:after="40"/>
      </w:pPr>
    </w:p>
    <w:p>
      <w:pPr>
        <w:pStyle w:val="Heading1"/>
      </w:pPr>
      <w:r>
        <w:t>XVI. Recommended Next Steps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D9E2F3"/>
          </w:tcPr>
          <w:p>
            <w:r/>
            <w:r>
              <w:rPr>
                <w:b/>
                <w:sz w:val="17"/>
              </w:rPr>
              <w:t>Timing</w:t>
            </w:r>
          </w:p>
        </w:tc>
        <w:tc>
          <w:tcPr>
            <w:tcW w:type="dxa" w:w="5760"/>
            <w:shd w:val="clear" w:color="auto" w:fill="D9E2F3"/>
          </w:tcPr>
          <w:p>
            <w:r/>
            <w:r>
              <w:rPr>
                <w:b/>
                <w:sz w:val="17"/>
              </w:rPr>
              <w:t>Action</w:t>
            </w:r>
          </w:p>
        </w:tc>
        <w:tc>
          <w:tcPr>
            <w:tcW w:type="dxa" w:w="1584"/>
            <w:shd w:val="clear" w:color="auto" w:fill="D9E2F3"/>
          </w:tcPr>
          <w:p>
            <w:r/>
            <w:r>
              <w:rPr>
                <w:b/>
                <w:sz w:val="17"/>
              </w:rPr>
              <w:t>Responsible</w:t>
            </w:r>
          </w:p>
        </w:tc>
      </w:tr>
      <w:tr>
        <w:tc>
          <w:tcPr>
            <w:tcW w:type="dxa" w:w="2016"/>
          </w:tcPr>
          <w:p>
            <w:r>
              <w:rPr>
                <w:sz w:val="17"/>
              </w:rPr>
            </w:r>
            <w:r>
              <w:rPr>
                <w:sz w:val="17"/>
              </w:rPr>
              <w:t>Immediately (by Mar. 24 call)</w:t>
            </w:r>
          </w:p>
        </w:tc>
        <w:tc>
          <w:tcPr>
            <w:tcW w:type="dxa" w:w="5760"/>
          </w:tcPr>
          <w:p>
            <w:r>
              <w:rPr>
                <w:sz w:val="17"/>
              </w:rPr>
            </w:r>
            <w:r>
              <w:rPr>
                <w:sz w:val="17"/>
              </w:rPr>
              <w:t>Group direction letter to Stonebridge as Required Second Lien Lenders: retain counsel and advisors; preserve rights; demand the notice file (§7.5); confirm any receipts after Feb. 15 (turnover exposure).</w:t>
            </w:r>
          </w:p>
        </w:tc>
        <w:tc>
          <w:tcPr>
            <w:tcW w:type="dxa" w:w="1584"/>
          </w:tcPr>
          <w:p>
            <w:r>
              <w:rPr>
                <w:sz w:val="17"/>
              </w:rPr>
            </w:r>
            <w:r>
              <w:rPr>
                <w:sz w:val="17"/>
              </w:rPr>
              <w:t>Group / B&amp;H</w:t>
            </w:r>
          </w:p>
        </w:tc>
      </w:tr>
      <w:tr>
        <w:tc>
          <w:tcPr>
            <w:tcW w:type="dxa" w:w="2016"/>
          </w:tcPr>
          <w:p>
            <w:r>
              <w:rPr>
                <w:sz w:val="17"/>
              </w:rPr>
            </w:r>
            <w:r>
              <w:rPr>
                <w:sz w:val="17"/>
              </w:rPr>
              <w:t>Immediately</w:t>
            </w:r>
          </w:p>
        </w:tc>
        <w:tc>
          <w:tcPr>
            <w:tcW w:type="dxa" w:w="5760"/>
          </w:tcPr>
          <w:p>
            <w:r>
              <w:rPr>
                <w:sz w:val="17"/>
              </w:rPr>
            </w:r>
            <w:r>
              <w:rPr>
                <w:sz w:val="17"/>
              </w:rPr>
              <w:t>Obtain and review the DIP credit agreement, term sheet, budget and proposed interim and final orders: roll-up, superpriority ranking versus 2L adequate protection (§6.1(c)), non-debtor guarantees and liens, §506(c)/§552(b)/marshaling waivers, liens on unencumbered assets, milestones, challenge period, releases, fees.</w:t>
            </w:r>
          </w:p>
        </w:tc>
        <w:tc>
          <w:tcPr>
            <w:tcW w:type="dxa" w:w="1584"/>
          </w:tcPr>
          <w:p>
            <w:r>
              <w:rPr>
                <w:sz w:val="17"/>
              </w:rPr>
            </w:r>
            <w:r>
              <w:rPr>
                <w:sz w:val="17"/>
              </w:rPr>
              <w:t>B&amp;H</w:t>
            </w:r>
          </w:p>
        </w:tc>
      </w:tr>
      <w:tr>
        <w:tc>
          <w:tcPr>
            <w:tcW w:type="dxa" w:w="2016"/>
          </w:tcPr>
          <w:p>
            <w:r>
              <w:rPr>
                <w:sz w:val="17"/>
              </w:rPr>
            </w:r>
            <w:r>
              <w:rPr>
                <w:sz w:val="17"/>
              </w:rPr>
              <w:t>Before adjourned DIP hearing (~Mar. 31)</w:t>
            </w:r>
          </w:p>
        </w:tc>
        <w:tc>
          <w:tcPr>
            <w:tcW w:type="dxa" w:w="5760"/>
          </w:tcPr>
          <w:p>
            <w:r>
              <w:rPr>
                <w:sz w:val="17"/>
              </w:rPr>
            </w:r>
            <w:r>
              <w:rPr>
                <w:sz w:val="17"/>
              </w:rPr>
              <w:t>File a limited objection and reservation of rights; negotiate the adequate protection package (Section VII) and §6.1(c)-compliant ranking; seek reporting and milestone consultation rights.</w:t>
            </w:r>
          </w:p>
        </w:tc>
        <w:tc>
          <w:tcPr>
            <w:tcW w:type="dxa" w:w="1584"/>
          </w:tcPr>
          <w:p>
            <w:r>
              <w:rPr>
                <w:sz w:val="17"/>
              </w:rPr>
            </w:r>
            <w:r>
              <w:rPr>
                <w:sz w:val="17"/>
              </w:rPr>
              <w:t>B&amp;H / Stonebridge</w:t>
            </w:r>
          </w:p>
        </w:tc>
      </w:tr>
      <w:tr>
        <w:tc>
          <w:tcPr>
            <w:tcW w:type="dxa" w:w="2016"/>
          </w:tcPr>
          <w:p>
            <w:r>
              <w:rPr>
                <w:sz w:val="17"/>
              </w:rPr>
            </w:r>
            <w:r>
              <w:rPr>
                <w:sz w:val="17"/>
              </w:rPr>
              <w:t>Next 2–3 weeks</w:t>
            </w:r>
          </w:p>
        </w:tc>
        <w:tc>
          <w:tcPr>
            <w:tcW w:type="dxa" w:w="5760"/>
          </w:tcPr>
          <w:p>
            <w:r>
              <w:rPr>
                <w:sz w:val="17"/>
              </w:rPr>
            </w:r>
            <w:r>
              <w:rPr>
                <w:sz w:val="17"/>
              </w:rPr>
              <w:t>Obtain the 1L and 2L Credit Agreements, security documents, mortgages, control agreements and the Indenture. Check definitions (incl. “Appraised Collateral Value”), acceleration mechanics, default interest, transfer restrictions, and independent 2L defaults.</w:t>
            </w:r>
          </w:p>
        </w:tc>
        <w:tc>
          <w:tcPr>
            <w:tcW w:type="dxa" w:w="1584"/>
          </w:tcPr>
          <w:p>
            <w:r>
              <w:rPr>
                <w:sz w:val="17"/>
              </w:rPr>
            </w:r>
            <w:r>
              <w:rPr>
                <w:sz w:val="17"/>
              </w:rPr>
              <w:t>B&amp;H</w:t>
            </w:r>
          </w:p>
        </w:tc>
      </w:tr>
      <w:tr>
        <w:tc>
          <w:tcPr>
            <w:tcW w:type="dxa" w:w="2016"/>
          </w:tcPr>
          <w:p>
            <w:r>
              <w:rPr>
                <w:sz w:val="17"/>
              </w:rPr>
            </w:r>
            <w:r>
              <w:rPr>
                <w:sz w:val="17"/>
              </w:rPr>
              <w:t>Next 2–3 weeks</w:t>
            </w:r>
          </w:p>
        </w:tc>
        <w:tc>
          <w:tcPr>
            <w:tcW w:type="dxa" w:w="5760"/>
          </w:tcPr>
          <w:p>
            <w:r>
              <w:rPr>
                <w:sz w:val="17"/>
              </w:rPr>
            </w:r>
            <w:r>
              <w:rPr>
                <w:sz w:val="17"/>
              </w:rPr>
              <w:t>Retain an independent financial advisor for collateral-level and enterprise valuation; identify unencumbered assets; prepare a §506(a) valuation record.</w:t>
            </w:r>
          </w:p>
        </w:tc>
        <w:tc>
          <w:tcPr>
            <w:tcW w:type="dxa" w:w="1584"/>
          </w:tcPr>
          <w:p>
            <w:r>
              <w:rPr>
                <w:sz w:val="17"/>
              </w:rPr>
            </w:r>
            <w:r>
              <w:rPr>
                <w:sz w:val="17"/>
              </w:rPr>
              <w:t>Group</w:t>
            </w:r>
          </w:p>
        </w:tc>
      </w:tr>
      <w:tr>
        <w:tc>
          <w:tcPr>
            <w:tcW w:type="dxa" w:w="2016"/>
          </w:tcPr>
          <w:p>
            <w:r>
              <w:rPr>
                <w:sz w:val="17"/>
              </w:rPr>
            </w:r>
            <w:r>
              <w:rPr>
                <w:sz w:val="17"/>
              </w:rPr>
              <w:t>Next 30 days</w:t>
            </w:r>
          </w:p>
        </w:tc>
        <w:tc>
          <w:tcPr>
            <w:tcW w:type="dxa" w:w="5760"/>
          </w:tcPr>
          <w:p>
            <w:r>
              <w:rPr>
                <w:sz w:val="17"/>
              </w:rPr>
            </w:r>
            <w:r>
              <w:rPr>
                <w:sz w:val="17"/>
              </w:rPr>
              <w:t>Lien perfection review of the 2L liens (and of the 1L liens, for information only; §7.1 bars a challenge by the group); prepare for committee scrutiny.</w:t>
            </w:r>
          </w:p>
        </w:tc>
        <w:tc>
          <w:tcPr>
            <w:tcW w:type="dxa" w:w="1584"/>
          </w:tcPr>
          <w:p>
            <w:r>
              <w:rPr>
                <w:sz w:val="17"/>
              </w:rPr>
            </w:r>
            <w:r>
              <w:rPr>
                <w:sz w:val="17"/>
              </w:rPr>
              <w:t>B&amp;H</w:t>
            </w:r>
          </w:p>
        </w:tc>
      </w:tr>
      <w:tr>
        <w:tc>
          <w:tcPr>
            <w:tcW w:type="dxa" w:w="2016"/>
          </w:tcPr>
          <w:p>
            <w:r>
              <w:rPr>
                <w:sz w:val="17"/>
              </w:rPr>
            </w:r>
            <w:r>
              <w:rPr>
                <w:sz w:val="17"/>
              </w:rPr>
              <w:t>Ongoing</w:t>
            </w:r>
          </w:p>
        </w:tc>
        <w:tc>
          <w:tcPr>
            <w:tcW w:type="dxa" w:w="5760"/>
          </w:tcPr>
          <w:p>
            <w:r>
              <w:rPr>
                <w:sz w:val="17"/>
              </w:rPr>
            </w:r>
            <w:r>
              <w:rPr>
                <w:sz w:val="17"/>
              </w:rPr>
              <w:t>Evaluate secondary purchases of first lien claims (DBSD / §1126(e) and Rule 3001(e) considerations); negotiate a take-out right in place of the lapsed §3.5 option.</w:t>
            </w:r>
          </w:p>
        </w:tc>
        <w:tc>
          <w:tcPr>
            <w:tcW w:type="dxa" w:w="1584"/>
          </w:tcPr>
          <w:p>
            <w:r>
              <w:rPr>
                <w:sz w:val="17"/>
              </w:rPr>
            </w:r>
            <w:r>
              <w:rPr>
                <w:sz w:val="17"/>
              </w:rPr>
              <w:t>Group / B&amp;H</w:t>
            </w:r>
          </w:p>
        </w:tc>
      </w:tr>
      <w:tr>
        <w:tc>
          <w:tcPr>
            <w:tcW w:type="dxa" w:w="2016"/>
          </w:tcPr>
          <w:p>
            <w:r>
              <w:rPr>
                <w:sz w:val="17"/>
              </w:rPr>
            </w:r>
            <w:r>
              <w:rPr>
                <w:sz w:val="17"/>
              </w:rPr>
              <w:t>Before June 12, 2025</w:t>
            </w:r>
          </w:p>
        </w:tc>
        <w:tc>
          <w:tcPr>
            <w:tcW w:type="dxa" w:w="5760"/>
          </w:tcPr>
          <w:p>
            <w:r>
              <w:rPr>
                <w:sz w:val="17"/>
              </w:rPr>
            </w:r>
            <w:r>
              <w:rPr>
                <w:sz w:val="17"/>
              </w:rPr>
              <w:t>Agent master proof of claim (principal, pre- and post-petition interest, fees, guarantee claims), plus individual proofs as needed.</w:t>
            </w:r>
          </w:p>
        </w:tc>
        <w:tc>
          <w:tcPr>
            <w:tcW w:type="dxa" w:w="1584"/>
          </w:tcPr>
          <w:p>
            <w:r>
              <w:rPr>
                <w:sz w:val="17"/>
              </w:rPr>
            </w:r>
            <w:r>
              <w:rPr>
                <w:sz w:val="17"/>
              </w:rPr>
              <w:t>Stonebridge / B&amp;H</w:t>
            </w:r>
          </w:p>
        </w:tc>
      </w:tr>
      <w:tr>
        <w:tc>
          <w:tcPr>
            <w:tcW w:type="dxa" w:w="2016"/>
          </w:tcPr>
          <w:p>
            <w:r>
              <w:rPr>
                <w:sz w:val="17"/>
              </w:rPr>
            </w:r>
            <w:r>
              <w:rPr>
                <w:sz w:val="17"/>
              </w:rPr>
              <w:t>By July 14, 2025</w:t>
            </w:r>
          </w:p>
        </w:tc>
        <w:tc>
          <w:tcPr>
            <w:tcW w:type="dxa" w:w="5760"/>
          </w:tcPr>
          <w:p>
            <w:r>
              <w:rPr>
                <w:sz w:val="17"/>
              </w:rPr>
            </w:r>
            <w:r>
              <w:rPr>
                <w:sz w:val="17"/>
              </w:rPr>
              <w:t>Position on any exclusivity extension (oppose extension beyond Sept. 10); consider seeking a ruling on §6.6(c); negotiate a §6.6(c) waiver in any global deal.</w:t>
            </w:r>
          </w:p>
        </w:tc>
        <w:tc>
          <w:tcPr>
            <w:tcW w:type="dxa" w:w="1584"/>
          </w:tcPr>
          <w:p>
            <w:r>
              <w:rPr>
                <w:sz w:val="17"/>
              </w:rPr>
            </w:r>
            <w:r>
              <w:rPr>
                <w:sz w:val="17"/>
              </w:rPr>
              <w:t>B&amp;H</w:t>
            </w:r>
          </w:p>
        </w:tc>
      </w:tr>
      <w:tr>
        <w:tc>
          <w:tcPr>
            <w:tcW w:type="dxa" w:w="2016"/>
          </w:tcPr>
          <w:p>
            <w:r>
              <w:rPr>
                <w:sz w:val="17"/>
              </w:rPr>
            </w:r>
            <w:r>
              <w:rPr>
                <w:sz w:val="17"/>
              </w:rPr>
              <w:t>By Sept. 10, 2025</w:t>
            </w:r>
          </w:p>
        </w:tc>
        <w:tc>
          <w:tcPr>
            <w:tcW w:type="dxa" w:w="5760"/>
          </w:tcPr>
          <w:p>
            <w:r>
              <w:rPr>
                <w:sz w:val="17"/>
              </w:rPr>
            </w:r>
            <w:r>
              <w:rPr>
                <w:sz w:val="17"/>
              </w:rPr>
              <w:t>Have a Second Lien Agent plan (with §6.5(b) “Appraised Collateral Value” treatment and §1129(b)(2)(A) analysis) ready to file.</w:t>
            </w:r>
          </w:p>
        </w:tc>
        <w:tc>
          <w:tcPr>
            <w:tcW w:type="dxa" w:w="1584"/>
          </w:tcPr>
          <w:p>
            <w:r>
              <w:rPr>
                <w:sz w:val="17"/>
              </w:rPr>
            </w:r>
            <w:r>
              <w:rPr>
                <w:sz w:val="17"/>
              </w:rPr>
              <w:t>Group / B&amp;H</w:t>
            </w:r>
          </w:p>
        </w:tc>
      </w:tr>
      <w:tr>
        <w:tc>
          <w:tcPr>
            <w:tcW w:type="dxa" w:w="2016"/>
          </w:tcPr>
          <w:p>
            <w:r>
              <w:rPr>
                <w:sz w:val="17"/>
              </w:rPr>
            </w:r>
            <w:r>
              <w:rPr>
                <w:sz w:val="17"/>
              </w:rPr>
              <w:t>Upon any sale motion</w:t>
            </w:r>
          </w:p>
        </w:tc>
        <w:tc>
          <w:tcPr>
            <w:tcW w:type="dxa" w:w="5760"/>
          </w:tcPr>
          <w:p>
            <w:r>
              <w:rPr>
                <w:sz w:val="17"/>
              </w:rPr>
            </w:r>
            <w:r>
              <w:rPr>
                <w:sz w:val="17"/>
              </w:rPr>
              <w:t>Enforce §4.2(d) notice; focus on bidding procedures, marketing, credit bid testing, and §3.3 allocation; consider a cash or sponsor bid or a take-out-plus-credit-bid structure (§6.2(d)).</w:t>
            </w:r>
          </w:p>
        </w:tc>
        <w:tc>
          <w:tcPr>
            <w:tcW w:type="dxa" w:w="1584"/>
          </w:tcPr>
          <w:p>
            <w:r>
              <w:rPr>
                <w:sz w:val="17"/>
              </w:rPr>
            </w:r>
            <w:r>
              <w:rPr>
                <w:sz w:val="17"/>
              </w:rPr>
              <w:t>Group / B&amp;H</w:t>
            </w:r>
          </w:p>
        </w:tc>
      </w:tr>
    </w:tbl>
    <w:p>
      <w:pPr>
        <w:spacing w:after="40"/>
      </w:pPr>
    </w:p>
    <w:p>
      <w:pPr>
        <w:pStyle w:val="Heading1"/>
      </w:pPr>
      <w:r>
        <w:t>XVII. Scope and Limitations</w:t>
      </w:r>
    </w:p>
    <w:p>
      <w:pPr>
        <w:jc w:val="both"/>
      </w:pPr>
      <w:r>
        <w:t>This memorandum is based solely on the five documents listed above. It does not reflect review of the underlying credit agreements, security documents, indenture, DIP documents or the docket after March 17, 2025, any of which may alter the analysis. Case citations are provided for orientation and will be cite-checked and updated before use in any filing. The memorandum is a privileged communication to the ad hoc group. Circulation beyond the group’s members and their counsel (including to Stonebridge, other holders, or any party not within the common-interest arrangement) may waive privilege and should be coordinated with us in advance. We are available to walk through these issues before the March 24 call.</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Attorney-Client Communication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2A44"/>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2A44"/>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