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rPr>
        <w:t>ASHFORD, TATE &amp; CALDWELL LLP</w:t>
      </w:r>
    </w:p>
    <w:p>
      <w:pPr>
        <w:spacing w:after="120"/>
        <w:jc w:val="center"/>
      </w:pPr>
      <w:r>
        <w:rPr>
          <w:b w:val="0"/>
          <w:i w:val="0"/>
          <w:sz w:val="18"/>
        </w:rPr>
        <w:t>1600 Market Street, 34th Floor, Philadelphia, PA 19103</w:t>
      </w:r>
    </w:p>
    <w:p>
      <w:pPr>
        <w:spacing w:after="200"/>
        <w:jc w:val="center"/>
      </w:pPr>
      <w:r>
        <w:rPr>
          <w:b/>
          <w:i w:val="0"/>
          <w:sz w:val="28"/>
        </w:rPr>
        <w:t>MEMORANDUM</w:t>
      </w:r>
    </w:p>
    <w:tbl>
      <w:tblPr>
        <w:tblStyle w:val="TableGrid"/>
        <w:tblW w:type="auto" w:w="0"/>
        <w:jc w:val="center"/>
        <w:tblLook w:firstColumn="1" w:firstRow="1" w:lastColumn="0" w:lastRow="0" w:noHBand="0" w:noVBand="1" w:val="04A0"/>
      </w:tblPr>
      <w:tblGrid>
        <w:gridCol w:w="4680"/>
        <w:gridCol w:w="4680"/>
      </w:tblGrid>
      <w:tr>
        <w:tc>
          <w:tcPr>
            <w:tcW w:type="dxa" w:w="1440"/>
            <w:shd w:val="clear" w:color="auto" w:fill="D9D9D9"/>
          </w:tcPr>
          <w:p>
            <w:r/>
            <w:r>
              <w:rPr>
                <w:b/>
                <w:sz w:val="20"/>
              </w:rPr>
            </w:r>
          </w:p>
        </w:tc>
        <w:tc>
          <w:tcPr>
            <w:tcW w:type="dxa" w:w="7920"/>
            <w:shd w:val="clear" w:color="auto" w:fill="D9D9D9"/>
          </w:tcPr>
          <w:p>
            <w:r/>
            <w:r>
              <w:rPr>
                <w:b/>
                <w:sz w:val="20"/>
              </w:rPr>
            </w:r>
          </w:p>
        </w:tc>
      </w:tr>
      <w:tr>
        <w:tc>
          <w:tcPr>
            <w:tcW w:type="dxa" w:w="1440"/>
          </w:tcPr>
          <w:p>
            <w:r/>
            <w:r>
              <w:rPr>
                <w:b w:val="0"/>
                <w:i w:val="0"/>
                <w:sz w:val="20"/>
              </w:rPr>
              <w:t>TO:</w:t>
            </w:r>
          </w:p>
        </w:tc>
        <w:tc>
          <w:tcPr>
            <w:tcW w:type="dxa" w:w="7920"/>
          </w:tcPr>
          <w:p>
            <w:r/>
            <w:r>
              <w:rPr>
                <w:b w:val="0"/>
                <w:i w:val="0"/>
                <w:sz w:val="20"/>
              </w:rPr>
              <w:t>Margaret R. Shelton, Partner</w:t>
            </w:r>
          </w:p>
        </w:tc>
      </w:tr>
      <w:tr>
        <w:tc>
          <w:tcPr>
            <w:tcW w:type="dxa" w:w="1440"/>
          </w:tcPr>
          <w:p>
            <w:r/>
            <w:r>
              <w:rPr>
                <w:b w:val="0"/>
                <w:i w:val="0"/>
                <w:sz w:val="20"/>
              </w:rPr>
              <w:t>FROM:</w:t>
            </w:r>
          </w:p>
        </w:tc>
        <w:tc>
          <w:tcPr>
            <w:tcW w:type="dxa" w:w="7920"/>
          </w:tcPr>
          <w:p>
            <w:r/>
            <w:r>
              <w:rPr>
                <w:b w:val="0"/>
                <w:i w:val="0"/>
                <w:sz w:val="20"/>
              </w:rPr>
              <w:t>Daniel Voss, Senior Associate</w:t>
            </w:r>
          </w:p>
        </w:tc>
      </w:tr>
      <w:tr>
        <w:tc>
          <w:tcPr>
            <w:tcW w:type="dxa" w:w="1440"/>
          </w:tcPr>
          <w:p>
            <w:r/>
            <w:r>
              <w:rPr>
                <w:b w:val="0"/>
                <w:i w:val="0"/>
                <w:sz w:val="20"/>
              </w:rPr>
              <w:t>DATE:</w:t>
            </w:r>
          </w:p>
        </w:tc>
        <w:tc>
          <w:tcPr>
            <w:tcW w:type="dxa" w:w="7920"/>
          </w:tcPr>
          <w:p>
            <w:r/>
            <w:r>
              <w:rPr>
                <w:b w:val="0"/>
                <w:i w:val="0"/>
                <w:sz w:val="20"/>
              </w:rPr>
              <w:t>May 19, 2025 (initial draft)</w:t>
            </w:r>
          </w:p>
        </w:tc>
      </w:tr>
      <w:tr>
        <w:tc>
          <w:tcPr>
            <w:tcW w:type="dxa" w:w="1440"/>
          </w:tcPr>
          <w:p>
            <w:r/>
            <w:r>
              <w:rPr>
                <w:b w:val="0"/>
                <w:i w:val="0"/>
                <w:sz w:val="20"/>
              </w:rPr>
              <w:t>RE:</w:t>
            </w:r>
          </w:p>
        </w:tc>
        <w:tc>
          <w:tcPr>
            <w:tcW w:type="dxa" w:w="7920"/>
          </w:tcPr>
          <w:p>
            <w:r/>
            <w:r>
              <w:rPr>
                <w:b w:val="0"/>
                <w:i w:val="0"/>
                <w:sz w:val="20"/>
              </w:rPr>
              <w:t>Issues Memorandum — Glenbrook Advisory Group LLC Preference Exposure Report dated April 30, 2025; In re Meridian Consumer Products, Inc., Case No. 25-10347-KWH (Bankr. D. Del.) (Hensley, J.)</w:t>
            </w:r>
          </w:p>
        </w:tc>
      </w:tr>
      <w:tr>
        <w:tc>
          <w:tcPr>
            <w:tcW w:type="dxa" w:w="1440"/>
          </w:tcPr>
          <w:p>
            <w:r/>
            <w:r>
              <w:rPr>
                <w:b w:val="0"/>
                <w:i w:val="0"/>
                <w:sz w:val="20"/>
              </w:rPr>
              <w:t>CLIENT:</w:t>
            </w:r>
          </w:p>
        </w:tc>
        <w:tc>
          <w:tcPr>
            <w:tcW w:type="dxa" w:w="7920"/>
          </w:tcPr>
          <w:p>
            <w:r/>
            <w:r>
              <w:rPr>
                <w:b w:val="0"/>
                <w:i w:val="0"/>
                <w:sz w:val="20"/>
              </w:rPr>
              <w:t>Official Committee of Unsecured Creditors of Meridian Consumer Products, Inc.</w:t>
            </w:r>
          </w:p>
        </w:tc>
      </w:tr>
    </w:tbl>
    <w:p>
      <w:pPr>
        <w:spacing w:after="40"/>
      </w:pPr>
    </w:p>
    <w:p>
      <w:pPr>
        <w:spacing w:after="120"/>
        <w:jc w:val="both"/>
      </w:pPr>
      <w:r>
        <w:rPr>
          <w:b/>
          <w:i w:val="0"/>
          <w:sz w:val="18"/>
        </w:rPr>
        <w:t>Distribution restriction:</w:t>
      </w:r>
      <w:r>
        <w:rPr>
          <w:b w:val="0"/>
          <w:i w:val="0"/>
          <w:sz w:val="18"/>
        </w:rPr>
        <w:t xml:space="preserve"> Per your May 5, 2025 instructions, this Memorandum is not to be shared with the Debtor, Westbrook, Hale &amp; Jennings LLP, or Glenbrook Advisory Group LLC without your prior written approval. It may be shared with Pinehurst Capital Advisors LLC for its independent analysis.</w:t>
      </w:r>
    </w:p>
    <w:p>
      <w:pPr>
        <w:pStyle w:val="Heading1"/>
      </w:pPr>
      <w:r>
        <w:t>I. Executive Summary</w:t>
      </w:r>
    </w:p>
    <w:p>
      <w:pPr>
        <w:spacing w:after="120"/>
        <w:jc w:val="both"/>
      </w:pPr>
      <w:r>
        <w:rPr>
          <w:b w:val="0"/>
          <w:i w:val="0"/>
        </w:rPr>
        <w:t>I reviewed the Glenbrook Preference Exposure Report dated April 30, 2025 (the “Report”) against the five supporting records provided with the assignment: the payroll and insider compensation records (the Report’s unattached Exhibit F), the Consolidated Plastics wire transfer records (the Report’s unattached Exhibit G), the Harborview Broker Services Agreement dated March 1, 2022, the Glenbrook engagement letter dated January 8, 2025, and your assignment letter. The Report cannot be relied on in its current form. Its headline figures do not reconcile to its own exhibits. It names the wrong transferee for one Tier 1 payee. It states that there were no insider transfers when the Debtor’s own records show $1,048,000 of them. It gets the statute of limitations and the § 547(c)(9) threshold wrong. And it credits $8.23 million of defenses, most of which are unsupported or legally misapplied, all in the defendants’ favor.</w:t>
      </w:r>
    </w:p>
    <w:p>
      <w:pPr>
        <w:spacing w:after="40"/>
      </w:pPr>
      <w:r>
        <w:rPr>
          <w:b/>
          <w:i w:val="0"/>
        </w:rPr>
        <w:t>Key findings:</w:t>
      </w:r>
    </w:p>
    <w:p>
      <w:pPr>
        <w:pStyle w:val="ListBullet"/>
        <w:spacing w:after="60"/>
      </w:pPr>
      <w:r>
        <w:rPr>
          <w:b/>
          <w:i w:val="0"/>
        </w:rPr>
        <w:t>The numbers do not reconcile.</w:t>
      </w:r>
      <w:r>
        <w:rPr>
          <w:b w:val="0"/>
          <w:i w:val="0"/>
        </w:rPr>
        <w:t xml:space="preserve"> The 81 payees listed in Exhibit A total </w:t>
      </w:r>
      <w:r>
        <w:rPr>
          <w:b/>
          <w:i w:val="0"/>
        </w:rPr>
        <w:t>$24,115,581</w:t>
      </w:r>
      <w:r>
        <w:rPr>
          <w:b w:val="0"/>
          <w:i w:val="0"/>
        </w:rPr>
        <w:t>, not the $18,732,614 headline, a gap of $5,382,967. Every tier subtotal is wrong. Tier 1 is said to have 6 payees, but only 3 are named. Exhibit A lists 81 payees, not 84. The detailed schedules for Vanderhoff ($6,979,000 vs. $6,800,000 stated) and TerraFreight ($2,567,000 vs. $2,900,000 stated) do not add up to the totals the Report states. The Report gives two different net exposure figures: $11.2 million in the Executive Summary and $10,502,614 in Section V.E.</w:t>
      </w:r>
    </w:p>
    <w:p>
      <w:pPr>
        <w:pStyle w:val="ListBullet"/>
        <w:spacing w:after="60"/>
      </w:pPr>
      <w:r>
        <w:rPr>
          <w:b/>
          <w:i w:val="0"/>
        </w:rPr>
        <w:t>Tiers are misclassified.</w:t>
      </w:r>
      <w:r>
        <w:rPr>
          <w:b w:val="0"/>
          <w:i w:val="0"/>
        </w:rPr>
        <w:t xml:space="preserve"> Four payees above the $500,000 Tier 1 threshold are placed in Tier 2: Sagebrush ($1.8M), Harborview ($1.5M), Consolidated Plastics ($1.4M) and DataStream ($1.2M). The Report’s demand letter recommendation therefore leaves out four of the seven largest targets.</w:t>
      </w:r>
    </w:p>
    <w:p>
      <w:pPr>
        <w:pStyle w:val="ListBullet"/>
        <w:spacing w:after="60"/>
      </w:pPr>
      <w:r>
        <w:rPr>
          <w:b/>
          <w:i w:val="0"/>
        </w:rPr>
        <w:t>Wrong transferee.</w:t>
      </w:r>
      <w:r>
        <w:rPr>
          <w:b w:val="0"/>
          <w:i w:val="0"/>
        </w:rPr>
        <w:t xml:space="preserve"> Every Consolidated Plastics wire went to </w:t>
      </w:r>
      <w:r>
        <w:rPr>
          <w:b/>
          <w:i w:val="0"/>
        </w:rPr>
        <w:t>CPI Americas, Inc. (Delaware)</w:t>
      </w:r>
      <w:r>
        <w:rPr>
          <w:b w:val="0"/>
          <w:i w:val="0"/>
        </w:rPr>
        <w:t>, not to the Hong Kong entity named in the Report. The bank records show 12 wires, not 7, and none of them matches Exhibit C by date, amount or reference number. The wires came from a First Hollcroft Bank of Charlotte account (x4738), which is not one of the three bank accounts the Report says it reviewed.</w:t>
      </w:r>
    </w:p>
    <w:p>
      <w:pPr>
        <w:pStyle w:val="ListBullet"/>
        <w:spacing w:after="60"/>
      </w:pPr>
      <w:r>
        <w:rPr>
          <w:b/>
          <w:i w:val="0"/>
        </w:rPr>
        <w:t>$1,048,000 in insider transfers was omitted.</w:t>
      </w:r>
      <w:r>
        <w:rPr>
          <w:b w:val="0"/>
          <w:i w:val="0"/>
        </w:rPr>
        <w:t xml:space="preserve"> These are Hutchins’s severance ($525,000) and consulting fee ($175,000), the CFO’s retention bonus ($300,000), and Thibodeau’s above-market commissions ($48,000). The Report says “no insider transfers were identified.” The CFO who received the $300,000 bonus is also Glenbrook’s designated client contact and approved every CPI wire. That is a material independence problem.</w:t>
      </w:r>
    </w:p>
    <w:p>
      <w:pPr>
        <w:pStyle w:val="ListBullet"/>
        <w:spacing w:after="60"/>
      </w:pPr>
      <w:r>
        <w:rPr>
          <w:b/>
          <w:i w:val="0"/>
        </w:rPr>
        <w:t>Defenses are misapplied.</w:t>
      </w:r>
      <w:r>
        <w:rPr>
          <w:b w:val="0"/>
          <w:i w:val="0"/>
        </w:rPr>
        <w:t xml:space="preserve"> (i) The earmarking credit of $750,000 has no legal basis. (ii) Four “contemporaneous exchange” transfers paid 8–14 days after delivery ($485,000) do not qualify, and the remaining § 547(c)(1) amounts exceed the payees’ entire aggregate transfers. (iii) The Vanderhoff new value credit is overstated: the Exhibit E credits total $3.1M, not $3.2M, and $345,000 of December new value was credited to payments it cannot offset. (iv) The ordinary course credits ($2.94M) rest on a pre-2005 conjunctive standard, and the Report did no debtor-creditor (subjective) analysis.</w:t>
      </w:r>
    </w:p>
    <w:p>
      <w:pPr>
        <w:pStyle w:val="ListBullet"/>
        <w:spacing w:after="60"/>
      </w:pPr>
      <w:r>
        <w:rPr>
          <w:b/>
          <w:i w:val="0"/>
        </w:rPr>
        <w:t>Harborview needs a different analysis.</w:t>
      </w:r>
      <w:r>
        <w:rPr>
          <w:b w:val="0"/>
          <w:i w:val="0"/>
        </w:rPr>
        <w:t xml:space="preserve"> Under the Broker Services Agreement, net premiums are deposited in a segregated Premium Trust Account and held for the carriers. Harborview’s exposure is likely limited to its own service fees ($130,000 per quarter). The premium portion should be analyzed against the carriers as initial transferees, and they have strong defenses.</w:t>
      </w:r>
    </w:p>
    <w:p>
      <w:pPr>
        <w:pStyle w:val="ListBullet"/>
        <w:spacing w:after="60"/>
      </w:pPr>
      <w:r>
        <w:rPr>
          <w:b/>
          <w:i w:val="0"/>
        </w:rPr>
        <w:t>Statutory errors.</w:t>
      </w:r>
      <w:r>
        <w:rPr>
          <w:b w:val="0"/>
          <w:i w:val="0"/>
        </w:rPr>
        <w:t xml:space="preserve"> The § 546(a)(1) deadline is two years after the order for relief, not one year. Here that is </w:t>
      </w:r>
      <w:r>
        <w:rPr>
          <w:b/>
          <w:i w:val="0"/>
        </w:rPr>
        <w:t>March 15, 2027</w:t>
      </w:r>
      <w:r>
        <w:rPr>
          <w:b w:val="0"/>
          <w:i w:val="0"/>
        </w:rPr>
        <w:t xml:space="preserve">, because March 14, 2027 is a Sunday (Fed. R. Bankr. P. 9006(a)(1)(C)). The Report says March 14, 2026. The § 547(c)(9) threshold for this case is </w:t>
      </w:r>
      <w:r>
        <w:rPr>
          <w:b/>
          <w:i w:val="0"/>
        </w:rPr>
        <w:t>$7,575</w:t>
      </w:r>
      <w:r>
        <w:rPr>
          <w:b w:val="0"/>
          <w:i w:val="0"/>
        </w:rPr>
        <w:t>, not $5,000. That removes 17 more payees ($101,281).</w:t>
      </w:r>
    </w:p>
    <w:p>
      <w:pPr>
        <w:spacing w:after="120"/>
        <w:jc w:val="both"/>
      </w:pPr>
      <w:r>
        <w:rPr>
          <w:b/>
          <w:i w:val="0"/>
        </w:rPr>
        <w:t>Corrected exposure.</w:t>
      </w:r>
      <w:r>
        <w:rPr>
          <w:b w:val="0"/>
          <w:i w:val="0"/>
        </w:rPr>
        <w:t xml:space="preserve"> Using the payee-level detail and only the defenses the documents support, I estimate corrected gross exposure of about </w:t>
      </w:r>
      <w:r>
        <w:rPr>
          <w:b/>
          <w:i w:val="0"/>
        </w:rPr>
        <w:t>$23.54 million</w:t>
      </w:r>
      <w:r>
        <w:rPr>
          <w:b w:val="0"/>
          <w:i w:val="0"/>
        </w:rPr>
        <w:t xml:space="preserve"> and net exposure of about </w:t>
      </w:r>
      <w:r>
        <w:rPr>
          <w:b/>
          <w:i w:val="0"/>
        </w:rPr>
        <w:t>$20.11 million</w:t>
      </w:r>
      <w:r>
        <w:rPr>
          <w:b w:val="0"/>
          <w:i w:val="0"/>
        </w:rPr>
        <w:t xml:space="preserve">, compared with the Report’s $10.50 million (or $11.2 million). Even starting from the Report’s unreconciled $18.73 million headline, the same adjustments produce net exposure of about </w:t>
      </w:r>
      <w:r>
        <w:rPr>
          <w:b/>
          <w:i w:val="0"/>
        </w:rPr>
        <w:t>$14.73 million</w:t>
      </w:r>
      <w:r>
        <w:rPr>
          <w:b w:val="0"/>
          <w:i w:val="0"/>
        </w:rPr>
        <w:t>. If TerraFreight and DataStream ultimately prove ordinary course defenses in the amounts Glenbrook asserted, net exposure falls to about $17.17 million. Section VIII sets out the build-up and sensitivities. Every figure here is preliminary until the Debtor produces transfer-level ledger and bank data.</w:t>
      </w:r>
    </w:p>
    <w:p>
      <w:pPr>
        <w:spacing w:after="120"/>
        <w:jc w:val="both"/>
      </w:pPr>
      <w:r>
        <w:rPr>
          <w:b/>
          <w:i w:val="0"/>
        </w:rPr>
        <w:t>Immediate priorities (before the May 22, 2025 Committee meeting):</w:t>
      </w:r>
      <w:r>
        <w:rPr>
          <w:b w:val="0"/>
          <w:i w:val="0"/>
        </w:rPr>
        <w:t xml:space="preserve"> (1) a written request through you to Westbrook for the full transfer-level ledger, the bank statements for all accounts (including First Hollcroft x4738), and the complete payroll and insider records; (2) a litigation hold and preservation request covering insider and CPI records; (3) an evaluation of a Cybergenics derivative-standing motion in light of the CFO’s conflict; and (4) handing Pinehurst the reconciliation and new value recalculations for independent confirmation.</w:t>
      </w:r>
    </w:p>
    <w:p>
      <w:pPr>
        <w:pStyle w:val="Heading1"/>
      </w:pPr>
      <w:r>
        <w:t>II. Documents Reviewed and Approach</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D9D9"/>
          </w:tcPr>
          <w:p>
            <w:r/>
            <w:r>
              <w:rPr>
                <w:b/>
                <w:sz w:val="18"/>
              </w:rPr>
              <w:t>Document</w:t>
            </w:r>
          </w:p>
        </w:tc>
        <w:tc>
          <w:tcPr>
            <w:tcW w:type="dxa" w:w="6480"/>
            <w:shd w:val="clear" w:color="auto" w:fill="D9D9D9"/>
          </w:tcPr>
          <w:p>
            <w:r/>
            <w:r>
              <w:rPr>
                <w:b/>
                <w:sz w:val="18"/>
              </w:rPr>
              <w:t>Description / Use</w:t>
            </w:r>
          </w:p>
        </w:tc>
      </w:tr>
      <w:tr>
        <w:tc>
          <w:tcPr>
            <w:tcW w:type="dxa" w:w="2880"/>
          </w:tcPr>
          <w:p>
            <w:r/>
            <w:r>
              <w:rPr>
                <w:b w:val="0"/>
                <w:i w:val="0"/>
                <w:sz w:val="18"/>
              </w:rPr>
              <w:t>preference-exposure-report.docx</w:t>
            </w:r>
          </w:p>
        </w:tc>
        <w:tc>
          <w:tcPr>
            <w:tcW w:type="dxa" w:w="6480"/>
          </w:tcPr>
          <w:p>
            <w:r/>
            <w:r>
              <w:rPr>
                <w:b w:val="0"/>
                <w:i w:val="0"/>
                <w:sz w:val="18"/>
              </w:rPr>
              <w:t>Glenbrook Preference Exposure Report (Apr. 30, 2025), narrative Sections I–VIII and Exhibits A–E; Exhibits F and G referenced but not attached. Footer marks the document “Draft.”</w:t>
            </w:r>
          </w:p>
        </w:tc>
      </w:tr>
      <w:tr>
        <w:tc>
          <w:tcPr>
            <w:tcW w:type="dxa" w:w="2880"/>
          </w:tcPr>
          <w:p>
            <w:r/>
            <w:r>
              <w:rPr>
                <w:b w:val="0"/>
                <w:i w:val="0"/>
                <w:sz w:val="18"/>
              </w:rPr>
              <w:t>payroll-insider-records.xlsx</w:t>
            </w:r>
          </w:p>
        </w:tc>
        <w:tc>
          <w:tcPr>
            <w:tcW w:type="dxa" w:w="6480"/>
          </w:tcPr>
          <w:p>
            <w:r/>
            <w:r>
              <w:rPr>
                <w:b w:val="0"/>
                <w:i w:val="0"/>
                <w:sz w:val="18"/>
              </w:rPr>
              <w:t>Officer compensation ledger (Mar. 2024–Mar. 2025), Commission Plan Comparison, and Summary of Insider Payments (Exhibit F).</w:t>
            </w:r>
          </w:p>
        </w:tc>
      </w:tr>
      <w:tr>
        <w:tc>
          <w:tcPr>
            <w:tcW w:type="dxa" w:w="2880"/>
          </w:tcPr>
          <w:p>
            <w:r/>
            <w:r>
              <w:rPr>
                <w:b w:val="0"/>
                <w:i w:val="0"/>
                <w:sz w:val="18"/>
              </w:rPr>
              <w:t>wire-transfer-records-cpi.xlsx</w:t>
            </w:r>
          </w:p>
        </w:tc>
        <w:tc>
          <w:tcPr>
            <w:tcW w:type="dxa" w:w="6480"/>
          </w:tcPr>
          <w:p>
            <w:r/>
            <w:r>
              <w:rPr>
                <w:b w:val="0"/>
                <w:i w:val="0"/>
                <w:sz w:val="18"/>
              </w:rPr>
              <w:t>Bank wire records for all payments on the CPI account Sept. 12, 2024 – Mar. 14, 2025, compiled by Jonathan Gao of Glenbrook on Apr. 22, 2025 (Exhibit G).</w:t>
            </w:r>
          </w:p>
        </w:tc>
      </w:tr>
      <w:tr>
        <w:tc>
          <w:tcPr>
            <w:tcW w:type="dxa" w:w="2880"/>
          </w:tcPr>
          <w:p>
            <w:r/>
            <w:r>
              <w:rPr>
                <w:b w:val="0"/>
                <w:i w:val="0"/>
                <w:sz w:val="18"/>
              </w:rPr>
              <w:t>harborview-broker-agreement.docx</w:t>
            </w:r>
          </w:p>
        </w:tc>
        <w:tc>
          <w:tcPr>
            <w:tcW w:type="dxa" w:w="6480"/>
          </w:tcPr>
          <w:p>
            <w:r/>
            <w:r>
              <w:rPr>
                <w:b w:val="0"/>
                <w:i w:val="0"/>
                <w:sz w:val="18"/>
              </w:rPr>
              <w:t>Broker Services Agreement (Mar. 1, 2022), including Premium Trust Account provisions (§§ 4.2–4.5), Service Fees (§ 5.1), and Schedule A premium schedule.</w:t>
            </w:r>
          </w:p>
        </w:tc>
      </w:tr>
      <w:tr>
        <w:tc>
          <w:tcPr>
            <w:tcW w:type="dxa" w:w="2880"/>
          </w:tcPr>
          <w:p>
            <w:r/>
            <w:r>
              <w:rPr>
                <w:b w:val="0"/>
                <w:i w:val="0"/>
                <w:sz w:val="18"/>
              </w:rPr>
              <w:t>glenbrook-engagement-letter.docx</w:t>
            </w:r>
          </w:p>
        </w:tc>
        <w:tc>
          <w:tcPr>
            <w:tcW w:type="dxa" w:w="6480"/>
          </w:tcPr>
          <w:p>
            <w:r/>
            <w:r>
              <w:rPr>
                <w:b w:val="0"/>
                <w:i w:val="0"/>
                <w:sz w:val="18"/>
              </w:rPr>
              <w:t>Glenbrook engagement (Jan. 8, 2025): scope (§ 3.2(c), (f)), reliance limitations (§§ 3.4, 6, 9), fees (§ 5).</w:t>
            </w:r>
          </w:p>
        </w:tc>
      </w:tr>
      <w:tr>
        <w:tc>
          <w:tcPr>
            <w:tcW w:type="dxa" w:w="2880"/>
          </w:tcPr>
          <w:p>
            <w:r/>
            <w:r>
              <w:rPr>
                <w:b w:val="0"/>
                <w:i w:val="0"/>
                <w:sz w:val="18"/>
              </w:rPr>
              <w:t>committee-engagement-letter.docx</w:t>
            </w:r>
          </w:p>
        </w:tc>
        <w:tc>
          <w:tcPr>
            <w:tcW w:type="dxa" w:w="6480"/>
          </w:tcPr>
          <w:p>
            <w:r/>
            <w:r>
              <w:rPr>
                <w:b w:val="0"/>
                <w:i w:val="0"/>
                <w:sz w:val="18"/>
              </w:rPr>
              <w:t>Assignment letter (May 5, 2025) defining review categories (a)–(i) and deliverable format.</w:t>
            </w:r>
          </w:p>
        </w:tc>
      </w:tr>
    </w:tbl>
    <w:p>
      <w:pPr>
        <w:spacing w:after="40"/>
      </w:pPr>
    </w:p>
    <w:p>
      <w:pPr>
        <w:spacing w:after="120"/>
        <w:jc w:val="both"/>
      </w:pPr>
      <w:r>
        <w:rPr>
          <w:b w:val="0"/>
          <w:i w:val="0"/>
        </w:rPr>
        <w:t>I recomputed every total I could from the transfer-level and payee-level data in the Report and the supporting spreadsheets. Where the Report’s own figures conflict with each other, I say which figure I used and why. I have not independently verified any industry data or case authority the Report cites. The case citations in this Memorandum are offered for further research and must be cite-checked before any external use.</w:t>
      </w:r>
    </w:p>
    <w:p>
      <w:pPr>
        <w:pStyle w:val="Heading1"/>
      </w:pPr>
      <w:r>
        <w:t>III. Prioritization of Issues by Materiality and Urgency</w:t>
      </w:r>
    </w:p>
    <w:p>
      <w:pPr>
        <w:spacing w:after="120"/>
        <w:jc w:val="both"/>
      </w:pPr>
      <w:r>
        <w:rPr>
          <w:b w:val="0"/>
          <w:i w:val="0"/>
        </w:rPr>
        <w:t>Materiality reflects the estimated dollar effect on net exposure or recoverability. Urgency reflects whether action is needed before the May 22 Committee meeting, before any settlement or demand activity, or simply before litigation.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648"/>
            <w:shd w:val="clear" w:color="auto" w:fill="D9D9D9"/>
          </w:tcPr>
          <w:p>
            <w:r/>
            <w:r>
              <w:rPr>
                <w:b/>
                <w:sz w:val="16"/>
              </w:rPr>
              <w:t>#</w:t>
            </w:r>
          </w:p>
        </w:tc>
        <w:tc>
          <w:tcPr>
            <w:tcW w:type="dxa" w:w="3168"/>
            <w:shd w:val="clear" w:color="auto" w:fill="D9D9D9"/>
          </w:tcPr>
          <w:p>
            <w:r/>
            <w:r>
              <w:rPr>
                <w:b/>
                <w:sz w:val="16"/>
              </w:rPr>
              <w:t>Issue</w:t>
            </w:r>
          </w:p>
        </w:tc>
        <w:tc>
          <w:tcPr>
            <w:tcW w:type="dxa" w:w="1224"/>
            <w:shd w:val="clear" w:color="auto" w:fill="D9D9D9"/>
          </w:tcPr>
          <w:p>
            <w:r/>
            <w:r>
              <w:rPr>
                <w:b/>
                <w:sz w:val="16"/>
              </w:rPr>
              <w:t>Category</w:t>
            </w:r>
          </w:p>
        </w:tc>
        <w:tc>
          <w:tcPr>
            <w:tcW w:type="dxa" w:w="2088"/>
            <w:shd w:val="clear" w:color="auto" w:fill="D9D9D9"/>
          </w:tcPr>
          <w:p>
            <w:r/>
            <w:r>
              <w:rPr>
                <w:b/>
                <w:sz w:val="16"/>
              </w:rPr>
              <w:t>Est. $ Impact on Net Exposure</w:t>
            </w:r>
          </w:p>
        </w:tc>
        <w:tc>
          <w:tcPr>
            <w:tcW w:type="dxa" w:w="1080"/>
            <w:shd w:val="clear" w:color="auto" w:fill="D9D9D9"/>
          </w:tcPr>
          <w:p>
            <w:r/>
            <w:r>
              <w:rPr>
                <w:b/>
                <w:sz w:val="16"/>
              </w:rPr>
              <w:t>Materiality</w:t>
            </w:r>
          </w:p>
        </w:tc>
        <w:tc>
          <w:tcPr>
            <w:tcW w:type="dxa" w:w="1152"/>
            <w:shd w:val="clear" w:color="auto" w:fill="D9D9D9"/>
          </w:tcPr>
          <w:p>
            <w:r/>
            <w:r>
              <w:rPr>
                <w:b/>
                <w:sz w:val="16"/>
              </w:rPr>
              <w:t>Urgency</w:t>
            </w:r>
          </w:p>
        </w:tc>
      </w:tr>
      <w:tr>
        <w:tc>
          <w:tcPr>
            <w:tcW w:type="dxa" w:w="648"/>
          </w:tcPr>
          <w:p>
            <w:r/>
            <w:r>
              <w:rPr>
                <w:b w:val="0"/>
                <w:i w:val="0"/>
                <w:sz w:val="16"/>
              </w:rPr>
              <w:t>4.1</w:t>
            </w:r>
          </w:p>
        </w:tc>
        <w:tc>
          <w:tcPr>
            <w:tcW w:type="dxa" w:w="3168"/>
          </w:tcPr>
          <w:p>
            <w:r/>
            <w:r>
              <w:rPr>
                <w:b w:val="0"/>
                <w:i w:val="0"/>
                <w:sz w:val="16"/>
              </w:rPr>
              <w:t>Insider transfers omitted (Hutchins, Liu-Whitford, Thibodeau)</w:t>
            </w:r>
          </w:p>
        </w:tc>
        <w:tc>
          <w:tcPr>
            <w:tcW w:type="dxa" w:w="1224"/>
          </w:tcPr>
          <w:p>
            <w:r/>
            <w:r>
              <w:rPr>
                <w:b w:val="0"/>
                <w:i w:val="0"/>
                <w:sz w:val="16"/>
              </w:rPr>
              <w:t>Omission</w:t>
            </w:r>
          </w:p>
        </w:tc>
        <w:tc>
          <w:tcPr>
            <w:tcW w:type="dxa" w:w="2088"/>
          </w:tcPr>
          <w:p>
            <w:r/>
            <w:r>
              <w:rPr>
                <w:b w:val="0"/>
                <w:i w:val="0"/>
                <w:sz w:val="16"/>
              </w:rPr>
              <w:t>+$1,048,000 (plus fraudulent-transfer upside)</w:t>
            </w:r>
          </w:p>
        </w:tc>
        <w:tc>
          <w:tcPr>
            <w:tcW w:type="dxa" w:w="1080"/>
          </w:tcPr>
          <w:p>
            <w:r/>
            <w:r>
              <w:rPr>
                <w:b w:val="0"/>
                <w:i w:val="0"/>
                <w:sz w:val="16"/>
              </w:rPr>
              <w:t>High</w:t>
            </w:r>
          </w:p>
        </w:tc>
        <w:tc>
          <w:tcPr>
            <w:tcW w:type="dxa" w:w="1152"/>
          </w:tcPr>
          <w:p>
            <w:r/>
            <w:r>
              <w:rPr>
                <w:b w:val="0"/>
                <w:i w:val="0"/>
                <w:sz w:val="16"/>
              </w:rPr>
              <w:t>Immediate</w:t>
            </w:r>
          </w:p>
        </w:tc>
      </w:tr>
      <w:tr>
        <w:tc>
          <w:tcPr>
            <w:tcW w:type="dxa" w:w="648"/>
          </w:tcPr>
          <w:p>
            <w:r/>
            <w:r>
              <w:rPr>
                <w:b w:val="0"/>
                <w:i w:val="0"/>
                <w:sz w:val="16"/>
              </w:rPr>
              <w:t>1.1</w:t>
            </w:r>
          </w:p>
        </w:tc>
        <w:tc>
          <w:tcPr>
            <w:tcW w:type="dxa" w:w="3168"/>
          </w:tcPr>
          <w:p>
            <w:r/>
            <w:r>
              <w:rPr>
                <w:b w:val="0"/>
                <w:i w:val="0"/>
                <w:sz w:val="16"/>
              </w:rPr>
              <w:t>Headline gross does not reconcile to payee detail; tier subtotals and counts wrong</w:t>
            </w:r>
          </w:p>
        </w:tc>
        <w:tc>
          <w:tcPr>
            <w:tcW w:type="dxa" w:w="1224"/>
          </w:tcPr>
          <w:p>
            <w:r/>
            <w:r>
              <w:rPr>
                <w:b w:val="0"/>
                <w:i w:val="0"/>
                <w:sz w:val="16"/>
              </w:rPr>
              <w:t>Arithmetic</w:t>
            </w:r>
          </w:p>
        </w:tc>
        <w:tc>
          <w:tcPr>
            <w:tcW w:type="dxa" w:w="2088"/>
          </w:tcPr>
          <w:p>
            <w:r/>
            <w:r>
              <w:rPr>
                <w:b w:val="0"/>
                <w:i w:val="0"/>
                <w:sz w:val="16"/>
              </w:rPr>
              <w:t>+$5,382,967 (detail basis)</w:t>
            </w:r>
          </w:p>
        </w:tc>
        <w:tc>
          <w:tcPr>
            <w:tcW w:type="dxa" w:w="1080"/>
          </w:tcPr>
          <w:p>
            <w:r/>
            <w:r>
              <w:rPr>
                <w:b w:val="0"/>
                <w:i w:val="0"/>
                <w:sz w:val="16"/>
              </w:rPr>
              <w:t>High</w:t>
            </w:r>
          </w:p>
        </w:tc>
        <w:tc>
          <w:tcPr>
            <w:tcW w:type="dxa" w:w="1152"/>
          </w:tcPr>
          <w:p>
            <w:r/>
            <w:r>
              <w:rPr>
                <w:b w:val="0"/>
                <w:i w:val="0"/>
                <w:sz w:val="16"/>
              </w:rPr>
              <w:t>Immediate</w:t>
            </w:r>
          </w:p>
        </w:tc>
      </w:tr>
      <w:tr>
        <w:tc>
          <w:tcPr>
            <w:tcW w:type="dxa" w:w="648"/>
          </w:tcPr>
          <w:p>
            <w:r/>
            <w:r>
              <w:rPr>
                <w:b w:val="0"/>
                <w:i w:val="0"/>
                <w:sz w:val="16"/>
              </w:rPr>
              <w:t>2.2</w:t>
            </w:r>
          </w:p>
        </w:tc>
        <w:tc>
          <w:tcPr>
            <w:tcW w:type="dxa" w:w="3168"/>
          </w:tcPr>
          <w:p>
            <w:r/>
            <w:r>
              <w:rPr>
                <w:b w:val="0"/>
                <w:i w:val="0"/>
                <w:sz w:val="16"/>
              </w:rPr>
              <w:t>CPI transferee misidentified; 12 vs 7 wires; unreviewed bank account</w:t>
            </w:r>
          </w:p>
        </w:tc>
        <w:tc>
          <w:tcPr>
            <w:tcW w:type="dxa" w:w="1224"/>
          </w:tcPr>
          <w:p>
            <w:r/>
            <w:r>
              <w:rPr>
                <w:b w:val="0"/>
                <w:i w:val="0"/>
                <w:sz w:val="16"/>
              </w:rPr>
              <w:t>Entity</w:t>
            </w:r>
          </w:p>
        </w:tc>
        <w:tc>
          <w:tcPr>
            <w:tcW w:type="dxa" w:w="2088"/>
          </w:tcPr>
          <w:p>
            <w:r/>
            <w:r>
              <w:rPr>
                <w:b w:val="0"/>
                <w:i w:val="0"/>
                <w:sz w:val="16"/>
              </w:rPr>
              <w:t>Recoverability of $1,400,000; data integrity across all payees</w:t>
            </w:r>
          </w:p>
        </w:tc>
        <w:tc>
          <w:tcPr>
            <w:tcW w:type="dxa" w:w="1080"/>
          </w:tcPr>
          <w:p>
            <w:r/>
            <w:r>
              <w:rPr>
                <w:b w:val="0"/>
                <w:i w:val="0"/>
                <w:sz w:val="16"/>
              </w:rPr>
              <w:t>High</w:t>
            </w:r>
          </w:p>
        </w:tc>
        <w:tc>
          <w:tcPr>
            <w:tcW w:type="dxa" w:w="1152"/>
          </w:tcPr>
          <w:p>
            <w:r/>
            <w:r>
              <w:rPr>
                <w:b w:val="0"/>
                <w:i w:val="0"/>
                <w:sz w:val="16"/>
              </w:rPr>
              <w:t>Immediate</w:t>
            </w:r>
          </w:p>
        </w:tc>
      </w:tr>
      <w:tr>
        <w:tc>
          <w:tcPr>
            <w:tcW w:type="dxa" w:w="648"/>
          </w:tcPr>
          <w:p>
            <w:r/>
            <w:r>
              <w:rPr>
                <w:b w:val="0"/>
                <w:i w:val="0"/>
                <w:sz w:val="16"/>
              </w:rPr>
              <w:t>3.6</w:t>
            </w:r>
          </w:p>
        </w:tc>
        <w:tc>
          <w:tcPr>
            <w:tcW w:type="dxa" w:w="3168"/>
          </w:tcPr>
          <w:p>
            <w:r/>
            <w:r>
              <w:rPr>
                <w:b w:val="0"/>
                <w:i w:val="0"/>
                <w:sz w:val="16"/>
              </w:rPr>
              <w:t>Earmarking misapplied to Lakeshore</w:t>
            </w:r>
          </w:p>
        </w:tc>
        <w:tc>
          <w:tcPr>
            <w:tcW w:type="dxa" w:w="1224"/>
          </w:tcPr>
          <w:p>
            <w:r/>
            <w:r>
              <w:rPr>
                <w:b w:val="0"/>
                <w:i w:val="0"/>
                <w:sz w:val="16"/>
              </w:rPr>
              <w:t>Legal</w:t>
            </w:r>
          </w:p>
        </w:tc>
        <w:tc>
          <w:tcPr>
            <w:tcW w:type="dxa" w:w="2088"/>
          </w:tcPr>
          <w:p>
            <w:r/>
            <w:r>
              <w:rPr>
                <w:b w:val="0"/>
                <w:i w:val="0"/>
                <w:sz w:val="16"/>
              </w:rPr>
              <w:t>+$750,000</w:t>
            </w:r>
          </w:p>
        </w:tc>
        <w:tc>
          <w:tcPr>
            <w:tcW w:type="dxa" w:w="1080"/>
          </w:tcPr>
          <w:p>
            <w:r/>
            <w:r>
              <w:rPr>
                <w:b w:val="0"/>
                <w:i w:val="0"/>
                <w:sz w:val="16"/>
              </w:rPr>
              <w:t>High</w:t>
            </w:r>
          </w:p>
        </w:tc>
        <w:tc>
          <w:tcPr>
            <w:tcW w:type="dxa" w:w="1152"/>
          </w:tcPr>
          <w:p>
            <w:r/>
            <w:r>
              <w:rPr>
                <w:b w:val="0"/>
                <w:i w:val="0"/>
                <w:sz w:val="16"/>
              </w:rPr>
              <w:t>Before demands</w:t>
            </w:r>
          </w:p>
        </w:tc>
      </w:tr>
      <w:tr>
        <w:tc>
          <w:tcPr>
            <w:tcW w:type="dxa" w:w="648"/>
          </w:tcPr>
          <w:p>
            <w:r/>
            <w:r>
              <w:rPr>
                <w:b w:val="0"/>
                <w:i w:val="0"/>
                <w:sz w:val="16"/>
              </w:rPr>
              <w:t>3.3</w:t>
            </w:r>
          </w:p>
        </w:tc>
        <w:tc>
          <w:tcPr>
            <w:tcW w:type="dxa" w:w="3168"/>
          </w:tcPr>
          <w:p>
            <w:r/>
            <w:r>
              <w:rPr>
                <w:b w:val="0"/>
                <w:i w:val="0"/>
                <w:sz w:val="16"/>
              </w:rPr>
              <w:t>Ordinary course defense misstated and unsupported (TerraFreight, DataStream)</w:t>
            </w:r>
          </w:p>
        </w:tc>
        <w:tc>
          <w:tcPr>
            <w:tcW w:type="dxa" w:w="1224"/>
          </w:tcPr>
          <w:p>
            <w:r/>
            <w:r>
              <w:rPr>
                <w:b w:val="0"/>
                <w:i w:val="0"/>
                <w:sz w:val="16"/>
              </w:rPr>
              <w:t>Legal</w:t>
            </w:r>
          </w:p>
        </w:tc>
        <w:tc>
          <w:tcPr>
            <w:tcW w:type="dxa" w:w="2088"/>
          </w:tcPr>
          <w:p>
            <w:r/>
            <w:r>
              <w:rPr>
                <w:b w:val="0"/>
                <w:i w:val="0"/>
                <w:sz w:val="16"/>
              </w:rPr>
              <w:t>+$2,940,000 (credits withdrawn pending analysis)</w:t>
            </w:r>
          </w:p>
        </w:tc>
        <w:tc>
          <w:tcPr>
            <w:tcW w:type="dxa" w:w="1080"/>
          </w:tcPr>
          <w:p>
            <w:r/>
            <w:r>
              <w:rPr>
                <w:b w:val="0"/>
                <w:i w:val="0"/>
                <w:sz w:val="16"/>
              </w:rPr>
              <w:t>High</w:t>
            </w:r>
          </w:p>
        </w:tc>
        <w:tc>
          <w:tcPr>
            <w:tcW w:type="dxa" w:w="1152"/>
          </w:tcPr>
          <w:p>
            <w:r/>
            <w:r>
              <w:rPr>
                <w:b w:val="0"/>
                <w:i w:val="0"/>
                <w:sz w:val="16"/>
              </w:rPr>
              <w:t>Before demands</w:t>
            </w:r>
          </w:p>
        </w:tc>
      </w:tr>
      <w:tr>
        <w:tc>
          <w:tcPr>
            <w:tcW w:type="dxa" w:w="648"/>
          </w:tcPr>
          <w:p>
            <w:r/>
            <w:r>
              <w:rPr>
                <w:b w:val="0"/>
                <w:i w:val="0"/>
                <w:sz w:val="16"/>
              </w:rPr>
              <w:t>3.5 / 1.5</w:t>
            </w:r>
          </w:p>
        </w:tc>
        <w:tc>
          <w:tcPr>
            <w:tcW w:type="dxa" w:w="3168"/>
          </w:tcPr>
          <w:p>
            <w:r/>
            <w:r>
              <w:rPr>
                <w:b w:val="0"/>
                <w:i w:val="0"/>
                <w:sz w:val="16"/>
              </w:rPr>
              <w:t>Vanderhoff new value overstated; Exhibit E arithmetic</w:t>
            </w:r>
          </w:p>
        </w:tc>
        <w:tc>
          <w:tcPr>
            <w:tcW w:type="dxa" w:w="1224"/>
          </w:tcPr>
          <w:p>
            <w:r/>
            <w:r>
              <w:rPr>
                <w:b w:val="0"/>
                <w:i w:val="0"/>
                <w:sz w:val="16"/>
              </w:rPr>
              <w:t>Legal / Arithmetic</w:t>
            </w:r>
          </w:p>
        </w:tc>
        <w:tc>
          <w:tcPr>
            <w:tcW w:type="dxa" w:w="2088"/>
          </w:tcPr>
          <w:p>
            <w:r/>
            <w:r>
              <w:rPr>
                <w:b w:val="0"/>
                <w:i w:val="0"/>
                <w:sz w:val="16"/>
              </w:rPr>
              <w:t>+$624,000 to +$1,024,000 net</w:t>
            </w:r>
          </w:p>
        </w:tc>
        <w:tc>
          <w:tcPr>
            <w:tcW w:type="dxa" w:w="1080"/>
          </w:tcPr>
          <w:p>
            <w:r/>
            <w:r>
              <w:rPr>
                <w:b w:val="0"/>
                <w:i w:val="0"/>
                <w:sz w:val="16"/>
              </w:rPr>
              <w:t>High</w:t>
            </w:r>
          </w:p>
        </w:tc>
        <w:tc>
          <w:tcPr>
            <w:tcW w:type="dxa" w:w="1152"/>
          </w:tcPr>
          <w:p>
            <w:r/>
            <w:r>
              <w:rPr>
                <w:b w:val="0"/>
                <w:i w:val="0"/>
                <w:sz w:val="16"/>
              </w:rPr>
              <w:t>Before demands</w:t>
            </w:r>
          </w:p>
        </w:tc>
      </w:tr>
      <w:tr>
        <w:tc>
          <w:tcPr>
            <w:tcW w:type="dxa" w:w="648"/>
          </w:tcPr>
          <w:p>
            <w:r/>
            <w:r>
              <w:rPr>
                <w:b w:val="0"/>
                <w:i w:val="0"/>
                <w:sz w:val="16"/>
              </w:rPr>
              <w:t>3.4 / 1.7</w:t>
            </w:r>
          </w:p>
        </w:tc>
        <w:tc>
          <w:tcPr>
            <w:tcW w:type="dxa" w:w="3168"/>
          </w:tcPr>
          <w:p>
            <w:r/>
            <w:r>
              <w:rPr>
                <w:b w:val="0"/>
                <w:i w:val="0"/>
                <w:sz w:val="16"/>
              </w:rPr>
              <w:t>Contemporaneous exchange credits overstated</w:t>
            </w:r>
          </w:p>
        </w:tc>
        <w:tc>
          <w:tcPr>
            <w:tcW w:type="dxa" w:w="1224"/>
          </w:tcPr>
          <w:p>
            <w:r/>
            <w:r>
              <w:rPr>
                <w:b w:val="0"/>
                <w:i w:val="0"/>
                <w:sz w:val="16"/>
              </w:rPr>
              <w:t>Legal / Arithmetic</w:t>
            </w:r>
          </w:p>
        </w:tc>
        <w:tc>
          <w:tcPr>
            <w:tcW w:type="dxa" w:w="2088"/>
          </w:tcPr>
          <w:p>
            <w:r/>
            <w:r>
              <w:rPr>
                <w:b w:val="0"/>
                <w:i w:val="0"/>
                <w:sz w:val="16"/>
              </w:rPr>
              <w:t>+$665,000</w:t>
            </w:r>
          </w:p>
        </w:tc>
        <w:tc>
          <w:tcPr>
            <w:tcW w:type="dxa" w:w="1080"/>
          </w:tcPr>
          <w:p>
            <w:r/>
            <w:r>
              <w:rPr>
                <w:b w:val="0"/>
                <w:i w:val="0"/>
                <w:sz w:val="16"/>
              </w:rPr>
              <w:t>High</w:t>
            </w:r>
          </w:p>
        </w:tc>
        <w:tc>
          <w:tcPr>
            <w:tcW w:type="dxa" w:w="1152"/>
          </w:tcPr>
          <w:p>
            <w:r/>
            <w:r>
              <w:rPr>
                <w:b w:val="0"/>
                <w:i w:val="0"/>
                <w:sz w:val="16"/>
              </w:rPr>
              <w:t>Before demands</w:t>
            </w:r>
          </w:p>
        </w:tc>
      </w:tr>
      <w:tr>
        <w:tc>
          <w:tcPr>
            <w:tcW w:type="dxa" w:w="648"/>
          </w:tcPr>
          <w:p>
            <w:r/>
            <w:r>
              <w:rPr>
                <w:b w:val="0"/>
                <w:i w:val="0"/>
                <w:sz w:val="16"/>
              </w:rPr>
              <w:t>3.7</w:t>
            </w:r>
          </w:p>
        </w:tc>
        <w:tc>
          <w:tcPr>
            <w:tcW w:type="dxa" w:w="3168"/>
          </w:tcPr>
          <w:p>
            <w:r/>
            <w:r>
              <w:rPr>
                <w:b w:val="0"/>
                <w:i w:val="0"/>
                <w:sz w:val="16"/>
              </w:rPr>
              <w:t>Harborview premium trust / conduit analysis absent</w:t>
            </w:r>
          </w:p>
        </w:tc>
        <w:tc>
          <w:tcPr>
            <w:tcW w:type="dxa" w:w="1224"/>
          </w:tcPr>
          <w:p>
            <w:r/>
            <w:r>
              <w:rPr>
                <w:b w:val="0"/>
                <w:i w:val="0"/>
                <w:sz w:val="16"/>
              </w:rPr>
              <w:t>Legal</w:t>
            </w:r>
          </w:p>
        </w:tc>
        <w:tc>
          <w:tcPr>
            <w:tcW w:type="dxa" w:w="2088"/>
          </w:tcPr>
          <w:p>
            <w:r/>
            <w:r>
              <w:rPr>
                <w:b w:val="0"/>
                <w:i w:val="0"/>
                <w:sz w:val="16"/>
              </w:rPr>
              <w:t>−$1,370,000 against Harborview (shift to carriers)</w:t>
            </w:r>
          </w:p>
        </w:tc>
        <w:tc>
          <w:tcPr>
            <w:tcW w:type="dxa" w:w="1080"/>
          </w:tcPr>
          <w:p>
            <w:r/>
            <w:r>
              <w:rPr>
                <w:b w:val="0"/>
                <w:i w:val="0"/>
                <w:sz w:val="16"/>
              </w:rPr>
              <w:t>High</w:t>
            </w:r>
          </w:p>
        </w:tc>
        <w:tc>
          <w:tcPr>
            <w:tcW w:type="dxa" w:w="1152"/>
          </w:tcPr>
          <w:p>
            <w:r/>
            <w:r>
              <w:rPr>
                <w:b w:val="0"/>
                <w:i w:val="0"/>
                <w:sz w:val="16"/>
              </w:rPr>
              <w:t>Before demands</w:t>
            </w:r>
          </w:p>
        </w:tc>
      </w:tr>
      <w:tr>
        <w:tc>
          <w:tcPr>
            <w:tcW w:type="dxa" w:w="648"/>
          </w:tcPr>
          <w:p>
            <w:r/>
            <w:r>
              <w:rPr>
                <w:b w:val="0"/>
                <w:i w:val="0"/>
                <w:sz w:val="16"/>
              </w:rPr>
              <w:t>2.1</w:t>
            </w:r>
          </w:p>
        </w:tc>
        <w:tc>
          <w:tcPr>
            <w:tcW w:type="dxa" w:w="3168"/>
          </w:tcPr>
          <w:p>
            <w:r/>
            <w:r>
              <w:rPr>
                <w:b w:val="0"/>
                <w:i w:val="0"/>
                <w:sz w:val="16"/>
              </w:rPr>
              <w:t>Four Tier 1 payees misclassified as Tier 2</w:t>
            </w:r>
          </w:p>
        </w:tc>
        <w:tc>
          <w:tcPr>
            <w:tcW w:type="dxa" w:w="1224"/>
          </w:tcPr>
          <w:p>
            <w:r/>
            <w:r>
              <w:rPr>
                <w:b w:val="0"/>
                <w:i w:val="0"/>
                <w:sz w:val="16"/>
              </w:rPr>
              <w:t>Classification</w:t>
            </w:r>
          </w:p>
        </w:tc>
        <w:tc>
          <w:tcPr>
            <w:tcW w:type="dxa" w:w="2088"/>
          </w:tcPr>
          <w:p>
            <w:r/>
            <w:r>
              <w:rPr>
                <w:b w:val="0"/>
                <w:i w:val="0"/>
                <w:sz w:val="16"/>
              </w:rPr>
              <w:t>Prioritization of $5,900,000</w:t>
            </w:r>
          </w:p>
        </w:tc>
        <w:tc>
          <w:tcPr>
            <w:tcW w:type="dxa" w:w="1080"/>
          </w:tcPr>
          <w:p>
            <w:r/>
            <w:r>
              <w:rPr>
                <w:b w:val="0"/>
                <w:i w:val="0"/>
                <w:sz w:val="16"/>
              </w:rPr>
              <w:t>High</w:t>
            </w:r>
          </w:p>
        </w:tc>
        <w:tc>
          <w:tcPr>
            <w:tcW w:type="dxa" w:w="1152"/>
          </w:tcPr>
          <w:p>
            <w:r/>
            <w:r>
              <w:rPr>
                <w:b w:val="0"/>
                <w:i w:val="0"/>
                <w:sz w:val="16"/>
              </w:rPr>
              <w:t>Before demands</w:t>
            </w:r>
          </w:p>
        </w:tc>
      </w:tr>
      <w:tr>
        <w:tc>
          <w:tcPr>
            <w:tcW w:type="dxa" w:w="648"/>
          </w:tcPr>
          <w:p>
            <w:r/>
            <w:r>
              <w:rPr>
                <w:b w:val="0"/>
                <w:i w:val="0"/>
                <w:sz w:val="16"/>
              </w:rPr>
              <w:t>1.3 / 1.4</w:t>
            </w:r>
          </w:p>
        </w:tc>
        <w:tc>
          <w:tcPr>
            <w:tcW w:type="dxa" w:w="3168"/>
          </w:tcPr>
          <w:p>
            <w:r/>
            <w:r>
              <w:rPr>
                <w:b w:val="0"/>
                <w:i w:val="0"/>
                <w:sz w:val="16"/>
              </w:rPr>
              <w:t>Vanderhoff and TerraFreight schedules do not foot</w:t>
            </w:r>
          </w:p>
        </w:tc>
        <w:tc>
          <w:tcPr>
            <w:tcW w:type="dxa" w:w="1224"/>
          </w:tcPr>
          <w:p>
            <w:r/>
            <w:r>
              <w:rPr>
                <w:b w:val="0"/>
                <w:i w:val="0"/>
                <w:sz w:val="16"/>
              </w:rPr>
              <w:t>Arithmetic</w:t>
            </w:r>
          </w:p>
        </w:tc>
        <w:tc>
          <w:tcPr>
            <w:tcW w:type="dxa" w:w="2088"/>
          </w:tcPr>
          <w:p>
            <w:r/>
            <w:r>
              <w:rPr>
                <w:b w:val="0"/>
                <w:i w:val="0"/>
                <w:sz w:val="16"/>
              </w:rPr>
              <w:t>+$179,000 / −$333,000</w:t>
            </w:r>
          </w:p>
        </w:tc>
        <w:tc>
          <w:tcPr>
            <w:tcW w:type="dxa" w:w="1080"/>
          </w:tcPr>
          <w:p>
            <w:r/>
            <w:r>
              <w:rPr>
                <w:b w:val="0"/>
                <w:i w:val="0"/>
                <w:sz w:val="16"/>
              </w:rPr>
              <w:t>Medium</w:t>
            </w:r>
          </w:p>
        </w:tc>
        <w:tc>
          <w:tcPr>
            <w:tcW w:type="dxa" w:w="1152"/>
          </w:tcPr>
          <w:p>
            <w:r/>
            <w:r>
              <w:rPr>
                <w:b w:val="0"/>
                <w:i w:val="0"/>
                <w:sz w:val="16"/>
              </w:rPr>
              <w:t>Before demands</w:t>
            </w:r>
          </w:p>
        </w:tc>
      </w:tr>
      <w:tr>
        <w:tc>
          <w:tcPr>
            <w:tcW w:type="dxa" w:w="648"/>
          </w:tcPr>
          <w:p>
            <w:r/>
            <w:r>
              <w:rPr>
                <w:b w:val="0"/>
                <w:i w:val="0"/>
                <w:sz w:val="16"/>
              </w:rPr>
              <w:t>3.1</w:t>
            </w:r>
          </w:p>
        </w:tc>
        <w:tc>
          <w:tcPr>
            <w:tcW w:type="dxa" w:w="3168"/>
          </w:tcPr>
          <w:p>
            <w:r/>
            <w:r>
              <w:rPr>
                <w:b w:val="0"/>
                <w:i w:val="0"/>
                <w:sz w:val="16"/>
              </w:rPr>
              <w:t>Statute of limitations misstated (one year vs two years)</w:t>
            </w:r>
          </w:p>
        </w:tc>
        <w:tc>
          <w:tcPr>
            <w:tcW w:type="dxa" w:w="1224"/>
          </w:tcPr>
          <w:p>
            <w:r/>
            <w:r>
              <w:rPr>
                <w:b w:val="0"/>
                <w:i w:val="0"/>
                <w:sz w:val="16"/>
              </w:rPr>
              <w:t>Legal</w:t>
            </w:r>
          </w:p>
        </w:tc>
        <w:tc>
          <w:tcPr>
            <w:tcW w:type="dxa" w:w="2088"/>
          </w:tcPr>
          <w:p>
            <w:r/>
            <w:r>
              <w:rPr>
                <w:b w:val="0"/>
                <w:i w:val="0"/>
                <w:sz w:val="16"/>
              </w:rPr>
              <w:t>Timing/strategy (no $ change)</w:t>
            </w:r>
          </w:p>
        </w:tc>
        <w:tc>
          <w:tcPr>
            <w:tcW w:type="dxa" w:w="1080"/>
          </w:tcPr>
          <w:p>
            <w:r/>
            <w:r>
              <w:rPr>
                <w:b w:val="0"/>
                <w:i w:val="0"/>
                <w:sz w:val="16"/>
              </w:rPr>
              <w:t>Medium</w:t>
            </w:r>
          </w:p>
        </w:tc>
        <w:tc>
          <w:tcPr>
            <w:tcW w:type="dxa" w:w="1152"/>
          </w:tcPr>
          <w:p>
            <w:r/>
            <w:r>
              <w:rPr>
                <w:b w:val="0"/>
                <w:i w:val="0"/>
                <w:sz w:val="16"/>
              </w:rPr>
              <w:t>Calendar now</w:t>
            </w:r>
          </w:p>
        </w:tc>
      </w:tr>
      <w:tr>
        <w:tc>
          <w:tcPr>
            <w:tcW w:type="dxa" w:w="648"/>
          </w:tcPr>
          <w:p>
            <w:r/>
            <w:r>
              <w:rPr>
                <w:b w:val="0"/>
                <w:i w:val="0"/>
                <w:sz w:val="16"/>
              </w:rPr>
              <w:t>3.2</w:t>
            </w:r>
          </w:p>
        </w:tc>
        <w:tc>
          <w:tcPr>
            <w:tcW w:type="dxa" w:w="3168"/>
          </w:tcPr>
          <w:p>
            <w:r/>
            <w:r>
              <w:rPr>
                <w:b w:val="0"/>
                <w:i w:val="0"/>
                <w:sz w:val="16"/>
              </w:rPr>
              <w:t>Outdated § 547(c)(9) threshold ($5,000 vs $7,575)</w:t>
            </w:r>
          </w:p>
        </w:tc>
        <w:tc>
          <w:tcPr>
            <w:tcW w:type="dxa" w:w="1224"/>
          </w:tcPr>
          <w:p>
            <w:r/>
            <w:r>
              <w:rPr>
                <w:b w:val="0"/>
                <w:i w:val="0"/>
                <w:sz w:val="16"/>
              </w:rPr>
              <w:t>Legal</w:t>
            </w:r>
          </w:p>
        </w:tc>
        <w:tc>
          <w:tcPr>
            <w:tcW w:type="dxa" w:w="2088"/>
          </w:tcPr>
          <w:p>
            <w:r/>
            <w:r>
              <w:rPr>
                <w:b w:val="0"/>
                <w:i w:val="0"/>
                <w:sz w:val="16"/>
              </w:rPr>
              <w:t>−$101,281 (17 payees)</w:t>
            </w:r>
          </w:p>
        </w:tc>
        <w:tc>
          <w:tcPr>
            <w:tcW w:type="dxa" w:w="1080"/>
          </w:tcPr>
          <w:p>
            <w:r/>
            <w:r>
              <w:rPr>
                <w:b w:val="0"/>
                <w:i w:val="0"/>
                <w:sz w:val="16"/>
              </w:rPr>
              <w:t>Low</w:t>
            </w:r>
          </w:p>
        </w:tc>
        <w:tc>
          <w:tcPr>
            <w:tcW w:type="dxa" w:w="1152"/>
          </w:tcPr>
          <w:p>
            <w:r/>
            <w:r>
              <w:rPr>
                <w:b w:val="0"/>
                <w:i w:val="0"/>
                <w:sz w:val="16"/>
              </w:rPr>
              <w:t>Before demands</w:t>
            </w:r>
          </w:p>
        </w:tc>
      </w:tr>
      <w:tr>
        <w:tc>
          <w:tcPr>
            <w:tcW w:type="dxa" w:w="648"/>
          </w:tcPr>
          <w:p>
            <w:r/>
            <w:r>
              <w:rPr>
                <w:b w:val="0"/>
                <w:i w:val="0"/>
                <w:sz w:val="16"/>
              </w:rPr>
              <w:t>3.8</w:t>
            </w:r>
          </w:p>
        </w:tc>
        <w:tc>
          <w:tcPr>
            <w:tcW w:type="dxa" w:w="3168"/>
          </w:tcPr>
          <w:p>
            <w:r/>
            <w:r>
              <w:rPr>
                <w:b w:val="0"/>
                <w:i w:val="0"/>
                <w:sz w:val="16"/>
              </w:rPr>
              <w:t>0% liquidation assumption and insolvency analysis unsupported</w:t>
            </w:r>
          </w:p>
        </w:tc>
        <w:tc>
          <w:tcPr>
            <w:tcW w:type="dxa" w:w="1224"/>
          </w:tcPr>
          <w:p>
            <w:r/>
            <w:r>
              <w:rPr>
                <w:b w:val="0"/>
                <w:i w:val="0"/>
                <w:sz w:val="16"/>
              </w:rPr>
              <w:t>Legal</w:t>
            </w:r>
          </w:p>
        </w:tc>
        <w:tc>
          <w:tcPr>
            <w:tcW w:type="dxa" w:w="2088"/>
          </w:tcPr>
          <w:p>
            <w:r/>
            <w:r>
              <w:rPr>
                <w:b w:val="0"/>
                <w:i w:val="0"/>
                <w:sz w:val="16"/>
              </w:rPr>
              <w:t>Element of proof for all claims; insider claims pre-9/30/24</w:t>
            </w:r>
          </w:p>
        </w:tc>
        <w:tc>
          <w:tcPr>
            <w:tcW w:type="dxa" w:w="1080"/>
          </w:tcPr>
          <w:p>
            <w:r/>
            <w:r>
              <w:rPr>
                <w:b w:val="0"/>
                <w:i w:val="0"/>
                <w:sz w:val="16"/>
              </w:rPr>
              <w:t>Medium</w:t>
            </w:r>
          </w:p>
        </w:tc>
        <w:tc>
          <w:tcPr>
            <w:tcW w:type="dxa" w:w="1152"/>
          </w:tcPr>
          <w:p>
            <w:r/>
            <w:r>
              <w:rPr>
                <w:b w:val="0"/>
                <w:i w:val="0"/>
                <w:sz w:val="16"/>
              </w:rPr>
              <w:t>Before litigation</w:t>
            </w:r>
          </w:p>
        </w:tc>
      </w:tr>
      <w:tr>
        <w:tc>
          <w:tcPr>
            <w:tcW w:type="dxa" w:w="648"/>
          </w:tcPr>
          <w:p>
            <w:r/>
            <w:r>
              <w:rPr>
                <w:b w:val="0"/>
                <w:i w:val="0"/>
                <w:sz w:val="16"/>
              </w:rPr>
              <w:t>4.3</w:t>
            </w:r>
          </w:p>
        </w:tc>
        <w:tc>
          <w:tcPr>
            <w:tcW w:type="dxa" w:w="3168"/>
          </w:tcPr>
          <w:p>
            <w:r/>
            <w:r>
              <w:rPr>
                <w:b w:val="0"/>
                <w:i w:val="0"/>
                <w:sz w:val="16"/>
              </w:rPr>
              <w:t>Payments to lenders, noteholders, professionals not addressed</w:t>
            </w:r>
          </w:p>
        </w:tc>
        <w:tc>
          <w:tcPr>
            <w:tcW w:type="dxa" w:w="1224"/>
          </w:tcPr>
          <w:p>
            <w:r/>
            <w:r>
              <w:rPr>
                <w:b w:val="0"/>
                <w:i w:val="0"/>
                <w:sz w:val="16"/>
              </w:rPr>
              <w:t>Omission</w:t>
            </w:r>
          </w:p>
        </w:tc>
        <w:tc>
          <w:tcPr>
            <w:tcW w:type="dxa" w:w="2088"/>
          </w:tcPr>
          <w:p>
            <w:r/>
            <w:r>
              <w:rPr>
                <w:b w:val="0"/>
                <w:i w:val="0"/>
                <w:sz w:val="16"/>
              </w:rPr>
              <w:t>Unknown; potentially material</w:t>
            </w:r>
          </w:p>
        </w:tc>
        <w:tc>
          <w:tcPr>
            <w:tcW w:type="dxa" w:w="1080"/>
          </w:tcPr>
          <w:p>
            <w:r/>
            <w:r>
              <w:rPr>
                <w:b w:val="0"/>
                <w:i w:val="0"/>
                <w:sz w:val="16"/>
              </w:rPr>
              <w:t>Medium</w:t>
            </w:r>
          </w:p>
        </w:tc>
        <w:tc>
          <w:tcPr>
            <w:tcW w:type="dxa" w:w="1152"/>
          </w:tcPr>
          <w:p>
            <w:r/>
            <w:r>
              <w:rPr>
                <w:b w:val="0"/>
                <w:i w:val="0"/>
                <w:sz w:val="16"/>
              </w:rPr>
              <w:t>Data request now</w:t>
            </w:r>
          </w:p>
        </w:tc>
      </w:tr>
      <w:tr>
        <w:tc>
          <w:tcPr>
            <w:tcW w:type="dxa" w:w="648"/>
          </w:tcPr>
          <w:p>
            <w:r/>
            <w:r>
              <w:rPr>
                <w:b w:val="0"/>
                <w:i w:val="0"/>
                <w:sz w:val="16"/>
              </w:rPr>
              <w:t>4.5</w:t>
            </w:r>
          </w:p>
        </w:tc>
        <w:tc>
          <w:tcPr>
            <w:tcW w:type="dxa" w:w="3168"/>
          </w:tcPr>
          <w:p>
            <w:r/>
            <w:r>
              <w:rPr>
                <w:b w:val="0"/>
                <w:i w:val="0"/>
                <w:sz w:val="16"/>
              </w:rPr>
              <w:t>BrightMart setoff / § 553(b) not analyzed</w:t>
            </w:r>
          </w:p>
        </w:tc>
        <w:tc>
          <w:tcPr>
            <w:tcW w:type="dxa" w:w="1224"/>
          </w:tcPr>
          <w:p>
            <w:r/>
            <w:r>
              <w:rPr>
                <w:b w:val="0"/>
                <w:i w:val="0"/>
                <w:sz w:val="16"/>
              </w:rPr>
              <w:t>Omission</w:t>
            </w:r>
          </w:p>
        </w:tc>
        <w:tc>
          <w:tcPr>
            <w:tcW w:type="dxa" w:w="2088"/>
          </w:tcPr>
          <w:p>
            <w:r/>
            <w:r>
              <w:rPr>
                <w:b w:val="0"/>
                <w:i w:val="0"/>
                <w:sz w:val="16"/>
              </w:rPr>
              <w:t>Unknown (BrightMart claim ~$4.2M)</w:t>
            </w:r>
          </w:p>
        </w:tc>
        <w:tc>
          <w:tcPr>
            <w:tcW w:type="dxa" w:w="1080"/>
          </w:tcPr>
          <w:p>
            <w:r/>
            <w:r>
              <w:rPr>
                <w:b w:val="0"/>
                <w:i w:val="0"/>
                <w:sz w:val="16"/>
              </w:rPr>
              <w:t>Medium</w:t>
            </w:r>
          </w:p>
        </w:tc>
        <w:tc>
          <w:tcPr>
            <w:tcW w:type="dxa" w:w="1152"/>
          </w:tcPr>
          <w:p>
            <w:r/>
            <w:r>
              <w:rPr>
                <w:b w:val="0"/>
                <w:i w:val="0"/>
                <w:sz w:val="16"/>
              </w:rPr>
              <w:t>Data request now</w:t>
            </w:r>
          </w:p>
        </w:tc>
      </w:tr>
      <w:tr>
        <w:tc>
          <w:tcPr>
            <w:tcW w:type="dxa" w:w="648"/>
          </w:tcPr>
          <w:p>
            <w:r/>
            <w:r>
              <w:rPr>
                <w:b w:val="0"/>
                <w:i w:val="0"/>
                <w:sz w:val="16"/>
              </w:rPr>
              <w:t>4.7 / 3.10</w:t>
            </w:r>
          </w:p>
        </w:tc>
        <w:tc>
          <w:tcPr>
            <w:tcW w:type="dxa" w:w="3168"/>
          </w:tcPr>
          <w:p>
            <w:r/>
            <w:r>
              <w:rPr>
                <w:b w:val="0"/>
                <w:i w:val="0"/>
                <w:sz w:val="16"/>
              </w:rPr>
              <w:t>Glenbrook independence; CFO conflict; derivative standing</w:t>
            </w:r>
          </w:p>
        </w:tc>
        <w:tc>
          <w:tcPr>
            <w:tcW w:type="dxa" w:w="1224"/>
          </w:tcPr>
          <w:p>
            <w:r/>
            <w:r>
              <w:rPr>
                <w:b w:val="0"/>
                <w:i w:val="0"/>
                <w:sz w:val="16"/>
              </w:rPr>
              <w:t>Omission / Legal</w:t>
            </w:r>
          </w:p>
        </w:tc>
        <w:tc>
          <w:tcPr>
            <w:tcW w:type="dxa" w:w="2088"/>
          </w:tcPr>
          <w:p>
            <w:r/>
            <w:r>
              <w:rPr>
                <w:b w:val="0"/>
                <w:i w:val="0"/>
                <w:sz w:val="16"/>
              </w:rPr>
              <w:t>Process and credibility</w:t>
            </w:r>
          </w:p>
        </w:tc>
        <w:tc>
          <w:tcPr>
            <w:tcW w:type="dxa" w:w="1080"/>
          </w:tcPr>
          <w:p>
            <w:r/>
            <w:r>
              <w:rPr>
                <w:b w:val="0"/>
                <w:i w:val="0"/>
                <w:sz w:val="16"/>
              </w:rPr>
              <w:t>High</w:t>
            </w:r>
          </w:p>
        </w:tc>
        <w:tc>
          <w:tcPr>
            <w:tcW w:type="dxa" w:w="1152"/>
          </w:tcPr>
          <w:p>
            <w:r/>
            <w:r>
              <w:rPr>
                <w:b w:val="0"/>
                <w:i w:val="0"/>
                <w:sz w:val="16"/>
              </w:rPr>
              <w:t>Immediate</w:t>
            </w:r>
          </w:p>
        </w:tc>
      </w:tr>
      <w:tr>
        <w:tc>
          <w:tcPr>
            <w:tcW w:type="dxa" w:w="648"/>
          </w:tcPr>
          <w:p>
            <w:r/>
            <w:r>
              <w:rPr>
                <w:b w:val="0"/>
                <w:i w:val="0"/>
                <w:sz w:val="16"/>
              </w:rPr>
              <w:t>1.6, 1.2, 1.8</w:t>
            </w:r>
          </w:p>
        </w:tc>
        <w:tc>
          <w:tcPr>
            <w:tcW w:type="dxa" w:w="3168"/>
          </w:tcPr>
          <w:p>
            <w:r/>
            <w:r>
              <w:rPr>
                <w:b w:val="0"/>
                <w:i w:val="0"/>
                <w:sz w:val="16"/>
              </w:rPr>
              <w:t>Conflicting net totals; transfer counts; non-business-day dates</w:t>
            </w:r>
          </w:p>
        </w:tc>
        <w:tc>
          <w:tcPr>
            <w:tcW w:type="dxa" w:w="1224"/>
          </w:tcPr>
          <w:p>
            <w:r/>
            <w:r>
              <w:rPr>
                <w:b w:val="0"/>
                <w:i w:val="0"/>
                <w:sz w:val="16"/>
              </w:rPr>
              <w:t>Arithmetic</w:t>
            </w:r>
          </w:p>
        </w:tc>
        <w:tc>
          <w:tcPr>
            <w:tcW w:type="dxa" w:w="2088"/>
          </w:tcPr>
          <w:p>
            <w:r/>
            <w:r>
              <w:rPr>
                <w:b w:val="0"/>
                <w:i w:val="0"/>
                <w:sz w:val="16"/>
              </w:rPr>
              <w:t>Credibility of data</w:t>
            </w:r>
          </w:p>
        </w:tc>
        <w:tc>
          <w:tcPr>
            <w:tcW w:type="dxa" w:w="1080"/>
          </w:tcPr>
          <w:p>
            <w:r/>
            <w:r>
              <w:rPr>
                <w:b w:val="0"/>
                <w:i w:val="0"/>
                <w:sz w:val="16"/>
              </w:rPr>
              <w:t>Medium</w:t>
            </w:r>
          </w:p>
        </w:tc>
        <w:tc>
          <w:tcPr>
            <w:tcW w:type="dxa" w:w="1152"/>
          </w:tcPr>
          <w:p>
            <w:r/>
            <w:r>
              <w:rPr>
                <w:b w:val="0"/>
                <w:i w:val="0"/>
                <w:sz w:val="16"/>
              </w:rPr>
              <w:t>Data request now</w:t>
            </w:r>
          </w:p>
        </w:tc>
      </w:tr>
      <w:tr>
        <w:tc>
          <w:tcPr>
            <w:tcW w:type="dxa" w:w="648"/>
          </w:tcPr>
          <w:p>
            <w:r/>
            <w:r>
              <w:rPr>
                <w:b w:val="0"/>
                <w:i w:val="0"/>
                <w:sz w:val="16"/>
              </w:rPr>
              <w:t>4.2, 4.4, 4.6, 4.8</w:t>
            </w:r>
          </w:p>
        </w:tc>
        <w:tc>
          <w:tcPr>
            <w:tcW w:type="dxa" w:w="3168"/>
          </w:tcPr>
          <w:p>
            <w:r/>
            <w:r>
              <w:rPr>
                <w:b w:val="0"/>
                <w:i w:val="0"/>
                <w:sz w:val="16"/>
              </w:rPr>
              <w:t>Foreign enforcement, due diligence/venue, data gaps, §§ 544/548</w:t>
            </w:r>
          </w:p>
        </w:tc>
        <w:tc>
          <w:tcPr>
            <w:tcW w:type="dxa" w:w="1224"/>
          </w:tcPr>
          <w:p>
            <w:r/>
            <w:r>
              <w:rPr>
                <w:b w:val="0"/>
                <w:i w:val="0"/>
                <w:sz w:val="16"/>
              </w:rPr>
              <w:t>Omission</w:t>
            </w:r>
          </w:p>
        </w:tc>
        <w:tc>
          <w:tcPr>
            <w:tcW w:type="dxa" w:w="2088"/>
          </w:tcPr>
          <w:p>
            <w:r/>
            <w:r>
              <w:rPr>
                <w:b w:val="0"/>
                <w:i w:val="0"/>
                <w:sz w:val="16"/>
              </w:rPr>
              <w:t>Varies</w:t>
            </w:r>
          </w:p>
        </w:tc>
        <w:tc>
          <w:tcPr>
            <w:tcW w:type="dxa" w:w="1080"/>
          </w:tcPr>
          <w:p>
            <w:r/>
            <w:r>
              <w:rPr>
                <w:b w:val="0"/>
                <w:i w:val="0"/>
                <w:sz w:val="16"/>
              </w:rPr>
              <w:t>Medium</w:t>
            </w:r>
          </w:p>
        </w:tc>
        <w:tc>
          <w:tcPr>
            <w:tcW w:type="dxa" w:w="1152"/>
          </w:tcPr>
          <w:p>
            <w:r/>
            <w:r>
              <w:rPr>
                <w:b w:val="0"/>
                <w:i w:val="0"/>
                <w:sz w:val="16"/>
              </w:rPr>
              <w:t>Before litigation</w:t>
            </w:r>
          </w:p>
        </w:tc>
      </w:tr>
    </w:tbl>
    <w:p>
      <w:pPr>
        <w:spacing w:after="40"/>
      </w:pPr>
    </w:p>
    <w:p>
      <w:pPr>
        <w:pStyle w:val="Heading1"/>
      </w:pPr>
      <w:r>
        <w:t>IV. Category 1 — Arithmetic and Reconciliation Errors</w:t>
      </w:r>
    </w:p>
    <w:p>
      <w:pPr>
        <w:pStyle w:val="Heading3"/>
      </w:pPr>
      <w:r>
        <w:t>Issue 1.1: Headline gross exposure, tier subtotals and payee counts do not reconcile to Exhibit A</w:t>
      </w:r>
    </w:p>
    <w:p>
      <w:pPr>
        <w:spacing w:after="60"/>
      </w:pPr>
      <w:r>
        <w:rPr>
          <w:b/>
          <w:i w:val="0"/>
        </w:rPr>
        <w:t>Priority:</w:t>
      </w:r>
      <w:r>
        <w:rPr>
          <w:b w:val="0"/>
          <w:i w:val="0"/>
        </w:rPr>
        <w:t xml:space="preserve"> High / Immediate</w:t>
      </w:r>
    </w:p>
    <w:p>
      <w:pPr>
        <w:spacing w:after="120"/>
        <w:jc w:val="both"/>
      </w:pPr>
      <w:r>
        <w:rPr>
          <w:b/>
          <w:i w:val="0"/>
        </w:rPr>
        <w:t>(a) Description of the error or omission.</w:t>
      </w:r>
      <w:r>
        <w:rPr>
          <w:b w:val="0"/>
          <w:i w:val="0"/>
        </w:rPr>
        <w:t xml:space="preserve"> The Report gives aggregate gross exposure of $18,732,614 across 84 payees (Sections I, III.A; Exhibits A–C). Footing the payee-level amounts actually listed in Exhibit A gives a different answer at every level: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D9D9D9"/>
          </w:tcPr>
          <w:p>
            <w:r/>
            <w:r>
              <w:rPr>
                <w:b/>
                <w:sz w:val="16"/>
              </w:rPr>
              <w:t>Tier</w:t>
            </w:r>
          </w:p>
        </w:tc>
        <w:tc>
          <w:tcPr>
            <w:tcW w:type="dxa" w:w="2160"/>
            <w:shd w:val="clear" w:color="auto" w:fill="D9D9D9"/>
          </w:tcPr>
          <w:p>
            <w:r/>
            <w:r>
              <w:rPr>
                <w:b/>
                <w:sz w:val="16"/>
              </w:rPr>
              <w:t>Report (Sec. III.B / Exh. B)</w:t>
            </w:r>
          </w:p>
        </w:tc>
        <w:tc>
          <w:tcPr>
            <w:tcW w:type="dxa" w:w="2016"/>
            <w:shd w:val="clear" w:color="auto" w:fill="D9D9D9"/>
          </w:tcPr>
          <w:p>
            <w:r/>
            <w:r>
              <w:rPr>
                <w:b/>
                <w:sz w:val="16"/>
              </w:rPr>
              <w:t>Exh. A stated subtotal</w:t>
            </w:r>
          </w:p>
        </w:tc>
        <w:tc>
          <w:tcPr>
            <w:tcW w:type="dxa" w:w="2448"/>
            <w:shd w:val="clear" w:color="auto" w:fill="D9D9D9"/>
          </w:tcPr>
          <w:p>
            <w:r/>
            <w:r>
              <w:rPr>
                <w:b/>
                <w:sz w:val="16"/>
              </w:rPr>
              <w:t>Recomputed from Exh. A line items</w:t>
            </w:r>
          </w:p>
        </w:tc>
        <w:tc>
          <w:tcPr>
            <w:tcW w:type="dxa" w:w="1872"/>
            <w:shd w:val="clear" w:color="auto" w:fill="D9D9D9"/>
          </w:tcPr>
          <w:p>
            <w:r/>
            <w:r>
              <w:rPr>
                <w:b/>
                <w:sz w:val="16"/>
              </w:rPr>
              <w:t>Variance vs. Report</w:t>
            </w:r>
          </w:p>
        </w:tc>
      </w:tr>
      <w:tr>
        <w:tc>
          <w:tcPr>
            <w:tcW w:type="dxa" w:w="864"/>
          </w:tcPr>
          <w:p>
            <w:r/>
            <w:r>
              <w:rPr>
                <w:b w:val="0"/>
                <w:i w:val="0"/>
                <w:sz w:val="16"/>
              </w:rPr>
              <w:t>Tier 1</w:t>
            </w:r>
          </w:p>
        </w:tc>
        <w:tc>
          <w:tcPr>
            <w:tcW w:type="dxa" w:w="2160"/>
          </w:tcPr>
          <w:p>
            <w:r/>
            <w:r>
              <w:rPr>
                <w:b w:val="0"/>
                <w:i w:val="0"/>
                <w:sz w:val="16"/>
              </w:rPr>
              <w:t>6 payees / $12,567,000</w:t>
            </w:r>
          </w:p>
        </w:tc>
        <w:tc>
          <w:tcPr>
            <w:tcW w:type="dxa" w:w="2016"/>
          </w:tcPr>
          <w:p>
            <w:r/>
            <w:r>
              <w:rPr>
                <w:b w:val="0"/>
                <w:i w:val="0"/>
                <w:sz w:val="16"/>
              </w:rPr>
              <w:t>61 transfers / $12,800,000</w:t>
            </w:r>
          </w:p>
        </w:tc>
        <w:tc>
          <w:tcPr>
            <w:tcW w:type="dxa" w:w="2448"/>
          </w:tcPr>
          <w:p>
            <w:r/>
            <w:r>
              <w:rPr>
                <w:b w:val="0"/>
                <w:i w:val="0"/>
                <w:sz w:val="16"/>
              </w:rPr>
              <w:t>3 payees / 61 transfers / $12,800,000</w:t>
            </w:r>
          </w:p>
        </w:tc>
        <w:tc>
          <w:tcPr>
            <w:tcW w:type="dxa" w:w="1872"/>
          </w:tcPr>
          <w:p>
            <w:r/>
            <w:r>
              <w:rPr>
                <w:b w:val="0"/>
                <w:i w:val="0"/>
                <w:sz w:val="16"/>
              </w:rPr>
              <w:t>+$233,000; 3 payees missing</w:t>
            </w:r>
          </w:p>
        </w:tc>
      </w:tr>
      <w:tr>
        <w:tc>
          <w:tcPr>
            <w:tcW w:type="dxa" w:w="864"/>
          </w:tcPr>
          <w:p>
            <w:r/>
            <w:r>
              <w:rPr>
                <w:b w:val="0"/>
                <w:i w:val="0"/>
                <w:sz w:val="16"/>
              </w:rPr>
              <w:t>Tier 2</w:t>
            </w:r>
          </w:p>
        </w:tc>
        <w:tc>
          <w:tcPr>
            <w:tcW w:type="dxa" w:w="2160"/>
          </w:tcPr>
          <w:p>
            <w:r/>
            <w:r>
              <w:rPr>
                <w:b w:val="0"/>
                <w:i w:val="0"/>
                <w:sz w:val="16"/>
              </w:rPr>
              <w:t>19 payees / $4,221,614</w:t>
            </w:r>
          </w:p>
        </w:tc>
        <w:tc>
          <w:tcPr>
            <w:tcW w:type="dxa" w:w="2016"/>
          </w:tcPr>
          <w:p>
            <w:r/>
            <w:r>
              <w:rPr>
                <w:b w:val="0"/>
                <w:i w:val="0"/>
                <w:sz w:val="16"/>
              </w:rPr>
              <w:t>77 transfers / $9,543,000</w:t>
            </w:r>
          </w:p>
        </w:tc>
        <w:tc>
          <w:tcPr>
            <w:tcW w:type="dxa" w:w="2448"/>
          </w:tcPr>
          <w:p>
            <w:r/>
            <w:r>
              <w:rPr>
                <w:b w:val="0"/>
                <w:i w:val="0"/>
                <w:sz w:val="16"/>
              </w:rPr>
              <w:t>19 payees / 84 transfers / $9,543,000</w:t>
            </w:r>
          </w:p>
        </w:tc>
        <w:tc>
          <w:tcPr>
            <w:tcW w:type="dxa" w:w="1872"/>
          </w:tcPr>
          <w:p>
            <w:r/>
            <w:r>
              <w:rPr>
                <w:b w:val="0"/>
                <w:i w:val="0"/>
                <w:sz w:val="16"/>
              </w:rPr>
              <w:t>+$5,321,386</w:t>
            </w:r>
          </w:p>
        </w:tc>
      </w:tr>
      <w:tr>
        <w:tc>
          <w:tcPr>
            <w:tcW w:type="dxa" w:w="864"/>
          </w:tcPr>
          <w:p>
            <w:r/>
            <w:r>
              <w:rPr>
                <w:b w:val="0"/>
                <w:i w:val="0"/>
                <w:sz w:val="16"/>
              </w:rPr>
              <w:t>Tier 3</w:t>
            </w:r>
          </w:p>
        </w:tc>
        <w:tc>
          <w:tcPr>
            <w:tcW w:type="dxa" w:w="2160"/>
          </w:tcPr>
          <w:p>
            <w:r/>
            <w:r>
              <w:rPr>
                <w:b w:val="0"/>
                <w:i w:val="0"/>
                <w:sz w:val="16"/>
              </w:rPr>
              <w:t>59 payees / $1,944,000</w:t>
            </w:r>
          </w:p>
        </w:tc>
        <w:tc>
          <w:tcPr>
            <w:tcW w:type="dxa" w:w="2016"/>
          </w:tcPr>
          <w:p>
            <w:r/>
            <w:r>
              <w:rPr>
                <w:b w:val="0"/>
                <w:i w:val="0"/>
                <w:sz w:val="16"/>
              </w:rPr>
              <w:t>62 transfers / $1,944,000</w:t>
            </w:r>
          </w:p>
        </w:tc>
        <w:tc>
          <w:tcPr>
            <w:tcW w:type="dxa" w:w="2448"/>
          </w:tcPr>
          <w:p>
            <w:r/>
            <w:r>
              <w:rPr>
                <w:b w:val="0"/>
                <w:i w:val="0"/>
                <w:sz w:val="16"/>
              </w:rPr>
              <w:t>59 payees / 70 transfers / $1,772,581</w:t>
            </w:r>
          </w:p>
        </w:tc>
        <w:tc>
          <w:tcPr>
            <w:tcW w:type="dxa" w:w="1872"/>
          </w:tcPr>
          <w:p>
            <w:r/>
            <w:r>
              <w:rPr>
                <w:b w:val="0"/>
                <w:i w:val="0"/>
                <w:sz w:val="16"/>
              </w:rPr>
              <w:t>−$171,419</w:t>
            </w:r>
          </w:p>
        </w:tc>
      </w:tr>
      <w:tr>
        <w:tc>
          <w:tcPr>
            <w:tcW w:type="dxa" w:w="864"/>
          </w:tcPr>
          <w:p>
            <w:r/>
            <w:r>
              <w:rPr>
                <w:b w:val="0"/>
                <w:i w:val="0"/>
                <w:sz w:val="16"/>
              </w:rPr>
              <w:t>Total</w:t>
            </w:r>
          </w:p>
        </w:tc>
        <w:tc>
          <w:tcPr>
            <w:tcW w:type="dxa" w:w="2160"/>
          </w:tcPr>
          <w:p>
            <w:r/>
            <w:r>
              <w:rPr>
                <w:b w:val="0"/>
                <w:i w:val="0"/>
                <w:sz w:val="16"/>
              </w:rPr>
              <w:t>84 payees / 237 transfers / $18,732,614</w:t>
            </w:r>
          </w:p>
        </w:tc>
        <w:tc>
          <w:tcPr>
            <w:tcW w:type="dxa" w:w="2016"/>
          </w:tcPr>
          <w:p>
            <w:r/>
            <w:r>
              <w:rPr>
                <w:b w:val="0"/>
                <w:i w:val="0"/>
                <w:sz w:val="16"/>
              </w:rPr>
              <w:t>237 transfers / $18,732,614</w:t>
            </w:r>
          </w:p>
        </w:tc>
        <w:tc>
          <w:tcPr>
            <w:tcW w:type="dxa" w:w="2448"/>
          </w:tcPr>
          <w:p>
            <w:r/>
            <w:r>
              <w:rPr>
                <w:b w:val="0"/>
                <w:i w:val="0"/>
                <w:sz w:val="16"/>
              </w:rPr>
              <w:t>81 payees / 215 transfers / $24,115,581</w:t>
            </w:r>
          </w:p>
        </w:tc>
        <w:tc>
          <w:tcPr>
            <w:tcW w:type="dxa" w:w="1872"/>
          </w:tcPr>
          <w:p>
            <w:r/>
            <w:r>
              <w:rPr>
                <w:b w:val="0"/>
                <w:i w:val="0"/>
                <w:sz w:val="16"/>
              </w:rPr>
              <w:t>+$5,382,967</w:t>
            </w:r>
          </w:p>
        </w:tc>
      </w:tr>
    </w:tbl>
    <w:p>
      <w:pPr>
        <w:spacing w:after="40"/>
      </w:pPr>
    </w:p>
    <w:p>
      <w:pPr>
        <w:spacing w:after="120"/>
        <w:jc w:val="both"/>
      </w:pPr>
      <w:r>
        <w:rPr>
          <w:b w:val="0"/>
          <w:i w:val="0"/>
        </w:rPr>
        <w:t>The Tier 1 figure of $12,567,000 is lower than the sum of the three named Tier 1 payees ($6.8M + $3.1M + $2.9M = $12.8M). It is arithmetically impossible for six payees to total less than three of them. Exhibit B repeats the error, stating a $12,567,000 “Total” directly beneath line items that sum to $12,800,000. The Tier 2 figure of $4,221,614 is the only non-round number in the Report. It appears to be a balancing figure (total minus Tier 1 and Tier 3), not a sum of payees. Three of the 84 payees are never identified anywhere.</w:t>
      </w:r>
    </w:p>
    <w:p>
      <w:pPr>
        <w:spacing w:after="120"/>
        <w:jc w:val="both"/>
      </w:pPr>
      <w:r>
        <w:rPr>
          <w:b/>
          <w:i w:val="0"/>
        </w:rPr>
        <w:t>(b) Legal and practical significance.</w:t>
      </w:r>
      <w:r>
        <w:rPr>
          <w:b w:val="0"/>
          <w:i w:val="0"/>
        </w:rPr>
        <w:t xml:space="preserve"> The gross figure is the starting point for every net exposure figure, settlement reserve and Committee recovery projection. A $5.38 million unexplained gap means Glenbrook either (i) left payees or transfers out of the headline, or (ii) overstated payee-level amounts in the exhibits. Either way, the Report’s claim of a “dual-source methodology” matching the ERP to bank clearings (Section II.C) is not borne out. Opposing counsel at Westbrook or any defendant would exploit these inconsistencies to discredit the analysis.</w:t>
      </w:r>
    </w:p>
    <w:p>
      <w:pPr>
        <w:spacing w:after="120"/>
        <w:jc w:val="both"/>
      </w:pPr>
      <w:r>
        <w:rPr>
          <w:b/>
          <w:i w:val="0"/>
        </w:rPr>
        <w:t>(c) Dollar impact.</w:t>
      </w:r>
      <w:r>
        <w:rPr>
          <w:b w:val="0"/>
          <w:i w:val="0"/>
        </w:rPr>
        <w:t xml:space="preserve"> Up to +$5,382,967 in gross exposure if Exhibit A is accurate. I have used the Exhibit A line items as the base for the corrected estimate in Section VIII and show the headline-based alternative as a sensitivity.</w:t>
      </w:r>
    </w:p>
    <w:p>
      <w:pPr>
        <w:spacing w:after="120"/>
        <w:jc w:val="both"/>
      </w:pPr>
      <w:r>
        <w:rPr>
          <w:b/>
          <w:i w:val="0"/>
        </w:rPr>
        <w:t>(d) Corrected calculation.</w:t>
      </w:r>
      <w:r>
        <w:rPr>
          <w:b w:val="0"/>
          <w:i w:val="0"/>
        </w:rPr>
        <w:t xml:space="preserve"> Corrected gross from Exhibit A line items: $12,800,000 (3 payees) + $9,543,000 (19 payees) + $1,772,581 (59 payees) = </w:t>
      </w:r>
      <w:r>
        <w:rPr>
          <w:b/>
          <w:i w:val="0"/>
        </w:rPr>
        <w:t>$24,115,581</w:t>
      </w:r>
      <w:r>
        <w:rPr>
          <w:b w:val="0"/>
          <w:i w:val="0"/>
        </w:rPr>
        <w:t xml:space="preserve"> (81 payees, 215 transfers). The three missing payees and 22 missing transfers cannot be quantified from the materials provided.</w:t>
      </w:r>
    </w:p>
    <w:p>
      <w:pPr>
        <w:spacing w:after="40"/>
      </w:pPr>
      <w:r>
        <w:rPr>
          <w:b/>
          <w:i w:val="0"/>
        </w:rPr>
        <w:t>(e) Recommended next steps.</w:t>
      </w:r>
    </w:p>
    <w:p>
      <w:pPr>
        <w:pStyle w:val="ListBullet"/>
        <w:spacing w:after="60"/>
      </w:pPr>
      <w:r>
        <w:rPr>
          <w:b w:val="0"/>
          <w:i w:val="0"/>
        </w:rPr>
        <w:t>Request through you that Glenbrook produce the native transfer-level data (ERP disbursement extract and bank clearing match) for all 237 transfers and identify the three missing payees.</w:t>
      </w:r>
    </w:p>
    <w:p>
      <w:pPr>
        <w:pStyle w:val="ListBullet"/>
        <w:spacing w:after="60"/>
      </w:pPr>
      <w:r>
        <w:rPr>
          <w:b w:val="0"/>
          <w:i w:val="0"/>
        </w:rPr>
        <w:t>Ask Pinehurst to rebuild the payee summary independently from bank statements for all Debtor accounts.</w:t>
      </w:r>
    </w:p>
    <w:p>
      <w:pPr>
        <w:pStyle w:val="ListBullet"/>
        <w:spacing w:after="60"/>
      </w:pPr>
      <w:r>
        <w:rPr>
          <w:b w:val="0"/>
          <w:i w:val="0"/>
        </w:rPr>
        <w:t>Do not use the $18.7M or $10.5M/$11.2M figures in Committee materials until this is reconciled.</w:t>
      </w:r>
    </w:p>
    <w:p>
      <w:pPr>
        <w:pStyle w:val="Heading3"/>
      </w:pPr>
      <w:r>
        <w:t>Issue 1.2: Transfer counts are internally inconsistent</w:t>
      </w:r>
    </w:p>
    <w:p>
      <w:pPr>
        <w:spacing w:after="60"/>
      </w:pPr>
      <w:r>
        <w:rPr>
          <w:b/>
          <w:i w:val="0"/>
        </w:rPr>
        <w:t>Priority:</w:t>
      </w:r>
      <w:r>
        <w:rPr>
          <w:b w:val="0"/>
          <w:i w:val="0"/>
        </w:rPr>
        <w:t xml:space="preserve"> Medium / Data request now</w:t>
      </w:r>
    </w:p>
    <w:p>
      <w:pPr>
        <w:spacing w:after="120"/>
        <w:jc w:val="both"/>
      </w:pPr>
      <w:r>
        <w:rPr>
          <w:b/>
          <w:i w:val="0"/>
        </w:rPr>
        <w:t>(a) Description of the error or omission.</w:t>
      </w:r>
      <w:r>
        <w:rPr>
          <w:b w:val="0"/>
          <w:i w:val="0"/>
        </w:rPr>
        <w:t xml:space="preserve"> The Report says 237 transfers. Exhibit A’s subtotals give 61 + 77 + 62 = 200, and its line items give 61 + 84 + 70 = 215. Exhibit C gives 94 detailed transfers (seven payees), plus 37 for the “remaining 15 Tier 2 payees” (Exhibit A shows 51 for those same payees), plus 99 for Tier 3 (Exhibit A shows 70), for 230. Footnote 2 to Exhibit A says the total includes “37 transfers to Tier 3 payees not individually listed (aggregate amounts ranging from $5,001 to $4,950).” That statement is incoherent: the range runs backwards, and all 59 Tier 3 payees are in fact listed.</w:t>
      </w:r>
    </w:p>
    <w:p>
      <w:pPr>
        <w:spacing w:after="120"/>
        <w:jc w:val="both"/>
      </w:pPr>
      <w:r>
        <w:rPr>
          <w:b/>
          <w:i w:val="0"/>
        </w:rPr>
        <w:t>(b) Legal and practical significance.</w:t>
      </w:r>
      <w:r>
        <w:rPr>
          <w:b w:val="0"/>
          <w:i w:val="0"/>
        </w:rPr>
        <w:t xml:space="preserve"> Transfer counts drive the § 547(c)(9) analysis, ordinary course timing, and new value sequencing, and they must match the bank records for any complaint. The inconsistencies suggest that summary rows were adjusted to hit a predetermined total.</w:t>
      </w:r>
    </w:p>
    <w:p>
      <w:pPr>
        <w:spacing w:after="120"/>
        <w:jc w:val="both"/>
      </w:pPr>
      <w:r>
        <w:rPr>
          <w:b/>
          <w:i w:val="0"/>
        </w:rPr>
        <w:t>(c) Dollar impact.</w:t>
      </w:r>
      <w:r>
        <w:rPr>
          <w:b w:val="0"/>
          <w:i w:val="0"/>
        </w:rPr>
        <w:t xml:space="preserve"> Not separately quantifiable; affects the reliability of every payee total.</w:t>
      </w:r>
    </w:p>
    <w:p>
      <w:pPr>
        <w:spacing w:after="120"/>
        <w:jc w:val="both"/>
      </w:pPr>
      <w:r>
        <w:rPr>
          <w:b/>
          <w:i w:val="0"/>
        </w:rPr>
        <w:t>(d) Corrected calculation.</w:t>
      </w:r>
      <w:r>
        <w:rPr>
          <w:b w:val="0"/>
          <w:i w:val="0"/>
        </w:rPr>
        <w:t xml:space="preserve"> No reliable corrected count is possible without the transfer-level data. On Exhibit A’s line items, 215 transfers to 81 payees are documented.</w:t>
      </w:r>
    </w:p>
    <w:p>
      <w:pPr>
        <w:spacing w:after="40"/>
      </w:pPr>
      <w:r>
        <w:rPr>
          <w:b/>
          <w:i w:val="0"/>
        </w:rPr>
        <w:t>(e) Recommended next steps.</w:t>
      </w:r>
    </w:p>
    <w:p>
      <w:pPr>
        <w:pStyle w:val="ListBullet"/>
        <w:spacing w:after="60"/>
      </w:pPr>
      <w:r>
        <w:rPr>
          <w:b w:val="0"/>
          <w:i w:val="0"/>
        </w:rPr>
        <w:t>Include a reconciled transfer count in the document request (Issue 1.1).</w:t>
      </w:r>
    </w:p>
    <w:p>
      <w:pPr>
        <w:pStyle w:val="ListBullet"/>
        <w:spacing w:after="60"/>
      </w:pPr>
      <w:r>
        <w:rPr>
          <w:b w:val="0"/>
          <w:i w:val="0"/>
        </w:rPr>
        <w:t>Ask Glenbrook to explain Footnote 2 and the 37-transfer figure in writing.</w:t>
      </w:r>
    </w:p>
    <w:p>
      <w:pPr>
        <w:pStyle w:val="Heading3"/>
      </w:pPr>
      <w:r>
        <w:t>Issue 1.3: Vanderhoff Exhibit C transfers total $6,979,000, not $6,800,000</w:t>
      </w:r>
    </w:p>
    <w:p>
      <w:pPr>
        <w:spacing w:after="60"/>
      </w:pPr>
      <w:r>
        <w:rPr>
          <w:b/>
          <w:i w:val="0"/>
        </w:rPr>
        <w:t>Priority:</w:t>
      </w:r>
      <w:r>
        <w:rPr>
          <w:b w:val="0"/>
          <w:i w:val="0"/>
        </w:rPr>
        <w:t xml:space="preserve"> Medium / Before demands</w:t>
      </w:r>
    </w:p>
    <w:p>
      <w:pPr>
        <w:spacing w:after="120"/>
        <w:jc w:val="both"/>
      </w:pPr>
      <w:r>
        <w:rPr>
          <w:b/>
          <w:i w:val="0"/>
        </w:rPr>
        <w:t>(a) Description of the error or omission.</w:t>
      </w:r>
      <w:r>
        <w:rPr>
          <w:b w:val="0"/>
          <w:i w:val="0"/>
        </w:rPr>
        <w:t xml:space="preserve"> The 28 Vanderhoff transfers listed in Exhibit C (VCS-001 through VCS-028), and the same 28 payments in Exhibit E, sum to </w:t>
      </w:r>
      <w:r>
        <w:rPr>
          <w:b/>
          <w:i w:val="0"/>
        </w:rPr>
        <w:t>$6,979,000</w:t>
      </w:r>
      <w:r>
        <w:rPr>
          <w:b w:val="0"/>
          <w:i w:val="0"/>
        </w:rPr>
        <w:t>. Both exhibits state a subtotal of $6,800,000.</w:t>
      </w:r>
    </w:p>
    <w:p>
      <w:pPr>
        <w:spacing w:after="120"/>
        <w:jc w:val="both"/>
      </w:pPr>
      <w:r>
        <w:rPr>
          <w:b/>
          <w:i w:val="0"/>
        </w:rPr>
        <w:t>(b) Legal and practical significance.</w:t>
      </w:r>
      <w:r>
        <w:rPr>
          <w:b w:val="0"/>
          <w:i w:val="0"/>
        </w:rPr>
        <w:t xml:space="preserve"> Vanderhoff is the largest target. Understating its gross transfers by $179,000 understates the claim and carries through to the new value netting and the net exposure.</w:t>
      </w:r>
    </w:p>
    <w:p>
      <w:pPr>
        <w:spacing w:after="120"/>
        <w:jc w:val="both"/>
      </w:pPr>
      <w:r>
        <w:rPr>
          <w:b/>
          <w:i w:val="0"/>
        </w:rPr>
        <w:t>(c) Dollar impact.</w:t>
      </w:r>
      <w:r>
        <w:rPr>
          <w:b w:val="0"/>
          <w:i w:val="0"/>
        </w:rPr>
        <w:t xml:space="preserve"> +$179,000 gross (and net) exposure.</w:t>
      </w:r>
    </w:p>
    <w:p>
      <w:pPr>
        <w:spacing w:after="120"/>
        <w:jc w:val="both"/>
      </w:pPr>
      <w:r>
        <w:rPr>
          <w:b/>
          <w:i w:val="0"/>
        </w:rPr>
        <w:t>(d) Corrected calculation.</w:t>
      </w:r>
      <w:r>
        <w:rPr>
          <w:b w:val="0"/>
          <w:i w:val="0"/>
        </w:rPr>
        <w:t xml:space="preserve"> Sum of VCS-001 to VCS-028 = $6,979,000. Corrected net after properly applied new value: see Issue 3.5.</w:t>
      </w:r>
    </w:p>
    <w:p>
      <w:pPr>
        <w:spacing w:after="40"/>
      </w:pPr>
      <w:r>
        <w:rPr>
          <w:b/>
          <w:i w:val="0"/>
        </w:rPr>
        <w:t>(e) Recommended next steps.</w:t>
      </w:r>
    </w:p>
    <w:p>
      <w:pPr>
        <w:pStyle w:val="ListBullet"/>
        <w:spacing w:after="60"/>
      </w:pPr>
      <w:r>
        <w:rPr>
          <w:b w:val="0"/>
          <w:i w:val="0"/>
        </w:rPr>
        <w:t>Confirm against the bank statements, especially the three transfers dated on non-business days (Issue 1.8).</w:t>
      </w:r>
    </w:p>
    <w:p>
      <w:pPr>
        <w:pStyle w:val="Heading3"/>
      </w:pPr>
      <w:r>
        <w:t>Issue 1.4: TerraFreight Exhibit C transfers total $2,567,000, not $2,900,000</w:t>
      </w:r>
    </w:p>
    <w:p>
      <w:pPr>
        <w:spacing w:after="60"/>
      </w:pPr>
      <w:r>
        <w:rPr>
          <w:b/>
          <w:i w:val="0"/>
        </w:rPr>
        <w:t>Priority:</w:t>
      </w:r>
      <w:r>
        <w:rPr>
          <w:b w:val="0"/>
          <w:i w:val="0"/>
        </w:rPr>
        <w:t xml:space="preserve"> Medium / Before demands</w:t>
      </w:r>
    </w:p>
    <w:p>
      <w:pPr>
        <w:spacing w:after="120"/>
        <w:jc w:val="both"/>
      </w:pPr>
      <w:r>
        <w:rPr>
          <w:b/>
          <w:i w:val="0"/>
        </w:rPr>
        <w:t>(a) Description of the error or omission.</w:t>
      </w:r>
      <w:r>
        <w:rPr>
          <w:b w:val="0"/>
          <w:i w:val="0"/>
        </w:rPr>
        <w:t xml:space="preserve"> The 19 TerraFreight transfers (TFL-001 through TFL-019) sum to </w:t>
      </w:r>
      <w:r>
        <w:rPr>
          <w:b/>
          <w:i w:val="0"/>
        </w:rPr>
        <w:t>$2,567,000</w:t>
      </w:r>
      <w:r>
        <w:rPr>
          <w:b w:val="0"/>
          <w:i w:val="0"/>
        </w:rPr>
        <w:t>. The Report uses $2,900,000 in Section IV.C, Section V.A, the V.E table and Exhibits A–C. Its ordinary course split ($2,100,000 qualifying / $800,000 not qualifying) is therefore built on a base that does not exist in the detail.</w:t>
      </w:r>
    </w:p>
    <w:p>
      <w:pPr>
        <w:spacing w:after="120"/>
        <w:jc w:val="both"/>
      </w:pPr>
      <w:r>
        <w:rPr>
          <w:b/>
          <w:i w:val="0"/>
        </w:rPr>
        <w:t>(b) Legal and practical significance.</w:t>
      </w:r>
      <w:r>
        <w:rPr>
          <w:b w:val="0"/>
          <w:i w:val="0"/>
        </w:rPr>
        <w:t xml:space="preserve"> Either the detail is incomplete or the payee total is overstated by $333,000. Either way, the $2.1M ordinary course credit cannot be tied to particular transfers, and the transferee bears that burden under § 547(g).</w:t>
      </w:r>
    </w:p>
    <w:p>
      <w:pPr>
        <w:spacing w:after="120"/>
        <w:jc w:val="both"/>
      </w:pPr>
      <w:r>
        <w:rPr>
          <w:b/>
          <w:i w:val="0"/>
        </w:rPr>
        <w:t>(c) Dollar impact.</w:t>
      </w:r>
      <w:r>
        <w:rPr>
          <w:b w:val="0"/>
          <w:i w:val="0"/>
        </w:rPr>
        <w:t xml:space="preserve"> −$333,000 gross exposure (if the detail is correct).</w:t>
      </w:r>
    </w:p>
    <w:p>
      <w:pPr>
        <w:spacing w:after="120"/>
        <w:jc w:val="both"/>
      </w:pPr>
      <w:r>
        <w:rPr>
          <w:b/>
          <w:i w:val="0"/>
        </w:rPr>
        <w:t>(d) Corrected calculation.</w:t>
      </w:r>
      <w:r>
        <w:rPr>
          <w:b w:val="0"/>
          <w:i w:val="0"/>
        </w:rPr>
        <w:t xml:space="preserve"> Sum of TFL-001 to TFL-019 = $2,567,000. The ordinary course credit is withdrawn pending a transfer-by-transfer analysis (Issue 3.3).</w:t>
      </w:r>
    </w:p>
    <w:p>
      <w:pPr>
        <w:spacing w:after="40"/>
      </w:pPr>
      <w:r>
        <w:rPr>
          <w:b/>
          <w:i w:val="0"/>
        </w:rPr>
        <w:t>(e) Recommended next steps.</w:t>
      </w:r>
    </w:p>
    <w:p>
      <w:pPr>
        <w:pStyle w:val="ListBullet"/>
        <w:spacing w:after="60"/>
      </w:pPr>
      <w:r>
        <w:rPr>
          <w:b w:val="0"/>
          <w:i w:val="0"/>
        </w:rPr>
        <w:t>Request the TerraFreight invoices (invoice dates and amounts) for all 19 transfers and 24 months of pre-preference payment history.</w:t>
      </w:r>
    </w:p>
    <w:p>
      <w:pPr>
        <w:pStyle w:val="Heading3"/>
      </w:pPr>
      <w:r>
        <w:t>Issue 1.5: Exhibit E new value credits total $3,100,000, not $3,200,000</w:t>
      </w:r>
    </w:p>
    <w:p>
      <w:pPr>
        <w:spacing w:after="60"/>
      </w:pPr>
      <w:r>
        <w:rPr>
          <w:b/>
          <w:i w:val="0"/>
        </w:rPr>
        <w:t>Priority:</w:t>
      </w:r>
      <w:r>
        <w:rPr>
          <w:b w:val="0"/>
          <w:i w:val="0"/>
        </w:rPr>
        <w:t xml:space="preserve"> High / Before demands</w:t>
      </w:r>
    </w:p>
    <w:p>
      <w:pPr>
        <w:spacing w:after="120"/>
        <w:jc w:val="both"/>
      </w:pPr>
      <w:r>
        <w:rPr>
          <w:b/>
          <w:i w:val="0"/>
        </w:rPr>
        <w:t>(a) Description of the error or omission.</w:t>
      </w:r>
      <w:r>
        <w:rPr>
          <w:b w:val="0"/>
          <w:i w:val="0"/>
        </w:rPr>
        <w:t xml:space="preserve"> The 17 new value shipments credited in Exhibit E (PO-MCP-7721 through PO-MCP-7891) sum to </w:t>
      </w:r>
      <w:r>
        <w:rPr>
          <w:b/>
          <w:i w:val="0"/>
        </w:rPr>
        <w:t>$3,100,000</w:t>
      </w:r>
      <w:r>
        <w:rPr>
          <w:b w:val="0"/>
          <w:i w:val="0"/>
        </w:rPr>
        <w:t>. The Report claims $3,200,000 in Sections IV.A and V.C, the V.E table and the Exhibit E summary. It also says the net is $6,800,000 − $3,200,000 = $3,600,000. On Exhibit E’s own figures, the net is $6,979,000 − $3,100,000 = $3,879,000, even before the sequencing errors discussed in Issue 3.5.</w:t>
      </w:r>
    </w:p>
    <w:p>
      <w:pPr>
        <w:spacing w:after="120"/>
        <w:jc w:val="both"/>
      </w:pPr>
      <w:r>
        <w:rPr>
          <w:b/>
          <w:i w:val="0"/>
        </w:rPr>
        <w:t>(b) Legal and practical significance.</w:t>
      </w:r>
      <w:r>
        <w:rPr>
          <w:b w:val="0"/>
          <w:i w:val="0"/>
        </w:rPr>
        <w:t xml:space="preserve"> The defense is overstated by $100,000 on simple arithmetic alone, before any legal objection.</w:t>
      </w:r>
    </w:p>
    <w:p>
      <w:pPr>
        <w:spacing w:after="120"/>
        <w:jc w:val="both"/>
      </w:pPr>
      <w:r>
        <w:rPr>
          <w:b/>
          <w:i w:val="0"/>
        </w:rPr>
        <w:t>(c) Dollar impact.</w:t>
      </w:r>
      <w:r>
        <w:rPr>
          <w:b w:val="0"/>
          <w:i w:val="0"/>
        </w:rPr>
        <w:t xml:space="preserve"> +$100,000 net exposure from the arithmetic error alone. The total Vanderhoff correction is addressed in Issue 3.5.</w:t>
      </w:r>
    </w:p>
    <w:p>
      <w:pPr>
        <w:spacing w:after="120"/>
        <w:jc w:val="both"/>
      </w:pPr>
      <w:r>
        <w:rPr>
          <w:b/>
          <w:i w:val="0"/>
        </w:rPr>
        <w:t>(d) Corrected calculation.</w:t>
      </w:r>
      <w:r>
        <w:rPr>
          <w:b w:val="0"/>
          <w:i w:val="0"/>
        </w:rPr>
        <w:t xml:space="preserve"> $450,000 + $380,000 + $320,000 + $185,000 + $120,000 + $145,000 + $110,000 + $95,000 + $130,000 + $105,000 + $140,000 + $115,000 + $125,000 + $110,000 + $90,000 + $80,000 + $400,000 = $3,100,000.</w:t>
      </w:r>
    </w:p>
    <w:p>
      <w:pPr>
        <w:spacing w:after="40"/>
      </w:pPr>
      <w:r>
        <w:rPr>
          <w:b/>
          <w:i w:val="0"/>
        </w:rPr>
        <w:t>(e) Recommended next steps.</w:t>
      </w:r>
    </w:p>
    <w:p>
      <w:pPr>
        <w:pStyle w:val="ListBullet"/>
        <w:spacing w:after="60"/>
      </w:pPr>
      <w:r>
        <w:rPr>
          <w:b w:val="0"/>
          <w:i w:val="0"/>
        </w:rPr>
        <w:t>Have Pinehurst re-run the new value ledger from Vanderhoff’s shipping and receiving records (bills of lading, receiving reports), not from POs.</w:t>
      </w:r>
    </w:p>
    <w:p>
      <w:pPr>
        <w:pStyle w:val="Heading3"/>
      </w:pPr>
      <w:r>
        <w:t>Issue 1.6: Two different net exposure figures</w:t>
      </w:r>
    </w:p>
    <w:p>
      <w:pPr>
        <w:spacing w:after="60"/>
      </w:pPr>
      <w:r>
        <w:rPr>
          <w:b/>
          <w:i w:val="0"/>
        </w:rPr>
        <w:t>Priority:</w:t>
      </w:r>
      <w:r>
        <w:rPr>
          <w:b w:val="0"/>
          <w:i w:val="0"/>
        </w:rPr>
        <w:t xml:space="preserve"> Medium / Data request now</w:t>
      </w:r>
    </w:p>
    <w:p>
      <w:pPr>
        <w:spacing w:after="120"/>
        <w:jc w:val="both"/>
      </w:pPr>
      <w:r>
        <w:rPr>
          <w:b/>
          <w:i w:val="0"/>
        </w:rPr>
        <w:t>(a) Description of the error or omission.</w:t>
      </w:r>
      <w:r>
        <w:rPr>
          <w:b w:val="0"/>
          <w:i w:val="0"/>
        </w:rPr>
        <w:t xml:space="preserve"> The Executive Summary states net exposure of “approximately $11.2 million.” Section V.E computes $18,732,614 − $8,230,000 = </w:t>
      </w:r>
      <w:r>
        <w:rPr>
          <w:b/>
          <w:i w:val="0"/>
        </w:rPr>
        <w:t>$10,502,614</w:t>
      </w:r>
      <w:r>
        <w:rPr>
          <w:b w:val="0"/>
          <w:i w:val="0"/>
        </w:rPr>
        <w:t>. The defense total of $8,230,000 does foot ($2.1M + $0.84M + $1.34M + $3.2M + $0.75M), but the $11.2M figure does not tie to anything in the Report.</w:t>
      </w:r>
    </w:p>
    <w:p>
      <w:pPr>
        <w:spacing w:after="120"/>
        <w:jc w:val="both"/>
      </w:pPr>
      <w:r>
        <w:rPr>
          <w:b/>
          <w:i w:val="0"/>
        </w:rPr>
        <w:t>(b) Legal and practical significance.</w:t>
      </w:r>
      <w:r>
        <w:rPr>
          <w:b w:val="0"/>
          <w:i w:val="0"/>
        </w:rPr>
        <w:t xml:space="preserve"> Conflicting bottom lines undermine the Report as a basis for settlement or Committee reporting, and they suggest the Executive Summary was not updated after the analysis changed.</w:t>
      </w:r>
    </w:p>
    <w:p>
      <w:pPr>
        <w:spacing w:after="120"/>
        <w:jc w:val="both"/>
      </w:pPr>
      <w:r>
        <w:rPr>
          <w:b/>
          <w:i w:val="0"/>
        </w:rPr>
        <w:t>(c) Dollar impact.</w:t>
      </w:r>
      <w:r>
        <w:rPr>
          <w:b w:val="0"/>
          <w:i w:val="0"/>
        </w:rPr>
        <w:t xml:space="preserve"> $697,386 discrepancy between the Report’s own figures. Both are superseded by Section VIII of this Memorandum.</w:t>
      </w:r>
    </w:p>
    <w:p>
      <w:pPr>
        <w:spacing w:after="120"/>
        <w:jc w:val="both"/>
      </w:pPr>
      <w:r>
        <w:rPr>
          <w:b/>
          <w:i w:val="0"/>
        </w:rPr>
        <w:t>(d) Corrected calculation.</w:t>
      </w:r>
      <w:r>
        <w:rPr>
          <w:b w:val="0"/>
          <w:i w:val="0"/>
        </w:rPr>
        <w:t xml:space="preserve"> See corrected estimate, Section VIII.</w:t>
      </w:r>
    </w:p>
    <w:p>
      <w:pPr>
        <w:spacing w:after="40"/>
      </w:pPr>
      <w:r>
        <w:rPr>
          <w:b/>
          <w:i w:val="0"/>
        </w:rPr>
        <w:t>(e) Recommended next steps.</w:t>
      </w:r>
    </w:p>
    <w:p>
      <w:pPr>
        <w:pStyle w:val="ListBullet"/>
        <w:spacing w:after="60"/>
      </w:pPr>
      <w:r>
        <w:rPr>
          <w:b w:val="0"/>
          <w:i w:val="0"/>
        </w:rPr>
        <w:t>Ask Glenbrook to identify which figure is current and to provide its working papers.</w:t>
      </w:r>
    </w:p>
    <w:p>
      <w:pPr>
        <w:pStyle w:val="Heading3"/>
      </w:pPr>
      <w:r>
        <w:t>Issue 1.7: Contemporaneous exchange amounts exceed the payees’ total preference-period transfers</w:t>
      </w:r>
    </w:p>
    <w:p>
      <w:pPr>
        <w:spacing w:after="60"/>
      </w:pPr>
      <w:r>
        <w:rPr>
          <w:b/>
          <w:i w:val="0"/>
        </w:rPr>
        <w:t>Priority:</w:t>
      </w:r>
      <w:r>
        <w:rPr>
          <w:b w:val="0"/>
          <w:i w:val="0"/>
        </w:rPr>
        <w:t xml:space="preserve"> High / Before demands</w:t>
      </w:r>
    </w:p>
    <w:p>
      <w:pPr>
        <w:spacing w:after="120"/>
        <w:jc w:val="both"/>
      </w:pPr>
      <w:r>
        <w:rPr>
          <w:b/>
          <w:i w:val="0"/>
        </w:rPr>
        <w:t>(a) Description of the error or omission.</w:t>
      </w:r>
      <w:r>
        <w:rPr>
          <w:b w:val="0"/>
          <w:i w:val="0"/>
        </w:rPr>
        <w:t xml:space="preserve"> For 10 of the 11 payees in Exhibit D, the amount claimed as a § 547(c)(1) exchange is larger than, or equal to, the payee’s entire aggregate preference-period transfers as shown in Exhibit A. No payee can have a defense larger than the transfers it received.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D9D9D9"/>
          </w:tcPr>
          <w:p>
            <w:r/>
            <w:r>
              <w:rPr>
                <w:b/>
                <w:sz w:val="16"/>
              </w:rPr>
              <w:t>Payee</w:t>
            </w:r>
          </w:p>
        </w:tc>
        <w:tc>
          <w:tcPr>
            <w:tcW w:type="dxa" w:w="2304"/>
            <w:shd w:val="clear" w:color="auto" w:fill="D9D9D9"/>
          </w:tcPr>
          <w:p>
            <w:r/>
            <w:r>
              <w:rPr>
                <w:b/>
                <w:sz w:val="16"/>
              </w:rPr>
              <w:t>Exh. D amount(s)</w:t>
            </w:r>
          </w:p>
        </w:tc>
        <w:tc>
          <w:tcPr>
            <w:tcW w:type="dxa" w:w="1728"/>
            <w:shd w:val="clear" w:color="auto" w:fill="D9D9D9"/>
          </w:tcPr>
          <w:p>
            <w:r/>
            <w:r>
              <w:rPr>
                <w:b/>
                <w:sz w:val="16"/>
              </w:rPr>
              <w:t>Exh. A aggregate</w:t>
            </w:r>
          </w:p>
        </w:tc>
        <w:tc>
          <w:tcPr>
            <w:tcW w:type="dxa" w:w="2160"/>
            <w:shd w:val="clear" w:color="auto" w:fill="D9D9D9"/>
          </w:tcPr>
          <w:p>
            <w:r/>
            <w:r>
              <w:rPr>
                <w:b/>
                <w:sz w:val="16"/>
              </w:rPr>
              <w:t>Maximum creditable</w:t>
            </w:r>
          </w:p>
        </w:tc>
      </w:tr>
      <w:tr>
        <w:tc>
          <w:tcPr>
            <w:tcW w:type="dxa" w:w="3168"/>
          </w:tcPr>
          <w:p>
            <w:r/>
            <w:r>
              <w:rPr>
                <w:b w:val="0"/>
                <w:i w:val="0"/>
                <w:sz w:val="16"/>
              </w:rPr>
              <w:t>Brightfield Supply Co.</w:t>
            </w:r>
          </w:p>
        </w:tc>
        <w:tc>
          <w:tcPr>
            <w:tcW w:type="dxa" w:w="2304"/>
          </w:tcPr>
          <w:p>
            <w:r/>
            <w:r>
              <w:rPr>
                <w:b w:val="0"/>
                <w:i w:val="0"/>
                <w:sz w:val="16"/>
              </w:rPr>
              <w:t>$95,000</w:t>
            </w:r>
          </w:p>
        </w:tc>
        <w:tc>
          <w:tcPr>
            <w:tcW w:type="dxa" w:w="1728"/>
          </w:tcPr>
          <w:p>
            <w:r/>
            <w:r>
              <w:rPr>
                <w:b w:val="0"/>
                <w:i w:val="0"/>
                <w:sz w:val="16"/>
              </w:rPr>
              <w:t>$95,000</w:t>
            </w:r>
          </w:p>
        </w:tc>
        <w:tc>
          <w:tcPr>
            <w:tcW w:type="dxa" w:w="2160"/>
          </w:tcPr>
          <w:p>
            <w:r/>
            <w:r>
              <w:rPr>
                <w:b w:val="0"/>
                <w:i w:val="0"/>
                <w:sz w:val="16"/>
              </w:rPr>
              <w:t>$95,000</w:t>
            </w:r>
          </w:p>
        </w:tc>
      </w:tr>
      <w:tr>
        <w:tc>
          <w:tcPr>
            <w:tcW w:type="dxa" w:w="3168"/>
          </w:tcPr>
          <w:p>
            <w:r/>
            <w:r>
              <w:rPr>
                <w:b w:val="0"/>
                <w:i w:val="0"/>
                <w:sz w:val="16"/>
              </w:rPr>
              <w:t>Cascade Chemicals, Inc.</w:t>
            </w:r>
          </w:p>
        </w:tc>
        <w:tc>
          <w:tcPr>
            <w:tcW w:type="dxa" w:w="2304"/>
          </w:tcPr>
          <w:p>
            <w:r/>
            <w:r>
              <w:rPr>
                <w:b w:val="0"/>
                <w:i w:val="0"/>
                <w:sz w:val="16"/>
              </w:rPr>
              <w:t>$112,000</w:t>
            </w:r>
          </w:p>
        </w:tc>
        <w:tc>
          <w:tcPr>
            <w:tcW w:type="dxa" w:w="1728"/>
          </w:tcPr>
          <w:p>
            <w:r/>
            <w:r>
              <w:rPr>
                <w:b w:val="0"/>
                <w:i w:val="0"/>
                <w:sz w:val="16"/>
              </w:rPr>
              <w:t>$92,000</w:t>
            </w:r>
          </w:p>
        </w:tc>
        <w:tc>
          <w:tcPr>
            <w:tcW w:type="dxa" w:w="2160"/>
          </w:tcPr>
          <w:p>
            <w:r/>
            <w:r>
              <w:rPr>
                <w:b w:val="0"/>
                <w:i w:val="0"/>
                <w:sz w:val="16"/>
              </w:rPr>
              <w:t>$92,000</w:t>
            </w:r>
          </w:p>
        </w:tc>
      </w:tr>
      <w:tr>
        <w:tc>
          <w:tcPr>
            <w:tcW w:type="dxa" w:w="3168"/>
          </w:tcPr>
          <w:p>
            <w:r/>
            <w:r>
              <w:rPr>
                <w:b w:val="0"/>
                <w:i w:val="0"/>
                <w:sz w:val="16"/>
              </w:rPr>
              <w:t>Ironwood Materials Co.</w:t>
            </w:r>
          </w:p>
        </w:tc>
        <w:tc>
          <w:tcPr>
            <w:tcW w:type="dxa" w:w="2304"/>
          </w:tcPr>
          <w:p>
            <w:r/>
            <w:r>
              <w:rPr>
                <w:b w:val="0"/>
                <w:i w:val="0"/>
                <w:sz w:val="16"/>
              </w:rPr>
              <w:t>$88,000</w:t>
            </w:r>
          </w:p>
        </w:tc>
        <w:tc>
          <w:tcPr>
            <w:tcW w:type="dxa" w:w="1728"/>
          </w:tcPr>
          <w:p>
            <w:r/>
            <w:r>
              <w:rPr>
                <w:b w:val="0"/>
                <w:i w:val="0"/>
                <w:sz w:val="16"/>
              </w:rPr>
              <w:t>$88,000</w:t>
            </w:r>
          </w:p>
        </w:tc>
        <w:tc>
          <w:tcPr>
            <w:tcW w:type="dxa" w:w="2160"/>
          </w:tcPr>
          <w:p>
            <w:r/>
            <w:r>
              <w:rPr>
                <w:b w:val="0"/>
                <w:i w:val="0"/>
                <w:sz w:val="16"/>
              </w:rPr>
              <w:t>$88,000</w:t>
            </w:r>
          </w:p>
        </w:tc>
      </w:tr>
      <w:tr>
        <w:tc>
          <w:tcPr>
            <w:tcW w:type="dxa" w:w="3168"/>
          </w:tcPr>
          <w:p>
            <w:r/>
            <w:r>
              <w:rPr>
                <w:b w:val="0"/>
                <w:i w:val="0"/>
                <w:sz w:val="16"/>
              </w:rPr>
              <w:t>Pioneer Label Systems, LLC</w:t>
            </w:r>
          </w:p>
        </w:tc>
        <w:tc>
          <w:tcPr>
            <w:tcW w:type="dxa" w:w="2304"/>
          </w:tcPr>
          <w:p>
            <w:r/>
            <w:r>
              <w:rPr>
                <w:b w:val="0"/>
                <w:i w:val="0"/>
                <w:sz w:val="16"/>
              </w:rPr>
              <w:t>$125,000</w:t>
            </w:r>
          </w:p>
        </w:tc>
        <w:tc>
          <w:tcPr>
            <w:tcW w:type="dxa" w:w="1728"/>
          </w:tcPr>
          <w:p>
            <w:r/>
            <w:r>
              <w:rPr>
                <w:b w:val="0"/>
                <w:i w:val="0"/>
                <w:sz w:val="16"/>
              </w:rPr>
              <w:t>$85,000</w:t>
            </w:r>
          </w:p>
        </w:tc>
        <w:tc>
          <w:tcPr>
            <w:tcW w:type="dxa" w:w="2160"/>
          </w:tcPr>
          <w:p>
            <w:r/>
            <w:r>
              <w:rPr>
                <w:b w:val="0"/>
                <w:i w:val="0"/>
                <w:sz w:val="16"/>
              </w:rPr>
              <w:t>$85,000</w:t>
            </w:r>
          </w:p>
        </w:tc>
      </w:tr>
      <w:tr>
        <w:tc>
          <w:tcPr>
            <w:tcW w:type="dxa" w:w="3168"/>
          </w:tcPr>
          <w:p>
            <w:r/>
            <w:r>
              <w:rPr>
                <w:b w:val="0"/>
                <w:i w:val="0"/>
                <w:sz w:val="16"/>
              </w:rPr>
              <w:t>Ridgewood Supply Co.</w:t>
            </w:r>
          </w:p>
        </w:tc>
        <w:tc>
          <w:tcPr>
            <w:tcW w:type="dxa" w:w="2304"/>
          </w:tcPr>
          <w:p>
            <w:r/>
            <w:r>
              <w:rPr>
                <w:b w:val="0"/>
                <w:i w:val="0"/>
                <w:sz w:val="16"/>
              </w:rPr>
              <w:t>$78,000</w:t>
            </w:r>
          </w:p>
        </w:tc>
        <w:tc>
          <w:tcPr>
            <w:tcW w:type="dxa" w:w="1728"/>
          </w:tcPr>
          <w:p>
            <w:r/>
            <w:r>
              <w:rPr>
                <w:b w:val="0"/>
                <w:i w:val="0"/>
                <w:sz w:val="16"/>
              </w:rPr>
              <w:t>$487,000</w:t>
            </w:r>
          </w:p>
        </w:tc>
        <w:tc>
          <w:tcPr>
            <w:tcW w:type="dxa" w:w="2160"/>
          </w:tcPr>
          <w:p>
            <w:r/>
            <w:r>
              <w:rPr>
                <w:b w:val="0"/>
                <w:i w:val="0"/>
                <w:sz w:val="16"/>
              </w:rPr>
              <w:t>$78,000</w:t>
            </w:r>
          </w:p>
        </w:tc>
      </w:tr>
      <w:tr>
        <w:tc>
          <w:tcPr>
            <w:tcW w:type="dxa" w:w="3168"/>
          </w:tcPr>
          <w:p>
            <w:r/>
            <w:r>
              <w:rPr>
                <w:b w:val="0"/>
                <w:i w:val="0"/>
                <w:sz w:val="16"/>
              </w:rPr>
              <w:t>Hawthorne Freight Services, Inc.</w:t>
            </w:r>
          </w:p>
        </w:tc>
        <w:tc>
          <w:tcPr>
            <w:tcW w:type="dxa" w:w="2304"/>
          </w:tcPr>
          <w:p>
            <w:r/>
            <w:r>
              <w:rPr>
                <w:b w:val="0"/>
                <w:i w:val="0"/>
                <w:sz w:val="16"/>
              </w:rPr>
              <w:t>$145,000</w:t>
            </w:r>
          </w:p>
        </w:tc>
        <w:tc>
          <w:tcPr>
            <w:tcW w:type="dxa" w:w="1728"/>
          </w:tcPr>
          <w:p>
            <w:r/>
            <w:r>
              <w:rPr>
                <w:b w:val="0"/>
                <w:i w:val="0"/>
                <w:sz w:val="16"/>
              </w:rPr>
              <w:t>$82,000</w:t>
            </w:r>
          </w:p>
        </w:tc>
        <w:tc>
          <w:tcPr>
            <w:tcW w:type="dxa" w:w="2160"/>
          </w:tcPr>
          <w:p>
            <w:r/>
            <w:r>
              <w:rPr>
                <w:b w:val="0"/>
                <w:i w:val="0"/>
                <w:sz w:val="16"/>
              </w:rPr>
              <w:t>$82,000</w:t>
            </w:r>
          </w:p>
        </w:tc>
      </w:tr>
      <w:tr>
        <w:tc>
          <w:tcPr>
            <w:tcW w:type="dxa" w:w="3168"/>
          </w:tcPr>
          <w:p>
            <w:r/>
            <w:r>
              <w:rPr>
                <w:b w:val="0"/>
                <w:i w:val="0"/>
                <w:sz w:val="16"/>
              </w:rPr>
              <w:t>Willow Creek Additives, LLC</w:t>
            </w:r>
          </w:p>
        </w:tc>
        <w:tc>
          <w:tcPr>
            <w:tcW w:type="dxa" w:w="2304"/>
          </w:tcPr>
          <w:p>
            <w:r/>
            <w:r>
              <w:rPr>
                <w:b w:val="0"/>
                <w:i w:val="0"/>
                <w:sz w:val="16"/>
              </w:rPr>
              <w:t>$115,000</w:t>
            </w:r>
          </w:p>
        </w:tc>
        <w:tc>
          <w:tcPr>
            <w:tcW w:type="dxa" w:w="1728"/>
          </w:tcPr>
          <w:p>
            <w:r/>
            <w:r>
              <w:rPr>
                <w:b w:val="0"/>
                <w:i w:val="0"/>
                <w:sz w:val="16"/>
              </w:rPr>
              <w:t>$78,000</w:t>
            </w:r>
          </w:p>
        </w:tc>
        <w:tc>
          <w:tcPr>
            <w:tcW w:type="dxa" w:w="2160"/>
          </w:tcPr>
          <w:p>
            <w:r/>
            <w:r>
              <w:rPr>
                <w:b w:val="0"/>
                <w:i w:val="0"/>
                <w:sz w:val="16"/>
              </w:rPr>
              <w:t>$78,000</w:t>
            </w:r>
          </w:p>
        </w:tc>
      </w:tr>
      <w:tr>
        <w:tc>
          <w:tcPr>
            <w:tcW w:type="dxa" w:w="3168"/>
          </w:tcPr>
          <w:p>
            <w:r/>
            <w:r>
              <w:rPr>
                <w:b w:val="0"/>
                <w:i w:val="0"/>
                <w:sz w:val="16"/>
              </w:rPr>
              <w:t>Summit Adhesives Co.</w:t>
            </w:r>
          </w:p>
        </w:tc>
        <w:tc>
          <w:tcPr>
            <w:tcW w:type="dxa" w:w="2304"/>
          </w:tcPr>
          <w:p>
            <w:r/>
            <w:r>
              <w:rPr>
                <w:b w:val="0"/>
                <w:i w:val="0"/>
                <w:sz w:val="16"/>
              </w:rPr>
              <w:t>$97,000 + $90,000 = $187,000</w:t>
            </w:r>
          </w:p>
        </w:tc>
        <w:tc>
          <w:tcPr>
            <w:tcW w:type="dxa" w:w="1728"/>
          </w:tcPr>
          <w:p>
            <w:r/>
            <w:r>
              <w:rPr>
                <w:b w:val="0"/>
                <w:i w:val="0"/>
                <w:sz w:val="16"/>
              </w:rPr>
              <w:t>$77,000</w:t>
            </w:r>
          </w:p>
        </w:tc>
        <w:tc>
          <w:tcPr>
            <w:tcW w:type="dxa" w:w="2160"/>
          </w:tcPr>
          <w:p>
            <w:r/>
            <w:r>
              <w:rPr>
                <w:b w:val="0"/>
                <w:i w:val="0"/>
                <w:sz w:val="16"/>
              </w:rPr>
              <w:t>$77,000</w:t>
            </w:r>
          </w:p>
        </w:tc>
      </w:tr>
      <w:tr>
        <w:tc>
          <w:tcPr>
            <w:tcW w:type="dxa" w:w="3168"/>
          </w:tcPr>
          <w:p>
            <w:r/>
            <w:r>
              <w:rPr>
                <w:b w:val="0"/>
                <w:i w:val="0"/>
                <w:sz w:val="16"/>
              </w:rPr>
              <w:t>Graystone Industrial Cleaning, LLC</w:t>
            </w:r>
          </w:p>
        </w:tc>
        <w:tc>
          <w:tcPr>
            <w:tcW w:type="dxa" w:w="2304"/>
          </w:tcPr>
          <w:p>
            <w:r/>
            <w:r>
              <w:rPr>
                <w:b w:val="0"/>
                <w:i w:val="0"/>
                <w:sz w:val="16"/>
              </w:rPr>
              <w:t>$135,000</w:t>
            </w:r>
          </w:p>
        </w:tc>
        <w:tc>
          <w:tcPr>
            <w:tcW w:type="dxa" w:w="1728"/>
          </w:tcPr>
          <w:p>
            <w:r/>
            <w:r>
              <w:rPr>
                <w:b w:val="0"/>
                <w:i w:val="0"/>
                <w:sz w:val="16"/>
              </w:rPr>
              <w:t>$72,000</w:t>
            </w:r>
          </w:p>
        </w:tc>
        <w:tc>
          <w:tcPr>
            <w:tcW w:type="dxa" w:w="2160"/>
          </w:tcPr>
          <w:p>
            <w:r/>
            <w:r>
              <w:rPr>
                <w:b w:val="0"/>
                <w:i w:val="0"/>
                <w:sz w:val="16"/>
              </w:rPr>
              <w:t>$0 (fails timing — Issue 3.4)</w:t>
            </w:r>
          </w:p>
        </w:tc>
      </w:tr>
      <w:tr>
        <w:tc>
          <w:tcPr>
            <w:tcW w:type="dxa" w:w="3168"/>
          </w:tcPr>
          <w:p>
            <w:r/>
            <w:r>
              <w:rPr>
                <w:b w:val="0"/>
                <w:i w:val="0"/>
                <w:sz w:val="16"/>
              </w:rPr>
              <w:t>Clearview Bottle Corp.</w:t>
            </w:r>
          </w:p>
        </w:tc>
        <w:tc>
          <w:tcPr>
            <w:tcW w:type="dxa" w:w="2304"/>
          </w:tcPr>
          <w:p>
            <w:r/>
            <w:r>
              <w:rPr>
                <w:b w:val="0"/>
                <w:i w:val="0"/>
                <w:sz w:val="16"/>
              </w:rPr>
              <w:t>$118,000</w:t>
            </w:r>
          </w:p>
        </w:tc>
        <w:tc>
          <w:tcPr>
            <w:tcW w:type="dxa" w:w="1728"/>
          </w:tcPr>
          <w:p>
            <w:r/>
            <w:r>
              <w:rPr>
                <w:b w:val="0"/>
                <w:i w:val="0"/>
                <w:sz w:val="16"/>
              </w:rPr>
              <w:t>$68,000</w:t>
            </w:r>
          </w:p>
        </w:tc>
        <w:tc>
          <w:tcPr>
            <w:tcW w:type="dxa" w:w="2160"/>
          </w:tcPr>
          <w:p>
            <w:r/>
            <w:r>
              <w:rPr>
                <w:b w:val="0"/>
                <w:i w:val="0"/>
                <w:sz w:val="16"/>
              </w:rPr>
              <w:t>$0 (fails timing)</w:t>
            </w:r>
          </w:p>
        </w:tc>
      </w:tr>
      <w:tr>
        <w:tc>
          <w:tcPr>
            <w:tcW w:type="dxa" w:w="3168"/>
          </w:tcPr>
          <w:p>
            <w:r/>
            <w:r>
              <w:rPr>
                <w:b w:val="0"/>
                <w:i w:val="0"/>
                <w:sz w:val="16"/>
              </w:rPr>
              <w:t>Northland Chemical Distributors, Inc.</w:t>
            </w:r>
          </w:p>
        </w:tc>
        <w:tc>
          <w:tcPr>
            <w:tcW w:type="dxa" w:w="2304"/>
          </w:tcPr>
          <w:p>
            <w:r/>
            <w:r>
              <w:rPr>
                <w:b w:val="0"/>
                <w:i w:val="0"/>
                <w:sz w:val="16"/>
              </w:rPr>
              <w:t>$142,000</w:t>
            </w:r>
          </w:p>
        </w:tc>
        <w:tc>
          <w:tcPr>
            <w:tcW w:type="dxa" w:w="1728"/>
          </w:tcPr>
          <w:p>
            <w:r/>
            <w:r>
              <w:rPr>
                <w:b w:val="0"/>
                <w:i w:val="0"/>
                <w:sz w:val="16"/>
              </w:rPr>
              <w:t>$65,000</w:t>
            </w:r>
          </w:p>
        </w:tc>
        <w:tc>
          <w:tcPr>
            <w:tcW w:type="dxa" w:w="2160"/>
          </w:tcPr>
          <w:p>
            <w:r/>
            <w:r>
              <w:rPr>
                <w:b w:val="0"/>
                <w:i w:val="0"/>
                <w:sz w:val="16"/>
              </w:rPr>
              <w:t>$0 (fails timing)</w:t>
            </w:r>
          </w:p>
        </w:tc>
      </w:tr>
      <w:tr>
        <w:tc>
          <w:tcPr>
            <w:tcW w:type="dxa" w:w="3168"/>
          </w:tcPr>
          <w:p>
            <w:r/>
            <w:r>
              <w:rPr>
                <w:b/>
                <w:i w:val="0"/>
                <w:sz w:val="16"/>
              </w:rPr>
              <w:t>Total</w:t>
            </w:r>
          </w:p>
        </w:tc>
        <w:tc>
          <w:tcPr>
            <w:tcW w:type="dxa" w:w="2304"/>
          </w:tcPr>
          <w:p>
            <w:r/>
            <w:r>
              <w:rPr>
                <w:b/>
                <w:i w:val="0"/>
                <w:sz w:val="16"/>
              </w:rPr>
              <w:t>$1,340,000</w:t>
            </w:r>
          </w:p>
        </w:tc>
        <w:tc>
          <w:tcPr>
            <w:tcW w:type="dxa" w:w="1728"/>
          </w:tcPr>
          <w:p>
            <w:r/>
            <w:r>
              <w:rPr>
                <w:b/>
                <w:i w:val="0"/>
                <w:sz w:val="16"/>
              </w:rPr>
              <w:t>—</w:t>
            </w:r>
          </w:p>
        </w:tc>
        <w:tc>
          <w:tcPr>
            <w:tcW w:type="dxa" w:w="2160"/>
          </w:tcPr>
          <w:p>
            <w:r/>
            <w:r>
              <w:rPr>
                <w:b/>
                <w:i w:val="0"/>
                <w:sz w:val="16"/>
              </w:rPr>
              <w:t>$675,000</w:t>
            </w:r>
          </w:p>
        </w:tc>
      </w:tr>
    </w:tbl>
    <w:p>
      <w:pPr>
        <w:spacing w:after="40"/>
      </w:pPr>
    </w:p>
    <w:p>
      <w:pPr>
        <w:spacing w:after="120"/>
        <w:jc w:val="both"/>
      </w:pPr>
      <w:r>
        <w:rPr>
          <w:b w:val="0"/>
          <w:i w:val="0"/>
        </w:rPr>
        <w:t>If the Exhibit D amounts are correct, then several Tier 3 payees (for example Hawthorne at $145,000 and Summit at $187,000) actually belong in Tier 2, and gross exposure is understated.</w:t>
      </w:r>
    </w:p>
    <w:p>
      <w:pPr>
        <w:spacing w:after="120"/>
        <w:jc w:val="both"/>
      </w:pPr>
      <w:r>
        <w:rPr>
          <w:b/>
          <w:i w:val="0"/>
        </w:rPr>
        <w:t>(b) Legal and practical significance.</w:t>
      </w:r>
      <w:r>
        <w:rPr>
          <w:b w:val="0"/>
          <w:i w:val="0"/>
        </w:rPr>
        <w:t xml:space="preserve"> The defense is overstated on its face, and the overlap shows that Exhibits A and D were not prepared from the same data set.</w:t>
      </w:r>
    </w:p>
    <w:p>
      <w:pPr>
        <w:spacing w:after="120"/>
        <w:jc w:val="both"/>
      </w:pPr>
      <w:r>
        <w:rPr>
          <w:b/>
          <w:i w:val="0"/>
        </w:rPr>
        <w:t>(c) Dollar impact.</w:t>
      </w:r>
      <w:r>
        <w:rPr>
          <w:b w:val="0"/>
          <w:i w:val="0"/>
        </w:rPr>
        <w:t xml:space="preserve"> At least $180,000 of the $855,000 “0–3 day” group cannot be credited ($855,000 − $675,000). Combined with Issue 3.4, net exposure rises by $665,000.</w:t>
      </w:r>
    </w:p>
    <w:p>
      <w:pPr>
        <w:spacing w:after="120"/>
        <w:jc w:val="both"/>
      </w:pPr>
      <w:r>
        <w:rPr>
          <w:b/>
          <w:i w:val="0"/>
        </w:rPr>
        <w:t>(d) Corrected calculation.</w:t>
      </w:r>
      <w:r>
        <w:rPr>
          <w:b w:val="0"/>
          <w:i w:val="0"/>
        </w:rPr>
        <w:t xml:space="preserve"> Maximum credit for the eight 0–3 day transfers, capped at each payee’s Exhibit A aggregate: $95,000 + $92,000 + $88,000 + $85,000 + $78,000 + $82,000 + $78,000 + $77,000 = </w:t>
      </w:r>
      <w:r>
        <w:rPr>
          <w:b/>
          <w:i w:val="0"/>
        </w:rPr>
        <w:t>$675,000</w:t>
      </w:r>
      <w:r>
        <w:rPr>
          <w:b w:val="0"/>
          <w:i w:val="0"/>
        </w:rPr>
        <w:t>.</w:t>
      </w:r>
    </w:p>
    <w:p>
      <w:pPr>
        <w:spacing w:after="40"/>
      </w:pPr>
      <w:r>
        <w:rPr>
          <w:b/>
          <w:i w:val="0"/>
        </w:rPr>
        <w:t>(e) Recommended next steps.</w:t>
      </w:r>
    </w:p>
    <w:p>
      <w:pPr>
        <w:pStyle w:val="ListBullet"/>
        <w:spacing w:after="60"/>
      </w:pPr>
      <w:r>
        <w:rPr>
          <w:b w:val="0"/>
          <w:i w:val="0"/>
        </w:rPr>
        <w:t>Request invoices, delivery receipts and payment records for all 12 Exhibit D transfers.</w:t>
      </w:r>
    </w:p>
    <w:p>
      <w:pPr>
        <w:pStyle w:val="ListBullet"/>
        <w:spacing w:after="60"/>
      </w:pPr>
      <w:r>
        <w:rPr>
          <w:b w:val="0"/>
          <w:i w:val="0"/>
        </w:rPr>
        <w:t>Resolve whether Exhibit A or Exhibit D carries the correct payee amounts. If Exhibit D is correct, re-tier the affected payees.</w:t>
      </w:r>
    </w:p>
    <w:p>
      <w:pPr>
        <w:pStyle w:val="Heading3"/>
      </w:pPr>
      <w:r>
        <w:t>Issue 1.8: Transfers dated on non-business days; Exhibit C was not reconciled to bank records</w:t>
      </w:r>
    </w:p>
    <w:p>
      <w:pPr>
        <w:spacing w:after="60"/>
      </w:pPr>
      <w:r>
        <w:rPr>
          <w:b/>
          <w:i w:val="0"/>
        </w:rPr>
        <w:t>Priority:</w:t>
      </w:r>
      <w:r>
        <w:rPr>
          <w:b w:val="0"/>
          <w:i w:val="0"/>
        </w:rPr>
        <w:t xml:space="preserve"> Medium / Data request now</w:t>
      </w:r>
    </w:p>
    <w:p>
      <w:pPr>
        <w:spacing w:after="120"/>
        <w:jc w:val="both"/>
      </w:pPr>
      <w:r>
        <w:rPr>
          <w:b/>
          <w:i w:val="0"/>
        </w:rPr>
        <w:t>(a) Description of the error or omission.</w:t>
      </w:r>
      <w:r>
        <w:rPr>
          <w:b w:val="0"/>
          <w:i w:val="0"/>
        </w:rPr>
        <w:t xml:space="preserve"> Exhibit C states that wire dates are execution dates and check dates are bank clearing dates. Yet several are dated on days when wires cannot be executed or checks cleared: VCS-001 ($380,000, Saturday, Dec. 14, 2024); VCS-002 ($425,000, Sunday, Dec. 15, 2024); VCS-003 ($310,000, Saturday, Dec. 28, 2024); VCS-008 ($245,000) and SMG-004 ($150,000) (Monday, Jan. 20, 2025, Martin Luther King Jr. Day, a Federal Reserve holiday); LPS-013 ($100,000 check, Saturday, Mar. 8, 2025). Exhibit D likewise dates the Willow Creek wire Saturday, Mar. 1, 2025. The Hutchins consulting wire in the payroll records is dated Sunday, Sept. 1, 2024.</w:t>
      </w:r>
    </w:p>
    <w:p>
      <w:pPr>
        <w:spacing w:after="120"/>
        <w:jc w:val="both"/>
      </w:pPr>
      <w:r>
        <w:rPr>
          <w:b/>
          <w:i w:val="0"/>
        </w:rPr>
        <w:t>(b) Legal and practical significance.</w:t>
      </w:r>
      <w:r>
        <w:rPr>
          <w:b w:val="0"/>
          <w:i w:val="0"/>
        </w:rPr>
        <w:t xml:space="preserve"> These dates cannot be bank clearing or execution dates. They look like ERP entry or posting dates, which contradicts the methodology stated in Section II.C. Under Barnhill v. Johnson, 503 U.S. 393 (1992), a check transfer occurs when the drawee bank honors it. The two weekend Vanderhoff wires, totaling $805,000, matter in particular: if they actually executed on Friday, Dec. 13, 2024, they fall outside the 90-day period, which begins Dec. 14, 2024. In that case the December new value (Dec. 16–20) would have no earlier preferential payment to offset (see Issue 3.5).</w:t>
      </w:r>
    </w:p>
    <w:p>
      <w:pPr>
        <w:spacing w:after="120"/>
        <w:jc w:val="both"/>
      </w:pPr>
      <w:r>
        <w:rPr>
          <w:b/>
          <w:i w:val="0"/>
        </w:rPr>
        <w:t>(c) Dollar impact.</w:t>
      </w:r>
      <w:r>
        <w:rPr>
          <w:b w:val="0"/>
          <w:i w:val="0"/>
        </w:rPr>
        <w:t xml:space="preserve"> Up to $805,000 of Vanderhoff gross exposure is at risk on timing, though the net Vanderhoff exposure is the same under either dating (Issue 3.5). The other four affected transfers (VCS-003, VCS-008, SMG-004, LPS-013; $805,000 combined) fall well inside the period, so their misdating goes to data reliability rather than avoidability.</w:t>
      </w:r>
    </w:p>
    <w:p>
      <w:pPr>
        <w:spacing w:after="120"/>
        <w:jc w:val="both"/>
      </w:pPr>
      <w:r>
        <w:rPr>
          <w:b/>
          <w:i w:val="0"/>
        </w:rPr>
        <w:t>(d) Corrected calculation.</w:t>
      </w:r>
      <w:r>
        <w:rPr>
          <w:b w:val="0"/>
          <w:i w:val="0"/>
        </w:rPr>
        <w:t xml:space="preserve"> Not computable without bank data. See the Vanderhoff alternative computation in Issue 3.5.</w:t>
      </w:r>
    </w:p>
    <w:p>
      <w:pPr>
        <w:spacing w:after="40"/>
      </w:pPr>
      <w:r>
        <w:rPr>
          <w:b/>
          <w:i w:val="0"/>
        </w:rPr>
        <w:t>(e) Recommended next steps.</w:t>
      </w:r>
    </w:p>
    <w:p>
      <w:pPr>
        <w:pStyle w:val="ListBullet"/>
        <w:spacing w:after="60"/>
      </w:pPr>
      <w:r>
        <w:rPr>
          <w:b w:val="0"/>
          <w:i w:val="0"/>
        </w:rPr>
        <w:t>Obtain bank statements and Fedwire confirmations for every transfer dated within five days of December 14, 2024, and for all non-business-day entries.</w:t>
      </w:r>
    </w:p>
    <w:p>
      <w:pPr>
        <w:pStyle w:val="ListBullet"/>
        <w:spacing w:after="60"/>
      </w:pPr>
      <w:r>
        <w:rPr>
          <w:b w:val="0"/>
          <w:i w:val="0"/>
        </w:rPr>
        <w:t>Re-date every transfer using bank clearing (checks) and settlement (wires) data.</w:t>
      </w:r>
    </w:p>
    <w:p>
      <w:pPr>
        <w:pStyle w:val="Heading1"/>
      </w:pPr>
      <w:r>
        <w:t>V. Category 2 — Entity and Classification Errors</w:t>
      </w:r>
    </w:p>
    <w:p>
      <w:pPr>
        <w:pStyle w:val="Heading3"/>
      </w:pPr>
      <w:r>
        <w:t>Issue 2.1: Four payees above $500,000 misclassified as Tier 2; tiers recomputed</w:t>
      </w:r>
    </w:p>
    <w:p>
      <w:pPr>
        <w:spacing w:after="60"/>
      </w:pPr>
      <w:r>
        <w:rPr>
          <w:b/>
          <w:i w:val="0"/>
        </w:rPr>
        <w:t>Priority:</w:t>
      </w:r>
      <w:r>
        <w:rPr>
          <w:b w:val="0"/>
          <w:i w:val="0"/>
        </w:rPr>
        <w:t xml:space="preserve"> High / Before demands</w:t>
      </w:r>
    </w:p>
    <w:p>
      <w:pPr>
        <w:spacing w:after="120"/>
        <w:jc w:val="both"/>
      </w:pPr>
      <w:r>
        <w:rPr>
          <w:b/>
          <w:i w:val="0"/>
        </w:rPr>
        <w:t>(a) Description of the error or omission.</w:t>
      </w:r>
      <w:r>
        <w:rPr>
          <w:b w:val="0"/>
          <w:i w:val="0"/>
        </w:rPr>
        <w:t xml:space="preserve"> The Report defines Tier 1 as aggregate transfers above $500,000 (Section II.C). It nonetheless places Sagebrush ($1,800,000), Harborview ($1,500,000), Consolidated Plastics ($1,400,000) and DataStream ($1,200,000) in Tier 2. Section IV is even titled “Tier 1 and Select Tier 2,” and Section IV.E expressly calls Sagebrush, at $1.8M, “classified in Tier 2.” Applying the Report’s own thresholds, together with the correct $7,575 de minimis threshold (Issue 3.2), gives: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D9D9D9"/>
          </w:tcPr>
          <w:p>
            <w:r/>
            <w:r>
              <w:rPr>
                <w:b/>
                <w:sz w:val="16"/>
              </w:rPr>
              <w:t>Tier</w:t>
            </w:r>
          </w:p>
        </w:tc>
        <w:tc>
          <w:tcPr>
            <w:tcW w:type="dxa" w:w="3744"/>
            <w:shd w:val="clear" w:color="auto" w:fill="D9D9D9"/>
          </w:tcPr>
          <w:p>
            <w:r/>
            <w:r>
              <w:rPr>
                <w:b/>
                <w:sz w:val="16"/>
              </w:rPr>
              <w:t>Payees</w:t>
            </w:r>
          </w:p>
        </w:tc>
        <w:tc>
          <w:tcPr>
            <w:tcW w:type="dxa" w:w="2016"/>
            <w:shd w:val="clear" w:color="auto" w:fill="D9D9D9"/>
          </w:tcPr>
          <w:p>
            <w:r/>
            <w:r>
              <w:rPr>
                <w:b/>
                <w:sz w:val="16"/>
              </w:rPr>
              <w:t>Aggregate (Exh. A line items)</w:t>
            </w:r>
          </w:p>
        </w:tc>
        <w:tc>
          <w:tcPr>
            <w:tcW w:type="dxa" w:w="1728"/>
            <w:shd w:val="clear" w:color="auto" w:fill="D9D9D9"/>
          </w:tcPr>
          <w:p>
            <w:r/>
            <w:r>
              <w:rPr>
                <w:b/>
                <w:sz w:val="16"/>
              </w:rPr>
              <w:t>Report</w:t>
            </w:r>
          </w:p>
        </w:tc>
      </w:tr>
      <w:tr>
        <w:tc>
          <w:tcPr>
            <w:tcW w:type="dxa" w:w="2016"/>
          </w:tcPr>
          <w:p>
            <w:r/>
            <w:r>
              <w:rPr>
                <w:b w:val="0"/>
                <w:i w:val="0"/>
                <w:sz w:val="16"/>
              </w:rPr>
              <w:t>Tier 1 (&gt; $500,000)</w:t>
            </w:r>
          </w:p>
        </w:tc>
        <w:tc>
          <w:tcPr>
            <w:tcW w:type="dxa" w:w="3744"/>
          </w:tcPr>
          <w:p>
            <w:r/>
            <w:r>
              <w:rPr>
                <w:b w:val="0"/>
                <w:i w:val="0"/>
                <w:sz w:val="16"/>
              </w:rPr>
              <w:t>7: Vanderhoff, Lakeshore, TerraFreight, Sagebrush, Harborview, CPI, DataStream</w:t>
            </w:r>
          </w:p>
        </w:tc>
        <w:tc>
          <w:tcPr>
            <w:tcW w:type="dxa" w:w="2016"/>
          </w:tcPr>
          <w:p>
            <w:r/>
            <w:r>
              <w:rPr>
                <w:b w:val="0"/>
                <w:i w:val="0"/>
                <w:sz w:val="16"/>
              </w:rPr>
              <w:t>$18,700,000</w:t>
            </w:r>
          </w:p>
        </w:tc>
        <w:tc>
          <w:tcPr>
            <w:tcW w:type="dxa" w:w="1728"/>
          </w:tcPr>
          <w:p>
            <w:r/>
            <w:r>
              <w:rPr>
                <w:b w:val="0"/>
                <w:i w:val="0"/>
                <w:sz w:val="16"/>
              </w:rPr>
              <w:t>6 payees / $12,567,000</w:t>
            </w:r>
          </w:p>
        </w:tc>
      </w:tr>
      <w:tr>
        <w:tc>
          <w:tcPr>
            <w:tcW w:type="dxa" w:w="2016"/>
          </w:tcPr>
          <w:p>
            <w:r/>
            <w:r>
              <w:rPr>
                <w:b w:val="0"/>
                <w:i w:val="0"/>
                <w:sz w:val="16"/>
              </w:rPr>
              <w:t>Tier 2 ($100,000–$500,000)</w:t>
            </w:r>
          </w:p>
        </w:tc>
        <w:tc>
          <w:tcPr>
            <w:tcW w:type="dxa" w:w="3744"/>
          </w:tcPr>
          <w:p>
            <w:r/>
            <w:r>
              <w:rPr>
                <w:b w:val="0"/>
                <w:i w:val="0"/>
                <w:sz w:val="16"/>
              </w:rPr>
              <w:t>15: Ridgewood through Kettle Creek</w:t>
            </w:r>
          </w:p>
        </w:tc>
        <w:tc>
          <w:tcPr>
            <w:tcW w:type="dxa" w:w="2016"/>
          </w:tcPr>
          <w:p>
            <w:r/>
            <w:r>
              <w:rPr>
                <w:b w:val="0"/>
                <w:i w:val="0"/>
                <w:sz w:val="16"/>
              </w:rPr>
              <w:t>$3,643,000</w:t>
            </w:r>
          </w:p>
        </w:tc>
        <w:tc>
          <w:tcPr>
            <w:tcW w:type="dxa" w:w="1728"/>
          </w:tcPr>
          <w:p>
            <w:r/>
            <w:r>
              <w:rPr>
                <w:b w:val="0"/>
                <w:i w:val="0"/>
                <w:sz w:val="16"/>
              </w:rPr>
              <w:t>19 payees / $4,221,614</w:t>
            </w:r>
          </w:p>
        </w:tc>
      </w:tr>
      <w:tr>
        <w:tc>
          <w:tcPr>
            <w:tcW w:type="dxa" w:w="2016"/>
          </w:tcPr>
          <w:p>
            <w:r/>
            <w:r>
              <w:rPr>
                <w:b w:val="0"/>
                <w:i w:val="0"/>
                <w:sz w:val="16"/>
              </w:rPr>
              <w:t>Tier 3 ($7,575–$99,999)</w:t>
            </w:r>
          </w:p>
        </w:tc>
        <w:tc>
          <w:tcPr>
            <w:tcW w:type="dxa" w:w="3744"/>
          </w:tcPr>
          <w:p>
            <w:r/>
            <w:r>
              <w:rPr>
                <w:b w:val="0"/>
                <w:i w:val="0"/>
                <w:sz w:val="16"/>
              </w:rPr>
              <w:t>42</w:t>
            </w:r>
          </w:p>
        </w:tc>
        <w:tc>
          <w:tcPr>
            <w:tcW w:type="dxa" w:w="2016"/>
          </w:tcPr>
          <w:p>
            <w:r/>
            <w:r>
              <w:rPr>
                <w:b w:val="0"/>
                <w:i w:val="0"/>
                <w:sz w:val="16"/>
              </w:rPr>
              <w:t>$1,671,300</w:t>
            </w:r>
          </w:p>
        </w:tc>
        <w:tc>
          <w:tcPr>
            <w:tcW w:type="dxa" w:w="1728"/>
          </w:tcPr>
          <w:p>
            <w:r/>
            <w:r>
              <w:rPr>
                <w:b w:val="0"/>
                <w:i w:val="0"/>
                <w:sz w:val="16"/>
              </w:rPr>
              <w:t>59 payees / $1,944,000</w:t>
            </w:r>
          </w:p>
        </w:tc>
      </w:tr>
      <w:tr>
        <w:tc>
          <w:tcPr>
            <w:tcW w:type="dxa" w:w="2016"/>
          </w:tcPr>
          <w:p>
            <w:r/>
            <w:r>
              <w:rPr>
                <w:b w:val="0"/>
                <w:i w:val="0"/>
                <w:sz w:val="16"/>
              </w:rPr>
              <w:t>Excluded — § 547(c)(9)</w:t>
            </w:r>
          </w:p>
        </w:tc>
        <w:tc>
          <w:tcPr>
            <w:tcW w:type="dxa" w:w="3744"/>
          </w:tcPr>
          <w:p>
            <w:r/>
            <w:r>
              <w:rPr>
                <w:b w:val="0"/>
                <w:i w:val="0"/>
                <w:sz w:val="16"/>
              </w:rPr>
              <w:t>17 payees between $5,001 and $7,540 (plus 25 below $5,000)</w:t>
            </w:r>
          </w:p>
        </w:tc>
        <w:tc>
          <w:tcPr>
            <w:tcW w:type="dxa" w:w="2016"/>
          </w:tcPr>
          <w:p>
            <w:r/>
            <w:r>
              <w:rPr>
                <w:b w:val="0"/>
                <w:i w:val="0"/>
                <w:sz w:val="16"/>
              </w:rPr>
              <w:t>$101,281</w:t>
            </w:r>
          </w:p>
        </w:tc>
        <w:tc>
          <w:tcPr>
            <w:tcW w:type="dxa" w:w="1728"/>
          </w:tcPr>
          <w:p>
            <w:r/>
            <w:r>
              <w:rPr>
                <w:b w:val="0"/>
                <w:i w:val="0"/>
                <w:sz w:val="16"/>
              </w:rPr>
              <w:t>Not excluded</w:t>
            </w:r>
          </w:p>
        </w:tc>
      </w:tr>
      <w:tr>
        <w:tc>
          <w:tcPr>
            <w:tcW w:type="dxa" w:w="2016"/>
          </w:tcPr>
          <w:p>
            <w:r/>
            <w:r>
              <w:rPr>
                <w:b/>
                <w:i w:val="0"/>
                <w:sz w:val="16"/>
              </w:rPr>
              <w:t>Total listed</w:t>
            </w:r>
          </w:p>
        </w:tc>
        <w:tc>
          <w:tcPr>
            <w:tcW w:type="dxa" w:w="3744"/>
          </w:tcPr>
          <w:p>
            <w:r/>
            <w:r>
              <w:rPr>
                <w:b/>
                <w:i w:val="0"/>
                <w:sz w:val="16"/>
              </w:rPr>
              <w:t>81</w:t>
            </w:r>
          </w:p>
        </w:tc>
        <w:tc>
          <w:tcPr>
            <w:tcW w:type="dxa" w:w="2016"/>
          </w:tcPr>
          <w:p>
            <w:r/>
            <w:r>
              <w:rPr>
                <w:b/>
                <w:i w:val="0"/>
                <w:sz w:val="16"/>
              </w:rPr>
              <w:t>$24,115,581</w:t>
            </w:r>
          </w:p>
        </w:tc>
        <w:tc>
          <w:tcPr>
            <w:tcW w:type="dxa" w:w="1728"/>
          </w:tcPr>
          <w:p>
            <w:r/>
            <w:r>
              <w:rPr>
                <w:b/>
                <w:i w:val="0"/>
                <w:sz w:val="16"/>
              </w:rPr>
              <w:t>84 / $18,732,614</w:t>
            </w:r>
          </w:p>
        </w:tc>
      </w:tr>
    </w:tbl>
    <w:p>
      <w:pPr>
        <w:spacing w:after="40"/>
      </w:pPr>
    </w:p>
    <w:p>
      <w:pPr>
        <w:spacing w:after="120"/>
        <w:jc w:val="both"/>
      </w:pPr>
      <w:r>
        <w:rPr>
          <w:b/>
          <w:i w:val="0"/>
        </w:rPr>
        <w:t>(b) Legal and practical significance.</w:t>
      </w:r>
      <w:r>
        <w:rPr>
          <w:b w:val="0"/>
          <w:i w:val="0"/>
        </w:rPr>
        <w:t xml:space="preserve"> Tiering drives prioritization and staffing. Because of the misclassification, the Report’s Recommendation No. 1 sends demand letters to only three payees and leaves out four Tier 1 targets worth $5.9 million in gross transfers. It also leaves out the insiders entirely (Issue 4.1).</w:t>
      </w:r>
    </w:p>
    <w:p>
      <w:pPr>
        <w:spacing w:after="120"/>
        <w:jc w:val="both"/>
      </w:pPr>
      <w:r>
        <w:rPr>
          <w:b/>
          <w:i w:val="0"/>
        </w:rPr>
        <w:t>(c) Dollar impact.</w:t>
      </w:r>
      <w:r>
        <w:rPr>
          <w:b w:val="0"/>
          <w:i w:val="0"/>
        </w:rPr>
        <w:t xml:space="preserve"> Re-prioritizes $5,900,000 of gross transfers into Tier 1. No change to the total.</w:t>
      </w:r>
    </w:p>
    <w:p>
      <w:pPr>
        <w:spacing w:after="120"/>
        <w:jc w:val="both"/>
      </w:pPr>
      <w:r>
        <w:rPr>
          <w:b/>
          <w:i w:val="0"/>
        </w:rPr>
        <w:t>(d) Corrected calculation.</w:t>
      </w:r>
      <w:r>
        <w:rPr>
          <w:b w:val="0"/>
          <w:i w:val="0"/>
        </w:rPr>
        <w:t xml:space="preserve"> Corrected Tier 1 = $6.8M + $3.1M + $2.9M + $1.8M + $1.5M + $1.4M + $1.2M = $18,700,000 per Exhibit A ($18,546,000 after the Exhibit C corrections in Issues 1.3–1.4).</w:t>
      </w:r>
    </w:p>
    <w:p>
      <w:pPr>
        <w:spacing w:after="40"/>
      </w:pPr>
      <w:r>
        <w:rPr>
          <w:b/>
          <w:i w:val="0"/>
        </w:rPr>
        <w:t>(e) Recommended next steps.</w:t>
      </w:r>
    </w:p>
    <w:p>
      <w:pPr>
        <w:pStyle w:val="ListBullet"/>
        <w:spacing w:after="60"/>
      </w:pPr>
      <w:r>
        <w:rPr>
          <w:b w:val="0"/>
          <w:i w:val="0"/>
        </w:rPr>
        <w:t>Prepare demand-letter and tolling-agreement templates for all seven Tier 1 payees and the three insiders. Hold them until the reconciliation is complete and the § 547(b) due diligence requirement is satisfied (Issue 4.4).</w:t>
      </w:r>
    </w:p>
    <w:p>
      <w:pPr>
        <w:pStyle w:val="Heading3"/>
      </w:pPr>
      <w:r>
        <w:t>Issue 2.2: Consolidated Plastics: wrong transferee, wrong transfer detail, and an unreviewed bank account</w:t>
      </w:r>
    </w:p>
    <w:p>
      <w:pPr>
        <w:spacing w:after="60"/>
      </w:pPr>
      <w:r>
        <w:rPr>
          <w:b/>
          <w:i w:val="0"/>
        </w:rPr>
        <w:t>Priority:</w:t>
      </w:r>
      <w:r>
        <w:rPr>
          <w:b w:val="0"/>
          <w:i w:val="0"/>
        </w:rPr>
        <w:t xml:space="preserve"> High / Immediate</w:t>
      </w:r>
    </w:p>
    <w:p>
      <w:pPr>
        <w:spacing w:after="120"/>
        <w:jc w:val="both"/>
      </w:pPr>
      <w:r>
        <w:rPr>
          <w:b/>
          <w:i w:val="0"/>
        </w:rPr>
        <w:t>(a) Description of the error or omission.</w:t>
      </w:r>
      <w:r>
        <w:rPr>
          <w:b w:val="0"/>
          <w:i w:val="0"/>
        </w:rPr>
        <w:t xml:space="preserve"> The Report names “Consolidated Plastics International, Ltd., a Hong Kong limited company” as the transferee of seven wires totaling $1,400,000 (Section IV.D; Exhibit C, CPI-001 to CPI-007). The bank wire records (Exhibit G), compiled by Glenbrook’s own Jonathan Gao on April 22, 2025, eight days before the Report, show:</w:t>
      </w:r>
    </w:p>
    <w:p>
      <w:pPr>
        <w:pStyle w:val="ListBullet"/>
        <w:spacing w:after="60"/>
      </w:pPr>
      <w:r>
        <w:rPr>
          <w:b/>
          <w:i w:val="0"/>
        </w:rPr>
        <w:t>Beneficiary:</w:t>
      </w:r>
      <w:r>
        <w:rPr>
          <w:b w:val="0"/>
          <w:i w:val="0"/>
        </w:rPr>
        <w:t xml:space="preserve"> every wire went to </w:t>
      </w:r>
      <w:r>
        <w:rPr>
          <w:b/>
          <w:i w:val="0"/>
        </w:rPr>
        <w:t>CPI Americas, Inc., a Delaware corporation</w:t>
      </w:r>
      <w:r>
        <w:rPr>
          <w:b w:val="0"/>
          <w:i w:val="0"/>
        </w:rPr>
        <w:t xml:space="preserve"> (account x6291, Sedgewick Fiduciary &amp; Savings Bank, ABA 039100213). The records state that “no wire transfers during this period were directed to Consolidated Plastics International, Ltd. or to any Hong Kong bank account.”</w:t>
      </w:r>
    </w:p>
    <w:p>
      <w:pPr>
        <w:pStyle w:val="ListBullet"/>
        <w:spacing w:after="60"/>
      </w:pPr>
      <w:r>
        <w:rPr>
          <w:b/>
          <w:i w:val="0"/>
        </w:rPr>
        <w:t>Number and detail:</w:t>
      </w:r>
      <w:r>
        <w:rPr>
          <w:b w:val="0"/>
          <w:i w:val="0"/>
        </w:rPr>
        <w:t xml:space="preserve"> there were </w:t>
      </w:r>
      <w:r>
        <w:rPr>
          <w:b/>
          <w:i w:val="0"/>
        </w:rPr>
        <w:t>12</w:t>
      </w:r>
      <w:r>
        <w:rPr>
          <w:b w:val="0"/>
          <w:i w:val="0"/>
        </w:rPr>
        <w:t xml:space="preserve"> preference-period wires (Dec. 18, 2024 – Mar. 14, 2025) totaling $1,400,000, not 7. Only the total matches. No Exhibit C date, amount or reference number (W-842xx series) matches the bank records (WR-2024/2025 series). For example, Exhibit C shows $200,000 on Jan. 24, 2025, while the bank shows $118,000 that day.</w:t>
      </w:r>
    </w:p>
    <w:p>
      <w:pPr>
        <w:pStyle w:val="ListBullet"/>
        <w:spacing w:after="60"/>
      </w:pPr>
      <w:r>
        <w:rPr>
          <w:b/>
          <w:i w:val="0"/>
        </w:rPr>
        <w:t>Originating account:</w:t>
      </w:r>
      <w:r>
        <w:rPr>
          <w:b w:val="0"/>
          <w:i w:val="0"/>
        </w:rPr>
        <w:t xml:space="preserve"> every wire went out of Meridian account x4738 at </w:t>
      </w:r>
      <w:r>
        <w:rPr>
          <w:b/>
          <w:i w:val="0"/>
        </w:rPr>
        <w:t>First Hollcroft Bank of Charlotte</w:t>
      </w:r>
      <w:r>
        <w:rPr>
          <w:b w:val="0"/>
          <w:i w:val="0"/>
        </w:rPr>
        <w:t>. That account is not among the three accounts the Report lists as its data sources (Pinnacle x4782, Bank of Allegheny x9136, Westridge x3051).</w:t>
      </w:r>
    </w:p>
    <w:p>
      <w:pPr>
        <w:pStyle w:val="ListBullet"/>
        <w:spacing w:after="60"/>
      </w:pPr>
      <w:r>
        <w:rPr>
          <w:b/>
          <w:i w:val="0"/>
        </w:rPr>
        <w:t>Acceleration:</w:t>
      </w:r>
      <w:r>
        <w:rPr>
          <w:b w:val="0"/>
          <w:i w:val="0"/>
        </w:rPr>
        <w:t xml:space="preserve"> the 6 pre-preference wires (Sept. 12 – Dec. 10, 2024) total $517,000, averaging $86,167 at intervals of about 18 days. The 12 preference-period wires average $116,667 at intervals of about 8 days, roughly 2.7 times the monthly dollar volume. The memos read “expedited,” “urgent,” and “pre-petition rush,” and the last wire is labeled “final pre-petition payment” on the Petition Date itself (Mar. 14, 2025, $115,000). Terms were Net 60.</w:t>
      </w:r>
    </w:p>
    <w:p>
      <w:pPr>
        <w:pStyle w:val="ListBullet"/>
        <w:spacing w:after="60"/>
      </w:pPr>
      <w:r>
        <w:rPr>
          <w:b/>
          <w:i w:val="0"/>
        </w:rPr>
        <w:t>Approver:</w:t>
      </w:r>
      <w:r>
        <w:rPr>
          <w:b w:val="0"/>
          <w:i w:val="0"/>
        </w:rPr>
        <w:t xml:space="preserve"> CFO Rebecca Liu-Whitford approved every wire.</w:t>
      </w:r>
    </w:p>
    <w:p>
      <w:pPr>
        <w:spacing w:after="120"/>
        <w:jc w:val="both"/>
      </w:pPr>
      <w:r>
        <w:rPr>
          <w:b/>
          <w:i w:val="0"/>
        </w:rPr>
        <w:t>(b) Legal and practical significance.</w:t>
      </w:r>
      <w:r>
        <w:rPr>
          <w:b w:val="0"/>
          <w:i w:val="0"/>
        </w:rPr>
        <w:t xml:space="preserve"> Under § 550(a)(1), recovery runs against “the initial transferee” or “the entity for whose benefit such transfer was made.” A complaint against the Hong Kong entity alone would name the wrong initial transferee. CPI Americas, a Delaware corporation, is the proper primary defendant, and it is subject to suit and enforcement in the United States, which largely removes the foreign-enforcement problem the Report ignored (Issue 4.2). The Hong Kong parent can be named in the alternative as the entity for whose benefit the transfers were made, if the corporate relationship supports it.</w:t>
      </w:r>
    </w:p>
    <w:p>
      <w:pPr>
        <w:spacing w:after="120"/>
        <w:jc w:val="both"/>
      </w:pPr>
      <w:r>
        <w:rPr>
          <w:b w:val="0"/>
          <w:i w:val="0"/>
        </w:rPr>
        <w:t>The previously unreviewed First Hollcroft account is a data-integrity problem for the whole Report. Other payees may have been paid from that account and left out.</w:t>
      </w:r>
    </w:p>
    <w:p>
      <w:pPr>
        <w:spacing w:after="120"/>
        <w:jc w:val="both"/>
      </w:pPr>
      <w:r>
        <w:rPr>
          <w:b w:val="0"/>
          <w:i w:val="0"/>
        </w:rPr>
        <w:t>The payment acceleration and the “rush” memos strongly undercut any ordinary course defense under § 547(c)(2)(A) for CPI. However, “expedited” and “urgent” shipments may support a subsequent new value defense under § 547(c)(4) that the Report never analyzed. The Mar. 14, 2025 wire needs a time stamp: if it executed after the petition was filed, it is a post-petition transfer avoidable under § 549, not § 547.</w:t>
      </w:r>
    </w:p>
    <w:p>
      <w:pPr>
        <w:spacing w:after="120"/>
        <w:jc w:val="both"/>
      </w:pPr>
      <w:r>
        <w:rPr>
          <w:b/>
          <w:i w:val="0"/>
        </w:rPr>
        <w:t>(c) Dollar impact.</w:t>
      </w:r>
      <w:r>
        <w:rPr>
          <w:b w:val="0"/>
          <w:i w:val="0"/>
        </w:rPr>
        <w:t xml:space="preserve"> No change to the $1,400,000 gross. Recoverability improves materially. Exposure may decrease if CPI shows new value. Also potential additional exposure from unreviewed transfers out of First Hollcroft x4738.</w:t>
      </w:r>
    </w:p>
    <w:p>
      <w:pPr>
        <w:spacing w:after="120"/>
        <w:jc w:val="both"/>
      </w:pPr>
      <w:r>
        <w:rPr>
          <w:b/>
          <w:i w:val="0"/>
        </w:rPr>
        <w:t>(d) Corrected calculation.</w:t>
      </w:r>
      <w:r>
        <w:rPr>
          <w:b w:val="0"/>
          <w:i w:val="0"/>
        </w:rPr>
        <w:t xml:space="preserve"> Corrected CPI schedule: 12 wires, WR-2024-09287 through WR-2025-01249: $115,000 + $105,000 + $130,000 + $118,000 + $142,000 + $95,000 + $135,000 + $110,000 + $125,000 + $98,000 + $112,000 + $115,000 = </w:t>
      </w:r>
      <w:r>
        <w:rPr>
          <w:b/>
          <w:i w:val="0"/>
        </w:rPr>
        <w:t>$1,400,000</w:t>
      </w:r>
      <w:r>
        <w:rPr>
          <w:b w:val="0"/>
          <w:i w:val="0"/>
        </w:rPr>
        <w:t>, transferee CPI Americas, Inc. Exhibit C’s CPI entries should be discarded.</w:t>
      </w:r>
    </w:p>
    <w:p>
      <w:pPr>
        <w:spacing w:after="40"/>
      </w:pPr>
      <w:r>
        <w:rPr>
          <w:b/>
          <w:i w:val="0"/>
        </w:rPr>
        <w:t>(e) Recommended next steps.</w:t>
      </w:r>
    </w:p>
    <w:p>
      <w:pPr>
        <w:pStyle w:val="ListBullet"/>
        <w:spacing w:after="60"/>
      </w:pPr>
      <w:r>
        <w:rPr>
          <w:b w:val="0"/>
          <w:i w:val="0"/>
        </w:rPr>
        <w:t>Obtain all statements for First Hollcroft x4738 (Mar. 14, 2024 – Mar. 14, 2025) and re-run the disbursement analysis across all four accounts, plus any others identified.</w:t>
      </w:r>
    </w:p>
    <w:p>
      <w:pPr>
        <w:pStyle w:val="ListBullet"/>
        <w:spacing w:after="60"/>
      </w:pPr>
      <w:r>
        <w:rPr>
          <w:b w:val="0"/>
          <w:i w:val="0"/>
        </w:rPr>
        <w:t>Obtain corporate information on CPI Americas, Inc. (Delaware Secretary of State) and its relationship to the Hong Kong entity. Confirm who invoiced the Debtor and on what terms.</w:t>
      </w:r>
    </w:p>
    <w:p>
      <w:pPr>
        <w:pStyle w:val="ListBullet"/>
        <w:spacing w:after="60"/>
      </w:pPr>
      <w:r>
        <w:rPr>
          <w:b w:val="0"/>
          <w:i w:val="0"/>
        </w:rPr>
        <w:t>Obtain CPI shipment and receiving records to evaluate new value, and the Fedwire time stamp for WR-2025-01249 relative to the petition filing time.</w:t>
      </w:r>
    </w:p>
    <w:p>
      <w:pPr>
        <w:pStyle w:val="ListBullet"/>
        <w:spacing w:after="60"/>
      </w:pPr>
      <w:r>
        <w:rPr>
          <w:b w:val="0"/>
          <w:i w:val="0"/>
        </w:rPr>
        <w:t>Request the Debtor’s explanation for the March 2025 “rush” payments, which were approved by the CFO.</w:t>
      </w:r>
    </w:p>
    <w:p>
      <w:pPr>
        <w:pStyle w:val="Heading3"/>
      </w:pPr>
      <w:r>
        <w:t>Issue 2.3: Harborview treated as an ordinary trade creditor rather than a premium-trust conduit</w:t>
      </w:r>
    </w:p>
    <w:p>
      <w:pPr>
        <w:spacing w:after="60"/>
      </w:pPr>
      <w:r>
        <w:rPr>
          <w:b/>
          <w:i w:val="0"/>
        </w:rPr>
        <w:t>Priority:</w:t>
      </w:r>
      <w:r>
        <w:rPr>
          <w:b w:val="0"/>
          <w:i w:val="0"/>
        </w:rPr>
        <w:t xml:space="preserve"> High / Before demands</w:t>
      </w:r>
    </w:p>
    <w:p>
      <w:pPr>
        <w:spacing w:after="120"/>
        <w:jc w:val="both"/>
      </w:pPr>
      <w:r>
        <w:rPr>
          <w:b/>
          <w:i w:val="0"/>
        </w:rPr>
        <w:t>(a) Description of the error or omission.</w:t>
      </w:r>
      <w:r>
        <w:rPr>
          <w:b w:val="0"/>
          <w:i w:val="0"/>
        </w:rPr>
        <w:t xml:space="preserve"> The Report treats all six Harborview transfers ($1,500,000) as payments to Harborview on its own “brokerage and premium obligations” and identifies no defense. It says the Broker Services Agreement was “referenced but not analyzed in detail.” The Agreement requires net premiums to be paid to “Harborview Insurance Brokers, Inc. — Premium Trust Account” and held “in a fiduciary capacity for the benefit of the applicable Carriers” (§§ 4.2–4.3). Only Service Fees ($130,000 per quarter, § 5.1) belong to Harborview.</w:t>
      </w:r>
    </w:p>
    <w:p>
      <w:pPr>
        <w:spacing w:after="120"/>
        <w:jc w:val="both"/>
      </w:pPr>
      <w:r>
        <w:rPr>
          <w:b/>
          <w:i w:val="0"/>
        </w:rPr>
        <w:t>(b) Legal and practical significance.</w:t>
      </w:r>
      <w:r>
        <w:rPr>
          <w:b w:val="0"/>
          <w:i w:val="0"/>
        </w:rPr>
        <w:t xml:space="preserve"> Harborview is likely a mere conduit for the premium portion, not the initial transferee. The carriers (Oakmont Casualty, Ridgefield Mutual, Prairie States Underwriters) are. The legal analysis is in Issue 3.7.</w:t>
      </w:r>
    </w:p>
    <w:p>
      <w:pPr>
        <w:spacing w:after="120"/>
        <w:jc w:val="both"/>
      </w:pPr>
      <w:r>
        <w:rPr>
          <w:b/>
          <w:i w:val="0"/>
        </w:rPr>
        <w:t>(c) Dollar impact.</w:t>
      </w:r>
      <w:r>
        <w:rPr>
          <w:b w:val="0"/>
          <w:i w:val="0"/>
        </w:rPr>
        <w:t xml:space="preserve"> Reclassifies an estimated $1,370,000 away from Harborview (see Issue 3.7).</w:t>
      </w:r>
    </w:p>
    <w:p>
      <w:pPr>
        <w:spacing w:after="120"/>
        <w:jc w:val="both"/>
      </w:pPr>
      <w:r>
        <w:rPr>
          <w:b/>
          <w:i w:val="0"/>
        </w:rPr>
        <w:t>(d) Corrected calculation.</w:t>
      </w:r>
      <w:r>
        <w:rPr>
          <w:b w:val="0"/>
          <w:i w:val="0"/>
        </w:rPr>
        <w:t xml:space="preserve"> See Issue 3.7.</w:t>
      </w:r>
    </w:p>
    <w:p>
      <w:pPr>
        <w:spacing w:after="40"/>
      </w:pPr>
      <w:r>
        <w:rPr>
          <w:b/>
          <w:i w:val="0"/>
        </w:rPr>
        <w:t>(e) Recommended next steps.</w:t>
      </w:r>
    </w:p>
    <w:p>
      <w:pPr>
        <w:pStyle w:val="ListBullet"/>
        <w:spacing w:after="60"/>
      </w:pPr>
      <w:r>
        <w:rPr>
          <w:b w:val="0"/>
          <w:i w:val="0"/>
        </w:rPr>
        <w:t>See Issue 3.7.</w:t>
      </w:r>
    </w:p>
    <w:p>
      <w:pPr>
        <w:pStyle w:val="Heading3"/>
      </w:pPr>
      <w:r>
        <w:t>Issue 2.4: Unverified “no affiliation” statement for Meridian Plastics &amp; Molding, Inc.</w:t>
      </w:r>
    </w:p>
    <w:p>
      <w:pPr>
        <w:spacing w:after="60"/>
      </w:pPr>
      <w:r>
        <w:rPr>
          <w:b/>
          <w:i w:val="0"/>
        </w:rPr>
        <w:t>Priority:</w:t>
      </w:r>
      <w:r>
        <w:rPr>
          <w:b w:val="0"/>
          <w:i w:val="0"/>
        </w:rPr>
        <w:t xml:space="preserve"> Low / Data request now</w:t>
      </w:r>
    </w:p>
    <w:p>
      <w:pPr>
        <w:spacing w:after="120"/>
        <w:jc w:val="both"/>
      </w:pPr>
      <w:r>
        <w:rPr>
          <w:b/>
          <w:i w:val="0"/>
        </w:rPr>
        <w:t>(a) Description of the error or omission.</w:t>
      </w:r>
      <w:r>
        <w:rPr>
          <w:b w:val="0"/>
          <w:i w:val="0"/>
        </w:rPr>
        <w:t xml:space="preserve"> Footnote 1 to Exhibit A states that Meridian Plastics &amp; Molding, Inc. (South Carolina; $127,000; 3 transfers) has “no affiliation with the Debtor despite similar name.” The Report cites no basis for this, and the vendor master file was not produced.</w:t>
      </w:r>
    </w:p>
    <w:p>
      <w:pPr>
        <w:spacing w:after="120"/>
        <w:jc w:val="both"/>
      </w:pPr>
      <w:r>
        <w:rPr>
          <w:b/>
          <w:i w:val="0"/>
        </w:rPr>
        <w:t>(b) Legal and practical significance.</w:t>
      </w:r>
      <w:r>
        <w:rPr>
          <w:b w:val="0"/>
          <w:i w:val="0"/>
        </w:rPr>
        <w:t xml:space="preserve"> If the entity is an affiliate or is controlled by insiders, it may be an insider as an affiliate under § 101(31)(E), or a non-statutory insider. In that case the one-year look-back applies and additional transfers from March 14 to December 13, 2024 may be avoidable. A similar name is a standard red flag in related-party testing.</w:t>
      </w:r>
    </w:p>
    <w:p>
      <w:pPr>
        <w:spacing w:after="120"/>
        <w:jc w:val="both"/>
      </w:pPr>
      <w:r>
        <w:rPr>
          <w:b/>
          <w:i w:val="0"/>
        </w:rPr>
        <w:t>(c) Dollar impact.</w:t>
      </w:r>
      <w:r>
        <w:rPr>
          <w:b w:val="0"/>
          <w:i w:val="0"/>
        </w:rPr>
        <w:t xml:space="preserve"> Unknown. At minimum $127,000 is already in Tier 2; insider status could add any March–December 2024 transfers.</w:t>
      </w:r>
    </w:p>
    <w:p>
      <w:pPr>
        <w:spacing w:after="120"/>
        <w:jc w:val="both"/>
      </w:pPr>
      <w:r>
        <w:rPr>
          <w:b/>
          <w:i w:val="0"/>
        </w:rPr>
        <w:t>(d) Corrected calculation.</w:t>
      </w:r>
      <w:r>
        <w:rPr>
          <w:b w:val="0"/>
          <w:i w:val="0"/>
        </w:rPr>
        <w:t xml:space="preserve"> None until ownership is confirmed.</w:t>
      </w:r>
    </w:p>
    <w:p>
      <w:pPr>
        <w:spacing w:after="40"/>
      </w:pPr>
      <w:r>
        <w:rPr>
          <w:b/>
          <w:i w:val="0"/>
        </w:rPr>
        <w:t>(e) Recommended next steps.</w:t>
      </w:r>
    </w:p>
    <w:p>
      <w:pPr>
        <w:pStyle w:val="ListBullet"/>
        <w:spacing w:after="60"/>
      </w:pPr>
      <w:r>
        <w:rPr>
          <w:b w:val="0"/>
          <w:i w:val="0"/>
        </w:rPr>
        <w:t>Obtain Secretary of State, ownership and officer records for Meridian Plastics &amp; Molding, and cross-check them against the officer and director list and their relatives.</w:t>
      </w:r>
    </w:p>
    <w:p>
      <w:pPr>
        <w:pStyle w:val="ListBullet"/>
        <w:spacing w:after="60"/>
      </w:pPr>
      <w:r>
        <w:rPr>
          <w:b w:val="0"/>
          <w:i w:val="0"/>
        </w:rPr>
        <w:t>Request the vendor master file entries and the 12-month payment history for this vendor.</w:t>
      </w:r>
    </w:p>
    <w:p>
      <w:pPr>
        <w:pStyle w:val="Heading1"/>
      </w:pPr>
      <w:r>
        <w:t>VI. Category 3 — Legal Analysis Errors</w:t>
      </w:r>
    </w:p>
    <w:p>
      <w:pPr>
        <w:pStyle w:val="Heading3"/>
      </w:pPr>
      <w:r>
        <w:t>Issue 3.1: Statute of limitations under § 546(a)(1) misstated</w:t>
      </w:r>
    </w:p>
    <w:p>
      <w:pPr>
        <w:spacing w:after="60"/>
      </w:pPr>
      <w:r>
        <w:rPr>
          <w:b/>
          <w:i w:val="0"/>
        </w:rPr>
        <w:t>Priority:</w:t>
      </w:r>
      <w:r>
        <w:rPr>
          <w:b w:val="0"/>
          <w:i w:val="0"/>
        </w:rPr>
        <w:t xml:space="preserve"> Medium / Calendar now</w:t>
      </w:r>
    </w:p>
    <w:p>
      <w:pPr>
        <w:spacing w:after="120"/>
        <w:jc w:val="both"/>
      </w:pPr>
      <w:r>
        <w:rPr>
          <w:b/>
          <w:i w:val="0"/>
        </w:rPr>
        <w:t>(a) Description of the error or omission.</w:t>
      </w:r>
      <w:r>
        <w:rPr>
          <w:b w:val="0"/>
          <w:i w:val="0"/>
        </w:rPr>
        <w:t xml:space="preserve"> The Report says § 546(a)(1) bars actions after “the earlier of (i) one year after the entry of the order for relief, or (ii) the time the case is closed or dismissed,” and puts the deadline at </w:t>
      </w:r>
      <w:r>
        <w:rPr>
          <w:b/>
          <w:i w:val="0"/>
        </w:rPr>
        <w:t>March 14, 2026</w:t>
      </w:r>
      <w:r>
        <w:rPr>
          <w:b w:val="0"/>
          <w:i w:val="0"/>
        </w:rPr>
        <w:t xml:space="preserve"> (Sections I, VII, VIII). That misreads the statute. Section 546(a) bars actions commenced after the earlier of (1) the later of (A) </w:t>
      </w:r>
      <w:r>
        <w:rPr>
          <w:b/>
          <w:i w:val="0"/>
        </w:rPr>
        <w:t>two years</w:t>
      </w:r>
      <w:r>
        <w:rPr>
          <w:b w:val="0"/>
          <w:i w:val="0"/>
        </w:rPr>
        <w:t xml:space="preserve"> after the order for relief or (B) one year after the appointment or election of the first trustee (under § 702, 1104, 1163, 1202 or 1302), if that appointment occurs within the two-year period; or (2) the time the case is closed or dismissed.</w:t>
      </w:r>
    </w:p>
    <w:p>
      <w:pPr>
        <w:spacing w:after="120"/>
        <w:jc w:val="both"/>
      </w:pPr>
      <w:r>
        <w:rPr>
          <w:b/>
          <w:i w:val="0"/>
        </w:rPr>
        <w:t>(b) Legal and practical significance.</w:t>
      </w:r>
      <w:r>
        <w:rPr>
          <w:b w:val="0"/>
          <w:i w:val="0"/>
        </w:rPr>
        <w:t xml:space="preserve"> In a voluntary case the order for relief is the petition date (§ 301(b)): March 14, 2025. The two-year date, March 14, 2027, is a Sunday, so under Fed. R. Bankr. P. 9006(a)(1)(C) the period runs to </w:t>
      </w:r>
      <w:r>
        <w:rPr>
          <w:b/>
          <w:i w:val="0"/>
        </w:rPr>
        <w:t>Monday, March 15, 2027</w:t>
      </w:r>
      <w:r>
        <w:rPr>
          <w:b w:val="0"/>
          <w:i w:val="0"/>
        </w:rPr>
        <w:t>. If a chapter 11 trustee is appointed before then, the period extends to one year after the appointment. The period ends early if the case is closed or dismissed, so a plan that closes the case or dismisses it in a structured way could cut it short. The Report’s one-year date is conservative, but it misinforms strategy: it creates artificial urgency that defendants could exploit in negotiations, and it overlooks the trustee extension. Your letter correctly identifies the two-year period.</w:t>
      </w:r>
    </w:p>
    <w:p>
      <w:pPr>
        <w:spacing w:after="120"/>
        <w:jc w:val="both"/>
      </w:pPr>
      <w:r>
        <w:rPr>
          <w:b/>
          <w:i w:val="0"/>
        </w:rPr>
        <w:t>(c) Dollar impact.</w:t>
      </w:r>
      <w:r>
        <w:rPr>
          <w:b w:val="0"/>
          <w:i w:val="0"/>
        </w:rPr>
        <w:t xml:space="preserve"> None directly. The error affects strategy and leverage.</w:t>
      </w:r>
    </w:p>
    <w:p>
      <w:pPr>
        <w:spacing w:after="120"/>
        <w:jc w:val="both"/>
      </w:pPr>
      <w:r>
        <w:rPr>
          <w:b/>
          <w:i w:val="0"/>
        </w:rPr>
        <w:t>(d) Corrected calculation.</w:t>
      </w:r>
      <w:r>
        <w:rPr>
          <w:b w:val="0"/>
          <w:i w:val="0"/>
        </w:rPr>
        <w:t xml:space="preserve"> Deadline: March 15, 2027 (two years from March 14, 2025, rolled forward from Sunday under Rule 9006(a)(1)(C)). Recommended internal filing deadline: </w:t>
      </w:r>
      <w:r>
        <w:rPr>
          <w:b/>
          <w:i w:val="0"/>
        </w:rPr>
        <w:t>Friday, March 12, 2027</w:t>
      </w:r>
      <w:r>
        <w:rPr>
          <w:b w:val="0"/>
          <w:i w:val="0"/>
        </w:rPr>
        <w:t xml:space="preserve"> or earlier, which does not depend on the weekend roll-forward.</w:t>
      </w:r>
    </w:p>
    <w:p>
      <w:pPr>
        <w:spacing w:after="40"/>
      </w:pPr>
      <w:r>
        <w:rPr>
          <w:b/>
          <w:i w:val="0"/>
        </w:rPr>
        <w:t>(e) Recommended next steps.</w:t>
      </w:r>
    </w:p>
    <w:p>
      <w:pPr>
        <w:pStyle w:val="ListBullet"/>
        <w:spacing w:after="60"/>
      </w:pPr>
      <w:r>
        <w:rPr>
          <w:b w:val="0"/>
          <w:i w:val="0"/>
        </w:rPr>
        <w:t>Docket March 12, 2027 (internal) and March 15, 2027 (statutory). Add tickler items for any trustee appointment and for any plan provision on case closing or dismissal.</w:t>
      </w:r>
    </w:p>
    <w:p>
      <w:pPr>
        <w:pStyle w:val="ListBullet"/>
        <w:spacing w:after="60"/>
      </w:pPr>
      <w:r>
        <w:rPr>
          <w:b w:val="0"/>
          <w:i w:val="0"/>
        </w:rPr>
        <w:t>Make sure any plan or settlement preserves avoidance actions (or assigns them to a litigation trust) and that the case is not closed before suit.</w:t>
      </w:r>
    </w:p>
    <w:p>
      <w:pPr>
        <w:pStyle w:val="ListBullet"/>
        <w:spacing w:after="60"/>
      </w:pPr>
      <w:r>
        <w:rPr>
          <w:b w:val="0"/>
          <w:i w:val="0"/>
        </w:rPr>
        <w:t>Use tolling agreements with cooperative defendants rather than rushing filings.</w:t>
      </w:r>
    </w:p>
    <w:p>
      <w:pPr>
        <w:pStyle w:val="Heading3"/>
      </w:pPr>
      <w:r>
        <w:t>Issue 3.2: Outdated § 547(c)(9) small-transfer threshold</w:t>
      </w:r>
    </w:p>
    <w:p>
      <w:pPr>
        <w:spacing w:after="60"/>
      </w:pPr>
      <w:r>
        <w:rPr>
          <w:b/>
          <w:i w:val="0"/>
        </w:rPr>
        <w:t>Priority:</w:t>
      </w:r>
      <w:r>
        <w:rPr>
          <w:b w:val="0"/>
          <w:i w:val="0"/>
        </w:rPr>
        <w:t xml:space="preserve"> Low / Before demands</w:t>
      </w:r>
    </w:p>
    <w:p>
      <w:pPr>
        <w:spacing w:after="120"/>
        <w:jc w:val="both"/>
      </w:pPr>
      <w:r>
        <w:rPr>
          <w:b/>
          <w:i w:val="0"/>
        </w:rPr>
        <w:t>(a) Description of the error or omission.</w:t>
      </w:r>
      <w:r>
        <w:rPr>
          <w:b w:val="0"/>
          <w:i w:val="0"/>
        </w:rPr>
        <w:t xml:space="preserve"> The Report applies a $5,000 per-payee threshold under § 547(c)(9). That is the original 2005 figure. The amount is adjusted every three years under § 104. For cases filed on or after April 1, 2022 (and before the April 1, 2025 adjustment), the threshold is </w:t>
      </w:r>
      <w:r>
        <w:rPr>
          <w:b/>
          <w:i w:val="0"/>
        </w:rPr>
        <w:t>$7,575</w:t>
      </w:r>
      <w:r>
        <w:rPr>
          <w:b w:val="0"/>
          <w:i w:val="0"/>
        </w:rPr>
        <w:t>. This case was filed March 14, 2025. Seventeen payees with aggregates between $5,001 and $7,540 therefore fall below the threshold. Exhibit C itself shows a table of payees “between $5,001 and $7,574,” which suggests the correct threshold was known and not applied.</w:t>
      </w:r>
    </w:p>
    <w:p>
      <w:pPr>
        <w:spacing w:after="120"/>
        <w:jc w:val="both"/>
      </w:pPr>
      <w:r>
        <w:rPr>
          <w:b/>
          <w:i w:val="0"/>
        </w:rPr>
        <w:t>(b) Legal and practical significance.</w:t>
      </w:r>
      <w:r>
        <w:rPr>
          <w:b w:val="0"/>
          <w:i w:val="0"/>
        </w:rPr>
        <w:t xml:space="preserve"> Suing transferees below the threshold invites dismissal and fee arguments, and it wastes resources. The provision applies in a case whose debtor’s debts are not primarily consumer debts, which is true here. Courts generally apply it to the aggregate of transfers to a single creditor.</w:t>
      </w:r>
    </w:p>
    <w:p>
      <w:pPr>
        <w:spacing w:after="120"/>
        <w:jc w:val="both"/>
      </w:pPr>
      <w:r>
        <w:rPr>
          <w:b/>
          <w:i w:val="0"/>
        </w:rPr>
        <w:t>(c) Dollar impact.</w:t>
      </w:r>
      <w:r>
        <w:rPr>
          <w:b w:val="0"/>
          <w:i w:val="0"/>
        </w:rPr>
        <w:t xml:space="preserve"> −$101,281 gross exposure (17 payees). Tier 3 falls to 42 payees / $1,671,300.</w:t>
      </w:r>
    </w:p>
    <w:p>
      <w:pPr>
        <w:spacing w:after="120"/>
        <w:jc w:val="both"/>
      </w:pPr>
      <w:r>
        <w:rPr>
          <w:b/>
          <w:i w:val="0"/>
        </w:rPr>
        <w:t>(d) Corrected calculation.</w:t>
      </w:r>
      <w:r>
        <w:rPr>
          <w:b w:val="0"/>
          <w:i w:val="0"/>
        </w:rPr>
        <w:t xml:space="preserve"> Excluded payees (Exhibit A amounts): Creekside $7,540; Birchwood $7,400; Clearmont $7,200; Stonegate $6,900; Havenwood $6,600; Eastbrook $6,300; Ridgepoint $6,100; Ferndale $5,900; Walden Pond $5,700; Summerfield $5,500; Briarwood $5,340; Cedarbrook $5,300; Orchard Hill $5,200; Whitestone $5,150; Bayswater $5,100; Langley $5,050; Heatherfield $5,001. Total </w:t>
      </w:r>
      <w:r>
        <w:rPr>
          <w:b/>
          <w:i w:val="0"/>
        </w:rPr>
        <w:t>$101,281</w:t>
      </w:r>
      <w:r>
        <w:rPr>
          <w:b w:val="0"/>
          <w:i w:val="0"/>
        </w:rPr>
        <w:t>.</w:t>
      </w:r>
    </w:p>
    <w:p>
      <w:pPr>
        <w:spacing w:after="40"/>
      </w:pPr>
      <w:r>
        <w:rPr>
          <w:b/>
          <w:i w:val="0"/>
        </w:rPr>
        <w:t>(e) Recommended next steps.</w:t>
      </w:r>
    </w:p>
    <w:p>
      <w:pPr>
        <w:pStyle w:val="ListBullet"/>
        <w:spacing w:after="60"/>
      </w:pPr>
      <w:r>
        <w:rPr>
          <w:b w:val="0"/>
          <w:i w:val="0"/>
        </w:rPr>
        <w:t>Remove these payees from the target list. Keep their data in case later reconciliation pushes any of them above $7,575.</w:t>
      </w:r>
    </w:p>
    <w:p>
      <w:pPr>
        <w:pStyle w:val="ListBullet"/>
        <w:spacing w:after="60"/>
      </w:pPr>
      <w:r>
        <w:rPr>
          <w:b w:val="0"/>
          <w:i w:val="0"/>
        </w:rPr>
        <w:t>Confirm that the 25 payees under $5,000 also need no further review.</w:t>
      </w:r>
    </w:p>
    <w:p>
      <w:pPr>
        <w:pStyle w:val="Heading3"/>
      </w:pPr>
      <w:r>
        <w:t>Issue 3.3: Ordinary course of business defense: wrong legal standard, no debtor-creditor analysis, unsupported credits</w:t>
      </w:r>
    </w:p>
    <w:p>
      <w:pPr>
        <w:spacing w:after="60"/>
      </w:pPr>
      <w:r>
        <w:rPr>
          <w:b/>
          <w:i w:val="0"/>
        </w:rPr>
        <w:t>Priority:</w:t>
      </w:r>
      <w:r>
        <w:rPr>
          <w:b w:val="0"/>
          <w:i w:val="0"/>
        </w:rPr>
        <w:t xml:space="preserve"> High / Before demands</w:t>
      </w:r>
    </w:p>
    <w:p>
      <w:pPr>
        <w:spacing w:after="120"/>
        <w:jc w:val="both"/>
      </w:pPr>
      <w:r>
        <w:rPr>
          <w:b/>
          <w:i w:val="0"/>
        </w:rPr>
        <w:t>(a) Description of the error or omission.</w:t>
      </w:r>
      <w:r>
        <w:rPr>
          <w:b w:val="0"/>
          <w:i w:val="0"/>
        </w:rPr>
        <w:t xml:space="preserve"> Section V.A states that the transferee “must demonstrate that the payment was both consistent with industry norms and made according to ordinary business terms.” That is wrong. Since BAPCPA (2005), § 547(c)(2) requires that the debt be incurred in the ordinary course, and then that the transfer be made </w:t>
      </w:r>
      <w:r>
        <w:rPr>
          <w:b/>
          <w:i w:val="0"/>
        </w:rPr>
        <w:t>either</w:t>
      </w:r>
      <w:r>
        <w:rPr>
          <w:b w:val="0"/>
          <w:i w:val="0"/>
        </w:rPr>
        <w:t xml:space="preserve"> (A) in the ordinary course of business or financial affairs of the debtor and the transferee (the subjective, debtor-creditor test) </w:t>
      </w:r>
      <w:r>
        <w:rPr>
          <w:b/>
          <w:i w:val="0"/>
        </w:rPr>
        <w:t>or</w:t>
      </w:r>
      <w:r>
        <w:rPr>
          <w:b w:val="0"/>
          <w:i w:val="0"/>
        </w:rPr>
        <w:t xml:space="preserve"> (B) according to ordinary business terms (the objective, industry test). The Report states a conjunctive pre-BAPCPA test, then analyzes only the industry prong, and then credits the defense anyway:</w:t>
      </w:r>
    </w:p>
    <w:p>
      <w:pPr>
        <w:pStyle w:val="ListBullet"/>
        <w:spacing w:after="60"/>
      </w:pPr>
      <w:r>
        <w:rPr>
          <w:b/>
          <w:i w:val="0"/>
        </w:rPr>
        <w:t>TerraFreight ($2,100,000 credited):</w:t>
      </w:r>
      <w:r>
        <w:rPr>
          <w:b w:val="0"/>
          <w:i w:val="0"/>
        </w:rPr>
        <w:t xml:space="preserve"> the Report compares the preference-period average days-to-pay (34) to an industry average (32). It does no historical baseline analysis of the Debtor and TerraFreight’s own course of dealing, and its own Recommendation No. 2 admits that historical data still needs to be collected. The credit is computed on a $2.9M base that the detail does not support (Issue 1.4). No transfer-level invoice dates are provided. Payment frequency rose sharply just before filing: six payments between March 3 and March 13, 2025.</w:t>
      </w:r>
    </w:p>
    <w:p>
      <w:pPr>
        <w:pStyle w:val="ListBullet"/>
        <w:spacing w:after="60"/>
      </w:pPr>
      <w:r>
        <w:rPr>
          <w:b/>
          <w:i w:val="0"/>
        </w:rPr>
        <w:t>DataStream ($840,000 credited):</w:t>
      </w:r>
      <w:r>
        <w:rPr>
          <w:b w:val="0"/>
          <w:i w:val="0"/>
        </w:rPr>
        <w:t xml:space="preserve"> DataStream invoiced </w:t>
      </w:r>
      <w:r>
        <w:rPr>
          <w:b/>
          <w:i w:val="0"/>
        </w:rPr>
        <w:t>monthly</w:t>
      </w:r>
      <w:r>
        <w:rPr>
          <w:b w:val="0"/>
          <w:i w:val="0"/>
        </w:rPr>
        <w:t xml:space="preserve"> on Net 30, yet it received nine payments in three months, including three in March 2025 (Mar. 3, 10 and 13). That pattern is consistent with catching up past-due invoices, or with pressure from the Debtor’s own ERP vendor, which controlled the system the Report relied on. It is not consistent with ordinary monthly payment. The industry sources (CompTIA, Gartner) are not produced, and the method for arriving at $840,000 is not disclosed.</w:t>
      </w:r>
    </w:p>
    <w:p>
      <w:pPr>
        <w:pStyle w:val="ListBullet"/>
        <w:spacing w:after="60"/>
      </w:pPr>
      <w:r>
        <w:rPr>
          <w:b/>
          <w:i w:val="0"/>
        </w:rPr>
        <w:t>Averages mask outliers:</w:t>
      </w:r>
      <w:r>
        <w:rPr>
          <w:b w:val="0"/>
          <w:i w:val="0"/>
        </w:rPr>
        <w:t xml:space="preserve"> a single average cannot establish the defense for each transfer. The transferee must prove it transfer by transfer (§ 547(g)).</w:t>
      </w:r>
    </w:p>
    <w:p>
      <w:pPr>
        <w:spacing w:after="120"/>
        <w:jc w:val="both"/>
      </w:pPr>
      <w:r>
        <w:rPr>
          <w:b/>
          <w:i w:val="0"/>
        </w:rPr>
        <w:t>(b) Legal and practical significance.</w:t>
      </w:r>
      <w:r>
        <w:rPr>
          <w:b w:val="0"/>
          <w:i w:val="0"/>
        </w:rPr>
        <w:t xml:space="preserve"> The defense is the transferee’s to prove (§ 547(g)). Crediting it in the Committee’s exposure estimate on an incomplete record concedes value before any discovery. That said, a well-supported ordinary course defense is a real litigation risk for long-standing trade vendors with steady payment patterns. Vanderhoff (38–52 days against a 42-day historical average on Net 45) is the most exposed to this risk, and the Report did not analyze it.</w:t>
      </w:r>
    </w:p>
    <w:p>
      <w:pPr>
        <w:spacing w:after="120"/>
        <w:jc w:val="both"/>
      </w:pPr>
      <w:r>
        <w:rPr>
          <w:b/>
          <w:i w:val="0"/>
        </w:rPr>
        <w:t>(c) Dollar impact.</w:t>
      </w:r>
      <w:r>
        <w:rPr>
          <w:b w:val="0"/>
          <w:i w:val="0"/>
        </w:rPr>
        <w:t xml:space="preserve"> +$2,940,000 net exposure if the credits are withdrawn pending proper analysis. Downside sensitivity: if Glenbrook’s credits are ultimately sustained, net exposure falls by the same amount (Section VIII).</w:t>
      </w:r>
    </w:p>
    <w:p>
      <w:pPr>
        <w:spacing w:after="120"/>
        <w:jc w:val="both"/>
      </w:pPr>
      <w:r>
        <w:rPr>
          <w:b/>
          <w:i w:val="0"/>
        </w:rPr>
        <w:t>(d) Corrected calculation.</w:t>
      </w:r>
      <w:r>
        <w:rPr>
          <w:b w:val="0"/>
          <w:i w:val="0"/>
        </w:rPr>
        <w:t xml:space="preserve"> Committee-case credit for TerraFreight and DataStream: $0 until transfer-level subjective and objective analyses are completed. Section VIII shows the downside scenario.</w:t>
      </w:r>
    </w:p>
    <w:p>
      <w:pPr>
        <w:spacing w:after="40"/>
      </w:pPr>
      <w:r>
        <w:rPr>
          <w:b/>
          <w:i w:val="0"/>
        </w:rPr>
        <w:t>(e) Recommended next steps.</w:t>
      </w:r>
    </w:p>
    <w:p>
      <w:pPr>
        <w:pStyle w:val="ListBullet"/>
        <w:spacing w:after="60"/>
      </w:pPr>
      <w:r>
        <w:rPr>
          <w:b w:val="0"/>
          <w:i w:val="0"/>
        </w:rPr>
        <w:t>Pinehurst to obtain 24 months of pre-preference invoice and payment history for TerraFreight, DataStream, Vanderhoff, Lakeshore, Sagebrush and CPI, and to compute days-to-pay distributions, payment frequency, and amount changes (baseline vs. preference period, with March 2025 broken out).</w:t>
      </w:r>
    </w:p>
    <w:p>
      <w:pPr>
        <w:pStyle w:val="ListBullet"/>
        <w:spacing w:after="60"/>
      </w:pPr>
      <w:r>
        <w:rPr>
          <w:b w:val="0"/>
          <w:i w:val="0"/>
        </w:rPr>
        <w:t>Obtain the industry data Glenbrook cites. Consider retaining an industry expert on freight and IT services terms.</w:t>
      </w:r>
    </w:p>
    <w:p>
      <w:pPr>
        <w:pStyle w:val="ListBullet"/>
        <w:spacing w:after="60"/>
      </w:pPr>
      <w:r>
        <w:rPr>
          <w:b w:val="0"/>
          <w:i w:val="0"/>
        </w:rPr>
        <w:t>Investigate collection pressure: DataStream service-suspension threats, credit holds, or changed terms.</w:t>
      </w:r>
    </w:p>
    <w:p>
      <w:pPr>
        <w:pStyle w:val="Heading3"/>
      </w:pPr>
      <w:r>
        <w:t>Issue 3.4: Contemporaneous exchange defense: transfers 8–14 days after delivery do not qualify</w:t>
      </w:r>
    </w:p>
    <w:p>
      <w:pPr>
        <w:spacing w:after="60"/>
      </w:pPr>
      <w:r>
        <w:rPr>
          <w:b/>
          <w:i w:val="0"/>
        </w:rPr>
        <w:t>Priority:</w:t>
      </w:r>
      <w:r>
        <w:rPr>
          <w:b w:val="0"/>
          <w:i w:val="0"/>
        </w:rPr>
        <w:t xml:space="preserve"> High / Before demands</w:t>
      </w:r>
    </w:p>
    <w:p>
      <w:pPr>
        <w:spacing w:after="120"/>
        <w:jc w:val="both"/>
      </w:pPr>
      <w:r>
        <w:rPr>
          <w:b/>
          <w:i w:val="0"/>
        </w:rPr>
        <w:t>(a) Description of the error or omission.</w:t>
      </w:r>
      <w:r>
        <w:rPr>
          <w:b w:val="0"/>
          <w:i w:val="0"/>
        </w:rPr>
        <w:t xml:space="preserve"> Section V.B credits all 12 Exhibit D transfers ($1,340,000), describing them as “COD or pay-on-delivery” transactions. Four were paid by wire 8 to 14 days after delivery: Graystone $135,000 (12 days); Clearview $118,000 (14 days); Northland $142,000 (8 days); Summit $90,000 (11 days), totaling $485,000. A payment made 8–14 days after delivery is, by definition, not cash on delivery. The Debtor received the goods on credit, so the payment was on account of an antecedent debt. The Report offers no evidence of the parties’ </w:t>
      </w:r>
      <w:r>
        <w:rPr>
          <w:b/>
          <w:i w:val="0"/>
        </w:rPr>
        <w:t>intent</w:t>
      </w:r>
      <w:r>
        <w:rPr>
          <w:b w:val="0"/>
          <w:i w:val="0"/>
        </w:rPr>
        <w:t xml:space="preserve"> to make a contemporaneous exchange, which § 547(c)(1)(A) separately requires. It also offers no evidence that the 0–3 day transfers were in fact on COD terms.</w:t>
      </w:r>
    </w:p>
    <w:p>
      <w:pPr>
        <w:spacing w:after="120"/>
        <w:jc w:val="both"/>
      </w:pPr>
      <w:r>
        <w:rPr>
          <w:b/>
          <w:i w:val="0"/>
        </w:rPr>
        <w:t>(b) Legal and practical significance.</w:t>
      </w:r>
      <w:r>
        <w:rPr>
          <w:b w:val="0"/>
          <w:i w:val="0"/>
        </w:rPr>
        <w:t xml:space="preserve"> Section 547(c)(1) requires both (A) mutual intent that the exchange be contemporaneous and (B) that it was in fact substantially contemporaneous. Courts look at the parties’ agreed terms. Where goods are delivered on invoice terms and paid later, the defense generally fails, and a delay of one to two weeks after delivery on credit terms is very difficult to defend. Several of these vendors may have subsequent new value defenses instead, but that is a different defense with different proof.</w:t>
      </w:r>
    </w:p>
    <w:p>
      <w:pPr>
        <w:spacing w:after="120"/>
        <w:jc w:val="both"/>
      </w:pPr>
      <w:r>
        <w:rPr>
          <w:b/>
          <w:i w:val="0"/>
        </w:rPr>
        <w:t>(c) Dollar impact.</w:t>
      </w:r>
      <w:r>
        <w:rPr>
          <w:b w:val="0"/>
          <w:i w:val="0"/>
        </w:rPr>
        <w:t xml:space="preserve"> +$665,000 net exposure: $485,000 for the four late transfers plus $180,000 for credits above the payees’ aggregates (Issue 1.7).</w:t>
      </w:r>
    </w:p>
    <w:p>
      <w:pPr>
        <w:spacing w:after="120"/>
        <w:jc w:val="both"/>
      </w:pPr>
      <w:r>
        <w:rPr>
          <w:b/>
          <w:i w:val="0"/>
        </w:rPr>
        <w:t>(d) Corrected calculation.</w:t>
      </w:r>
      <w:r>
        <w:rPr>
          <w:b w:val="0"/>
          <w:i w:val="0"/>
        </w:rPr>
        <w:t xml:space="preserve"> Corrected § 547(c)(1) credit = </w:t>
      </w:r>
      <w:r>
        <w:rPr>
          <w:b/>
          <w:i w:val="0"/>
        </w:rPr>
        <w:t>$675,000</w:t>
      </w:r>
      <w:r>
        <w:rPr>
          <w:b w:val="0"/>
          <w:i w:val="0"/>
        </w:rPr>
        <w:t xml:space="preserve"> (the eight 0–3 day transfers, capped at each payee’s Exhibit A aggregate, Issue 1.7), versus $1,340,000 claimed. Even the $675,000 is provisional until COD terms and intent are documented.</w:t>
      </w:r>
    </w:p>
    <w:p>
      <w:pPr>
        <w:spacing w:after="40"/>
      </w:pPr>
      <w:r>
        <w:rPr>
          <w:b/>
          <w:i w:val="0"/>
        </w:rPr>
        <w:t>(e) Recommended next steps.</w:t>
      </w:r>
    </w:p>
    <w:p>
      <w:pPr>
        <w:pStyle w:val="ListBullet"/>
        <w:spacing w:after="60"/>
      </w:pPr>
      <w:r>
        <w:rPr>
          <w:b w:val="0"/>
          <w:i w:val="0"/>
        </w:rPr>
        <w:t>Request the purchase orders, vendor terms (COD vs. Net), delivery receipts and payment confirmations for all 12 transfers.</w:t>
      </w:r>
    </w:p>
    <w:p>
      <w:pPr>
        <w:pStyle w:val="ListBullet"/>
        <w:spacing w:after="60"/>
      </w:pPr>
      <w:r>
        <w:rPr>
          <w:b w:val="0"/>
          <w:i w:val="0"/>
        </w:rPr>
        <w:t>Treat the four 8–14 day transfers as fully avoidable for demand purposes, subject to any new value the vendors prove.</w:t>
      </w:r>
    </w:p>
    <w:p>
      <w:pPr>
        <w:pStyle w:val="Heading3"/>
      </w:pPr>
      <w:r>
        <w:t>Issue 3.5: Vanderhoff subsequent new value: sequencing errors and an unaddressed post-petition payment</w:t>
      </w:r>
    </w:p>
    <w:p>
      <w:pPr>
        <w:spacing w:after="60"/>
      </w:pPr>
      <w:r>
        <w:rPr>
          <w:b/>
          <w:i w:val="0"/>
        </w:rPr>
        <w:t>Priority:</w:t>
      </w:r>
      <w:r>
        <w:rPr>
          <w:b w:val="0"/>
          <w:i w:val="0"/>
        </w:rPr>
        <w:t xml:space="preserve"> High / Before demands</w:t>
      </w:r>
    </w:p>
    <w:p>
      <w:pPr>
        <w:spacing w:after="120"/>
        <w:jc w:val="both"/>
      </w:pPr>
      <w:r>
        <w:rPr>
          <w:b/>
          <w:i w:val="0"/>
        </w:rPr>
        <w:t>(a) Description of the error or omission.</w:t>
      </w:r>
      <w:r>
        <w:rPr>
          <w:b w:val="0"/>
          <w:i w:val="0"/>
        </w:rPr>
        <w:t xml:space="preserve"> Section V.C says each shipment was credited “against the immediately preceding preferential payment.” It then credits December 16, 18 and 20 shipments totaling </w:t>
      </w:r>
      <w:r>
        <w:rPr>
          <w:b/>
          <w:i w:val="0"/>
        </w:rPr>
        <w:t>$1,150,000</w:t>
      </w:r>
      <w:r>
        <w:rPr>
          <w:b w:val="0"/>
          <w:i w:val="0"/>
        </w:rPr>
        <w:t xml:space="preserve"> against the December 14 and 15 payments, which total only </w:t>
      </w:r>
      <w:r>
        <w:rPr>
          <w:b/>
          <w:i w:val="0"/>
        </w:rPr>
        <w:t>$805,000</w:t>
      </w:r>
      <w:r>
        <w:rPr>
          <w:b w:val="0"/>
          <w:i w:val="0"/>
        </w:rPr>
        <w:t xml:space="preserve">. Under § 547(c)(4), new value can offset only preferential transfers made </w:t>
      </w:r>
      <w:r>
        <w:rPr>
          <w:b/>
          <w:i w:val="0"/>
        </w:rPr>
        <w:t>before</w:t>
      </w:r>
      <w:r>
        <w:rPr>
          <w:b w:val="0"/>
          <w:i w:val="0"/>
        </w:rPr>
        <w:t xml:space="preserve"> it was given. New value in excess of the earlier unoffset preferences cannot be carried forward against later payments. The excess $345,000 is therefore lost. Separately, Exhibit E credits a $400,000 shipment on March 10, 2025 (PO-MCP-7891), the same day as a $242,000 payment, and then lists a </w:t>
      </w:r>
      <w:r>
        <w:rPr>
          <w:b/>
          <w:i w:val="0"/>
        </w:rPr>
        <w:t>post-petition</w:t>
      </w:r>
      <w:r>
        <w:rPr>
          <w:b w:val="0"/>
          <w:i w:val="0"/>
        </w:rPr>
        <w:t xml:space="preserve"> $400,000 payment to Vanderhoff on March 18, 2025 (W-84920 / INV-VCS-12048) that appears to pay for that very shipment. The narrative never mentions the post-petition payment.</w:t>
      </w:r>
    </w:p>
    <w:p>
      <w:pPr>
        <w:spacing w:after="120"/>
        <w:jc w:val="both"/>
      </w:pPr>
      <w:r>
        <w:rPr>
          <w:b w:val="0"/>
          <w:i w:val="0"/>
        </w:rPr>
        <w:t>My running-balance recomputation (all 28 Exhibit E payments, $6,979,000; new value applied only against earlier unoffset preferences) is below:</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val="clear" w:color="auto" w:fill="D9D9D9"/>
          </w:tcPr>
          <w:p>
            <w:r/>
            <w:r>
              <w:rPr>
                <w:b/>
                <w:sz w:val="16"/>
              </w:rPr>
              <w:t>New value date</w:t>
            </w:r>
          </w:p>
        </w:tc>
        <w:tc>
          <w:tcPr>
            <w:tcW w:type="dxa" w:w="1296"/>
            <w:shd w:val="clear" w:color="auto" w:fill="D9D9D9"/>
          </w:tcPr>
          <w:p>
            <w:r/>
            <w:r>
              <w:rPr>
                <w:b/>
                <w:sz w:val="16"/>
              </w:rPr>
              <w:t>Shipment</w:t>
            </w:r>
          </w:p>
        </w:tc>
        <w:tc>
          <w:tcPr>
            <w:tcW w:type="dxa" w:w="2016"/>
            <w:shd w:val="clear" w:color="auto" w:fill="D9D9D9"/>
          </w:tcPr>
          <w:p>
            <w:r/>
            <w:r>
              <w:rPr>
                <w:b/>
                <w:sz w:val="16"/>
              </w:rPr>
              <w:t>Report credit</w:t>
            </w:r>
          </w:p>
        </w:tc>
        <w:tc>
          <w:tcPr>
            <w:tcW w:type="dxa" w:w="1872"/>
            <w:shd w:val="clear" w:color="auto" w:fill="D9D9D9"/>
          </w:tcPr>
          <w:p>
            <w:r/>
            <w:r>
              <w:rPr>
                <w:b/>
                <w:sz w:val="16"/>
              </w:rPr>
              <w:t>Unoffset preferences before shipment</w:t>
            </w:r>
          </w:p>
        </w:tc>
        <w:tc>
          <w:tcPr>
            <w:tcW w:type="dxa" w:w="1440"/>
            <w:shd w:val="clear" w:color="auto" w:fill="D9D9D9"/>
          </w:tcPr>
          <w:p>
            <w:r/>
            <w:r>
              <w:rPr>
                <w:b/>
                <w:sz w:val="16"/>
              </w:rPr>
              <w:t>Allowable credit</w:t>
            </w:r>
          </w:p>
        </w:tc>
        <w:tc>
          <w:tcPr>
            <w:tcW w:type="dxa" w:w="1440"/>
            <w:shd w:val="clear" w:color="auto" w:fill="D9D9D9"/>
          </w:tcPr>
          <w:p>
            <w:r/>
            <w:r>
              <w:rPr>
                <w:b/>
                <w:sz w:val="16"/>
              </w:rPr>
              <w:t>Balance after</w:t>
            </w:r>
          </w:p>
        </w:tc>
      </w:tr>
      <w:tr>
        <w:tc>
          <w:tcPr>
            <w:tcW w:type="dxa" w:w="1152"/>
          </w:tcPr>
          <w:p>
            <w:r/>
            <w:r>
              <w:rPr>
                <w:b w:val="0"/>
                <w:i w:val="0"/>
                <w:sz w:val="16"/>
              </w:rPr>
              <w:t>12/16/24</w:t>
            </w:r>
          </w:p>
        </w:tc>
        <w:tc>
          <w:tcPr>
            <w:tcW w:type="dxa" w:w="1296"/>
          </w:tcPr>
          <w:p>
            <w:r/>
            <w:r>
              <w:rPr>
                <w:b w:val="0"/>
                <w:i w:val="0"/>
                <w:sz w:val="16"/>
              </w:rPr>
              <w:t>$450,000</w:t>
            </w:r>
          </w:p>
        </w:tc>
        <w:tc>
          <w:tcPr>
            <w:tcW w:type="dxa" w:w="2016"/>
          </w:tcPr>
          <w:p>
            <w:r/>
            <w:r>
              <w:rPr>
                <w:b w:val="0"/>
                <w:i w:val="0"/>
                <w:sz w:val="16"/>
              </w:rPr>
              <w:t>$450,000</w:t>
            </w:r>
          </w:p>
        </w:tc>
        <w:tc>
          <w:tcPr>
            <w:tcW w:type="dxa" w:w="1872"/>
          </w:tcPr>
          <w:p>
            <w:r/>
            <w:r>
              <w:rPr>
                <w:b w:val="0"/>
                <w:i w:val="0"/>
                <w:sz w:val="16"/>
              </w:rPr>
              <w:t>$805,000</w:t>
            </w:r>
          </w:p>
        </w:tc>
        <w:tc>
          <w:tcPr>
            <w:tcW w:type="dxa" w:w="1440"/>
          </w:tcPr>
          <w:p>
            <w:r/>
            <w:r>
              <w:rPr>
                <w:b w:val="0"/>
                <w:i w:val="0"/>
                <w:sz w:val="16"/>
              </w:rPr>
              <w:t>$450,000</w:t>
            </w:r>
          </w:p>
        </w:tc>
        <w:tc>
          <w:tcPr>
            <w:tcW w:type="dxa" w:w="1440"/>
          </w:tcPr>
          <w:p>
            <w:r/>
            <w:r>
              <w:rPr>
                <w:b w:val="0"/>
                <w:i w:val="0"/>
                <w:sz w:val="16"/>
              </w:rPr>
              <w:t>$355,000</w:t>
            </w:r>
          </w:p>
        </w:tc>
      </w:tr>
      <w:tr>
        <w:tc>
          <w:tcPr>
            <w:tcW w:type="dxa" w:w="1152"/>
          </w:tcPr>
          <w:p>
            <w:r/>
            <w:r>
              <w:rPr>
                <w:b w:val="0"/>
                <w:i w:val="0"/>
                <w:sz w:val="16"/>
              </w:rPr>
              <w:t>12/18/24</w:t>
            </w:r>
          </w:p>
        </w:tc>
        <w:tc>
          <w:tcPr>
            <w:tcW w:type="dxa" w:w="1296"/>
          </w:tcPr>
          <w:p>
            <w:r/>
            <w:r>
              <w:rPr>
                <w:b w:val="0"/>
                <w:i w:val="0"/>
                <w:sz w:val="16"/>
              </w:rPr>
              <w:t>$380,000</w:t>
            </w:r>
          </w:p>
        </w:tc>
        <w:tc>
          <w:tcPr>
            <w:tcW w:type="dxa" w:w="2016"/>
          </w:tcPr>
          <w:p>
            <w:r/>
            <w:r>
              <w:rPr>
                <w:b w:val="0"/>
                <w:i w:val="0"/>
                <w:sz w:val="16"/>
              </w:rPr>
              <w:t>$380,000</w:t>
            </w:r>
          </w:p>
        </w:tc>
        <w:tc>
          <w:tcPr>
            <w:tcW w:type="dxa" w:w="1872"/>
          </w:tcPr>
          <w:p>
            <w:r/>
            <w:r>
              <w:rPr>
                <w:b w:val="0"/>
                <w:i w:val="0"/>
                <w:sz w:val="16"/>
              </w:rPr>
              <w:t>$355,000</w:t>
            </w:r>
          </w:p>
        </w:tc>
        <w:tc>
          <w:tcPr>
            <w:tcW w:type="dxa" w:w="1440"/>
          </w:tcPr>
          <w:p>
            <w:r/>
            <w:r>
              <w:rPr>
                <w:b w:val="0"/>
                <w:i w:val="0"/>
                <w:sz w:val="16"/>
              </w:rPr>
              <w:t>$355,000</w:t>
            </w:r>
          </w:p>
        </w:tc>
        <w:tc>
          <w:tcPr>
            <w:tcW w:type="dxa" w:w="1440"/>
          </w:tcPr>
          <w:p>
            <w:r/>
            <w:r>
              <w:rPr>
                <w:b w:val="0"/>
                <w:i w:val="0"/>
                <w:sz w:val="16"/>
              </w:rPr>
              <w:t>$0</w:t>
            </w:r>
          </w:p>
        </w:tc>
      </w:tr>
      <w:tr>
        <w:tc>
          <w:tcPr>
            <w:tcW w:type="dxa" w:w="1152"/>
          </w:tcPr>
          <w:p>
            <w:r/>
            <w:r>
              <w:rPr>
                <w:b w:val="0"/>
                <w:i w:val="0"/>
                <w:sz w:val="16"/>
              </w:rPr>
              <w:t>12/20/24</w:t>
            </w:r>
          </w:p>
        </w:tc>
        <w:tc>
          <w:tcPr>
            <w:tcW w:type="dxa" w:w="1296"/>
          </w:tcPr>
          <w:p>
            <w:r/>
            <w:r>
              <w:rPr>
                <w:b w:val="0"/>
                <w:i w:val="0"/>
                <w:sz w:val="16"/>
              </w:rPr>
              <w:t>$320,000</w:t>
            </w:r>
          </w:p>
        </w:tc>
        <w:tc>
          <w:tcPr>
            <w:tcW w:type="dxa" w:w="2016"/>
          </w:tcPr>
          <w:p>
            <w:r/>
            <w:r>
              <w:rPr>
                <w:b w:val="0"/>
                <w:i w:val="0"/>
                <w:sz w:val="16"/>
              </w:rPr>
              <w:t>$320,000</w:t>
            </w:r>
          </w:p>
        </w:tc>
        <w:tc>
          <w:tcPr>
            <w:tcW w:type="dxa" w:w="1872"/>
          </w:tcPr>
          <w:p>
            <w:r/>
            <w:r>
              <w:rPr>
                <w:b w:val="0"/>
                <w:i w:val="0"/>
                <w:sz w:val="16"/>
              </w:rPr>
              <w:t>$0</w:t>
            </w:r>
          </w:p>
        </w:tc>
        <w:tc>
          <w:tcPr>
            <w:tcW w:type="dxa" w:w="1440"/>
          </w:tcPr>
          <w:p>
            <w:r/>
            <w:r>
              <w:rPr>
                <w:b w:val="0"/>
                <w:i w:val="0"/>
                <w:sz w:val="16"/>
              </w:rPr>
              <w:t>$0</w:t>
            </w:r>
          </w:p>
        </w:tc>
        <w:tc>
          <w:tcPr>
            <w:tcW w:type="dxa" w:w="1440"/>
          </w:tcPr>
          <w:p>
            <w:r/>
            <w:r>
              <w:rPr>
                <w:b w:val="0"/>
                <w:i w:val="0"/>
                <w:sz w:val="16"/>
              </w:rPr>
              <w:t>$0</w:t>
            </w:r>
          </w:p>
        </w:tc>
      </w:tr>
      <w:tr>
        <w:tc>
          <w:tcPr>
            <w:tcW w:type="dxa" w:w="1152"/>
          </w:tcPr>
          <w:p>
            <w:r/>
            <w:r>
              <w:rPr>
                <w:b w:val="0"/>
                <w:i w:val="0"/>
                <w:sz w:val="16"/>
              </w:rPr>
              <w:t>12/30/24</w:t>
            </w:r>
          </w:p>
        </w:tc>
        <w:tc>
          <w:tcPr>
            <w:tcW w:type="dxa" w:w="1296"/>
          </w:tcPr>
          <w:p>
            <w:r/>
            <w:r>
              <w:rPr>
                <w:b w:val="0"/>
                <w:i w:val="0"/>
                <w:sz w:val="16"/>
              </w:rPr>
              <w:t>$185,000</w:t>
            </w:r>
          </w:p>
        </w:tc>
        <w:tc>
          <w:tcPr>
            <w:tcW w:type="dxa" w:w="2016"/>
          </w:tcPr>
          <w:p>
            <w:r/>
            <w:r>
              <w:rPr>
                <w:b w:val="0"/>
                <w:i w:val="0"/>
                <w:sz w:val="16"/>
              </w:rPr>
              <w:t>$185,000</w:t>
            </w:r>
          </w:p>
        </w:tc>
        <w:tc>
          <w:tcPr>
            <w:tcW w:type="dxa" w:w="1872"/>
          </w:tcPr>
          <w:p>
            <w:r/>
            <w:r>
              <w:rPr>
                <w:b w:val="0"/>
                <w:i w:val="0"/>
                <w:sz w:val="16"/>
              </w:rPr>
              <w:t>$310,000</w:t>
            </w:r>
          </w:p>
        </w:tc>
        <w:tc>
          <w:tcPr>
            <w:tcW w:type="dxa" w:w="1440"/>
          </w:tcPr>
          <w:p>
            <w:r/>
            <w:r>
              <w:rPr>
                <w:b w:val="0"/>
                <w:i w:val="0"/>
                <w:sz w:val="16"/>
              </w:rPr>
              <w:t>$185,000</w:t>
            </w:r>
          </w:p>
        </w:tc>
        <w:tc>
          <w:tcPr>
            <w:tcW w:type="dxa" w:w="1440"/>
          </w:tcPr>
          <w:p>
            <w:r/>
            <w:r>
              <w:rPr>
                <w:b w:val="0"/>
                <w:i w:val="0"/>
                <w:sz w:val="16"/>
              </w:rPr>
              <w:t>$125,000</w:t>
            </w:r>
          </w:p>
        </w:tc>
      </w:tr>
      <w:tr>
        <w:tc>
          <w:tcPr>
            <w:tcW w:type="dxa" w:w="1152"/>
          </w:tcPr>
          <w:p>
            <w:r/>
            <w:r>
              <w:rPr>
                <w:b w:val="0"/>
                <w:i w:val="0"/>
                <w:sz w:val="16"/>
              </w:rPr>
              <w:t>01/05/25</w:t>
            </w:r>
          </w:p>
        </w:tc>
        <w:tc>
          <w:tcPr>
            <w:tcW w:type="dxa" w:w="1296"/>
          </w:tcPr>
          <w:p>
            <w:r/>
            <w:r>
              <w:rPr>
                <w:b w:val="0"/>
                <w:i w:val="0"/>
                <w:sz w:val="16"/>
              </w:rPr>
              <w:t>$120,000</w:t>
            </w:r>
          </w:p>
        </w:tc>
        <w:tc>
          <w:tcPr>
            <w:tcW w:type="dxa" w:w="2016"/>
          </w:tcPr>
          <w:p>
            <w:r/>
            <w:r>
              <w:rPr>
                <w:b w:val="0"/>
                <w:i w:val="0"/>
                <w:sz w:val="16"/>
              </w:rPr>
              <w:t>$120,000</w:t>
            </w:r>
          </w:p>
        </w:tc>
        <w:tc>
          <w:tcPr>
            <w:tcW w:type="dxa" w:w="1872"/>
          </w:tcPr>
          <w:p>
            <w:r/>
            <w:r>
              <w:rPr>
                <w:b w:val="0"/>
                <w:i w:val="0"/>
                <w:sz w:val="16"/>
              </w:rPr>
              <w:t>$340,000</w:t>
            </w:r>
          </w:p>
        </w:tc>
        <w:tc>
          <w:tcPr>
            <w:tcW w:type="dxa" w:w="1440"/>
          </w:tcPr>
          <w:p>
            <w:r/>
            <w:r>
              <w:rPr>
                <w:b w:val="0"/>
                <w:i w:val="0"/>
                <w:sz w:val="16"/>
              </w:rPr>
              <w:t>$120,000</w:t>
            </w:r>
          </w:p>
        </w:tc>
        <w:tc>
          <w:tcPr>
            <w:tcW w:type="dxa" w:w="1440"/>
          </w:tcPr>
          <w:p>
            <w:r/>
            <w:r>
              <w:rPr>
                <w:b w:val="0"/>
                <w:i w:val="0"/>
                <w:sz w:val="16"/>
              </w:rPr>
              <w:t>$220,000</w:t>
            </w:r>
          </w:p>
        </w:tc>
      </w:tr>
      <w:tr>
        <w:tc>
          <w:tcPr>
            <w:tcW w:type="dxa" w:w="1152"/>
          </w:tcPr>
          <w:p>
            <w:r/>
            <w:r>
              <w:rPr>
                <w:b w:val="0"/>
                <w:i w:val="0"/>
                <w:sz w:val="16"/>
              </w:rPr>
              <w:t>01/08/25</w:t>
            </w:r>
          </w:p>
        </w:tc>
        <w:tc>
          <w:tcPr>
            <w:tcW w:type="dxa" w:w="1296"/>
          </w:tcPr>
          <w:p>
            <w:r/>
            <w:r>
              <w:rPr>
                <w:b w:val="0"/>
                <w:i w:val="0"/>
                <w:sz w:val="16"/>
              </w:rPr>
              <w:t>$145,000</w:t>
            </w:r>
          </w:p>
        </w:tc>
        <w:tc>
          <w:tcPr>
            <w:tcW w:type="dxa" w:w="2016"/>
          </w:tcPr>
          <w:p>
            <w:r/>
            <w:r>
              <w:rPr>
                <w:b w:val="0"/>
                <w:i w:val="0"/>
                <w:sz w:val="16"/>
              </w:rPr>
              <w:t>$145,000</w:t>
            </w:r>
          </w:p>
        </w:tc>
        <w:tc>
          <w:tcPr>
            <w:tcW w:type="dxa" w:w="1872"/>
          </w:tcPr>
          <w:p>
            <w:r/>
            <w:r>
              <w:rPr>
                <w:b w:val="0"/>
                <w:i w:val="0"/>
                <w:sz w:val="16"/>
              </w:rPr>
              <w:t>$495,000</w:t>
            </w:r>
          </w:p>
        </w:tc>
        <w:tc>
          <w:tcPr>
            <w:tcW w:type="dxa" w:w="1440"/>
          </w:tcPr>
          <w:p>
            <w:r/>
            <w:r>
              <w:rPr>
                <w:b w:val="0"/>
                <w:i w:val="0"/>
                <w:sz w:val="16"/>
              </w:rPr>
              <w:t>$145,000</w:t>
            </w:r>
          </w:p>
        </w:tc>
        <w:tc>
          <w:tcPr>
            <w:tcW w:type="dxa" w:w="1440"/>
          </w:tcPr>
          <w:p>
            <w:r/>
            <w:r>
              <w:rPr>
                <w:b w:val="0"/>
                <w:i w:val="0"/>
                <w:sz w:val="16"/>
              </w:rPr>
              <w:t>$350,000</w:t>
            </w:r>
          </w:p>
        </w:tc>
      </w:tr>
      <w:tr>
        <w:tc>
          <w:tcPr>
            <w:tcW w:type="dxa" w:w="1152"/>
          </w:tcPr>
          <w:p>
            <w:r/>
            <w:r>
              <w:rPr>
                <w:b w:val="0"/>
                <w:i w:val="0"/>
                <w:sz w:val="16"/>
              </w:rPr>
              <w:t>01/13/25</w:t>
            </w:r>
          </w:p>
        </w:tc>
        <w:tc>
          <w:tcPr>
            <w:tcW w:type="dxa" w:w="1296"/>
          </w:tcPr>
          <w:p>
            <w:r/>
            <w:r>
              <w:rPr>
                <w:b w:val="0"/>
                <w:i w:val="0"/>
                <w:sz w:val="16"/>
              </w:rPr>
              <w:t>$110,000</w:t>
            </w:r>
          </w:p>
        </w:tc>
        <w:tc>
          <w:tcPr>
            <w:tcW w:type="dxa" w:w="2016"/>
          </w:tcPr>
          <w:p>
            <w:r/>
            <w:r>
              <w:rPr>
                <w:b w:val="0"/>
                <w:i w:val="0"/>
                <w:sz w:val="16"/>
              </w:rPr>
              <w:t>$110,000</w:t>
            </w:r>
          </w:p>
        </w:tc>
        <w:tc>
          <w:tcPr>
            <w:tcW w:type="dxa" w:w="1872"/>
          </w:tcPr>
          <w:p>
            <w:r/>
            <w:r>
              <w:rPr>
                <w:b w:val="0"/>
                <w:i w:val="0"/>
                <w:sz w:val="16"/>
              </w:rPr>
              <w:t>$548,000</w:t>
            </w:r>
          </w:p>
        </w:tc>
        <w:tc>
          <w:tcPr>
            <w:tcW w:type="dxa" w:w="1440"/>
          </w:tcPr>
          <w:p>
            <w:r/>
            <w:r>
              <w:rPr>
                <w:b w:val="0"/>
                <w:i w:val="0"/>
                <w:sz w:val="16"/>
              </w:rPr>
              <w:t>$110,000</w:t>
            </w:r>
          </w:p>
        </w:tc>
        <w:tc>
          <w:tcPr>
            <w:tcW w:type="dxa" w:w="1440"/>
          </w:tcPr>
          <w:p>
            <w:r/>
            <w:r>
              <w:rPr>
                <w:b w:val="0"/>
                <w:i w:val="0"/>
                <w:sz w:val="16"/>
              </w:rPr>
              <w:t>$438,000</w:t>
            </w:r>
          </w:p>
        </w:tc>
      </w:tr>
      <w:tr>
        <w:tc>
          <w:tcPr>
            <w:tcW w:type="dxa" w:w="1152"/>
          </w:tcPr>
          <w:p>
            <w:r/>
            <w:r>
              <w:rPr>
                <w:b w:val="0"/>
                <w:i w:val="0"/>
                <w:sz w:val="16"/>
              </w:rPr>
              <w:t>01/17/25</w:t>
            </w:r>
          </w:p>
        </w:tc>
        <w:tc>
          <w:tcPr>
            <w:tcW w:type="dxa" w:w="1296"/>
          </w:tcPr>
          <w:p>
            <w:r/>
            <w:r>
              <w:rPr>
                <w:b w:val="0"/>
                <w:i w:val="0"/>
                <w:sz w:val="16"/>
              </w:rPr>
              <w:t>$95,000</w:t>
            </w:r>
          </w:p>
        </w:tc>
        <w:tc>
          <w:tcPr>
            <w:tcW w:type="dxa" w:w="2016"/>
          </w:tcPr>
          <w:p>
            <w:r/>
            <w:r>
              <w:rPr>
                <w:b w:val="0"/>
                <w:i w:val="0"/>
                <w:sz w:val="16"/>
              </w:rPr>
              <w:t>$95,000</w:t>
            </w:r>
          </w:p>
        </w:tc>
        <w:tc>
          <w:tcPr>
            <w:tcW w:type="dxa" w:w="1872"/>
          </w:tcPr>
          <w:p>
            <w:r/>
            <w:r>
              <w:rPr>
                <w:b w:val="0"/>
                <w:i w:val="0"/>
                <w:sz w:val="16"/>
              </w:rPr>
              <w:t>$700,000</w:t>
            </w:r>
          </w:p>
        </w:tc>
        <w:tc>
          <w:tcPr>
            <w:tcW w:type="dxa" w:w="1440"/>
          </w:tcPr>
          <w:p>
            <w:r/>
            <w:r>
              <w:rPr>
                <w:b w:val="0"/>
                <w:i w:val="0"/>
                <w:sz w:val="16"/>
              </w:rPr>
              <w:t>$95,000</w:t>
            </w:r>
          </w:p>
        </w:tc>
        <w:tc>
          <w:tcPr>
            <w:tcW w:type="dxa" w:w="1440"/>
          </w:tcPr>
          <w:p>
            <w:r/>
            <w:r>
              <w:rPr>
                <w:b w:val="0"/>
                <w:i w:val="0"/>
                <w:sz w:val="16"/>
              </w:rPr>
              <w:t>$605,000</w:t>
            </w:r>
          </w:p>
        </w:tc>
      </w:tr>
      <w:tr>
        <w:tc>
          <w:tcPr>
            <w:tcW w:type="dxa" w:w="1152"/>
          </w:tcPr>
          <w:p>
            <w:r/>
            <w:r>
              <w:rPr>
                <w:b w:val="0"/>
                <w:i w:val="0"/>
                <w:sz w:val="16"/>
              </w:rPr>
              <w:t>01/22/25</w:t>
            </w:r>
          </w:p>
        </w:tc>
        <w:tc>
          <w:tcPr>
            <w:tcW w:type="dxa" w:w="1296"/>
          </w:tcPr>
          <w:p>
            <w:r/>
            <w:r>
              <w:rPr>
                <w:b w:val="0"/>
                <w:i w:val="0"/>
                <w:sz w:val="16"/>
              </w:rPr>
              <w:t>$130,000</w:t>
            </w:r>
          </w:p>
        </w:tc>
        <w:tc>
          <w:tcPr>
            <w:tcW w:type="dxa" w:w="2016"/>
          </w:tcPr>
          <w:p>
            <w:r/>
            <w:r>
              <w:rPr>
                <w:b w:val="0"/>
                <w:i w:val="0"/>
                <w:sz w:val="16"/>
              </w:rPr>
              <w:t>$130,000</w:t>
            </w:r>
          </w:p>
        </w:tc>
        <w:tc>
          <w:tcPr>
            <w:tcW w:type="dxa" w:w="1872"/>
          </w:tcPr>
          <w:p>
            <w:r/>
            <w:r>
              <w:rPr>
                <w:b w:val="0"/>
                <w:i w:val="0"/>
                <w:sz w:val="16"/>
              </w:rPr>
              <w:t>$850,000</w:t>
            </w:r>
          </w:p>
        </w:tc>
        <w:tc>
          <w:tcPr>
            <w:tcW w:type="dxa" w:w="1440"/>
          </w:tcPr>
          <w:p>
            <w:r/>
            <w:r>
              <w:rPr>
                <w:b w:val="0"/>
                <w:i w:val="0"/>
                <w:sz w:val="16"/>
              </w:rPr>
              <w:t>$130,000</w:t>
            </w:r>
          </w:p>
        </w:tc>
        <w:tc>
          <w:tcPr>
            <w:tcW w:type="dxa" w:w="1440"/>
          </w:tcPr>
          <w:p>
            <w:r/>
            <w:r>
              <w:rPr>
                <w:b w:val="0"/>
                <w:i w:val="0"/>
                <w:sz w:val="16"/>
              </w:rPr>
              <w:t>$720,000</w:t>
            </w:r>
          </w:p>
        </w:tc>
      </w:tr>
      <w:tr>
        <w:tc>
          <w:tcPr>
            <w:tcW w:type="dxa" w:w="1152"/>
          </w:tcPr>
          <w:p>
            <w:r/>
            <w:r>
              <w:rPr>
                <w:b w:val="0"/>
                <w:i w:val="0"/>
                <w:sz w:val="16"/>
              </w:rPr>
              <w:t>01/29/25</w:t>
            </w:r>
          </w:p>
        </w:tc>
        <w:tc>
          <w:tcPr>
            <w:tcW w:type="dxa" w:w="1296"/>
          </w:tcPr>
          <w:p>
            <w:r/>
            <w:r>
              <w:rPr>
                <w:b w:val="0"/>
                <w:i w:val="0"/>
                <w:sz w:val="16"/>
              </w:rPr>
              <w:t>$105,000</w:t>
            </w:r>
          </w:p>
        </w:tc>
        <w:tc>
          <w:tcPr>
            <w:tcW w:type="dxa" w:w="2016"/>
          </w:tcPr>
          <w:p>
            <w:r/>
            <w:r>
              <w:rPr>
                <w:b w:val="0"/>
                <w:i w:val="0"/>
                <w:sz w:val="16"/>
              </w:rPr>
              <w:t>$105,000</w:t>
            </w:r>
          </w:p>
        </w:tc>
        <w:tc>
          <w:tcPr>
            <w:tcW w:type="dxa" w:w="1872"/>
          </w:tcPr>
          <w:p>
            <w:r/>
            <w:r>
              <w:rPr>
                <w:b w:val="0"/>
                <w:i w:val="0"/>
                <w:sz w:val="16"/>
              </w:rPr>
              <w:t>$1,130,000</w:t>
            </w:r>
          </w:p>
        </w:tc>
        <w:tc>
          <w:tcPr>
            <w:tcW w:type="dxa" w:w="1440"/>
          </w:tcPr>
          <w:p>
            <w:r/>
            <w:r>
              <w:rPr>
                <w:b w:val="0"/>
                <w:i w:val="0"/>
                <w:sz w:val="16"/>
              </w:rPr>
              <w:t>$105,000</w:t>
            </w:r>
          </w:p>
        </w:tc>
        <w:tc>
          <w:tcPr>
            <w:tcW w:type="dxa" w:w="1440"/>
          </w:tcPr>
          <w:p>
            <w:r/>
            <w:r>
              <w:rPr>
                <w:b w:val="0"/>
                <w:i w:val="0"/>
                <w:sz w:val="16"/>
              </w:rPr>
              <w:t>$1,025,000</w:t>
            </w:r>
          </w:p>
        </w:tc>
      </w:tr>
      <w:tr>
        <w:tc>
          <w:tcPr>
            <w:tcW w:type="dxa" w:w="1152"/>
          </w:tcPr>
          <w:p>
            <w:r/>
            <w:r>
              <w:rPr>
                <w:b w:val="0"/>
                <w:i w:val="0"/>
                <w:sz w:val="16"/>
              </w:rPr>
              <w:t>02/02/25</w:t>
            </w:r>
          </w:p>
        </w:tc>
        <w:tc>
          <w:tcPr>
            <w:tcW w:type="dxa" w:w="1296"/>
          </w:tcPr>
          <w:p>
            <w:r/>
            <w:r>
              <w:rPr>
                <w:b w:val="0"/>
                <w:i w:val="0"/>
                <w:sz w:val="16"/>
              </w:rPr>
              <w:t>$140,000</w:t>
            </w:r>
          </w:p>
        </w:tc>
        <w:tc>
          <w:tcPr>
            <w:tcW w:type="dxa" w:w="2016"/>
          </w:tcPr>
          <w:p>
            <w:r/>
            <w:r>
              <w:rPr>
                <w:b w:val="0"/>
                <w:i w:val="0"/>
                <w:sz w:val="16"/>
              </w:rPr>
              <w:t>$140,000</w:t>
            </w:r>
          </w:p>
        </w:tc>
        <w:tc>
          <w:tcPr>
            <w:tcW w:type="dxa" w:w="1872"/>
          </w:tcPr>
          <w:p>
            <w:r/>
            <w:r>
              <w:rPr>
                <w:b w:val="0"/>
                <w:i w:val="0"/>
                <w:sz w:val="16"/>
              </w:rPr>
              <w:t>$1,310,000</w:t>
            </w:r>
          </w:p>
        </w:tc>
        <w:tc>
          <w:tcPr>
            <w:tcW w:type="dxa" w:w="1440"/>
          </w:tcPr>
          <w:p>
            <w:r/>
            <w:r>
              <w:rPr>
                <w:b w:val="0"/>
                <w:i w:val="0"/>
                <w:sz w:val="16"/>
              </w:rPr>
              <w:t>$140,000</w:t>
            </w:r>
          </w:p>
        </w:tc>
        <w:tc>
          <w:tcPr>
            <w:tcW w:type="dxa" w:w="1440"/>
          </w:tcPr>
          <w:p>
            <w:r/>
            <w:r>
              <w:rPr>
                <w:b w:val="0"/>
                <w:i w:val="0"/>
                <w:sz w:val="16"/>
              </w:rPr>
              <w:t>$1,170,000</w:t>
            </w:r>
          </w:p>
        </w:tc>
      </w:tr>
      <w:tr>
        <w:tc>
          <w:tcPr>
            <w:tcW w:type="dxa" w:w="1152"/>
          </w:tcPr>
          <w:p>
            <w:r/>
            <w:r>
              <w:rPr>
                <w:b w:val="0"/>
                <w:i w:val="0"/>
                <w:sz w:val="16"/>
              </w:rPr>
              <w:t>02/08/25</w:t>
            </w:r>
          </w:p>
        </w:tc>
        <w:tc>
          <w:tcPr>
            <w:tcW w:type="dxa" w:w="1296"/>
          </w:tcPr>
          <w:p>
            <w:r/>
            <w:r>
              <w:rPr>
                <w:b w:val="0"/>
                <w:i w:val="0"/>
                <w:sz w:val="16"/>
              </w:rPr>
              <w:t>$115,000</w:t>
            </w:r>
          </w:p>
        </w:tc>
        <w:tc>
          <w:tcPr>
            <w:tcW w:type="dxa" w:w="2016"/>
          </w:tcPr>
          <w:p>
            <w:r/>
            <w:r>
              <w:rPr>
                <w:b w:val="0"/>
                <w:i w:val="0"/>
                <w:sz w:val="16"/>
              </w:rPr>
              <w:t>$115,000</w:t>
            </w:r>
          </w:p>
        </w:tc>
        <w:tc>
          <w:tcPr>
            <w:tcW w:type="dxa" w:w="1872"/>
          </w:tcPr>
          <w:p>
            <w:r/>
            <w:r>
              <w:rPr>
                <w:b w:val="0"/>
                <w:i w:val="0"/>
                <w:sz w:val="16"/>
              </w:rPr>
              <w:t>$1,658,000</w:t>
            </w:r>
          </w:p>
        </w:tc>
        <w:tc>
          <w:tcPr>
            <w:tcW w:type="dxa" w:w="1440"/>
          </w:tcPr>
          <w:p>
            <w:r/>
            <w:r>
              <w:rPr>
                <w:b w:val="0"/>
                <w:i w:val="0"/>
                <w:sz w:val="16"/>
              </w:rPr>
              <w:t>$115,000</w:t>
            </w:r>
          </w:p>
        </w:tc>
        <w:tc>
          <w:tcPr>
            <w:tcW w:type="dxa" w:w="1440"/>
          </w:tcPr>
          <w:p>
            <w:r/>
            <w:r>
              <w:rPr>
                <w:b w:val="0"/>
                <w:i w:val="0"/>
                <w:sz w:val="16"/>
              </w:rPr>
              <w:t>$1,543,000</w:t>
            </w:r>
          </w:p>
        </w:tc>
      </w:tr>
      <w:tr>
        <w:tc>
          <w:tcPr>
            <w:tcW w:type="dxa" w:w="1152"/>
          </w:tcPr>
          <w:p>
            <w:r/>
            <w:r>
              <w:rPr>
                <w:b w:val="0"/>
                <w:i w:val="0"/>
                <w:sz w:val="16"/>
              </w:rPr>
              <w:t>02/16/25</w:t>
            </w:r>
          </w:p>
        </w:tc>
        <w:tc>
          <w:tcPr>
            <w:tcW w:type="dxa" w:w="1296"/>
          </w:tcPr>
          <w:p>
            <w:r/>
            <w:r>
              <w:rPr>
                <w:b w:val="0"/>
                <w:i w:val="0"/>
                <w:sz w:val="16"/>
              </w:rPr>
              <w:t>$125,000</w:t>
            </w:r>
          </w:p>
        </w:tc>
        <w:tc>
          <w:tcPr>
            <w:tcW w:type="dxa" w:w="2016"/>
          </w:tcPr>
          <w:p>
            <w:r/>
            <w:r>
              <w:rPr>
                <w:b w:val="0"/>
                <w:i w:val="0"/>
                <w:sz w:val="16"/>
              </w:rPr>
              <w:t>$125,000</w:t>
            </w:r>
          </w:p>
        </w:tc>
        <w:tc>
          <w:tcPr>
            <w:tcW w:type="dxa" w:w="1872"/>
          </w:tcPr>
          <w:p>
            <w:r/>
            <w:r>
              <w:rPr>
                <w:b w:val="0"/>
                <w:i w:val="0"/>
                <w:sz w:val="16"/>
              </w:rPr>
              <w:t>$2,251,000</w:t>
            </w:r>
          </w:p>
        </w:tc>
        <w:tc>
          <w:tcPr>
            <w:tcW w:type="dxa" w:w="1440"/>
          </w:tcPr>
          <w:p>
            <w:r/>
            <w:r>
              <w:rPr>
                <w:b w:val="0"/>
                <w:i w:val="0"/>
                <w:sz w:val="16"/>
              </w:rPr>
              <w:t>$125,000</w:t>
            </w:r>
          </w:p>
        </w:tc>
        <w:tc>
          <w:tcPr>
            <w:tcW w:type="dxa" w:w="1440"/>
          </w:tcPr>
          <w:p>
            <w:r/>
            <w:r>
              <w:rPr>
                <w:b w:val="0"/>
                <w:i w:val="0"/>
                <w:sz w:val="16"/>
              </w:rPr>
              <w:t>$2,126,000</w:t>
            </w:r>
          </w:p>
        </w:tc>
      </w:tr>
      <w:tr>
        <w:tc>
          <w:tcPr>
            <w:tcW w:type="dxa" w:w="1152"/>
          </w:tcPr>
          <w:p>
            <w:r/>
            <w:r>
              <w:rPr>
                <w:b w:val="0"/>
                <w:i w:val="0"/>
                <w:sz w:val="16"/>
              </w:rPr>
              <w:t>02/22/25</w:t>
            </w:r>
          </w:p>
        </w:tc>
        <w:tc>
          <w:tcPr>
            <w:tcW w:type="dxa" w:w="1296"/>
          </w:tcPr>
          <w:p>
            <w:r/>
            <w:r>
              <w:rPr>
                <w:b w:val="0"/>
                <w:i w:val="0"/>
                <w:sz w:val="16"/>
              </w:rPr>
              <w:t>$110,000</w:t>
            </w:r>
          </w:p>
        </w:tc>
        <w:tc>
          <w:tcPr>
            <w:tcW w:type="dxa" w:w="2016"/>
          </w:tcPr>
          <w:p>
            <w:r/>
            <w:r>
              <w:rPr>
                <w:b w:val="0"/>
                <w:i w:val="0"/>
                <w:sz w:val="16"/>
              </w:rPr>
              <w:t>$110,000</w:t>
            </w:r>
          </w:p>
        </w:tc>
        <w:tc>
          <w:tcPr>
            <w:tcW w:type="dxa" w:w="1872"/>
          </w:tcPr>
          <w:p>
            <w:r/>
            <w:r>
              <w:rPr>
                <w:b w:val="0"/>
                <w:i w:val="0"/>
                <w:sz w:val="16"/>
              </w:rPr>
              <w:t>$2,619,000</w:t>
            </w:r>
          </w:p>
        </w:tc>
        <w:tc>
          <w:tcPr>
            <w:tcW w:type="dxa" w:w="1440"/>
          </w:tcPr>
          <w:p>
            <w:r/>
            <w:r>
              <w:rPr>
                <w:b w:val="0"/>
                <w:i w:val="0"/>
                <w:sz w:val="16"/>
              </w:rPr>
              <w:t>$110,000</w:t>
            </w:r>
          </w:p>
        </w:tc>
        <w:tc>
          <w:tcPr>
            <w:tcW w:type="dxa" w:w="1440"/>
          </w:tcPr>
          <w:p>
            <w:r/>
            <w:r>
              <w:rPr>
                <w:b w:val="0"/>
                <w:i w:val="0"/>
                <w:sz w:val="16"/>
              </w:rPr>
              <w:t>$2,509,000</w:t>
            </w:r>
          </w:p>
        </w:tc>
      </w:tr>
      <w:tr>
        <w:tc>
          <w:tcPr>
            <w:tcW w:type="dxa" w:w="1152"/>
          </w:tcPr>
          <w:p>
            <w:r/>
            <w:r>
              <w:rPr>
                <w:b w:val="0"/>
                <w:i w:val="0"/>
                <w:sz w:val="16"/>
              </w:rPr>
              <w:t>02/27/25</w:t>
            </w:r>
          </w:p>
        </w:tc>
        <w:tc>
          <w:tcPr>
            <w:tcW w:type="dxa" w:w="1296"/>
          </w:tcPr>
          <w:p>
            <w:r/>
            <w:r>
              <w:rPr>
                <w:b w:val="0"/>
                <w:i w:val="0"/>
                <w:sz w:val="16"/>
              </w:rPr>
              <w:t>$90,000</w:t>
            </w:r>
          </w:p>
        </w:tc>
        <w:tc>
          <w:tcPr>
            <w:tcW w:type="dxa" w:w="2016"/>
          </w:tcPr>
          <w:p>
            <w:r/>
            <w:r>
              <w:rPr>
                <w:b w:val="0"/>
                <w:i w:val="0"/>
                <w:sz w:val="16"/>
              </w:rPr>
              <w:t>$90,000</w:t>
            </w:r>
          </w:p>
        </w:tc>
        <w:tc>
          <w:tcPr>
            <w:tcW w:type="dxa" w:w="1872"/>
          </w:tcPr>
          <w:p>
            <w:r/>
            <w:r>
              <w:rPr>
                <w:b w:val="0"/>
                <w:i w:val="0"/>
                <w:sz w:val="16"/>
              </w:rPr>
              <w:t>$2,957,000</w:t>
            </w:r>
          </w:p>
        </w:tc>
        <w:tc>
          <w:tcPr>
            <w:tcW w:type="dxa" w:w="1440"/>
          </w:tcPr>
          <w:p>
            <w:r/>
            <w:r>
              <w:rPr>
                <w:b w:val="0"/>
                <w:i w:val="0"/>
                <w:sz w:val="16"/>
              </w:rPr>
              <w:t>$90,000</w:t>
            </w:r>
          </w:p>
        </w:tc>
        <w:tc>
          <w:tcPr>
            <w:tcW w:type="dxa" w:w="1440"/>
          </w:tcPr>
          <w:p>
            <w:r/>
            <w:r>
              <w:rPr>
                <w:b w:val="0"/>
                <w:i w:val="0"/>
                <w:sz w:val="16"/>
              </w:rPr>
              <w:t>$2,867,000</w:t>
            </w:r>
          </w:p>
        </w:tc>
      </w:tr>
      <w:tr>
        <w:tc>
          <w:tcPr>
            <w:tcW w:type="dxa" w:w="1152"/>
          </w:tcPr>
          <w:p>
            <w:r/>
            <w:r>
              <w:rPr>
                <w:b w:val="0"/>
                <w:i w:val="0"/>
                <w:sz w:val="16"/>
              </w:rPr>
              <w:t>03/04/25</w:t>
            </w:r>
          </w:p>
        </w:tc>
        <w:tc>
          <w:tcPr>
            <w:tcW w:type="dxa" w:w="1296"/>
          </w:tcPr>
          <w:p>
            <w:r/>
            <w:r>
              <w:rPr>
                <w:b w:val="0"/>
                <w:i w:val="0"/>
                <w:sz w:val="16"/>
              </w:rPr>
              <w:t>$80,000</w:t>
            </w:r>
          </w:p>
        </w:tc>
        <w:tc>
          <w:tcPr>
            <w:tcW w:type="dxa" w:w="2016"/>
          </w:tcPr>
          <w:p>
            <w:r/>
            <w:r>
              <w:rPr>
                <w:b w:val="0"/>
                <w:i w:val="0"/>
                <w:sz w:val="16"/>
              </w:rPr>
              <w:t>$80,000</w:t>
            </w:r>
          </w:p>
        </w:tc>
        <w:tc>
          <w:tcPr>
            <w:tcW w:type="dxa" w:w="1872"/>
          </w:tcPr>
          <w:p>
            <w:r/>
            <w:r>
              <w:rPr>
                <w:b w:val="0"/>
                <w:i w:val="0"/>
                <w:sz w:val="16"/>
              </w:rPr>
              <w:t>$3,370,000</w:t>
            </w:r>
          </w:p>
        </w:tc>
        <w:tc>
          <w:tcPr>
            <w:tcW w:type="dxa" w:w="1440"/>
          </w:tcPr>
          <w:p>
            <w:r/>
            <w:r>
              <w:rPr>
                <w:b w:val="0"/>
                <w:i w:val="0"/>
                <w:sz w:val="16"/>
              </w:rPr>
              <w:t>$80,000</w:t>
            </w:r>
          </w:p>
        </w:tc>
        <w:tc>
          <w:tcPr>
            <w:tcW w:type="dxa" w:w="1440"/>
          </w:tcPr>
          <w:p>
            <w:r/>
            <w:r>
              <w:rPr>
                <w:b w:val="0"/>
                <w:i w:val="0"/>
                <w:sz w:val="16"/>
              </w:rPr>
              <w:t>$3,290,000</w:t>
            </w:r>
          </w:p>
        </w:tc>
      </w:tr>
      <w:tr>
        <w:tc>
          <w:tcPr>
            <w:tcW w:type="dxa" w:w="1152"/>
          </w:tcPr>
          <w:p>
            <w:r/>
            <w:r>
              <w:rPr>
                <w:b w:val="0"/>
                <w:i w:val="0"/>
                <w:sz w:val="16"/>
              </w:rPr>
              <w:t>03/10/25</w:t>
            </w:r>
          </w:p>
        </w:tc>
        <w:tc>
          <w:tcPr>
            <w:tcW w:type="dxa" w:w="1296"/>
          </w:tcPr>
          <w:p>
            <w:r/>
            <w:r>
              <w:rPr>
                <w:b w:val="0"/>
                <w:i w:val="0"/>
                <w:sz w:val="16"/>
              </w:rPr>
              <w:t>$400,000</w:t>
            </w:r>
          </w:p>
        </w:tc>
        <w:tc>
          <w:tcPr>
            <w:tcW w:type="dxa" w:w="2016"/>
          </w:tcPr>
          <w:p>
            <w:r/>
            <w:r>
              <w:rPr>
                <w:b w:val="0"/>
                <w:i w:val="0"/>
                <w:sz w:val="16"/>
              </w:rPr>
              <w:t>$400,000</w:t>
            </w:r>
          </w:p>
        </w:tc>
        <w:tc>
          <w:tcPr>
            <w:tcW w:type="dxa" w:w="1872"/>
          </w:tcPr>
          <w:p>
            <w:r/>
            <w:r>
              <w:rPr>
                <w:b w:val="0"/>
                <w:i w:val="0"/>
                <w:sz w:val="16"/>
              </w:rPr>
              <w:t>$4,172,000</w:t>
            </w:r>
          </w:p>
        </w:tc>
        <w:tc>
          <w:tcPr>
            <w:tcW w:type="dxa" w:w="1440"/>
          </w:tcPr>
          <w:p>
            <w:r/>
            <w:r>
              <w:rPr>
                <w:b w:val="0"/>
                <w:i w:val="0"/>
                <w:sz w:val="16"/>
              </w:rPr>
              <w:t>$400,000</w:t>
            </w:r>
          </w:p>
        </w:tc>
        <w:tc>
          <w:tcPr>
            <w:tcW w:type="dxa" w:w="1440"/>
          </w:tcPr>
          <w:p>
            <w:r/>
            <w:r>
              <w:rPr>
                <w:b w:val="0"/>
                <w:i w:val="0"/>
                <w:sz w:val="16"/>
              </w:rPr>
              <w:t>$3,772,000</w:t>
            </w:r>
          </w:p>
        </w:tc>
      </w:tr>
      <w:tr>
        <w:tc>
          <w:tcPr>
            <w:tcW w:type="dxa" w:w="1152"/>
          </w:tcPr>
          <w:p>
            <w:r/>
            <w:r>
              <w:rPr>
                <w:b/>
                <w:i w:val="0"/>
                <w:sz w:val="16"/>
              </w:rPr>
              <w:t>Total</w:t>
            </w:r>
          </w:p>
        </w:tc>
        <w:tc>
          <w:tcPr>
            <w:tcW w:type="dxa" w:w="1296"/>
          </w:tcPr>
          <w:p>
            <w:r/>
            <w:r>
              <w:rPr>
                <w:b/>
                <w:i w:val="0"/>
                <w:sz w:val="16"/>
              </w:rPr>
              <w:t>$3,100,000</w:t>
            </w:r>
          </w:p>
        </w:tc>
        <w:tc>
          <w:tcPr>
            <w:tcW w:type="dxa" w:w="2016"/>
          </w:tcPr>
          <w:p>
            <w:r/>
            <w:r>
              <w:rPr>
                <w:b/>
                <w:i w:val="0"/>
                <w:sz w:val="16"/>
              </w:rPr>
              <w:t>$3,100,000 (Report states $3,200,000)</w:t>
            </w:r>
          </w:p>
        </w:tc>
        <w:tc>
          <w:tcPr>
            <w:tcW w:type="dxa" w:w="1872"/>
          </w:tcPr>
          <w:p>
            <w:r/>
          </w:p>
        </w:tc>
        <w:tc>
          <w:tcPr>
            <w:tcW w:type="dxa" w:w="1440"/>
          </w:tcPr>
          <w:p>
            <w:r/>
            <w:r>
              <w:rPr>
                <w:b/>
                <w:i w:val="0"/>
                <w:sz w:val="16"/>
              </w:rPr>
              <w:t>$2,755,000</w:t>
            </w:r>
          </w:p>
        </w:tc>
        <w:tc>
          <w:tcPr>
            <w:tcW w:type="dxa" w:w="1440"/>
          </w:tcPr>
          <w:p>
            <w:r/>
            <w:r>
              <w:rPr>
                <w:b/>
                <w:i w:val="0"/>
                <w:sz w:val="16"/>
              </w:rPr>
              <w:t>Net: $4,224,000</w:t>
            </w:r>
          </w:p>
        </w:tc>
      </w:tr>
    </w:tbl>
    <w:p>
      <w:pPr>
        <w:spacing w:after="40"/>
      </w:pPr>
    </w:p>
    <w:p>
      <w:pPr>
        <w:spacing w:after="40"/>
      </w:pPr>
      <w:r>
        <w:rPr>
          <w:b/>
          <w:i w:val="0"/>
        </w:rPr>
        <w:t>(b) Legal and practical significance.</w:t>
      </w:r>
    </w:p>
    <w:p>
      <w:pPr>
        <w:pStyle w:val="ListBullet"/>
        <w:spacing w:after="60"/>
      </w:pPr>
      <w:r>
        <w:rPr>
          <w:b/>
          <w:i w:val="0"/>
        </w:rPr>
        <w:t>Sequencing:</w:t>
      </w:r>
      <w:r>
        <w:rPr>
          <w:b w:val="0"/>
          <w:i w:val="0"/>
        </w:rPr>
        <w:t xml:space="preserve"> the over-credit of $345,000 is a clear error. Under the running-balance method, every later shipment is fully usable, because unoffset payments always exceed it.</w:t>
      </w:r>
    </w:p>
    <w:p>
      <w:pPr>
        <w:pStyle w:val="ListBullet"/>
        <w:spacing w:after="60"/>
      </w:pPr>
      <w:r>
        <w:rPr>
          <w:b/>
          <w:i w:val="0"/>
        </w:rPr>
        <w:t>Same-day shipment (Mar. 10):</w:t>
      </w:r>
      <w:r>
        <w:rPr>
          <w:b w:val="0"/>
          <w:i w:val="0"/>
        </w:rPr>
        <w:t xml:space="preserve"> the creditor must prove the new value was given </w:t>
      </w:r>
      <w:r>
        <w:rPr>
          <w:b/>
          <w:i w:val="0"/>
        </w:rPr>
        <w:t>after</w:t>
      </w:r>
      <w:r>
        <w:rPr>
          <w:b w:val="0"/>
          <w:i w:val="0"/>
        </w:rPr>
        <w:t xml:space="preserve"> the $242,000 payment that day. Without time-stamped receiving records, the credit is open to challenge.</w:t>
      </w:r>
    </w:p>
    <w:p>
      <w:pPr>
        <w:pStyle w:val="ListBullet"/>
        <w:spacing w:after="60"/>
      </w:pPr>
      <w:r>
        <w:rPr>
          <w:b/>
          <w:i w:val="0"/>
        </w:rPr>
        <w:t>Post-petition payment (Mar. 18):</w:t>
      </w:r>
      <w:r>
        <w:rPr>
          <w:b w:val="0"/>
          <w:i w:val="0"/>
        </w:rPr>
        <w:t xml:space="preserve"> under the Third Circuit’s test in New York City Shoes, Inc. v. Bentley Int’l, Inc. (In re New York City Shoes, Inc.), 880 F.2d 679 (3d Cir. 1989), new value counts if the debtor had not fully paid for it as of the petition date. Some courts, e.g., Friedman’s Liquidating Trust v. Roth Staffing Cos., 738 F.3d 547 (4th Cir. 2013), hold that post-petition payment does not reduce the defense. Delaware bankruptcy decisions are not uniform, especially where payment was made under a critical-vendor order or on a § 503(b)(9) claim. If the payment was </w:t>
      </w:r>
      <w:r>
        <w:rPr>
          <w:b/>
          <w:i w:val="0"/>
        </w:rPr>
        <w:t>not</w:t>
      </w:r>
      <w:r>
        <w:rPr>
          <w:b w:val="0"/>
          <w:i w:val="0"/>
        </w:rPr>
        <w:t xml:space="preserve"> court-authorized, it is avoidable under § 549 regardless. This needs targeted research and the docket (first-day orders).</w:t>
      </w:r>
    </w:p>
    <w:p>
      <w:pPr>
        <w:pStyle w:val="ListBullet"/>
        <w:spacing w:after="60"/>
      </w:pPr>
      <w:r>
        <w:rPr>
          <w:b/>
          <w:i w:val="0"/>
        </w:rPr>
        <w:t>Dating:</w:t>
      </w:r>
      <w:r>
        <w:rPr>
          <w:b w:val="0"/>
          <w:i w:val="0"/>
        </w:rPr>
        <w:t xml:space="preserve"> if the Dec. 14/15 “weekend” wires actually executed on Dec. 13 (Issue 1.8), gross falls by $805,000, and the December shipments have nothing to offset ($1,150,000 lost). Net exposure is unchanged at $4,224,000.</w:t>
      </w:r>
    </w:p>
    <w:p>
      <w:pPr>
        <w:pStyle w:val="ListBullet"/>
        <w:spacing w:after="60"/>
      </w:pPr>
      <w:r>
        <w:rPr>
          <w:b/>
          <w:i w:val="0"/>
        </w:rPr>
        <w:t>Unanalyzed risk:</w:t>
      </w:r>
      <w:r>
        <w:rPr>
          <w:b w:val="0"/>
          <w:i w:val="0"/>
        </w:rPr>
        <w:t xml:space="preserve"> Vanderhoff’s 38–52 day payments on Net 45 terms, against a 42-day historical average, give it a credible ordinary course defense. Defenses cannot be stacked against the same dollars, but this is a real litigation risk the Report never mentions.</w:t>
      </w:r>
    </w:p>
    <w:p>
      <w:pPr>
        <w:spacing w:after="120"/>
        <w:jc w:val="both"/>
      </w:pPr>
      <w:r>
        <w:rPr>
          <w:b/>
          <w:i w:val="0"/>
        </w:rPr>
        <w:t>(c) Dollar impact.</w:t>
      </w:r>
      <w:r>
        <w:rPr>
          <w:b w:val="0"/>
          <w:i w:val="0"/>
        </w:rPr>
        <w:t xml:space="preserve"> Net Vanderhoff exposure rises from $3,600,000 to </w:t>
      </w:r>
      <w:r>
        <w:rPr>
          <w:b/>
          <w:i w:val="0"/>
        </w:rPr>
        <w:t>$4,224,000</w:t>
      </w:r>
      <w:r>
        <w:rPr>
          <w:b w:val="0"/>
          <w:i w:val="0"/>
        </w:rPr>
        <w:t xml:space="preserve"> (+$624,000). If the Mar. 10 shipment is disallowed it rises to </w:t>
      </w:r>
      <w:r>
        <w:rPr>
          <w:b/>
          <w:i w:val="0"/>
        </w:rPr>
        <w:t>$4,624,000</w:t>
      </w:r>
      <w:r>
        <w:rPr>
          <w:b w:val="0"/>
          <w:i w:val="0"/>
        </w:rPr>
        <w:t xml:space="preserve"> (+$1,024,000). If the Mar. 18 payment is avoided under § 549, the estate recovers an additional $400,000.</w:t>
      </w:r>
    </w:p>
    <w:p>
      <w:pPr>
        <w:spacing w:after="120"/>
        <w:jc w:val="both"/>
      </w:pPr>
      <w:r>
        <w:rPr>
          <w:b/>
          <w:i w:val="0"/>
        </w:rPr>
        <w:t>(d) Corrected calculation.</w:t>
      </w:r>
      <w:r>
        <w:rPr>
          <w:b w:val="0"/>
          <w:i w:val="0"/>
        </w:rPr>
        <w:t xml:space="preserve"> Gross $6,979,000 − allowable new value $2,755,000 = </w:t>
      </w:r>
      <w:r>
        <w:rPr>
          <w:b/>
          <w:i w:val="0"/>
        </w:rPr>
        <w:t>$4,224,000</w:t>
      </w:r>
      <w:r>
        <w:rPr>
          <w:b w:val="0"/>
          <w:i w:val="0"/>
        </w:rPr>
        <w:t xml:space="preserve"> (base case). Alternative: $6,979,000 − $2,355,000 = $4,624,000 (Mar. 10 shipment disallowed).</w:t>
      </w:r>
    </w:p>
    <w:p>
      <w:pPr>
        <w:spacing w:after="40"/>
      </w:pPr>
      <w:r>
        <w:rPr>
          <w:b/>
          <w:i w:val="0"/>
        </w:rPr>
        <w:t>(e) Recommended next steps.</w:t>
      </w:r>
    </w:p>
    <w:p>
      <w:pPr>
        <w:pStyle w:val="ListBullet"/>
        <w:spacing w:after="60"/>
      </w:pPr>
      <w:r>
        <w:rPr>
          <w:b w:val="0"/>
          <w:i w:val="0"/>
        </w:rPr>
        <w:t>Check the docket for a critical-vendor or § 503(b)(9) order authorizing the Mar. 18 payment. If none, add a § 549 count.</w:t>
      </w:r>
    </w:p>
    <w:p>
      <w:pPr>
        <w:pStyle w:val="ListBullet"/>
        <w:spacing w:after="60"/>
      </w:pPr>
      <w:r>
        <w:rPr>
          <w:b w:val="0"/>
          <w:i w:val="0"/>
        </w:rPr>
        <w:t>Obtain Vanderhoff bills of lading and receiving records with time stamps, especially for Dec. 16–20 and Mar. 10.</w:t>
      </w:r>
    </w:p>
    <w:p>
      <w:pPr>
        <w:pStyle w:val="ListBullet"/>
        <w:spacing w:after="60"/>
      </w:pPr>
      <w:r>
        <w:rPr>
          <w:b w:val="0"/>
          <w:i w:val="0"/>
        </w:rPr>
        <w:t>Research Delaware treatment of post-petition-paid new value (critical-vendor context) in light of New York City Shoes.</w:t>
      </w:r>
    </w:p>
    <w:p>
      <w:pPr>
        <w:pStyle w:val="ListBullet"/>
        <w:spacing w:after="60"/>
      </w:pPr>
      <w:r>
        <w:rPr>
          <w:b w:val="0"/>
          <w:i w:val="0"/>
        </w:rPr>
        <w:t>Pinehurst to rebuild the ledger from source documents and to evaluate Vanderhoff’s likely ordinary course defense.</w:t>
      </w:r>
    </w:p>
    <w:p>
      <w:pPr>
        <w:pStyle w:val="Heading3"/>
      </w:pPr>
      <w:r>
        <w:t>Issue 3.6: Earmarking doctrine misapplied to the $750,000 Lakeshore payment</w:t>
      </w:r>
    </w:p>
    <w:p>
      <w:pPr>
        <w:spacing w:after="60"/>
      </w:pPr>
      <w:r>
        <w:rPr>
          <w:b/>
          <w:i w:val="0"/>
        </w:rPr>
        <w:t>Priority:</w:t>
      </w:r>
      <w:r>
        <w:rPr>
          <w:b w:val="0"/>
          <w:i w:val="0"/>
        </w:rPr>
        <w:t xml:space="preserve"> High / Before demands</w:t>
      </w:r>
    </w:p>
    <w:p>
      <w:pPr>
        <w:spacing w:after="120"/>
        <w:jc w:val="both"/>
      </w:pPr>
      <w:r>
        <w:rPr>
          <w:b/>
          <w:i w:val="0"/>
        </w:rPr>
        <w:t>(a) Description of the error or omission.</w:t>
      </w:r>
      <w:r>
        <w:rPr>
          <w:b w:val="0"/>
          <w:i w:val="0"/>
        </w:rPr>
        <w:t xml:space="preserve"> Glenbrook excludes the $750,000 Lakeshore wire of January 30, 2025 (LPS-007, referencing PO #MC-2024-8871) because BrightMart “directed Meridian to pay” Lakeshore and the funds were “effectively designated” for Lakeshore. The Report identifies no funds that BrightMart actually advanced, no agreement among BrightMart, the Debtor and Lakeshore, and no segregated account. The payment came out of a Debtor account (W-84570). The Report also says BrightMart “did not receive any transfers” and “owed the Debtor money” during the period. In other words, BrightMart was a customer and account debtor, not a new lender stepping in to pay an old creditor.</w:t>
      </w:r>
    </w:p>
    <w:p>
      <w:pPr>
        <w:spacing w:after="120"/>
        <w:jc w:val="both"/>
      </w:pPr>
      <w:r>
        <w:rPr>
          <w:b/>
          <w:i w:val="0"/>
        </w:rPr>
        <w:t>(b) Legal and practical significance.</w:t>
      </w:r>
      <w:r>
        <w:rPr>
          <w:b w:val="0"/>
          <w:i w:val="0"/>
        </w:rPr>
        <w:t xml:space="preserve"> Earmarking is a narrow, judge-made exception. It generally applies where a third party (typically a new lender) lends funds to the debtor under an agreement that they be used to pay a specific existing creditor, the agreement is carried out, and the transaction as a whole does not diminish the estate. See, e.g., McCuskey v. Nat’l Bank of Waterloo (In re Bohlen Enters., Ltd.), 859 F.2d 561 (8th Cir. 1988). A customer’s payment of its own purchase price is a receivable of the Debtor. Once collected, those funds are property of the Debtor. A customer’s instruction about how to use them does not convert them into third-party funds, and paying Lakeshore diminished the estate dollar for dollar. If BrightMart’s payment was itself a satisfaction of BrightMart’s own obligation to the Debtor, earmarking fails outright. The $750,000 payment is also more than four times the average of Lakeshore’s other 13 payments ($180,769), which suggests a catch-up payment on antecedent debt. That makes ordinary course unlikely as well.</w:t>
      </w:r>
    </w:p>
    <w:p>
      <w:pPr>
        <w:spacing w:after="120"/>
        <w:jc w:val="both"/>
      </w:pPr>
      <w:r>
        <w:rPr>
          <w:b/>
          <w:i w:val="0"/>
        </w:rPr>
        <w:t>(c) Dollar impact.</w:t>
      </w:r>
      <w:r>
        <w:rPr>
          <w:b w:val="0"/>
          <w:i w:val="0"/>
        </w:rPr>
        <w:t xml:space="preserve"> +$750,000 net exposure.</w:t>
      </w:r>
    </w:p>
    <w:p>
      <w:pPr>
        <w:spacing w:after="120"/>
        <w:jc w:val="both"/>
      </w:pPr>
      <w:r>
        <w:rPr>
          <w:b/>
          <w:i w:val="0"/>
        </w:rPr>
        <w:t>(d) Corrected calculation.</w:t>
      </w:r>
      <w:r>
        <w:rPr>
          <w:b w:val="0"/>
          <w:i w:val="0"/>
        </w:rPr>
        <w:t xml:space="preserve"> Lakeshore net = $3,100,000 gross with no earmarking credit = </w:t>
      </w:r>
      <w:r>
        <w:rPr>
          <w:b/>
          <w:i w:val="0"/>
        </w:rPr>
        <w:t>$3,100,000</w:t>
      </w:r>
      <w:r>
        <w:rPr>
          <w:b w:val="0"/>
          <w:i w:val="0"/>
        </w:rPr>
        <w:t xml:space="preserve"> (subject to any properly proven ordinary course or new value defense).</w:t>
      </w:r>
    </w:p>
    <w:p>
      <w:pPr>
        <w:spacing w:after="40"/>
      </w:pPr>
      <w:r>
        <w:rPr>
          <w:b/>
          <w:i w:val="0"/>
        </w:rPr>
        <w:t>(e) Recommended next steps.</w:t>
      </w:r>
    </w:p>
    <w:p>
      <w:pPr>
        <w:pStyle w:val="ListBullet"/>
        <w:spacing w:after="60"/>
      </w:pPr>
      <w:r>
        <w:rPr>
          <w:b w:val="0"/>
          <w:i w:val="0"/>
        </w:rPr>
        <w:t>Request PO #MC-2024-8871, all BrightMart–Meridian–Lakeshore correspondence, and Debtor bank records showing the source of the January 30, 2025 funds and any BrightMart remittance.</w:t>
      </w:r>
    </w:p>
    <w:p>
      <w:pPr>
        <w:pStyle w:val="ListBullet"/>
        <w:spacing w:after="60"/>
      </w:pPr>
      <w:r>
        <w:rPr>
          <w:b w:val="0"/>
          <w:i w:val="0"/>
        </w:rPr>
        <w:t>Research Third Circuit and Delaware authority on earmarking outside the new-lender context and cite-check Bohlen.</w:t>
      </w:r>
    </w:p>
    <w:p>
      <w:pPr>
        <w:pStyle w:val="ListBullet"/>
        <w:spacing w:after="60"/>
      </w:pPr>
      <w:r>
        <w:rPr>
          <w:b w:val="0"/>
          <w:i w:val="0"/>
        </w:rPr>
        <w:t>Evaluate whether BrightMart received any benefit (e.g., as guarantor or through setoff) that could support a claim against BrightMart under § 550(a)(1) as an entity for whose benefit the transfer was made.</w:t>
      </w:r>
    </w:p>
    <w:p>
      <w:pPr>
        <w:pStyle w:val="Heading3"/>
      </w:pPr>
      <w:r>
        <w:t>Issue 3.7: Harborview: premium-trust funds, conduit status, and “interest of the debtor in property”</w:t>
      </w:r>
    </w:p>
    <w:p>
      <w:pPr>
        <w:spacing w:after="60"/>
      </w:pPr>
      <w:r>
        <w:rPr>
          <w:b/>
          <w:i w:val="0"/>
        </w:rPr>
        <w:t>Priority:</w:t>
      </w:r>
      <w:r>
        <w:rPr>
          <w:b w:val="0"/>
          <w:i w:val="0"/>
        </w:rPr>
        <w:t xml:space="preserve"> High / Before demands</w:t>
      </w:r>
    </w:p>
    <w:p>
      <w:pPr>
        <w:spacing w:after="120"/>
        <w:jc w:val="both"/>
      </w:pPr>
      <w:r>
        <w:rPr>
          <w:b/>
          <w:i w:val="0"/>
        </w:rPr>
        <w:t>(a) Description of the error or omission.</w:t>
      </w:r>
      <w:r>
        <w:rPr>
          <w:b w:val="0"/>
          <w:i w:val="0"/>
        </w:rPr>
        <w:t xml:space="preserve"> Under the Broker Services Agreement: (i) net premiums must be paid to the “Premium Trust Account” (§ 4.2); (ii) Harborview holds them “in a fiduciary capacity for the benefit of the applicable Carriers,” keeps them segregated, may not commingle them, and must remit them within 15 business days (§ 4.3); (iii) the funds “shall not constitute property of Broker or of Client” (§ 4.3); (iv) lump-sum payments are allocated first to premiums (§ 4.5); and (v) only the Service Fees of $520,000 per year ($130,000 per quarter, due on the first business day of each quarter) are Harborview’s own revenue (§ 5.1). Schedule A shows estimated annual net premiums of $980,000. Notably, $980,000 + $520,000 = $1,500,000, exactly the amount paid to Harborview in the 90-day period. That suggests a full year of premiums and fees, possibly the March 1, 2025 renewal, paid inside the preference window.</w:t>
      </w:r>
    </w:p>
    <w:p>
      <w:pPr>
        <w:spacing w:after="40"/>
      </w:pPr>
      <w:r>
        <w:rPr>
          <w:b/>
          <w:i w:val="0"/>
        </w:rPr>
        <w:t>(b) Legal and practical significance.</w:t>
      </w:r>
    </w:p>
    <w:p>
      <w:pPr>
        <w:pStyle w:val="ListBullet"/>
        <w:spacing w:after="60"/>
      </w:pPr>
      <w:r>
        <w:rPr>
          <w:b/>
          <w:i w:val="0"/>
        </w:rPr>
        <w:t>§ 547(b)(1):</w:t>
      </w:r>
      <w:r>
        <w:rPr>
          <w:b w:val="0"/>
          <w:i w:val="0"/>
        </w:rPr>
        <w:t xml:space="preserve"> the Debtor’s money was its property until paid. The contract clause saying the funds are not “property of Client” governs the funds once they are in trust and cannot override federal law on what the estate may avoid. So a transfer of an interest of the debtor in property did occur. The real questions are who the transferee is and which defenses apply.</w:t>
      </w:r>
    </w:p>
    <w:p>
      <w:pPr>
        <w:pStyle w:val="ListBullet"/>
        <w:spacing w:after="60"/>
      </w:pPr>
      <w:r>
        <w:rPr>
          <w:b/>
          <w:i w:val="0"/>
        </w:rPr>
        <w:t>Initial transferee / conduit:</w:t>
      </w:r>
      <w:r>
        <w:rPr>
          <w:b w:val="0"/>
          <w:i w:val="0"/>
        </w:rPr>
        <w:t xml:space="preserve"> a broker that receives premiums in trust and must remit them to carriers generally lacks dominion and control over them and is a mere conduit, not an initial transferee under § 550(a)(1). See Bonded Fin. Servs., Inc. v. European Am. Bank, 838 F.2d 890 (7th Cir. 1988). Recovery of the premium portion would lie against the carriers.</w:t>
      </w:r>
    </w:p>
    <w:p>
      <w:pPr>
        <w:pStyle w:val="ListBullet"/>
        <w:spacing w:after="60"/>
      </w:pPr>
      <w:r>
        <w:rPr>
          <w:b/>
          <w:i w:val="0"/>
        </w:rPr>
        <w:t>Carrier defenses:</w:t>
      </w:r>
      <w:r>
        <w:rPr>
          <w:b w:val="0"/>
          <w:i w:val="0"/>
        </w:rPr>
        <w:t xml:space="preserve"> premiums paid for current or future coverage support defenses that payment was not on account of an antecedent debt (prepaid premium), contemporaneous exchange (coverage bound in exchange for premium), new value (continued coverage) and ordinary course. Any premium recovery is therefore speculative.</w:t>
      </w:r>
    </w:p>
    <w:p>
      <w:pPr>
        <w:pStyle w:val="ListBullet"/>
        <w:spacing w:after="60"/>
      </w:pPr>
      <w:r>
        <w:rPr>
          <w:b/>
          <w:i w:val="0"/>
        </w:rPr>
        <w:t>Service Fees:</w:t>
      </w:r>
      <w:r>
        <w:rPr>
          <w:b w:val="0"/>
          <w:i w:val="0"/>
        </w:rPr>
        <w:t xml:space="preserve"> Harborview’s fees went to its operating account and are its own property. A fee paid when due on the first business day of a quarter for that quarter’s services may be argued to be a prepayment rather than payment on an antecedent debt. Late-paid fees for prior quarters are preferential.</w:t>
      </w:r>
    </w:p>
    <w:p>
      <w:pPr>
        <w:pStyle w:val="ListBullet"/>
        <w:spacing w:after="60"/>
      </w:pPr>
      <w:r>
        <w:rPr>
          <w:b/>
          <w:i w:val="0"/>
        </w:rPr>
        <w:t>Other points:</w:t>
      </w:r>
      <w:r>
        <w:rPr>
          <w:b w:val="0"/>
          <w:i w:val="0"/>
        </w:rPr>
        <w:t xml:space="preserve"> the initial term expired February 28, 2025 and auto-renewed (§§ 7.1–7.2). The bankruptcy termination right (§ 7.3(b)) is an unenforceable ipso facto clause as to an executory contract (§ 365(e)). Schedule A is a 2022 schedule, and the updated schedules required by § 6.2 were not produced. The Agreement was signed for Meridian by Gerald Hutchins.</w:t>
      </w:r>
    </w:p>
    <w:p>
      <w:pPr>
        <w:spacing w:after="120"/>
        <w:jc w:val="both"/>
      </w:pPr>
      <w:r>
        <w:rPr>
          <w:b/>
          <w:i w:val="0"/>
        </w:rPr>
        <w:t>(c) Dollar impact.</w:t>
      </w:r>
      <w:r>
        <w:rPr>
          <w:b w:val="0"/>
          <w:i w:val="0"/>
        </w:rPr>
        <w:t xml:space="preserve"> Exposure against Harborview reduced to an estimated </w:t>
      </w:r>
      <w:r>
        <w:rPr>
          <w:b/>
          <w:i w:val="0"/>
        </w:rPr>
        <w:t>$130,000</w:t>
      </w:r>
      <w:r>
        <w:rPr>
          <w:b w:val="0"/>
          <w:i w:val="0"/>
        </w:rPr>
        <w:t xml:space="preserve"> (one quarterly Service Fee falling due in the period, Jan. 2, 2025), up to $260,000 if a past-due Q4 2024 fee was paid in the period. The remaining ~$1,370,000 is reclassified as a contingent claim against carriers and excluded from the base estimate.</w:t>
      </w:r>
    </w:p>
    <w:p>
      <w:pPr>
        <w:spacing w:after="120"/>
        <w:jc w:val="both"/>
      </w:pPr>
      <w:r>
        <w:rPr>
          <w:b/>
          <w:i w:val="0"/>
        </w:rPr>
        <w:t>(d) Corrected calculation.</w:t>
      </w:r>
      <w:r>
        <w:rPr>
          <w:b w:val="0"/>
          <w:i w:val="0"/>
        </w:rPr>
        <w:t xml:space="preserve"> $1,500,000 total − $130,000 estimated Service Fee = $1,370,000 premium-trust funds (subject to confirmation from the itemized invoices, § 4.1).</w:t>
      </w:r>
    </w:p>
    <w:p>
      <w:pPr>
        <w:spacing w:after="40"/>
      </w:pPr>
      <w:r>
        <w:rPr>
          <w:b/>
          <w:i w:val="0"/>
        </w:rPr>
        <w:t>(e) Recommended next steps.</w:t>
      </w:r>
    </w:p>
    <w:p>
      <w:pPr>
        <w:pStyle w:val="ListBullet"/>
        <w:spacing w:after="60"/>
      </w:pPr>
      <w:r>
        <w:rPr>
          <w:b w:val="0"/>
          <w:i w:val="0"/>
        </w:rPr>
        <w:t>Request the six Harborview invoices (itemized premiums vs. fees under § 4.1), the quarterly trust account reports (§ 8.2), remittance confirmations to carriers (§ 4.4), and updated Schedules A for 2023–2025. The Debtor can exercise its audit right under § 8.3.</w:t>
      </w:r>
    </w:p>
    <w:p>
      <w:pPr>
        <w:pStyle w:val="ListBullet"/>
        <w:spacing w:after="60"/>
      </w:pPr>
      <w:r>
        <w:rPr>
          <w:b w:val="0"/>
          <w:i w:val="0"/>
        </w:rPr>
        <w:t>Determine the policy periods covered by each premium payment (prepaid renewal vs. arrears).</w:t>
      </w:r>
    </w:p>
    <w:p>
      <w:pPr>
        <w:pStyle w:val="ListBullet"/>
        <w:spacing w:after="60"/>
      </w:pPr>
      <w:r>
        <w:rPr>
          <w:b w:val="0"/>
          <w:i w:val="0"/>
        </w:rPr>
        <w:t>Limit any Harborview demand to Service Fees, and evaluate separately whether pursuing the carriers is economical.</w:t>
      </w:r>
    </w:p>
    <w:p>
      <w:pPr>
        <w:pStyle w:val="Heading3"/>
      </w:pPr>
      <w:r>
        <w:t>Issue 3.8: Hypothetical liquidation (§ 547(b)(5)) and insolvency (§ 547(b)(3)) analyses are unsupported</w:t>
      </w:r>
    </w:p>
    <w:p>
      <w:pPr>
        <w:spacing w:after="60"/>
      </w:pPr>
      <w:r>
        <w:rPr>
          <w:b/>
          <w:i w:val="0"/>
        </w:rPr>
        <w:t>Priority:</w:t>
      </w:r>
      <w:r>
        <w:rPr>
          <w:b w:val="0"/>
          <w:i w:val="0"/>
        </w:rPr>
        <w:t xml:space="preserve"> Medium / Before litigation</w:t>
      </w:r>
    </w:p>
    <w:p>
      <w:pPr>
        <w:spacing w:after="120"/>
        <w:jc w:val="both"/>
      </w:pPr>
      <w:r>
        <w:rPr>
          <w:b/>
          <w:i w:val="0"/>
        </w:rPr>
        <w:t>(a) Description of the error or omission.</w:t>
      </w:r>
      <w:r>
        <w:rPr>
          <w:b w:val="0"/>
          <w:i w:val="0"/>
        </w:rPr>
        <w:t xml:space="preserve"> The Report assumes a </w:t>
      </w:r>
      <w:r>
        <w:rPr>
          <w:b/>
          <w:i w:val="0"/>
        </w:rPr>
        <w:t>0%</w:t>
      </w:r>
      <w:r>
        <w:rPr>
          <w:b w:val="0"/>
          <w:i w:val="0"/>
        </w:rPr>
        <w:t xml:space="preserve"> chapter 7 distribution to general unsecured creditors, based on a “preliminary liquidation analysis” that is neither attached nor described (Sections I, II.C). Its own Recommendation No. 5 concedes that the analysis must still be produced. That assumption is hard to reconcile with the Report’s own balance sheet: $156 million of assets against $95 million of first lien debt leaves about $61 million of book value above the secured debt before liquidation discounts, administrative and priority claims. Under Glenbrook’s engagement letter (§ 3.2(f)), Glenbrook itself is responsible for the § 1129(a)(7) liquidation analysis. On insolvency, the Report relies on the § 547(f) presumption for the 90-day period, which is appropriate. But it attributes a September 30, 2024 deficit to “audited financial statements,” when September 30 is not a fiscal year-end audit date. It uses book values rather than the “fair valuation” required by § 101(32)(A). And it leaves the March 14 – September 29, 2024 insider period “ongoing and not addressed.”</w:t>
      </w:r>
    </w:p>
    <w:p>
      <w:pPr>
        <w:spacing w:after="40"/>
      </w:pPr>
      <w:r>
        <w:rPr>
          <w:b/>
          <w:i w:val="0"/>
        </w:rPr>
        <w:t>(b) Legal and practical significance.</w:t>
      </w:r>
    </w:p>
    <w:p>
      <w:pPr>
        <w:pStyle w:val="ListBullet"/>
        <w:spacing w:after="60"/>
      </w:pPr>
      <w:r>
        <w:rPr>
          <w:b/>
          <w:i w:val="0"/>
        </w:rPr>
        <w:t>(b)(5):</w:t>
      </w:r>
      <w:r>
        <w:rPr>
          <w:b w:val="0"/>
          <w:i w:val="0"/>
        </w:rPr>
        <w:t xml:space="preserve"> the element is satisfied whenever the creditor received more than it would have in a hypothetical chapter 7. For general unsecured trade creditors in a case with $221M of liabilities against $156M of assets, a distribution below 100% (not necessarily 0%) is enough. The 0% figure is therefore unnecessary, but presenting it unsupported invites attack. More importantly, the analysis must separately address creditors that would have been paid in full or in part in chapter 7: those with § 503(b)(9) 20-day goods claims (likely Vanderhoff, Lakeshore, CPI), priority wage claims under § 507(a)(4) (relevant to insider PTO and salary), setoff rights under § 553 (BrightMart), or trust or secured positions (Harborview carriers, Ridgeline).</w:t>
      </w:r>
    </w:p>
    <w:p>
      <w:pPr>
        <w:pStyle w:val="ListBullet"/>
        <w:spacing w:after="60"/>
      </w:pPr>
      <w:r>
        <w:rPr>
          <w:b/>
          <w:i w:val="0"/>
        </w:rPr>
        <w:t>(b)(3):</w:t>
      </w:r>
      <w:r>
        <w:rPr>
          <w:b w:val="0"/>
          <w:i w:val="0"/>
        </w:rPr>
        <w:t xml:space="preserve"> the Hutchins transfers (July 15 and Sept. 1, 2024) fall before the September 30 date Glenbrook treats as the start of insolvency. The Committee will have to prove insolvency on those dates without a presumption. The loss of BrightMart in Q3 2024 is the key fact, and a retrospective solvency analysis is required.</w:t>
      </w:r>
    </w:p>
    <w:p>
      <w:pPr>
        <w:spacing w:after="120"/>
        <w:jc w:val="both"/>
      </w:pPr>
      <w:r>
        <w:rPr>
          <w:b/>
          <w:i w:val="0"/>
        </w:rPr>
        <w:t>(c) Dollar impact.</w:t>
      </w:r>
      <w:r>
        <w:rPr>
          <w:b w:val="0"/>
          <w:i w:val="0"/>
        </w:rPr>
        <w:t xml:space="preserve"> Element of proof for every claim; no direct $ adjustment. Insider claims of $700,000 depend on proving insolvency before Sept. 30, 2024.</w:t>
      </w:r>
    </w:p>
    <w:p>
      <w:pPr>
        <w:spacing w:after="120"/>
        <w:jc w:val="both"/>
      </w:pPr>
      <w:r>
        <w:rPr>
          <w:b/>
          <w:i w:val="0"/>
        </w:rPr>
        <w:t>(d) Corrected calculation.</w:t>
      </w:r>
      <w:r>
        <w:rPr>
          <w:b w:val="0"/>
          <w:i w:val="0"/>
        </w:rPr>
        <w:t xml:space="preserve"> Not computable. I recommend presenting (b)(5) as “unsecured recovery materially below 100%” supported by a documented liquidation analysis, rather than an unsupported 0%.</w:t>
      </w:r>
    </w:p>
    <w:p>
      <w:pPr>
        <w:spacing w:after="40"/>
      </w:pPr>
      <w:r>
        <w:rPr>
          <w:b/>
          <w:i w:val="0"/>
        </w:rPr>
        <w:t>(e) Recommended next steps.</w:t>
      </w:r>
    </w:p>
    <w:p>
      <w:pPr>
        <w:pStyle w:val="ListBullet"/>
        <w:spacing w:after="60"/>
      </w:pPr>
      <w:r>
        <w:rPr>
          <w:b w:val="0"/>
          <w:i w:val="0"/>
        </w:rPr>
        <w:t>Demand the liquidation analysis and its supporting asset valuations from Glenbrook and the Debtor.</w:t>
      </w:r>
    </w:p>
    <w:p>
      <w:pPr>
        <w:pStyle w:val="ListBullet"/>
        <w:spacing w:after="60"/>
      </w:pPr>
      <w:r>
        <w:rPr>
          <w:b w:val="0"/>
          <w:i w:val="0"/>
        </w:rPr>
        <w:t>Pinehurst to prepare an independent retrospective solvency analysis (balance sheet, adequate capital, ability to pay debts) for Mar. 14 – Dec. 13, 2024, focused on June–September 2024.</w:t>
      </w:r>
    </w:p>
    <w:p>
      <w:pPr>
        <w:pStyle w:val="ListBullet"/>
        <w:spacing w:after="60"/>
      </w:pPr>
      <w:r>
        <w:rPr>
          <w:b w:val="0"/>
          <w:i w:val="0"/>
        </w:rPr>
        <w:t>Identify § 503(b)(9) claims filed by Tier 1 vendors, which reduce the improvement-in-position recovery for goods received in the 20 days before the petition.</w:t>
      </w:r>
    </w:p>
    <w:p>
      <w:pPr>
        <w:pStyle w:val="Heading3"/>
      </w:pPr>
      <w:r>
        <w:t>Issue 3.9: Transfer-dating authority mis-cited; petition-date transfers not addressed</w:t>
      </w:r>
    </w:p>
    <w:p>
      <w:pPr>
        <w:spacing w:after="60"/>
      </w:pPr>
      <w:r>
        <w:rPr>
          <w:b/>
          <w:i w:val="0"/>
        </w:rPr>
        <w:t>Priority:</w:t>
      </w:r>
      <w:r>
        <w:rPr>
          <w:b w:val="0"/>
          <w:i w:val="0"/>
        </w:rPr>
        <w:t xml:space="preserve"> Medium / Before litigation</w:t>
      </w:r>
    </w:p>
    <w:p>
      <w:pPr>
        <w:spacing w:after="120"/>
        <w:jc w:val="both"/>
      </w:pPr>
      <w:r>
        <w:rPr>
          <w:b/>
          <w:i w:val="0"/>
        </w:rPr>
        <w:t>(a) Description of the error or omission.</w:t>
      </w:r>
      <w:r>
        <w:rPr>
          <w:b w:val="0"/>
          <w:i w:val="0"/>
        </w:rPr>
        <w:t xml:space="preserve"> Section II.C describes check-clearing dating as “the majority approach under § 547(e)(2)(A) and the prevailing case law in the Third Circuit.” The controlling authority is the Supreme Court’s decision in Barnhill v. Johnson, 503 U.S. 393 (1992), which holds that, for § 547(b), a check transfer occurs on the date the drawee bank honors it. Wires are dated by “execution” date, but the relevant date is when the funds are transferred to the beneficiary’s account. The Report also does not address transfers made on the Petition Date itself: the $115,000 CPI wire (WR-2025-01249, “final pre-petition payment”) and the March 14, 2025 officer salary payments.</w:t>
      </w:r>
    </w:p>
    <w:p>
      <w:pPr>
        <w:spacing w:after="120"/>
        <w:jc w:val="both"/>
      </w:pPr>
      <w:r>
        <w:rPr>
          <w:b/>
          <w:i w:val="0"/>
        </w:rPr>
        <w:t>(b) Legal and practical significance.</w:t>
      </w:r>
      <w:r>
        <w:rPr>
          <w:b w:val="0"/>
          <w:i w:val="0"/>
        </w:rPr>
        <w:t xml:space="preserve"> Timing determines whether a transfer is within the 90-day window or the one-year window, or is a post-petition transfer governed by § 549 (with its own two-year limitations period under § 549(d)). Misdated transfers near December 14, 2024 (Issue 1.8) could fall out of the window, and petition-date transfers may need to be pleaded in the alternative.</w:t>
      </w:r>
    </w:p>
    <w:p>
      <w:pPr>
        <w:spacing w:after="120"/>
        <w:jc w:val="both"/>
      </w:pPr>
      <w:r>
        <w:rPr>
          <w:b/>
          <w:i w:val="0"/>
        </w:rPr>
        <w:t>(c) Dollar impact.</w:t>
      </w:r>
      <w:r>
        <w:rPr>
          <w:b w:val="0"/>
          <w:i w:val="0"/>
        </w:rPr>
        <w:t xml:space="preserve"> Up to $805,000 (Vanderhoff Dec. 14/15) at risk on dating; $115,000 CPI petition-date wire to be pleaded under § 547 and § 549 in the alternative.</w:t>
      </w:r>
    </w:p>
    <w:p>
      <w:pPr>
        <w:spacing w:after="120"/>
        <w:jc w:val="both"/>
      </w:pPr>
      <w:r>
        <w:rPr>
          <w:b/>
          <w:i w:val="0"/>
        </w:rPr>
        <w:t>(d) Corrected calculation.</w:t>
      </w:r>
      <w:r>
        <w:rPr>
          <w:b w:val="0"/>
          <w:i w:val="0"/>
        </w:rPr>
        <w:t xml:space="preserve"> N/A pending bank data.</w:t>
      </w:r>
    </w:p>
    <w:p>
      <w:pPr>
        <w:spacing w:after="40"/>
      </w:pPr>
      <w:r>
        <w:rPr>
          <w:b/>
          <w:i w:val="0"/>
        </w:rPr>
        <w:t>(e) Recommended next steps.</w:t>
      </w:r>
    </w:p>
    <w:p>
      <w:pPr>
        <w:pStyle w:val="ListBullet"/>
        <w:spacing w:after="60"/>
      </w:pPr>
      <w:r>
        <w:rPr>
          <w:b w:val="0"/>
          <w:i w:val="0"/>
        </w:rPr>
        <w:t>Obtain the time of the petition filing (ECF timestamp) and the Fedwire timestamps for all March 14, 2025 transfers.</w:t>
      </w:r>
    </w:p>
    <w:p>
      <w:pPr>
        <w:pStyle w:val="ListBullet"/>
        <w:spacing w:after="60"/>
      </w:pPr>
      <w:r>
        <w:rPr>
          <w:b w:val="0"/>
          <w:i w:val="0"/>
        </w:rPr>
        <w:t>Plead petition-date transfers under §§ 547 and 549 in the alternative.</w:t>
      </w:r>
    </w:p>
    <w:p>
      <w:pPr>
        <w:pStyle w:val="Heading3"/>
      </w:pPr>
      <w:r>
        <w:t>Issue 3.10: Committee standing: incomplete authority and an unaddressed conflict</w:t>
      </w:r>
    </w:p>
    <w:p>
      <w:pPr>
        <w:spacing w:after="60"/>
      </w:pPr>
      <w:r>
        <w:rPr>
          <w:b/>
          <w:i w:val="0"/>
        </w:rPr>
        <w:t>Priority:</w:t>
      </w:r>
      <w:r>
        <w:rPr>
          <w:b w:val="0"/>
          <w:i w:val="0"/>
        </w:rPr>
        <w:t xml:space="preserve"> High / Immediate</w:t>
      </w:r>
    </w:p>
    <w:p>
      <w:pPr>
        <w:spacing w:after="120"/>
        <w:jc w:val="both"/>
      </w:pPr>
      <w:r>
        <w:rPr>
          <w:b/>
          <w:i w:val="0"/>
        </w:rPr>
        <w:t>(a) Description of the error or omission.</w:t>
      </w:r>
      <w:r>
        <w:rPr>
          <w:b w:val="0"/>
          <w:i w:val="0"/>
        </w:rPr>
        <w:t xml:space="preserve"> Section VII says the Committee “may seek authority to prosecute preference actions as a derivative plaintiff under § 1103(c)(5).” Section 1103(c)(5) is a general catch-all for committee services and does not itself confer standing. In this Circuit, a creditors’ committee may be authorized by the bankruptcy court to sue derivatively on behalf of the estate. See Official Comm. of Unsecured Creditors of Cybergenics Corp. v. Chinery, 330 F.3d 548 (3d Cir. 2003) (en banc). That requires a motion and court approval, typically on a showing that the claims are colorable and that the debtor in possession has unjustifiably refused to pursue them or has a conflict.</w:t>
      </w:r>
    </w:p>
    <w:p>
      <w:pPr>
        <w:spacing w:after="120"/>
        <w:jc w:val="both"/>
      </w:pPr>
      <w:r>
        <w:rPr>
          <w:b/>
          <w:i w:val="0"/>
        </w:rPr>
        <w:t>(b) Legal and practical significance.</w:t>
      </w:r>
      <w:r>
        <w:rPr>
          <w:b w:val="0"/>
          <w:i w:val="0"/>
        </w:rPr>
        <w:t xml:space="preserve"> There is a concrete conflict here. The Debtor’s CFO, Rebecca Liu-Whitford, received a $300,000 retention bonus within the 90-day period. She is Glenbrook’s designated contact under the engagement letter (§ 4), signed that letter for the Debtor, and approved every CPI wire. The Report then concluded that there were no insider transfers. Former CEO Hutchins (the $700,000 recipient) and his brother-in-law Thibodeau (VP of Sales) are also targets. Debtor-controlled prosecution of these claims is compromised.</w:t>
      </w:r>
    </w:p>
    <w:p>
      <w:pPr>
        <w:spacing w:after="120"/>
        <w:jc w:val="both"/>
      </w:pPr>
      <w:r>
        <w:rPr>
          <w:b/>
          <w:i w:val="0"/>
        </w:rPr>
        <w:t>(c) Dollar impact.</w:t>
      </w:r>
      <w:r>
        <w:rPr>
          <w:b w:val="0"/>
          <w:i w:val="0"/>
        </w:rPr>
        <w:t xml:space="preserve"> Process issue; it governs who will recover the $1,048,000 of insider claims and the trade claims.</w:t>
      </w:r>
    </w:p>
    <w:p>
      <w:pPr>
        <w:spacing w:after="120"/>
        <w:jc w:val="both"/>
      </w:pPr>
      <w:r>
        <w:rPr>
          <w:b/>
          <w:i w:val="0"/>
        </w:rPr>
        <w:t>(d) Corrected calculation.</w:t>
      </w:r>
      <w:r>
        <w:rPr>
          <w:b w:val="0"/>
          <w:i w:val="0"/>
        </w:rPr>
        <w:t xml:space="preserve"> N/A.</w:t>
      </w:r>
    </w:p>
    <w:p>
      <w:pPr>
        <w:spacing w:after="40"/>
      </w:pPr>
      <w:r>
        <w:rPr>
          <w:b/>
          <w:i w:val="0"/>
        </w:rPr>
        <w:t>(e) Recommended next steps.</w:t>
      </w:r>
    </w:p>
    <w:p>
      <w:pPr>
        <w:pStyle w:val="ListBullet"/>
        <w:spacing w:after="60"/>
      </w:pPr>
      <w:r>
        <w:rPr>
          <w:b w:val="0"/>
          <w:i w:val="0"/>
        </w:rPr>
        <w:t>Prepare a demand letter to Westbrook (through you) asking the Debtor to confirm whether it will pursue the insider claims. In parallel, prepare a draft Cybergenics standing motion, or negotiate a stipulation granting the Committee standing.</w:t>
      </w:r>
    </w:p>
    <w:p>
      <w:pPr>
        <w:pStyle w:val="ListBullet"/>
        <w:spacing w:after="60"/>
      </w:pPr>
      <w:r>
        <w:rPr>
          <w:b w:val="0"/>
          <w:i w:val="0"/>
        </w:rPr>
        <w:t>Consider whether a plan or cash collateral or DIP order contains a challenge period or releases affecting these claims, and calendar any such deadline.</w:t>
      </w:r>
    </w:p>
    <w:p>
      <w:pPr>
        <w:pStyle w:val="ListBullet"/>
        <w:spacing w:after="60"/>
      </w:pPr>
      <w:r>
        <w:rPr>
          <w:b w:val="0"/>
          <w:i w:val="0"/>
        </w:rPr>
        <w:t>Ask the Debtor to confirm what D&amp;O insurance covers the insider claims and their notice requirements (Harborview placed the D&amp;O policy).</w:t>
      </w:r>
    </w:p>
    <w:p>
      <w:pPr>
        <w:pStyle w:val="Heading1"/>
      </w:pPr>
      <w:r>
        <w:t>VII. Category 4 — Omissions</w:t>
      </w:r>
    </w:p>
    <w:p>
      <w:pPr>
        <w:pStyle w:val="Heading3"/>
      </w:pPr>
      <w:r>
        <w:t>Issue 4.1: Insider transfers of $1,048,000 omitted; the Report’s “no insider transfers” conclusion is contradicted by the Debtor’s records</w:t>
      </w:r>
    </w:p>
    <w:p>
      <w:pPr>
        <w:spacing w:after="60"/>
      </w:pPr>
      <w:r>
        <w:rPr>
          <w:b/>
          <w:i w:val="0"/>
        </w:rPr>
        <w:t>Priority:</w:t>
      </w:r>
      <w:r>
        <w:rPr>
          <w:b w:val="0"/>
          <w:i w:val="0"/>
        </w:rPr>
        <w:t xml:space="preserve"> High / Immediate</w:t>
      </w:r>
    </w:p>
    <w:p>
      <w:pPr>
        <w:spacing w:after="120"/>
        <w:jc w:val="both"/>
      </w:pPr>
      <w:r>
        <w:rPr>
          <w:b/>
          <w:i w:val="0"/>
        </w:rPr>
        <w:t>(a) Description of the error or omission.</w:t>
      </w:r>
      <w:r>
        <w:rPr>
          <w:b w:val="0"/>
          <w:i w:val="0"/>
        </w:rPr>
        <w:t xml:space="preserve"> Section VI states that Glenbrook reviewed the payroll records and that “</w:t>
      </w:r>
      <w:r>
        <w:rPr>
          <w:b/>
          <w:i w:val="0"/>
        </w:rPr>
        <w:t>no insider transfers were identified</w:t>
      </w:r>
      <w:r>
        <w:rPr>
          <w:b w:val="0"/>
          <w:i w:val="0"/>
        </w:rPr>
        <w:t xml:space="preserve">.” The payroll and insider records (Exhibit F) contain a “Summary — Insider Payments” tab that itself identifies </w:t>
      </w:r>
      <w:r>
        <w:rPr>
          <w:b/>
          <w:i w:val="0"/>
        </w:rPr>
        <w:t>$1,048,000</w:t>
      </w:r>
      <w:r>
        <w:rPr>
          <w:b w:val="0"/>
          <w:i w:val="0"/>
        </w:rPr>
        <w:t xml:space="preserve"> of insider transfers in the one-year period, $348,000 of them within the 90-day period: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304"/>
            <w:shd w:val="clear" w:color="auto" w:fill="D9D9D9"/>
          </w:tcPr>
          <w:p>
            <w:r/>
            <w:r>
              <w:rPr>
                <w:b/>
                <w:sz w:val="15"/>
              </w:rPr>
              <w:t>Insider / basis</w:t>
            </w:r>
          </w:p>
        </w:tc>
        <w:tc>
          <w:tcPr>
            <w:tcW w:type="dxa" w:w="1224"/>
            <w:shd w:val="clear" w:color="auto" w:fill="D9D9D9"/>
          </w:tcPr>
          <w:p>
            <w:r/>
            <w:r>
              <w:rPr>
                <w:b/>
                <w:sz w:val="15"/>
              </w:rPr>
              <w:t>Date</w:t>
            </w:r>
          </w:p>
        </w:tc>
        <w:tc>
          <w:tcPr>
            <w:tcW w:type="dxa" w:w="1944"/>
            <w:shd w:val="clear" w:color="auto" w:fill="D9D9D9"/>
          </w:tcPr>
          <w:p>
            <w:r/>
            <w:r>
              <w:rPr>
                <w:b/>
                <w:sz w:val="15"/>
              </w:rPr>
              <w:t>Payment</w:t>
            </w:r>
          </w:p>
        </w:tc>
        <w:tc>
          <w:tcPr>
            <w:tcW w:type="dxa" w:w="1152"/>
            <w:shd w:val="clear" w:color="auto" w:fill="D9D9D9"/>
          </w:tcPr>
          <w:p>
            <w:r/>
            <w:r>
              <w:rPr>
                <w:b/>
                <w:sz w:val="15"/>
              </w:rPr>
              <w:t>Gross</w:t>
            </w:r>
          </w:p>
        </w:tc>
        <w:tc>
          <w:tcPr>
            <w:tcW w:type="dxa" w:w="864"/>
            <w:shd w:val="clear" w:color="auto" w:fill="D9D9D9"/>
          </w:tcPr>
          <w:p>
            <w:r/>
            <w:r>
              <w:rPr>
                <w:b/>
                <w:sz w:val="15"/>
              </w:rPr>
              <w:t>90-day?</w:t>
            </w:r>
          </w:p>
        </w:tc>
        <w:tc>
          <w:tcPr>
            <w:tcW w:type="dxa" w:w="1872"/>
            <w:shd w:val="clear" w:color="auto" w:fill="D9D9D9"/>
          </w:tcPr>
          <w:p>
            <w:r/>
            <w:r>
              <w:rPr>
                <w:b/>
                <w:sz w:val="15"/>
              </w:rPr>
              <w:t>Notes</w:t>
            </w:r>
          </w:p>
        </w:tc>
      </w:tr>
      <w:tr>
        <w:tc>
          <w:tcPr>
            <w:tcW w:type="dxa" w:w="2304"/>
          </w:tcPr>
          <w:p>
            <w:r/>
            <w:r>
              <w:rPr>
                <w:b w:val="0"/>
                <w:i w:val="0"/>
                <w:sz w:val="15"/>
              </w:rPr>
              <w:t>Gerald R. Hutchins — former CEO (resigned 6/30/24); brother-in-law of Thibodeau</w:t>
            </w:r>
          </w:p>
        </w:tc>
        <w:tc>
          <w:tcPr>
            <w:tcW w:type="dxa" w:w="1224"/>
          </w:tcPr>
          <w:p>
            <w:r/>
            <w:r>
              <w:rPr>
                <w:b w:val="0"/>
                <w:i w:val="0"/>
                <w:sz w:val="15"/>
              </w:rPr>
              <w:t>07/15/2024</w:t>
            </w:r>
          </w:p>
        </w:tc>
        <w:tc>
          <w:tcPr>
            <w:tcW w:type="dxa" w:w="1944"/>
          </w:tcPr>
          <w:p>
            <w:r/>
            <w:r>
              <w:rPr>
                <w:b w:val="0"/>
                <w:i w:val="0"/>
                <w:sz w:val="15"/>
              </w:rPr>
              <w:t>Lump-sum severance (Separation Agreement 6/25/24)</w:t>
            </w:r>
          </w:p>
        </w:tc>
        <w:tc>
          <w:tcPr>
            <w:tcW w:type="dxa" w:w="1152"/>
          </w:tcPr>
          <w:p>
            <w:r/>
            <w:r>
              <w:rPr>
                <w:b w:val="0"/>
                <w:i w:val="0"/>
                <w:sz w:val="15"/>
              </w:rPr>
              <w:t>$525,000.00</w:t>
            </w:r>
          </w:p>
        </w:tc>
        <w:tc>
          <w:tcPr>
            <w:tcW w:type="dxa" w:w="864"/>
          </w:tcPr>
          <w:p>
            <w:r/>
            <w:r>
              <w:rPr>
                <w:b w:val="0"/>
                <w:i w:val="0"/>
                <w:sz w:val="15"/>
              </w:rPr>
              <w:t>No (1-yr)</w:t>
            </w:r>
          </w:p>
        </w:tc>
        <w:tc>
          <w:tcPr>
            <w:tcW w:type="dxa" w:w="1872"/>
          </w:tcPr>
          <w:p>
            <w:r/>
            <w:r>
              <w:rPr>
                <w:b w:val="0"/>
                <w:i w:val="0"/>
                <w:sz w:val="15"/>
              </w:rPr>
              <w:t>≈ 9 months of $700,000 salary; Board-approved while he was CEO</w:t>
            </w:r>
          </w:p>
        </w:tc>
      </w:tr>
      <w:tr>
        <w:tc>
          <w:tcPr>
            <w:tcW w:type="dxa" w:w="2304"/>
          </w:tcPr>
          <w:p>
            <w:r/>
            <w:r>
              <w:rPr>
                <w:b w:val="0"/>
                <w:i w:val="0"/>
                <w:sz w:val="15"/>
              </w:rPr>
              <w:t>Hutchins (consultant)</w:t>
            </w:r>
          </w:p>
        </w:tc>
        <w:tc>
          <w:tcPr>
            <w:tcW w:type="dxa" w:w="1224"/>
          </w:tcPr>
          <w:p>
            <w:r/>
            <w:r>
              <w:rPr>
                <w:b w:val="0"/>
                <w:i w:val="0"/>
                <w:sz w:val="15"/>
              </w:rPr>
              <w:t>09/01/2024 (Sunday)</w:t>
            </w:r>
          </w:p>
        </w:tc>
        <w:tc>
          <w:tcPr>
            <w:tcW w:type="dxa" w:w="1944"/>
          </w:tcPr>
          <w:p>
            <w:r/>
            <w:r>
              <w:rPr>
                <w:b w:val="0"/>
                <w:i w:val="0"/>
                <w:sz w:val="15"/>
              </w:rPr>
              <w:t>Consulting fee, July–Aug 2024 “transition advisory”</w:t>
            </w:r>
          </w:p>
        </w:tc>
        <w:tc>
          <w:tcPr>
            <w:tcW w:type="dxa" w:w="1152"/>
          </w:tcPr>
          <w:p>
            <w:r/>
            <w:r>
              <w:rPr>
                <w:b w:val="0"/>
                <w:i w:val="0"/>
                <w:sz w:val="15"/>
              </w:rPr>
              <w:t>$175,000.00</w:t>
            </w:r>
          </w:p>
        </w:tc>
        <w:tc>
          <w:tcPr>
            <w:tcW w:type="dxa" w:w="864"/>
          </w:tcPr>
          <w:p>
            <w:r/>
            <w:r>
              <w:rPr>
                <w:b w:val="0"/>
                <w:i w:val="0"/>
                <w:sz w:val="15"/>
              </w:rPr>
              <w:t>No (1-yr)</w:t>
            </w:r>
          </w:p>
        </w:tc>
        <w:tc>
          <w:tcPr>
            <w:tcW w:type="dxa" w:w="1872"/>
          </w:tcPr>
          <w:p>
            <w:r/>
            <w:r>
              <w:rPr>
                <w:b w:val="0"/>
                <w:i w:val="0"/>
                <w:sz w:val="15"/>
              </w:rPr>
              <w:t>$87,500/month, 150% of his CEO salary rate; 1099; no deliverables produced</w:t>
            </w:r>
          </w:p>
        </w:tc>
      </w:tr>
      <w:tr>
        <w:tc>
          <w:tcPr>
            <w:tcW w:type="dxa" w:w="2304"/>
          </w:tcPr>
          <w:p>
            <w:r/>
            <w:r>
              <w:rPr>
                <w:b w:val="0"/>
                <w:i w:val="0"/>
                <w:sz w:val="15"/>
              </w:rPr>
              <w:t>Hutchins</w:t>
            </w:r>
          </w:p>
        </w:tc>
        <w:tc>
          <w:tcPr>
            <w:tcW w:type="dxa" w:w="1224"/>
          </w:tcPr>
          <w:p>
            <w:r/>
            <w:r>
              <w:rPr>
                <w:b w:val="0"/>
                <w:i w:val="0"/>
                <w:sz w:val="15"/>
              </w:rPr>
              <w:t>07/05/2024</w:t>
            </w:r>
          </w:p>
        </w:tc>
        <w:tc>
          <w:tcPr>
            <w:tcW w:type="dxa" w:w="1944"/>
          </w:tcPr>
          <w:p>
            <w:r/>
            <w:r>
              <w:rPr>
                <w:b w:val="0"/>
                <w:i w:val="0"/>
                <w:sz w:val="15"/>
              </w:rPr>
              <w:t>Accrued PTO payout (18 days)</w:t>
            </w:r>
          </w:p>
        </w:tc>
        <w:tc>
          <w:tcPr>
            <w:tcW w:type="dxa" w:w="1152"/>
          </w:tcPr>
          <w:p>
            <w:r/>
            <w:r>
              <w:rPr>
                <w:b w:val="0"/>
                <w:i w:val="0"/>
                <w:sz w:val="15"/>
              </w:rPr>
              <w:t>$16,153.85</w:t>
            </w:r>
          </w:p>
        </w:tc>
        <w:tc>
          <w:tcPr>
            <w:tcW w:type="dxa" w:w="864"/>
          </w:tcPr>
          <w:p>
            <w:r/>
            <w:r>
              <w:rPr>
                <w:b w:val="0"/>
                <w:i w:val="0"/>
                <w:sz w:val="15"/>
              </w:rPr>
              <w:t>No (1-yr)</w:t>
            </w:r>
          </w:p>
        </w:tc>
        <w:tc>
          <w:tcPr>
            <w:tcW w:type="dxa" w:w="1872"/>
          </w:tcPr>
          <w:p>
            <w:r/>
            <w:r>
              <w:rPr>
                <w:b w:val="0"/>
                <w:i w:val="0"/>
                <w:sz w:val="15"/>
              </w:rPr>
              <w:t>Not in Summary tab; probably priority wage claim in part</w:t>
            </w:r>
          </w:p>
        </w:tc>
      </w:tr>
      <w:tr>
        <w:tc>
          <w:tcPr>
            <w:tcW w:type="dxa" w:w="2304"/>
          </w:tcPr>
          <w:p>
            <w:r/>
            <w:r>
              <w:rPr>
                <w:b w:val="0"/>
                <w:i w:val="0"/>
                <w:sz w:val="15"/>
              </w:rPr>
              <w:t>Rebecca Liu-Whitford — CFO (officer)</w:t>
            </w:r>
          </w:p>
        </w:tc>
        <w:tc>
          <w:tcPr>
            <w:tcW w:type="dxa" w:w="1224"/>
          </w:tcPr>
          <w:p>
            <w:r/>
            <w:r>
              <w:rPr>
                <w:b w:val="0"/>
                <w:i w:val="0"/>
                <w:sz w:val="15"/>
              </w:rPr>
              <w:t>01/10/2025</w:t>
            </w:r>
          </w:p>
        </w:tc>
        <w:tc>
          <w:tcPr>
            <w:tcW w:type="dxa" w:w="1944"/>
          </w:tcPr>
          <w:p>
            <w:r/>
            <w:r>
              <w:rPr>
                <w:b w:val="0"/>
                <w:i w:val="0"/>
                <w:sz w:val="15"/>
              </w:rPr>
              <w:t>Retention bonus (Board Res. 2024-47, 12/20/24)</w:t>
            </w:r>
          </w:p>
        </w:tc>
        <w:tc>
          <w:tcPr>
            <w:tcW w:type="dxa" w:w="1152"/>
          </w:tcPr>
          <w:p>
            <w:r/>
            <w:r>
              <w:rPr>
                <w:b w:val="0"/>
                <w:i w:val="0"/>
                <w:sz w:val="15"/>
              </w:rPr>
              <w:t>$300,000.00</w:t>
            </w:r>
          </w:p>
        </w:tc>
        <w:tc>
          <w:tcPr>
            <w:tcW w:type="dxa" w:w="864"/>
          </w:tcPr>
          <w:p>
            <w:r/>
            <w:r>
              <w:rPr>
                <w:b w:val="0"/>
                <w:i w:val="0"/>
                <w:sz w:val="15"/>
              </w:rPr>
              <w:t>Yes</w:t>
            </w:r>
          </w:p>
        </w:tc>
        <w:tc>
          <w:tcPr>
            <w:tcW w:type="dxa" w:w="1872"/>
          </w:tcPr>
          <w:p>
            <w:r/>
            <w:r>
              <w:rPr>
                <w:b w:val="0"/>
                <w:i w:val="0"/>
                <w:sz w:val="15"/>
              </w:rPr>
              <w:t>Paid 3 weeks after approval, before the retention period ended</w:t>
            </w:r>
          </w:p>
        </w:tc>
      </w:tr>
      <w:tr>
        <w:tc>
          <w:tcPr>
            <w:tcW w:type="dxa" w:w="2304"/>
          </w:tcPr>
          <w:p>
            <w:r/>
            <w:r>
              <w:rPr>
                <w:b w:val="0"/>
                <w:i w:val="0"/>
                <w:sz w:val="15"/>
              </w:rPr>
              <w:t>Marcus Thibodeau — VP Sales (officer); brother-in-law of Hutchins</w:t>
            </w:r>
          </w:p>
        </w:tc>
        <w:tc>
          <w:tcPr>
            <w:tcW w:type="dxa" w:w="1224"/>
          </w:tcPr>
          <w:p>
            <w:r/>
            <w:r>
              <w:rPr>
                <w:b w:val="0"/>
                <w:i w:val="0"/>
                <w:sz w:val="15"/>
              </w:rPr>
              <w:t>12/31/2024; 01/31/2025; 02/28/2025</w:t>
            </w:r>
          </w:p>
        </w:tc>
        <w:tc>
          <w:tcPr>
            <w:tcW w:type="dxa" w:w="1944"/>
          </w:tcPr>
          <w:p>
            <w:r/>
            <w:r>
              <w:rPr>
                <w:b w:val="0"/>
                <w:i w:val="0"/>
                <w:sz w:val="15"/>
              </w:rPr>
              <w:t>Commissions at 3.5% (3 × $16,000)</w:t>
            </w:r>
          </w:p>
        </w:tc>
        <w:tc>
          <w:tcPr>
            <w:tcW w:type="dxa" w:w="1152"/>
          </w:tcPr>
          <w:p>
            <w:r/>
            <w:r>
              <w:rPr>
                <w:b w:val="0"/>
                <w:i w:val="0"/>
                <w:sz w:val="15"/>
              </w:rPr>
              <w:t>$48,000.00</w:t>
            </w:r>
          </w:p>
        </w:tc>
        <w:tc>
          <w:tcPr>
            <w:tcW w:type="dxa" w:w="864"/>
          </w:tcPr>
          <w:p>
            <w:r/>
            <w:r>
              <w:rPr>
                <w:b w:val="0"/>
                <w:i w:val="0"/>
                <w:sz w:val="15"/>
              </w:rPr>
              <w:t>Yes</w:t>
            </w:r>
          </w:p>
        </w:tc>
        <w:tc>
          <w:tcPr>
            <w:tcW w:type="dxa" w:w="1872"/>
          </w:tcPr>
          <w:p>
            <w:r/>
            <w:r>
              <w:rPr>
                <w:b w:val="0"/>
                <w:i w:val="0"/>
                <w:sz w:val="15"/>
              </w:rPr>
              <w:t>Standard rate 1.5%; no cap (others $150,000); set by Hutchins; no Board approval</w:t>
            </w:r>
          </w:p>
        </w:tc>
      </w:tr>
      <w:tr>
        <w:tc>
          <w:tcPr>
            <w:tcW w:type="dxa" w:w="2304"/>
          </w:tcPr>
          <w:p>
            <w:r/>
            <w:r>
              <w:rPr>
                <w:b/>
                <w:i w:val="0"/>
                <w:sz w:val="15"/>
              </w:rPr>
              <w:t>Total (Summary tab)</w:t>
            </w:r>
          </w:p>
        </w:tc>
        <w:tc>
          <w:tcPr>
            <w:tcW w:type="dxa" w:w="1224"/>
          </w:tcPr>
          <w:p>
            <w:r/>
          </w:p>
        </w:tc>
        <w:tc>
          <w:tcPr>
            <w:tcW w:type="dxa" w:w="1944"/>
          </w:tcPr>
          <w:p>
            <w:r/>
          </w:p>
        </w:tc>
        <w:tc>
          <w:tcPr>
            <w:tcW w:type="dxa" w:w="1152"/>
          </w:tcPr>
          <w:p>
            <w:r/>
            <w:r>
              <w:rPr>
                <w:b/>
                <w:i w:val="0"/>
                <w:sz w:val="15"/>
              </w:rPr>
              <w:t>$1,048,000.00</w:t>
            </w:r>
          </w:p>
        </w:tc>
        <w:tc>
          <w:tcPr>
            <w:tcW w:type="dxa" w:w="864"/>
          </w:tcPr>
          <w:p>
            <w:r/>
            <w:r>
              <w:rPr>
                <w:b/>
                <w:i w:val="0"/>
                <w:sz w:val="15"/>
              </w:rPr>
              <w:t>$348,000</w:t>
            </w:r>
          </w:p>
        </w:tc>
        <w:tc>
          <w:tcPr>
            <w:tcW w:type="dxa" w:w="1872"/>
          </w:tcPr>
          <w:p>
            <w:r/>
            <w:r>
              <w:rPr>
                <w:b/>
                <w:i w:val="0"/>
                <w:sz w:val="15"/>
              </w:rPr>
              <w:t>Plus $16,153.85 PTO not in Summary</w:t>
            </w:r>
          </w:p>
        </w:tc>
      </w:tr>
    </w:tbl>
    <w:p>
      <w:pPr>
        <w:spacing w:after="40"/>
      </w:pPr>
    </w:p>
    <w:p>
      <w:pPr>
        <w:spacing w:after="120"/>
        <w:jc w:val="both"/>
      </w:pPr>
      <w:r>
        <w:rPr>
          <w:b w:val="0"/>
          <w:i w:val="0"/>
        </w:rPr>
        <w:t xml:space="preserve">Regular salary paid to insiders during the year (e.g., Liu-Whitford 24 × $22,916.67 = $550,000.08; Thibodeau 24 × $14,583.33 = $349,999.92; Hutchins 7 × $29,166.67 = $204,166.69) is generally paid currently for current services and is lower risk, but it should have been analyzed. The records for five other officers (Dietrich, Engström, Navarro-Cohen, Forsythe, Takahashi) </w:t>
      </w:r>
      <w:r>
        <w:rPr>
          <w:b/>
          <w:i w:val="0"/>
        </w:rPr>
        <w:t>stop at June 14, 2024</w:t>
      </w:r>
      <w:r>
        <w:rPr>
          <w:b w:val="0"/>
          <w:i w:val="0"/>
        </w:rPr>
        <w:t>. No director fees, expense reimbursements, loans or other bonuses appear for anyone, so the record is incomplete for nine of the twelve months.</w:t>
      </w:r>
    </w:p>
    <w:p>
      <w:pPr>
        <w:spacing w:after="40"/>
      </w:pPr>
      <w:r>
        <w:rPr>
          <w:b/>
          <w:i w:val="0"/>
        </w:rPr>
        <w:t>(b) Legal and practical significance.</w:t>
      </w:r>
    </w:p>
    <w:p>
      <w:pPr>
        <w:pStyle w:val="ListBullet"/>
        <w:spacing w:after="60"/>
      </w:pPr>
      <w:r>
        <w:rPr>
          <w:b/>
          <w:i w:val="0"/>
        </w:rPr>
        <w:t>Insider status (§ 101(31)):</w:t>
      </w:r>
      <w:r>
        <w:rPr>
          <w:b w:val="0"/>
          <w:i w:val="0"/>
        </w:rPr>
        <w:t xml:space="preserve"> Liu-Whitford and Thibodeau are officers (§ 101(31)(B)(ii)). Hutchins had resigned before both of his transfers, and insider status under § 547(b)(4)(B) is tested “at the time of such transfer.” The payroll file’s note that insider status simply “continues post-resignation” overstates the law. Hutchins nonetheless qualifies as a statutory insider as a </w:t>
      </w:r>
      <w:r>
        <w:rPr>
          <w:b/>
          <w:i w:val="0"/>
        </w:rPr>
        <w:t>relative</w:t>
      </w:r>
      <w:r>
        <w:rPr>
          <w:b w:val="0"/>
          <w:i w:val="0"/>
        </w:rPr>
        <w:t xml:space="preserve"> of an officer: a brother-in-law is related by affinity within the third degree (§§ 101(45), 101(31)(B)(vi)). He is also a strong non-statutory insider candidate given his consulting role and his family tie to a current officer. Thibodeau is independently a relative of a former insider.</w:t>
      </w:r>
    </w:p>
    <w:p>
      <w:pPr>
        <w:pStyle w:val="ListBullet"/>
        <w:spacing w:after="60"/>
      </w:pPr>
      <w:r>
        <w:rPr>
          <w:b/>
          <w:i w:val="0"/>
        </w:rPr>
        <w:t>Elements:</w:t>
      </w:r>
      <w:r>
        <w:rPr>
          <w:b w:val="0"/>
          <w:i w:val="0"/>
        </w:rPr>
        <w:t xml:space="preserve"> each payment was on account of an antecedent obligation: the 6/25/24 separation agreement, services already rendered, the 12/20/24 Board resolution, and commissions already earned. The 90-day transfers ($348,000) get the § 547(f) insolvency presumption. The Hutchins transfers ($700,000) require affirmative proof of insolvency in July and September 2024 (Issue 3.8).</w:t>
      </w:r>
    </w:p>
    <w:p>
      <w:pPr>
        <w:pStyle w:val="ListBullet"/>
        <w:spacing w:after="60"/>
      </w:pPr>
      <w:r>
        <w:rPr>
          <w:b/>
          <w:i w:val="0"/>
        </w:rPr>
        <w:t>Thibodeau commissions:</w:t>
      </w:r>
      <w:r>
        <w:rPr>
          <w:b w:val="0"/>
          <w:i w:val="0"/>
        </w:rPr>
        <w:t xml:space="preserve"> the same “attributed net sales” figure ($457,142.86) appears for a full quarter (Q4 2024) and for two single months, producing an identical $16,000 each time ($457,142.86 × 3.5%). That suggests a fixed payment dressed up as a commission. At the standard 1.5% rate, each payment would be $6,857.14. The excess is $9,142.86 per payment, or </w:t>
      </w:r>
      <w:r>
        <w:rPr>
          <w:b/>
          <w:i w:val="0"/>
        </w:rPr>
        <w:t>$27,428.57</w:t>
      </w:r>
      <w:r>
        <w:rPr>
          <w:b w:val="0"/>
          <w:i w:val="0"/>
        </w:rPr>
        <w:t xml:space="preserve"> for the three payments.</w:t>
      </w:r>
    </w:p>
    <w:p>
      <w:pPr>
        <w:pStyle w:val="ListBullet"/>
        <w:spacing w:after="60"/>
      </w:pPr>
      <w:r>
        <w:rPr>
          <w:b/>
          <w:i w:val="0"/>
        </w:rPr>
        <w:t>Alternative theories:</w:t>
      </w:r>
      <w:r>
        <w:rPr>
          <w:b w:val="0"/>
          <w:i w:val="0"/>
        </w:rPr>
        <w:t xml:space="preserve"> if the retention bonus was paid before it was earned, it may not be on account of an antecedent debt. In that case, and for the severance, consulting fee and excess commissions, § 548(a)(1)(B)(ii)(IV) (a transfer to an insider under an employment contract, not in the ordinary course, for less than reasonably equivalent value) does not require proof of insolvency. Sections 544(b) and 548 reach back two years or more under state law. The bonus also appears designed to avoid the post-petition limits on insider retention payments in § 503(c)(1).</w:t>
      </w:r>
    </w:p>
    <w:p>
      <w:pPr>
        <w:pStyle w:val="ListBullet"/>
        <w:spacing w:after="60"/>
      </w:pPr>
      <w:r>
        <w:rPr>
          <w:b/>
          <w:i w:val="0"/>
        </w:rPr>
        <w:t>Governance:</w:t>
      </w:r>
      <w:r>
        <w:rPr>
          <w:b w:val="0"/>
          <w:i w:val="0"/>
        </w:rPr>
        <w:t xml:space="preserve"> the CFO who received the $300,000 is Glenbrook’s client contact (Issue 4.7).</w:t>
      </w:r>
    </w:p>
    <w:p>
      <w:pPr>
        <w:spacing w:after="120"/>
        <w:jc w:val="both"/>
      </w:pPr>
      <w:r>
        <w:rPr>
          <w:b/>
          <w:i w:val="0"/>
        </w:rPr>
        <w:t>(c) Dollar impact.</w:t>
      </w:r>
      <w:r>
        <w:rPr>
          <w:b w:val="0"/>
          <w:i w:val="0"/>
        </w:rPr>
        <w:t xml:space="preserve"> +$1,048,000 gross and net exposure, comprising $348,000 in the 90-day period and $700,000 in the insider-only period. Additional potential: $16,153.85 PTO; earlier 2024 Thibodeau commissions (not produced); salary and bonus data for five other officers after June 2024.</w:t>
      </w:r>
    </w:p>
    <w:p>
      <w:pPr>
        <w:spacing w:after="120"/>
        <w:jc w:val="both"/>
      </w:pPr>
      <w:r>
        <w:rPr>
          <w:b/>
          <w:i w:val="0"/>
        </w:rPr>
        <w:t>(d) Corrected calculation.</w:t>
      </w:r>
      <w:r>
        <w:rPr>
          <w:b w:val="0"/>
          <w:i w:val="0"/>
        </w:rPr>
        <w:t xml:space="preserve"> Insider claims = $525,000 + $175,000 + $300,000 + $48,000 = </w:t>
      </w:r>
      <w:r>
        <w:rPr>
          <w:b/>
          <w:i w:val="0"/>
        </w:rPr>
        <w:t>$1,048,000</w:t>
      </w:r>
      <w:r>
        <w:rPr>
          <w:b w:val="0"/>
          <w:i w:val="0"/>
        </w:rPr>
        <w:t xml:space="preserve"> (the base estimate includes this amount).</w:t>
      </w:r>
    </w:p>
    <w:p>
      <w:pPr>
        <w:spacing w:after="40"/>
      </w:pPr>
      <w:r>
        <w:rPr>
          <w:b/>
          <w:i w:val="0"/>
        </w:rPr>
        <w:t>(e) Recommended next steps.</w:t>
      </w:r>
    </w:p>
    <w:p>
      <w:pPr>
        <w:pStyle w:val="ListBullet"/>
        <w:spacing w:after="60"/>
      </w:pPr>
      <w:r>
        <w:rPr>
          <w:b w:val="0"/>
          <w:i w:val="0"/>
        </w:rPr>
        <w:t>Request the Hutchins Separation Agreement and Consulting Addendum (and any work product from the “transition advisory” engagement); Board minutes for 6/25/24 and 12/20/24 (Res. 2024-47); Thibodeau’s commission plan, attributed-sales calculations and all 2024 commission payments; complete payroll for all officers and directors through the Petition Date; and expense reimbursement and loan records.</w:t>
      </w:r>
    </w:p>
    <w:p>
      <w:pPr>
        <w:pStyle w:val="ListBullet"/>
        <w:spacing w:after="60"/>
      </w:pPr>
      <w:r>
        <w:rPr>
          <w:b w:val="0"/>
          <w:i w:val="0"/>
        </w:rPr>
        <w:t>Send litigation-hold letters covering insider records. Notify the D&amp;O carrier through counsel if claims are contemplated.</w:t>
      </w:r>
    </w:p>
    <w:p>
      <w:pPr>
        <w:pStyle w:val="ListBullet"/>
        <w:spacing w:after="60"/>
      </w:pPr>
      <w:r>
        <w:rPr>
          <w:b w:val="0"/>
          <w:i w:val="0"/>
        </w:rPr>
        <w:t>Prepare insider preference and fraudulent-transfer counts and coordinate with the standing strategy (Issue 3.10).</w:t>
      </w:r>
    </w:p>
    <w:p>
      <w:pPr>
        <w:pStyle w:val="Heading3"/>
      </w:pPr>
      <w:r>
        <w:t>Issue 4.2: No analysis of foreign-transferee enforceability</w:t>
      </w:r>
    </w:p>
    <w:p>
      <w:pPr>
        <w:spacing w:after="60"/>
      </w:pPr>
      <w:r>
        <w:rPr>
          <w:b/>
          <w:i w:val="0"/>
        </w:rPr>
        <w:t>Priority:</w:t>
      </w:r>
      <w:r>
        <w:rPr>
          <w:b w:val="0"/>
          <w:i w:val="0"/>
        </w:rPr>
        <w:t xml:space="preserve"> Medium / Before litigation</w:t>
      </w:r>
    </w:p>
    <w:p>
      <w:pPr>
        <w:spacing w:after="120"/>
        <w:jc w:val="both"/>
      </w:pPr>
      <w:r>
        <w:rPr>
          <w:b/>
          <w:i w:val="0"/>
        </w:rPr>
        <w:t>(a) Description of the error or omission.</w:t>
      </w:r>
      <w:r>
        <w:rPr>
          <w:b w:val="0"/>
          <w:i w:val="0"/>
        </w:rPr>
        <w:t xml:space="preserve"> The Report treats Consolidated Plastics as a Hong Kong company but says nothing about service, jurisdiction or enforcement. Your letter (item (e)) specifically asked for that analysis.</w:t>
      </w:r>
    </w:p>
    <w:p>
      <w:pPr>
        <w:spacing w:after="120"/>
        <w:jc w:val="both"/>
      </w:pPr>
      <w:r>
        <w:rPr>
          <w:b/>
          <w:i w:val="0"/>
        </w:rPr>
        <w:t>(b) Legal and practical significance.</w:t>
      </w:r>
      <w:r>
        <w:rPr>
          <w:b w:val="0"/>
          <w:i w:val="0"/>
        </w:rPr>
        <w:t xml:space="preserve"> A judgment against a Hong Kong entity would require service under the Hague Service Convention (which applies to Hong Kong), personal jurisdiction based on the entity’s U.S. contacts, and then a fresh common-law action on the judgment in Hong Kong, because there is no reciprocal statutory enforcement regime for U.S. money judgments there. That means delay, cost and collection risk. The wire records make most of this moot: the transferee is CPI Americas, Inc., a Delaware corporation with a U.S. bank account (Issue 2.2). The Hong Kong parent should be named only in the alternative, as an entity for whose benefit the transfers were made, if that is supported.</w:t>
      </w:r>
    </w:p>
    <w:p>
      <w:pPr>
        <w:spacing w:after="120"/>
        <w:jc w:val="both"/>
      </w:pPr>
      <w:r>
        <w:rPr>
          <w:b/>
          <w:i w:val="0"/>
        </w:rPr>
        <w:t>(c) Dollar impact.</w:t>
      </w:r>
      <w:r>
        <w:rPr>
          <w:b w:val="0"/>
          <w:i w:val="0"/>
        </w:rPr>
        <w:t xml:space="preserve"> Protects recoverability of $1,400,000.</w:t>
      </w:r>
    </w:p>
    <w:p>
      <w:pPr>
        <w:spacing w:after="120"/>
        <w:jc w:val="both"/>
      </w:pPr>
      <w:r>
        <w:rPr>
          <w:b/>
          <w:i w:val="0"/>
        </w:rPr>
        <w:t>(d) Corrected calculation.</w:t>
      </w:r>
      <w:r>
        <w:rPr>
          <w:b w:val="0"/>
          <w:i w:val="0"/>
        </w:rPr>
        <w:t xml:space="preserve"> N/A.</w:t>
      </w:r>
    </w:p>
    <w:p>
      <w:pPr>
        <w:spacing w:after="40"/>
      </w:pPr>
      <w:r>
        <w:rPr>
          <w:b/>
          <w:i w:val="0"/>
        </w:rPr>
        <w:t>(e) Recommended next steps.</w:t>
      </w:r>
    </w:p>
    <w:p>
      <w:pPr>
        <w:pStyle w:val="ListBullet"/>
        <w:spacing w:after="60"/>
      </w:pPr>
      <w:r>
        <w:rPr>
          <w:b w:val="0"/>
          <w:i w:val="0"/>
        </w:rPr>
        <w:t>Name CPI Americas, Inc. as the primary defendant. Investigate its assets and its relationship with the Hong Kong entity.</w:t>
      </w:r>
    </w:p>
    <w:p>
      <w:pPr>
        <w:pStyle w:val="ListBullet"/>
        <w:spacing w:after="60"/>
      </w:pPr>
      <w:r>
        <w:rPr>
          <w:b w:val="0"/>
          <w:i w:val="0"/>
        </w:rPr>
        <w:t>If the Hong Kong entity is named, budget for Hague service and engage Hong Kong counsel on enforcement.</w:t>
      </w:r>
    </w:p>
    <w:p>
      <w:pPr>
        <w:pStyle w:val="Heading3"/>
      </w:pPr>
      <w:r>
        <w:t>Issue 4.3: Payments to lenders, noteholders, professionals and other non-trade payees are not addressed</w:t>
      </w:r>
    </w:p>
    <w:p>
      <w:pPr>
        <w:spacing w:after="60"/>
      </w:pPr>
      <w:r>
        <w:rPr>
          <w:b/>
          <w:i w:val="0"/>
        </w:rPr>
        <w:t>Priority:</w:t>
      </w:r>
      <w:r>
        <w:rPr>
          <w:b w:val="0"/>
          <w:i w:val="0"/>
        </w:rPr>
        <w:t xml:space="preserve"> Medium / Data request now</w:t>
      </w:r>
    </w:p>
    <w:p>
      <w:pPr>
        <w:spacing w:after="120"/>
        <w:jc w:val="both"/>
      </w:pPr>
      <w:r>
        <w:rPr>
          <w:b/>
          <w:i w:val="0"/>
        </w:rPr>
        <w:t>(a) Description of the error or omission.</w:t>
      </w:r>
      <w:r>
        <w:rPr>
          <w:b w:val="0"/>
          <w:i w:val="0"/>
        </w:rPr>
        <w:t xml:space="preserve"> The payee list contains only trade vendors and service providers. It does not address payments in the period to: (i) Ridgeline Capital Partners, the first lien agent (interest, fees, principal or paydowns on the $95M facility); (ii) Cornerstone Trust Company, the indenture trustee for the 9.5% Senior Unsecured Notes, where any coupon on $47 million would be about $2.23 million per semi-annual payment; (iii) professionals, including Glenbrook itself (monthly fees of $125,000 in advance from January 2025 = $375,000 by March, plus expenses in arrears) and Westbrook retainers; (iv) taxing authorities; and (v) landlords and lessors.</w:t>
      </w:r>
    </w:p>
    <w:p>
      <w:pPr>
        <w:spacing w:after="120"/>
        <w:jc w:val="both"/>
      </w:pPr>
      <w:r>
        <w:rPr>
          <w:b/>
          <w:i w:val="0"/>
        </w:rPr>
        <w:t>(b) Legal and practical significance.</w:t>
      </w:r>
      <w:r>
        <w:rPr>
          <w:b w:val="0"/>
          <w:i w:val="0"/>
        </w:rPr>
        <w:t xml:space="preserve"> Payments to an undersecured lender, and any payment to unsecured noteholders, are classic large-dollar preferences, and they are often the biggest single recoveries in a case like this. Lien perfection and the timing of any security interest granted in the period also need review (§§ 544, 547(e)). Professional retainers and payments bear on disinterestedness under §§ 101(14) and 327.</w:t>
      </w:r>
    </w:p>
    <w:p>
      <w:pPr>
        <w:spacing w:after="120"/>
        <w:jc w:val="both"/>
      </w:pPr>
      <w:r>
        <w:rPr>
          <w:b/>
          <w:i w:val="0"/>
        </w:rPr>
        <w:t>(c) Dollar impact.</w:t>
      </w:r>
      <w:r>
        <w:rPr>
          <w:b w:val="0"/>
          <w:i w:val="0"/>
        </w:rPr>
        <w:t xml:space="preserve"> Unknown and potentially material. A single noteholder coupon would exceed $2 million.</w:t>
      </w:r>
    </w:p>
    <w:p>
      <w:pPr>
        <w:spacing w:after="120"/>
        <w:jc w:val="both"/>
      </w:pPr>
      <w:r>
        <w:rPr>
          <w:b/>
          <w:i w:val="0"/>
        </w:rPr>
        <w:t>(d) Corrected calculation.</w:t>
      </w:r>
      <w:r>
        <w:rPr>
          <w:b w:val="0"/>
          <w:i w:val="0"/>
        </w:rPr>
        <w:t xml:space="preserve"> N/A pending data.</w:t>
      </w:r>
    </w:p>
    <w:p>
      <w:pPr>
        <w:spacing w:after="40"/>
      </w:pPr>
      <w:r>
        <w:rPr>
          <w:b/>
          <w:i w:val="0"/>
        </w:rPr>
        <w:t>(e) Recommended next steps.</w:t>
      </w:r>
    </w:p>
    <w:p>
      <w:pPr>
        <w:pStyle w:val="ListBullet"/>
        <w:spacing w:after="60"/>
      </w:pPr>
      <w:r>
        <w:rPr>
          <w:b w:val="0"/>
          <w:i w:val="0"/>
        </w:rPr>
        <w:t>Request all debt-service payments, coupon dates and fees paid to Ridgeline, Cornerstone and noteholders during the year before filing, together with the lien perfection documents.</w:t>
      </w:r>
    </w:p>
    <w:p>
      <w:pPr>
        <w:pStyle w:val="ListBullet"/>
        <w:spacing w:after="60"/>
      </w:pPr>
      <w:r>
        <w:rPr>
          <w:b w:val="0"/>
          <w:i w:val="0"/>
        </w:rPr>
        <w:t>Request all professional fee payments and retainers during the 90 days, including Glenbrook’s and Westbrook’s.</w:t>
      </w:r>
    </w:p>
    <w:p>
      <w:pPr>
        <w:pStyle w:val="ListBullet"/>
        <w:spacing w:after="60"/>
      </w:pPr>
      <w:r>
        <w:rPr>
          <w:b w:val="0"/>
          <w:i w:val="0"/>
        </w:rPr>
        <w:t>Coordinate with any lien-challenge deadline in the DIP or cash collateral order.</w:t>
      </w:r>
    </w:p>
    <w:p>
      <w:pPr>
        <w:pStyle w:val="Heading3"/>
      </w:pPr>
      <w:r>
        <w:t>Issue 4.4: No § 547(b) “reasonable due diligence” or defense analysis for most payees; venue and claim-disallowance tools not addressed</w:t>
      </w:r>
    </w:p>
    <w:p>
      <w:pPr>
        <w:spacing w:after="60"/>
      </w:pPr>
      <w:r>
        <w:rPr>
          <w:b/>
          <w:i w:val="0"/>
        </w:rPr>
        <w:t>Priority:</w:t>
      </w:r>
      <w:r>
        <w:rPr>
          <w:b w:val="0"/>
          <w:i w:val="0"/>
        </w:rPr>
        <w:t xml:space="preserve"> Medium / Before demands</w:t>
      </w:r>
    </w:p>
    <w:p>
      <w:pPr>
        <w:spacing w:after="120"/>
        <w:jc w:val="both"/>
      </w:pPr>
      <w:r>
        <w:rPr>
          <w:b/>
          <w:i w:val="0"/>
        </w:rPr>
        <w:t>(a) Description of the error or omission.</w:t>
      </w:r>
      <w:r>
        <w:rPr>
          <w:b w:val="0"/>
          <w:i w:val="0"/>
        </w:rPr>
        <w:t xml:space="preserve"> Since the 2019 amendment, § 547(b) permits avoidance only “based on reasonable due diligence in the circumstances of the case and taking into account a party’s known or reasonably knowable affirmative defenses under subsection (c).” The Report analyzes defenses for only four payees. It identifies “no preliminary defenses” for Sagebrush, CPI and Harborview without looking. Possible defenses it misses include media-buy pass-through and milestone prepayments for Sagebrush, new value for CPI, the premium trust for Harborview, and ordinary course and new value for Lakeshore. It does nothing for the 15 Tier 2 and 42 Tier 3 payees. The Report also does not address venue under 28 U.S.C. § 1409(b), which requires suits against non-insiders to recover non-consumer debts below the adjusted threshold (currently $27,750 for cases filed on or after April 1, 2022) to be brought in the defendant’s home district, or the use of § 502(d) to disallow the claims of transferees who do not return avoidable transfers.</w:t>
      </w:r>
    </w:p>
    <w:p>
      <w:pPr>
        <w:spacing w:after="120"/>
        <w:jc w:val="both"/>
      </w:pPr>
      <w:r>
        <w:rPr>
          <w:b/>
          <w:i w:val="0"/>
        </w:rPr>
        <w:t>(b) Legal and practical significance.</w:t>
      </w:r>
      <w:r>
        <w:rPr>
          <w:b w:val="0"/>
          <w:i w:val="0"/>
        </w:rPr>
        <w:t xml:space="preserve"> Complaints filed without documented diligence face dismissal motions, and the Report as written cannot serve as the diligence record. Venue will affect the economics of most Tier 3 claims ($7,575–$95,000), and § 1409(b) will apply to many of them. Section 502(d) is useful leverage against vendors with large filed claims.</w:t>
      </w:r>
    </w:p>
    <w:p>
      <w:pPr>
        <w:spacing w:after="120"/>
        <w:jc w:val="both"/>
      </w:pPr>
      <w:r>
        <w:rPr>
          <w:b/>
          <w:i w:val="0"/>
        </w:rPr>
        <w:t>(c) Dollar impact.</w:t>
      </w:r>
      <w:r>
        <w:rPr>
          <w:b w:val="0"/>
          <w:i w:val="0"/>
        </w:rPr>
        <w:t xml:space="preserve"> Affects the collectability of the Tier 2/3 population ($5.31M combined) and of Sagebrush ($1.8M).</w:t>
      </w:r>
    </w:p>
    <w:p>
      <w:pPr>
        <w:spacing w:after="120"/>
        <w:jc w:val="both"/>
      </w:pPr>
      <w:r>
        <w:rPr>
          <w:b/>
          <w:i w:val="0"/>
        </w:rPr>
        <w:t>(d) Corrected calculation.</w:t>
      </w:r>
      <w:r>
        <w:rPr>
          <w:b w:val="0"/>
          <w:i w:val="0"/>
        </w:rPr>
        <w:t xml:space="preserve"> N/A.</w:t>
      </w:r>
    </w:p>
    <w:p>
      <w:pPr>
        <w:spacing w:after="40"/>
      </w:pPr>
      <w:r>
        <w:rPr>
          <w:b/>
          <w:i w:val="0"/>
        </w:rPr>
        <w:t>(e) Recommended next steps.</w:t>
      </w:r>
    </w:p>
    <w:p>
      <w:pPr>
        <w:pStyle w:val="ListBullet"/>
        <w:spacing w:after="60"/>
      </w:pPr>
      <w:r>
        <w:rPr>
          <w:b w:val="0"/>
          <w:i w:val="0"/>
        </w:rPr>
        <w:t>Before any demand: send each target a request for defense information, keep a diligence file per payee, and analyze the response.</w:t>
      </w:r>
    </w:p>
    <w:p>
      <w:pPr>
        <w:pStyle w:val="ListBullet"/>
        <w:spacing w:after="60"/>
      </w:pPr>
      <w:r>
        <w:rPr>
          <w:b w:val="0"/>
          <w:i w:val="0"/>
        </w:rPr>
        <w:t>Pinehurst to screen Tier 2/3 payees for new value and payment-timing patterns from Debtor records.</w:t>
      </w:r>
    </w:p>
    <w:p>
      <w:pPr>
        <w:pStyle w:val="ListBullet"/>
        <w:spacing w:after="60"/>
      </w:pPr>
      <w:r>
        <w:rPr>
          <w:b w:val="0"/>
          <w:i w:val="0"/>
        </w:rPr>
        <w:t>Map Tier 3 claims below $27,750 by defendant district to assess whether pursuing them is economical.</w:t>
      </w:r>
    </w:p>
    <w:p>
      <w:pPr>
        <w:pStyle w:val="Heading3"/>
      </w:pPr>
      <w:r>
        <w:t>Issue 4.5: BrightMart: setoff, recoupment and related exposure not analyzed</w:t>
      </w:r>
    </w:p>
    <w:p>
      <w:pPr>
        <w:spacing w:after="60"/>
      </w:pPr>
      <w:r>
        <w:rPr>
          <w:b/>
          <w:i w:val="0"/>
        </w:rPr>
        <w:t>Priority:</w:t>
      </w:r>
      <w:r>
        <w:rPr>
          <w:b w:val="0"/>
          <w:i w:val="0"/>
        </w:rPr>
        <w:t xml:space="preserve"> Medium / Data request now</w:t>
      </w:r>
    </w:p>
    <w:p>
      <w:pPr>
        <w:spacing w:after="120"/>
        <w:jc w:val="both"/>
      </w:pPr>
      <w:r>
        <w:rPr>
          <w:b/>
          <w:i w:val="0"/>
        </w:rPr>
        <w:t>(a) Description of the error or omission.</w:t>
      </w:r>
      <w:r>
        <w:rPr>
          <w:b w:val="0"/>
          <w:i w:val="0"/>
        </w:rPr>
        <w:t xml:space="preserve"> The Report dismisses BrightMart as “not included as a preference exposure payee” because it received no transfers and “owed the Debtor money,” even though it is a creditor for about $4.2 million (returned product credits and co-op advertising). It does not analyze whether BrightMart took credits, chargebacks or deductions against its receivable in the 90-day period.</w:t>
      </w:r>
    </w:p>
    <w:p>
      <w:pPr>
        <w:spacing w:after="120"/>
        <w:jc w:val="both"/>
      </w:pPr>
      <w:r>
        <w:rPr>
          <w:b/>
          <w:i w:val="0"/>
        </w:rPr>
        <w:t>(b) Legal and practical significance.</w:t>
      </w:r>
      <w:r>
        <w:rPr>
          <w:b w:val="0"/>
          <w:i w:val="0"/>
        </w:rPr>
        <w:t xml:space="preserve"> Pre-petition setoffs are not “transfers” under § 547, but § 553(b) lets the estate recover the amount by which a creditor improved its position through setoffs in the 90 days before filing (the “insufficiency” test). Deductions for returns and co-op claims against amounts BrightMart owed Meridian are exactly the kind of activity that test reaches. Recoupment arguments by BrightMart would need to be evaluated. BrightMart is also tied to the failed earmarking theory (Issue 3.6) and to Sagebrush’s co-op marketing work.</w:t>
      </w:r>
    </w:p>
    <w:p>
      <w:pPr>
        <w:spacing w:after="120"/>
        <w:jc w:val="both"/>
      </w:pPr>
      <w:r>
        <w:rPr>
          <w:b/>
          <w:i w:val="0"/>
        </w:rPr>
        <w:t>(c) Dollar impact.</w:t>
      </w:r>
      <w:r>
        <w:rPr>
          <w:b w:val="0"/>
          <w:i w:val="0"/>
        </w:rPr>
        <w:t xml:space="preserve"> Unknown; potentially significant given the $4.2M claim and BrightMart’s receivable balance.</w:t>
      </w:r>
    </w:p>
    <w:p>
      <w:pPr>
        <w:spacing w:after="120"/>
        <w:jc w:val="both"/>
      </w:pPr>
      <w:r>
        <w:rPr>
          <w:b/>
          <w:i w:val="0"/>
        </w:rPr>
        <w:t>(d) Corrected calculation.</w:t>
      </w:r>
      <w:r>
        <w:rPr>
          <w:b w:val="0"/>
          <w:i w:val="0"/>
        </w:rPr>
        <w:t xml:space="preserve"> Compute § 553(b) improvement: insufficiency 90 days before the petition (or on the first date of insufficiency in the 90 days) less insufficiency at the setoff date. This requires the BrightMart AR/AP ledger.</w:t>
      </w:r>
    </w:p>
    <w:p>
      <w:pPr>
        <w:spacing w:after="40"/>
      </w:pPr>
      <w:r>
        <w:rPr>
          <w:b/>
          <w:i w:val="0"/>
        </w:rPr>
        <w:t>(e) Recommended next steps.</w:t>
      </w:r>
    </w:p>
    <w:p>
      <w:pPr>
        <w:pStyle w:val="ListBullet"/>
        <w:spacing w:after="60"/>
      </w:pPr>
      <w:r>
        <w:rPr>
          <w:b w:val="0"/>
          <w:i w:val="0"/>
        </w:rPr>
        <w:t>Request the BrightMart AR and AP ledgers, deduction and chargeback history, and the co-op agreement for Sept. 2024 – Mar. 2025.</w:t>
      </w:r>
    </w:p>
    <w:p>
      <w:pPr>
        <w:pStyle w:val="ListBullet"/>
        <w:spacing w:after="60"/>
      </w:pPr>
      <w:r>
        <w:rPr>
          <w:b w:val="0"/>
          <w:i w:val="0"/>
        </w:rPr>
        <w:t>Review BrightMart’s proof of claim for asserted setoff rights.</w:t>
      </w:r>
    </w:p>
    <w:p>
      <w:pPr>
        <w:pStyle w:val="Heading3"/>
      </w:pPr>
      <w:r>
        <w:t>Issue 4.6: Data-source gaps and reliance problems</w:t>
      </w:r>
    </w:p>
    <w:p>
      <w:pPr>
        <w:spacing w:after="60"/>
      </w:pPr>
      <w:r>
        <w:rPr>
          <w:b/>
          <w:i w:val="0"/>
        </w:rPr>
        <w:t>Priority:</w:t>
      </w:r>
      <w:r>
        <w:rPr>
          <w:b w:val="0"/>
          <w:i w:val="0"/>
        </w:rPr>
        <w:t xml:space="preserve"> Medium / Data request now</w:t>
      </w:r>
    </w:p>
    <w:p>
      <w:pPr>
        <w:spacing w:after="40"/>
      </w:pPr>
      <w:r>
        <w:rPr>
          <w:b/>
          <w:i w:val="0"/>
        </w:rPr>
        <w:t>(a) Description of the error or omission.</w:t>
      </w:r>
    </w:p>
    <w:p>
      <w:pPr>
        <w:pStyle w:val="ListBullet"/>
        <w:spacing w:after="60"/>
      </w:pPr>
      <w:r>
        <w:rPr>
          <w:b/>
          <w:i w:val="0"/>
        </w:rPr>
        <w:t>Bank accounts:</w:t>
      </w:r>
      <w:r>
        <w:rPr>
          <w:b w:val="0"/>
          <w:i w:val="0"/>
        </w:rPr>
        <w:t xml:space="preserve"> the Report reviewed three accounts, but the CPI wires came from a fourth (First Hollcroft x4738) (Issue 2.2).</w:t>
      </w:r>
    </w:p>
    <w:p>
      <w:pPr>
        <w:pStyle w:val="ListBullet"/>
        <w:spacing w:after="60"/>
      </w:pPr>
      <w:r>
        <w:rPr>
          <w:b/>
          <w:i w:val="0"/>
        </w:rPr>
        <w:t>ERP source:</w:t>
      </w:r>
      <w:r>
        <w:rPr>
          <w:b w:val="0"/>
          <w:i w:val="0"/>
        </w:rPr>
        <w:t xml:space="preserve"> the transfer population comes from the DataStream ERP system, which is maintained by DataStream, itself a $1.2M preference target that is credited with an ordinary course defense.</w:t>
      </w:r>
    </w:p>
    <w:p>
      <w:pPr>
        <w:pStyle w:val="ListBullet"/>
        <w:spacing w:after="60"/>
      </w:pPr>
      <w:r>
        <w:rPr>
          <w:b/>
          <w:i w:val="0"/>
        </w:rPr>
        <w:t>Unattached exhibits:</w:t>
      </w:r>
      <w:r>
        <w:rPr>
          <w:b w:val="0"/>
          <w:i w:val="0"/>
        </w:rPr>
        <w:t xml:space="preserve"> Exhibits F and G were not attached to the Report. When produced, they contradict it.</w:t>
      </w:r>
    </w:p>
    <w:p>
      <w:pPr>
        <w:pStyle w:val="ListBullet"/>
        <w:spacing w:after="60"/>
      </w:pPr>
      <w:r>
        <w:rPr>
          <w:b/>
          <w:i w:val="0"/>
        </w:rPr>
        <w:t>Missing detail:</w:t>
      </w:r>
      <w:r>
        <w:rPr>
          <w:b w:val="0"/>
          <w:i w:val="0"/>
        </w:rPr>
        <w:t xml:space="preserve"> transfer-level detail for 74 of the 81 listed payees is “available upon request.” The 25 excluded payees and the three missing payees are not identified.</w:t>
      </w:r>
    </w:p>
    <w:p>
      <w:pPr>
        <w:pStyle w:val="ListBullet"/>
        <w:spacing w:after="60"/>
      </w:pPr>
      <w:r>
        <w:rPr>
          <w:b/>
          <w:i w:val="0"/>
        </w:rPr>
        <w:t>Engagement scope:</w:t>
      </w:r>
      <w:r>
        <w:rPr>
          <w:b w:val="0"/>
          <w:i w:val="0"/>
        </w:rPr>
        <w:t xml:space="preserve"> the engagement letter requires categorization by “payee type” (§ 3.2(c)(ii)), which the Report does not provide.</w:t>
      </w:r>
    </w:p>
    <w:p>
      <w:pPr>
        <w:spacing w:after="120"/>
        <w:jc w:val="both"/>
      </w:pPr>
      <w:r>
        <w:rPr>
          <w:b/>
          <w:i w:val="0"/>
        </w:rPr>
        <w:t>(b) Legal and practical significance.</w:t>
      </w:r>
      <w:r>
        <w:rPr>
          <w:b w:val="0"/>
          <w:i w:val="0"/>
        </w:rPr>
        <w:t xml:space="preserve"> The Committee cannot verify the completeness of the transfer population. Missing accounts are a common source of omitted preferences, including insider and affiliate payments.</w:t>
      </w:r>
    </w:p>
    <w:p>
      <w:pPr>
        <w:spacing w:after="120"/>
        <w:jc w:val="both"/>
      </w:pPr>
      <w:r>
        <w:rPr>
          <w:b/>
          <w:i w:val="0"/>
        </w:rPr>
        <w:t>(c) Dollar impact.</w:t>
      </w:r>
      <w:r>
        <w:rPr>
          <w:b w:val="0"/>
          <w:i w:val="0"/>
        </w:rPr>
        <w:t xml:space="preserve"> Unknown.</w:t>
      </w:r>
    </w:p>
    <w:p>
      <w:pPr>
        <w:spacing w:after="120"/>
        <w:jc w:val="both"/>
      </w:pPr>
      <w:r>
        <w:rPr>
          <w:b/>
          <w:i w:val="0"/>
        </w:rPr>
        <w:t>(d) Corrected calculation.</w:t>
      </w:r>
      <w:r>
        <w:rPr>
          <w:b w:val="0"/>
          <w:i w:val="0"/>
        </w:rPr>
        <w:t xml:space="preserve"> N/A.</w:t>
      </w:r>
    </w:p>
    <w:p>
      <w:pPr>
        <w:spacing w:after="40"/>
      </w:pPr>
      <w:r>
        <w:rPr>
          <w:b/>
          <w:i w:val="0"/>
        </w:rPr>
        <w:t>(e) Recommended next steps.</w:t>
      </w:r>
    </w:p>
    <w:p>
      <w:pPr>
        <w:pStyle w:val="ListBullet"/>
        <w:spacing w:after="60"/>
      </w:pPr>
      <w:r>
        <w:rPr>
          <w:b w:val="0"/>
          <w:i w:val="0"/>
        </w:rPr>
        <w:t>Obtain a certified list of all Debtor bank accounts (cross-check the Schedules and SOFA and the cash management motion) and complete statements for each for the one-year period.</w:t>
      </w:r>
    </w:p>
    <w:p>
      <w:pPr>
        <w:pStyle w:val="ListBullet"/>
        <w:spacing w:after="60"/>
      </w:pPr>
      <w:r>
        <w:rPr>
          <w:b w:val="0"/>
          <w:i w:val="0"/>
        </w:rPr>
        <w:t>Obtain native ERP extracts directly from the Debtor, not through DataStream or Glenbrook summaries.</w:t>
      </w:r>
    </w:p>
    <w:p>
      <w:pPr>
        <w:pStyle w:val="Heading3"/>
      </w:pPr>
      <w:r>
        <w:t>Issue 4.7: Independence and reliability of the Glenbrook Report</w:t>
      </w:r>
    </w:p>
    <w:p>
      <w:pPr>
        <w:spacing w:after="60"/>
      </w:pPr>
      <w:r>
        <w:rPr>
          <w:b/>
          <w:i w:val="0"/>
        </w:rPr>
        <w:t>Priority:</w:t>
      </w:r>
      <w:r>
        <w:rPr>
          <w:b w:val="0"/>
          <w:i w:val="0"/>
        </w:rPr>
        <w:t xml:space="preserve"> High / Immediate</w:t>
      </w:r>
    </w:p>
    <w:p>
      <w:pPr>
        <w:spacing w:after="40"/>
      </w:pPr>
      <w:r>
        <w:rPr>
          <w:b/>
          <w:i w:val="0"/>
        </w:rPr>
        <w:t>(a) Description of the error or omission.</w:t>
      </w:r>
    </w:p>
    <w:p>
      <w:pPr>
        <w:pStyle w:val="ListBullet"/>
        <w:spacing w:after="60"/>
      </w:pPr>
      <w:r>
        <w:rPr>
          <w:b/>
          <w:i w:val="0"/>
        </w:rPr>
        <w:t>Client contact:</w:t>
      </w:r>
      <w:r>
        <w:rPr>
          <w:b w:val="0"/>
          <w:i w:val="0"/>
        </w:rPr>
        <w:t xml:space="preserve"> Glenbrook’s client contact and the signatory of its engagement letter is the CFO, who received a $300,000 insider bonus in the 90-day period and approved the CPI wires.</w:t>
      </w:r>
    </w:p>
    <w:p>
      <w:pPr>
        <w:pStyle w:val="ListBullet"/>
        <w:spacing w:after="60"/>
      </w:pPr>
      <w:r>
        <w:rPr>
          <w:b/>
          <w:i w:val="0"/>
        </w:rPr>
        <w:t>Contradicted by Glenbrook’s own files:</w:t>
      </w:r>
      <w:r>
        <w:rPr>
          <w:b w:val="0"/>
          <w:i w:val="0"/>
        </w:rPr>
        <w:t xml:space="preserve"> the Report’s conclusions contradict data in Glenbrook’s possession. Mr. Gao personally compiled the CPI wire records showing CPI Americas as beneficiary eight days before signing the Report, and the payroll file’s own summary tab identifies $1,048,000 of insider payments.</w:t>
      </w:r>
    </w:p>
    <w:p>
      <w:pPr>
        <w:pStyle w:val="ListBullet"/>
        <w:spacing w:after="60"/>
      </w:pPr>
      <w:r>
        <w:rPr>
          <w:b/>
          <w:i w:val="0"/>
        </w:rPr>
        <w:t>Reliance limits:</w:t>
      </w:r>
      <w:r>
        <w:rPr>
          <w:b w:val="0"/>
          <w:i w:val="0"/>
        </w:rPr>
        <w:t xml:space="preserve"> the engagement letter disclaims verification (§§ 3.4, 6), limits Glenbrook’s deliverables to the Company’s informational use, and disclaims any duty to third parties (§ 9). The Committee therefore cannot rely on the Report.</w:t>
      </w:r>
    </w:p>
    <w:p>
      <w:pPr>
        <w:pStyle w:val="ListBullet"/>
        <w:spacing w:after="60"/>
      </w:pPr>
      <w:r>
        <w:rPr>
          <w:b/>
          <w:i w:val="0"/>
        </w:rPr>
        <w:t>Glenbrook as payee:</w:t>
      </w:r>
      <w:r>
        <w:rPr>
          <w:b w:val="0"/>
          <w:i w:val="0"/>
        </w:rPr>
        <w:t xml:space="preserve"> Glenbrook received fees in the preference period (Issue 4.3), and its disinterestedness for § 327 purposes should be confirmed.</w:t>
      </w:r>
    </w:p>
    <w:p>
      <w:pPr>
        <w:pStyle w:val="ListBullet"/>
        <w:spacing w:after="60"/>
      </w:pPr>
      <w:r>
        <w:rPr>
          <w:b/>
          <w:i w:val="0"/>
        </w:rPr>
        <w:t>Presentation:</w:t>
      </w:r>
      <w:r>
        <w:rPr>
          <w:b w:val="0"/>
          <w:i w:val="0"/>
        </w:rPr>
        <w:t xml:space="preserve"> the Report is labeled “Draft” in its footer but presented as final. It invokes FRE 408 even though it is not a settlement communication. It gives Glenbrook’s address as 250 Park Avenue, while the engagement letter says 200 Park Avenue.</w:t>
      </w:r>
    </w:p>
    <w:p>
      <w:pPr>
        <w:spacing w:after="120"/>
        <w:jc w:val="both"/>
      </w:pPr>
      <w:r>
        <w:rPr>
          <w:b/>
          <w:i w:val="0"/>
        </w:rPr>
        <w:t>(b) Legal and practical significance.</w:t>
      </w:r>
      <w:r>
        <w:rPr>
          <w:b w:val="0"/>
          <w:i w:val="0"/>
        </w:rPr>
        <w:t xml:space="preserve"> These facts call for an independent analysis by Pinehurst rather than a correction exercise built on Glenbrook’s work. They also support the Committee’s standing request (Issue 3.10) and possible objections in connection with Glenbrook’s fee applications.</w:t>
      </w:r>
    </w:p>
    <w:p>
      <w:pPr>
        <w:spacing w:after="120"/>
        <w:jc w:val="both"/>
      </w:pPr>
      <w:r>
        <w:rPr>
          <w:b/>
          <w:i w:val="0"/>
        </w:rPr>
        <w:t>(c) Dollar impact.</w:t>
      </w:r>
      <w:r>
        <w:rPr>
          <w:b w:val="0"/>
          <w:i w:val="0"/>
        </w:rPr>
        <w:t xml:space="preserve"> Process and credibility issue.</w:t>
      </w:r>
    </w:p>
    <w:p>
      <w:pPr>
        <w:spacing w:after="120"/>
        <w:jc w:val="both"/>
      </w:pPr>
      <w:r>
        <w:rPr>
          <w:b/>
          <w:i w:val="0"/>
        </w:rPr>
        <w:t>(d) Corrected calculation.</w:t>
      </w:r>
      <w:r>
        <w:rPr>
          <w:b w:val="0"/>
          <w:i w:val="0"/>
        </w:rPr>
        <w:t xml:space="preserve"> N/A.</w:t>
      </w:r>
    </w:p>
    <w:p>
      <w:pPr>
        <w:spacing w:after="40"/>
      </w:pPr>
      <w:r>
        <w:rPr>
          <w:b/>
          <w:i w:val="0"/>
        </w:rPr>
        <w:t>(e) Recommended next steps.</w:t>
      </w:r>
    </w:p>
    <w:p>
      <w:pPr>
        <w:pStyle w:val="ListBullet"/>
        <w:spacing w:after="60"/>
      </w:pPr>
      <w:r>
        <w:rPr>
          <w:b w:val="0"/>
          <w:i w:val="0"/>
        </w:rPr>
        <w:t>Ask Pinehurst to prepare an independent preference analysis from source data.</w:t>
      </w:r>
    </w:p>
    <w:p>
      <w:pPr>
        <w:pStyle w:val="ListBullet"/>
        <w:spacing w:after="60"/>
      </w:pPr>
      <w:r>
        <w:rPr>
          <w:b w:val="0"/>
          <w:i w:val="0"/>
        </w:rPr>
        <w:t>Through you, raise the omissions with Westbrook and request a corrected Report and Glenbrook’s working papers.</w:t>
      </w:r>
    </w:p>
    <w:p>
      <w:pPr>
        <w:pStyle w:val="ListBullet"/>
        <w:spacing w:after="60"/>
      </w:pPr>
      <w:r>
        <w:rPr>
          <w:b w:val="0"/>
          <w:i w:val="0"/>
        </w:rPr>
        <w:t>Review Glenbrook’s retention order and fee applications for disclosures about payments received and connections.</w:t>
      </w:r>
    </w:p>
    <w:p>
      <w:pPr>
        <w:pStyle w:val="Heading3"/>
      </w:pPr>
      <w:r>
        <w:t>Issue 4.8: Fraudulent transfer and related avoidance theories excluded from scope</w:t>
      </w:r>
    </w:p>
    <w:p>
      <w:pPr>
        <w:spacing w:after="60"/>
      </w:pPr>
      <w:r>
        <w:rPr>
          <w:b/>
          <w:i w:val="0"/>
        </w:rPr>
        <w:t>Priority:</w:t>
      </w:r>
      <w:r>
        <w:rPr>
          <w:b w:val="0"/>
          <w:i w:val="0"/>
        </w:rPr>
        <w:t xml:space="preserve"> Medium / Before litigation</w:t>
      </w:r>
    </w:p>
    <w:p>
      <w:pPr>
        <w:spacing w:after="120"/>
        <w:jc w:val="both"/>
      </w:pPr>
      <w:r>
        <w:rPr>
          <w:b/>
          <w:i w:val="0"/>
        </w:rPr>
        <w:t>(a) Description of the error or omission.</w:t>
      </w:r>
      <w:r>
        <w:rPr>
          <w:b w:val="0"/>
          <w:i w:val="0"/>
        </w:rPr>
        <w:t xml:space="preserve"> The Report excludes claims under §§ 544 and 548. The insider payments, the above-market Thibodeau commissions and the Hutchins consulting fee all present colorable constructive fraudulent transfer claims. So do any transfers for less than reasonably equivalent value uncovered in the four-account review.</w:t>
      </w:r>
    </w:p>
    <w:p>
      <w:pPr>
        <w:spacing w:after="120"/>
        <w:jc w:val="both"/>
      </w:pPr>
      <w:r>
        <w:rPr>
          <w:b/>
          <w:i w:val="0"/>
        </w:rPr>
        <w:t>(b) Legal and practical significance.</w:t>
      </w:r>
      <w:r>
        <w:rPr>
          <w:b w:val="0"/>
          <w:i w:val="0"/>
        </w:rPr>
        <w:t xml:space="preserve"> Fraudulent transfer theories reach further back than preferences: two years under § 548, and generally four years under the Uniform Voidable Transactions Act as adopted in North Carolina and Delaware via § 544(b). For insider employment-contract transfers, § 548(a)(1)(B)(ii)(IV) avoids the need to prove insolvency.</w:t>
      </w:r>
    </w:p>
    <w:p>
      <w:pPr>
        <w:spacing w:after="120"/>
        <w:jc w:val="both"/>
      </w:pPr>
      <w:r>
        <w:rPr>
          <w:b/>
          <w:i w:val="0"/>
        </w:rPr>
        <w:t>(c) Dollar impact.</w:t>
      </w:r>
      <w:r>
        <w:rPr>
          <w:b w:val="0"/>
          <w:i w:val="0"/>
        </w:rPr>
        <w:t xml:space="preserve"> Upside beyond the base estimate, including amounts outside the one-year insider period.</w:t>
      </w:r>
    </w:p>
    <w:p>
      <w:pPr>
        <w:spacing w:after="120"/>
        <w:jc w:val="both"/>
      </w:pPr>
      <w:r>
        <w:rPr>
          <w:b/>
          <w:i w:val="0"/>
        </w:rPr>
        <w:t>(d) Corrected calculation.</w:t>
      </w:r>
      <w:r>
        <w:rPr>
          <w:b w:val="0"/>
          <w:i w:val="0"/>
        </w:rPr>
        <w:t xml:space="preserve"> N/A.</w:t>
      </w:r>
    </w:p>
    <w:p>
      <w:pPr>
        <w:spacing w:after="40"/>
      </w:pPr>
      <w:r>
        <w:rPr>
          <w:b/>
          <w:i w:val="0"/>
        </w:rPr>
        <w:t>(e) Recommended next steps.</w:t>
      </w:r>
    </w:p>
    <w:p>
      <w:pPr>
        <w:pStyle w:val="ListBullet"/>
        <w:spacing w:after="60"/>
      </w:pPr>
      <w:r>
        <w:rPr>
          <w:b w:val="0"/>
          <w:i w:val="0"/>
        </w:rPr>
        <w:t>Expand the Committee’s investigation to §§ 544 and 548 for insider and related-party transfers going back four years.</w:t>
      </w:r>
    </w:p>
    <w:p>
      <w:pPr>
        <w:pStyle w:val="Heading1"/>
      </w:pPr>
      <w:r>
        <w:t>VIII. Corrected Preference Exposure Estimate</w:t>
      </w:r>
    </w:p>
    <w:p>
      <w:pPr>
        <w:spacing w:after="120"/>
        <w:jc w:val="both"/>
      </w:pPr>
      <w:r>
        <w:rPr>
          <w:b w:val="0"/>
          <w:i w:val="0"/>
        </w:rPr>
        <w:t>The table below rebuilds exposure from the payee-level detail. It applies only those defenses the current record supports. It is a Committee-perspective working estimate, not a litigation valuation. Every figure is subject to the reconciliation and data requests in Section 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960"/>
            <w:shd w:val="clear" w:color="auto" w:fill="D9D9D9"/>
          </w:tcPr>
          <w:p>
            <w:r/>
            <w:r>
              <w:rPr>
                <w:b/>
                <w:sz w:val="16"/>
              </w:rPr>
              <w:t>Line</w:t>
            </w:r>
          </w:p>
        </w:tc>
        <w:tc>
          <w:tcPr>
            <w:tcW w:type="dxa" w:w="1656"/>
            <w:shd w:val="clear" w:color="auto" w:fill="D9D9D9"/>
          </w:tcPr>
          <w:p>
            <w:r/>
            <w:r>
              <w:rPr>
                <w:b/>
                <w:sz w:val="16"/>
              </w:rPr>
              <w:t>Report</w:t>
            </w:r>
          </w:p>
        </w:tc>
        <w:tc>
          <w:tcPr>
            <w:tcW w:type="dxa" w:w="1512"/>
            <w:shd w:val="clear" w:color="auto" w:fill="D9D9D9"/>
          </w:tcPr>
          <w:p>
            <w:r/>
            <w:r>
              <w:rPr>
                <w:b/>
                <w:sz w:val="16"/>
              </w:rPr>
              <w:t>Corrected</w:t>
            </w:r>
          </w:p>
        </w:tc>
        <w:tc>
          <w:tcPr>
            <w:tcW w:type="dxa" w:w="1440"/>
            <w:shd w:val="clear" w:color="auto" w:fill="D9D9D9"/>
          </w:tcPr>
          <w:p>
            <w:r/>
            <w:r>
              <w:rPr>
                <w:b/>
                <w:sz w:val="16"/>
              </w:rPr>
              <w:t>Change</w:t>
            </w:r>
          </w:p>
        </w:tc>
        <w:tc>
          <w:tcPr>
            <w:tcW w:type="dxa" w:w="792"/>
            <w:shd w:val="clear" w:color="auto" w:fill="D9D9D9"/>
          </w:tcPr>
          <w:p>
            <w:r/>
            <w:r>
              <w:rPr>
                <w:b/>
                <w:sz w:val="16"/>
              </w:rPr>
              <w:t>Ref.</w:t>
            </w:r>
          </w:p>
        </w:tc>
      </w:tr>
      <w:tr>
        <w:tc>
          <w:tcPr>
            <w:tcW w:type="dxa" w:w="3960"/>
          </w:tcPr>
          <w:p>
            <w:r/>
            <w:r>
              <w:rPr>
                <w:b w:val="0"/>
                <w:i w:val="0"/>
                <w:sz w:val="16"/>
              </w:rPr>
              <w:t>Gross transfers — headline vs. Exhibit A line items (81 payees)</w:t>
            </w:r>
          </w:p>
        </w:tc>
        <w:tc>
          <w:tcPr>
            <w:tcW w:type="dxa" w:w="1656"/>
          </w:tcPr>
          <w:p>
            <w:r/>
            <w:r>
              <w:rPr>
                <w:b w:val="0"/>
                <w:i w:val="0"/>
                <w:sz w:val="16"/>
              </w:rPr>
              <w:t>$18,732,614</w:t>
            </w:r>
          </w:p>
        </w:tc>
        <w:tc>
          <w:tcPr>
            <w:tcW w:type="dxa" w:w="1512"/>
          </w:tcPr>
          <w:p>
            <w:r/>
            <w:r>
              <w:rPr>
                <w:b w:val="0"/>
                <w:i w:val="0"/>
                <w:sz w:val="16"/>
              </w:rPr>
              <w:t>$24,115,581</w:t>
            </w:r>
          </w:p>
        </w:tc>
        <w:tc>
          <w:tcPr>
            <w:tcW w:type="dxa" w:w="1440"/>
          </w:tcPr>
          <w:p>
            <w:r/>
            <w:r>
              <w:rPr>
                <w:b w:val="0"/>
                <w:i w:val="0"/>
                <w:sz w:val="16"/>
              </w:rPr>
              <w:t>+$5,382,967</w:t>
            </w:r>
          </w:p>
        </w:tc>
        <w:tc>
          <w:tcPr>
            <w:tcW w:type="dxa" w:w="792"/>
          </w:tcPr>
          <w:p>
            <w:r/>
            <w:r>
              <w:rPr>
                <w:b w:val="0"/>
                <w:i w:val="0"/>
                <w:sz w:val="16"/>
              </w:rPr>
              <w:t>1.1</w:t>
            </w:r>
          </w:p>
        </w:tc>
      </w:tr>
      <w:tr>
        <w:tc>
          <w:tcPr>
            <w:tcW w:type="dxa" w:w="3960"/>
          </w:tcPr>
          <w:p>
            <w:r/>
            <w:r>
              <w:rPr>
                <w:b w:val="0"/>
                <w:i w:val="0"/>
                <w:sz w:val="16"/>
              </w:rPr>
              <w:t>Vanderhoff — Exhibit C detail ($6,979,000 vs $6,800,000)</w:t>
            </w:r>
          </w:p>
        </w:tc>
        <w:tc>
          <w:tcPr>
            <w:tcW w:type="dxa" w:w="1656"/>
          </w:tcPr>
          <w:p>
            <w:r/>
            <w:r>
              <w:rPr>
                <w:b w:val="0"/>
                <w:i w:val="0"/>
                <w:sz w:val="16"/>
              </w:rPr>
              <w:t>—</w:t>
            </w:r>
          </w:p>
        </w:tc>
        <w:tc>
          <w:tcPr>
            <w:tcW w:type="dxa" w:w="1512"/>
          </w:tcPr>
          <w:p>
            <w:r/>
            <w:r>
              <w:rPr>
                <w:b w:val="0"/>
                <w:i w:val="0"/>
                <w:sz w:val="16"/>
              </w:rPr>
              <w:t>+$179,000</w:t>
            </w:r>
          </w:p>
        </w:tc>
        <w:tc>
          <w:tcPr>
            <w:tcW w:type="dxa" w:w="1440"/>
          </w:tcPr>
          <w:p>
            <w:r/>
            <w:r>
              <w:rPr>
                <w:b w:val="0"/>
                <w:i w:val="0"/>
                <w:sz w:val="16"/>
              </w:rPr>
              <w:t>+$179,000</w:t>
            </w:r>
          </w:p>
        </w:tc>
        <w:tc>
          <w:tcPr>
            <w:tcW w:type="dxa" w:w="792"/>
          </w:tcPr>
          <w:p>
            <w:r/>
            <w:r>
              <w:rPr>
                <w:b w:val="0"/>
                <w:i w:val="0"/>
                <w:sz w:val="16"/>
              </w:rPr>
              <w:t>1.3</w:t>
            </w:r>
          </w:p>
        </w:tc>
      </w:tr>
      <w:tr>
        <w:tc>
          <w:tcPr>
            <w:tcW w:type="dxa" w:w="3960"/>
          </w:tcPr>
          <w:p>
            <w:r/>
            <w:r>
              <w:rPr>
                <w:b w:val="0"/>
                <w:i w:val="0"/>
                <w:sz w:val="16"/>
              </w:rPr>
              <w:t>TerraFreight — Exhibit C detail ($2,567,000 vs $2,900,000)</w:t>
            </w:r>
          </w:p>
        </w:tc>
        <w:tc>
          <w:tcPr>
            <w:tcW w:type="dxa" w:w="1656"/>
          </w:tcPr>
          <w:p>
            <w:r/>
            <w:r>
              <w:rPr>
                <w:b w:val="0"/>
                <w:i w:val="0"/>
                <w:sz w:val="16"/>
              </w:rPr>
              <w:t>—</w:t>
            </w:r>
          </w:p>
        </w:tc>
        <w:tc>
          <w:tcPr>
            <w:tcW w:type="dxa" w:w="1512"/>
          </w:tcPr>
          <w:p>
            <w:r/>
            <w:r>
              <w:rPr>
                <w:b w:val="0"/>
                <w:i w:val="0"/>
                <w:sz w:val="16"/>
              </w:rPr>
              <w:t>−$333,000</w:t>
            </w:r>
          </w:p>
        </w:tc>
        <w:tc>
          <w:tcPr>
            <w:tcW w:type="dxa" w:w="1440"/>
          </w:tcPr>
          <w:p>
            <w:r/>
            <w:r>
              <w:rPr>
                <w:b w:val="0"/>
                <w:i w:val="0"/>
                <w:sz w:val="16"/>
              </w:rPr>
              <w:t>−$333,000</w:t>
            </w:r>
          </w:p>
        </w:tc>
        <w:tc>
          <w:tcPr>
            <w:tcW w:type="dxa" w:w="792"/>
          </w:tcPr>
          <w:p>
            <w:r/>
            <w:r>
              <w:rPr>
                <w:b w:val="0"/>
                <w:i w:val="0"/>
                <w:sz w:val="16"/>
              </w:rPr>
              <w:t>1.4</w:t>
            </w:r>
          </w:p>
        </w:tc>
      </w:tr>
      <w:tr>
        <w:tc>
          <w:tcPr>
            <w:tcW w:type="dxa" w:w="3960"/>
          </w:tcPr>
          <w:p>
            <w:r/>
            <w:r>
              <w:rPr>
                <w:b w:val="0"/>
                <w:i w:val="0"/>
                <w:sz w:val="16"/>
              </w:rPr>
              <w:t>§ 547(c)(9) at $7,575 — 17 payees excluded</w:t>
            </w:r>
          </w:p>
        </w:tc>
        <w:tc>
          <w:tcPr>
            <w:tcW w:type="dxa" w:w="1656"/>
          </w:tcPr>
          <w:p>
            <w:r/>
            <w:r>
              <w:rPr>
                <w:b w:val="0"/>
                <w:i w:val="0"/>
                <w:sz w:val="16"/>
              </w:rPr>
              <w:t>—</w:t>
            </w:r>
          </w:p>
        </w:tc>
        <w:tc>
          <w:tcPr>
            <w:tcW w:type="dxa" w:w="1512"/>
          </w:tcPr>
          <w:p>
            <w:r/>
            <w:r>
              <w:rPr>
                <w:b w:val="0"/>
                <w:i w:val="0"/>
                <w:sz w:val="16"/>
              </w:rPr>
              <w:t>−$101,281</w:t>
            </w:r>
          </w:p>
        </w:tc>
        <w:tc>
          <w:tcPr>
            <w:tcW w:type="dxa" w:w="1440"/>
          </w:tcPr>
          <w:p>
            <w:r/>
            <w:r>
              <w:rPr>
                <w:b w:val="0"/>
                <w:i w:val="0"/>
                <w:sz w:val="16"/>
              </w:rPr>
              <w:t>−$101,281</w:t>
            </w:r>
          </w:p>
        </w:tc>
        <w:tc>
          <w:tcPr>
            <w:tcW w:type="dxa" w:w="792"/>
          </w:tcPr>
          <w:p>
            <w:r/>
            <w:r>
              <w:rPr>
                <w:b w:val="0"/>
                <w:i w:val="0"/>
                <w:sz w:val="16"/>
              </w:rPr>
              <w:t>3.2</w:t>
            </w:r>
          </w:p>
        </w:tc>
      </w:tr>
      <w:tr>
        <w:tc>
          <w:tcPr>
            <w:tcW w:type="dxa" w:w="3960"/>
          </w:tcPr>
          <w:p>
            <w:r/>
            <w:r>
              <w:rPr>
                <w:b w:val="0"/>
                <w:i w:val="0"/>
                <w:sz w:val="16"/>
              </w:rPr>
              <w:t>Harborview premium-trust portion reclassified to carriers (contingent)</w:t>
            </w:r>
          </w:p>
        </w:tc>
        <w:tc>
          <w:tcPr>
            <w:tcW w:type="dxa" w:w="1656"/>
          </w:tcPr>
          <w:p>
            <w:r/>
            <w:r>
              <w:rPr>
                <w:b w:val="0"/>
                <w:i w:val="0"/>
                <w:sz w:val="16"/>
              </w:rPr>
              <w:t>—</w:t>
            </w:r>
          </w:p>
        </w:tc>
        <w:tc>
          <w:tcPr>
            <w:tcW w:type="dxa" w:w="1512"/>
          </w:tcPr>
          <w:p>
            <w:r/>
            <w:r>
              <w:rPr>
                <w:b w:val="0"/>
                <w:i w:val="0"/>
                <w:sz w:val="16"/>
              </w:rPr>
              <w:t>−$1,370,000</w:t>
            </w:r>
          </w:p>
        </w:tc>
        <w:tc>
          <w:tcPr>
            <w:tcW w:type="dxa" w:w="1440"/>
          </w:tcPr>
          <w:p>
            <w:r/>
            <w:r>
              <w:rPr>
                <w:b w:val="0"/>
                <w:i w:val="0"/>
                <w:sz w:val="16"/>
              </w:rPr>
              <w:t>−$1,370,000</w:t>
            </w:r>
          </w:p>
        </w:tc>
        <w:tc>
          <w:tcPr>
            <w:tcW w:type="dxa" w:w="792"/>
          </w:tcPr>
          <w:p>
            <w:r/>
            <w:r>
              <w:rPr>
                <w:b w:val="0"/>
                <w:i w:val="0"/>
                <w:sz w:val="16"/>
              </w:rPr>
              <w:t>3.7</w:t>
            </w:r>
          </w:p>
        </w:tc>
      </w:tr>
      <w:tr>
        <w:tc>
          <w:tcPr>
            <w:tcW w:type="dxa" w:w="3960"/>
          </w:tcPr>
          <w:p>
            <w:r/>
            <w:r>
              <w:rPr>
                <w:b w:val="0"/>
                <w:i w:val="0"/>
                <w:sz w:val="16"/>
              </w:rPr>
              <w:t>Insider transfers — 90-day period (Liu-Whitford, Thibodeau)</w:t>
            </w:r>
          </w:p>
        </w:tc>
        <w:tc>
          <w:tcPr>
            <w:tcW w:type="dxa" w:w="1656"/>
          </w:tcPr>
          <w:p>
            <w:r/>
            <w:r>
              <w:rPr>
                <w:b w:val="0"/>
                <w:i w:val="0"/>
                <w:sz w:val="16"/>
              </w:rPr>
              <w:t>$0</w:t>
            </w:r>
          </w:p>
        </w:tc>
        <w:tc>
          <w:tcPr>
            <w:tcW w:type="dxa" w:w="1512"/>
          </w:tcPr>
          <w:p>
            <w:r/>
            <w:r>
              <w:rPr>
                <w:b w:val="0"/>
                <w:i w:val="0"/>
                <w:sz w:val="16"/>
              </w:rPr>
              <w:t>+$348,000</w:t>
            </w:r>
          </w:p>
        </w:tc>
        <w:tc>
          <w:tcPr>
            <w:tcW w:type="dxa" w:w="1440"/>
          </w:tcPr>
          <w:p>
            <w:r/>
            <w:r>
              <w:rPr>
                <w:b w:val="0"/>
                <w:i w:val="0"/>
                <w:sz w:val="16"/>
              </w:rPr>
              <w:t>+$348,000</w:t>
            </w:r>
          </w:p>
        </w:tc>
        <w:tc>
          <w:tcPr>
            <w:tcW w:type="dxa" w:w="792"/>
          </w:tcPr>
          <w:p>
            <w:r/>
            <w:r>
              <w:rPr>
                <w:b w:val="0"/>
                <w:i w:val="0"/>
                <w:sz w:val="16"/>
              </w:rPr>
              <w:t>4.1</w:t>
            </w:r>
          </w:p>
        </w:tc>
      </w:tr>
      <w:tr>
        <w:tc>
          <w:tcPr>
            <w:tcW w:type="dxa" w:w="3960"/>
          </w:tcPr>
          <w:p>
            <w:r/>
            <w:r>
              <w:rPr>
                <w:b w:val="0"/>
                <w:i w:val="0"/>
                <w:sz w:val="16"/>
              </w:rPr>
              <w:t>Insider transfers — one-year period (Hutchins)</w:t>
            </w:r>
          </w:p>
        </w:tc>
        <w:tc>
          <w:tcPr>
            <w:tcW w:type="dxa" w:w="1656"/>
          </w:tcPr>
          <w:p>
            <w:r/>
            <w:r>
              <w:rPr>
                <w:b w:val="0"/>
                <w:i w:val="0"/>
                <w:sz w:val="16"/>
              </w:rPr>
              <w:t>$0</w:t>
            </w:r>
          </w:p>
        </w:tc>
        <w:tc>
          <w:tcPr>
            <w:tcW w:type="dxa" w:w="1512"/>
          </w:tcPr>
          <w:p>
            <w:r/>
            <w:r>
              <w:rPr>
                <w:b w:val="0"/>
                <w:i w:val="0"/>
                <w:sz w:val="16"/>
              </w:rPr>
              <w:t>+$700,000</w:t>
            </w:r>
          </w:p>
        </w:tc>
        <w:tc>
          <w:tcPr>
            <w:tcW w:type="dxa" w:w="1440"/>
          </w:tcPr>
          <w:p>
            <w:r/>
            <w:r>
              <w:rPr>
                <w:b w:val="0"/>
                <w:i w:val="0"/>
                <w:sz w:val="16"/>
              </w:rPr>
              <w:t>+$700,000</w:t>
            </w:r>
          </w:p>
        </w:tc>
        <w:tc>
          <w:tcPr>
            <w:tcW w:type="dxa" w:w="792"/>
          </w:tcPr>
          <w:p>
            <w:r/>
            <w:r>
              <w:rPr>
                <w:b w:val="0"/>
                <w:i w:val="0"/>
                <w:sz w:val="16"/>
              </w:rPr>
              <w:t>4.1</w:t>
            </w:r>
          </w:p>
        </w:tc>
      </w:tr>
      <w:tr>
        <w:tc>
          <w:tcPr>
            <w:tcW w:type="dxa" w:w="3960"/>
          </w:tcPr>
          <w:p>
            <w:r/>
            <w:r>
              <w:rPr>
                <w:b/>
                <w:i w:val="0"/>
                <w:sz w:val="16"/>
              </w:rPr>
              <w:t>Corrected gross exposure</w:t>
            </w:r>
          </w:p>
        </w:tc>
        <w:tc>
          <w:tcPr>
            <w:tcW w:type="dxa" w:w="1656"/>
          </w:tcPr>
          <w:p>
            <w:r/>
            <w:r>
              <w:rPr>
                <w:b/>
                <w:i w:val="0"/>
                <w:sz w:val="16"/>
              </w:rPr>
              <w:t>$18,732,614</w:t>
            </w:r>
          </w:p>
        </w:tc>
        <w:tc>
          <w:tcPr>
            <w:tcW w:type="dxa" w:w="1512"/>
          </w:tcPr>
          <w:p>
            <w:r/>
            <w:r>
              <w:rPr>
                <w:b/>
                <w:i w:val="0"/>
                <w:sz w:val="16"/>
              </w:rPr>
              <w:t>$23,538,300</w:t>
            </w:r>
          </w:p>
        </w:tc>
        <w:tc>
          <w:tcPr>
            <w:tcW w:type="dxa" w:w="1440"/>
          </w:tcPr>
          <w:p>
            <w:r/>
            <w:r>
              <w:rPr>
                <w:b/>
                <w:i w:val="0"/>
                <w:sz w:val="16"/>
              </w:rPr>
              <w:t>+$4,805,686</w:t>
            </w:r>
          </w:p>
        </w:tc>
        <w:tc>
          <w:tcPr>
            <w:tcW w:type="dxa" w:w="792"/>
          </w:tcPr>
          <w:p>
            <w:r/>
          </w:p>
        </w:tc>
      </w:tr>
      <w:tr>
        <w:tc>
          <w:tcPr>
            <w:tcW w:type="dxa" w:w="3960"/>
          </w:tcPr>
          <w:p>
            <w:r/>
            <w:r>
              <w:rPr>
                <w:b w:val="0"/>
                <w:i w:val="0"/>
                <w:sz w:val="16"/>
              </w:rPr>
              <w:t>Less: Vanderhoff new value § 547(c)(4)</w:t>
            </w:r>
          </w:p>
        </w:tc>
        <w:tc>
          <w:tcPr>
            <w:tcW w:type="dxa" w:w="1656"/>
          </w:tcPr>
          <w:p>
            <w:r/>
            <w:r>
              <w:rPr>
                <w:b w:val="0"/>
                <w:i w:val="0"/>
                <w:sz w:val="16"/>
              </w:rPr>
              <w:t>($3,200,000)</w:t>
            </w:r>
          </w:p>
        </w:tc>
        <w:tc>
          <w:tcPr>
            <w:tcW w:type="dxa" w:w="1512"/>
          </w:tcPr>
          <w:p>
            <w:r/>
            <w:r>
              <w:rPr>
                <w:b w:val="0"/>
                <w:i w:val="0"/>
                <w:sz w:val="16"/>
              </w:rPr>
              <w:t>($2,755,000)</w:t>
            </w:r>
          </w:p>
        </w:tc>
        <w:tc>
          <w:tcPr>
            <w:tcW w:type="dxa" w:w="1440"/>
          </w:tcPr>
          <w:p>
            <w:r/>
            <w:r>
              <w:rPr>
                <w:b w:val="0"/>
                <w:i w:val="0"/>
                <w:sz w:val="16"/>
              </w:rPr>
              <w:t>+$445,000</w:t>
            </w:r>
          </w:p>
        </w:tc>
        <w:tc>
          <w:tcPr>
            <w:tcW w:type="dxa" w:w="792"/>
          </w:tcPr>
          <w:p>
            <w:r/>
            <w:r>
              <w:rPr>
                <w:b w:val="0"/>
                <w:i w:val="0"/>
                <w:sz w:val="16"/>
              </w:rPr>
              <w:t>1.5, 3.5</w:t>
            </w:r>
          </w:p>
        </w:tc>
      </w:tr>
      <w:tr>
        <w:tc>
          <w:tcPr>
            <w:tcW w:type="dxa" w:w="3960"/>
          </w:tcPr>
          <w:p>
            <w:r/>
            <w:r>
              <w:rPr>
                <w:b w:val="0"/>
                <w:i w:val="0"/>
                <w:sz w:val="16"/>
              </w:rPr>
              <w:t>Less: TerraFreight ordinary course § 547(c)(2)</w:t>
            </w:r>
          </w:p>
        </w:tc>
        <w:tc>
          <w:tcPr>
            <w:tcW w:type="dxa" w:w="1656"/>
          </w:tcPr>
          <w:p>
            <w:r/>
            <w:r>
              <w:rPr>
                <w:b w:val="0"/>
                <w:i w:val="0"/>
                <w:sz w:val="16"/>
              </w:rPr>
              <w:t>($2,100,000)</w:t>
            </w:r>
          </w:p>
        </w:tc>
        <w:tc>
          <w:tcPr>
            <w:tcW w:type="dxa" w:w="1512"/>
          </w:tcPr>
          <w:p>
            <w:r/>
            <w:r>
              <w:rPr>
                <w:b w:val="0"/>
                <w:i w:val="0"/>
                <w:sz w:val="16"/>
              </w:rPr>
              <w:t>$0 (pending)</w:t>
            </w:r>
          </w:p>
        </w:tc>
        <w:tc>
          <w:tcPr>
            <w:tcW w:type="dxa" w:w="1440"/>
          </w:tcPr>
          <w:p>
            <w:r/>
            <w:r>
              <w:rPr>
                <w:b w:val="0"/>
                <w:i w:val="0"/>
                <w:sz w:val="16"/>
              </w:rPr>
              <w:t>+$2,100,000</w:t>
            </w:r>
          </w:p>
        </w:tc>
        <w:tc>
          <w:tcPr>
            <w:tcW w:type="dxa" w:w="792"/>
          </w:tcPr>
          <w:p>
            <w:r/>
            <w:r>
              <w:rPr>
                <w:b w:val="0"/>
                <w:i w:val="0"/>
                <w:sz w:val="16"/>
              </w:rPr>
              <w:t>3.3</w:t>
            </w:r>
          </w:p>
        </w:tc>
      </w:tr>
      <w:tr>
        <w:tc>
          <w:tcPr>
            <w:tcW w:type="dxa" w:w="3960"/>
          </w:tcPr>
          <w:p>
            <w:r/>
            <w:r>
              <w:rPr>
                <w:b w:val="0"/>
                <w:i w:val="0"/>
                <w:sz w:val="16"/>
              </w:rPr>
              <w:t>Less: DataStream ordinary course § 547(c)(2)</w:t>
            </w:r>
          </w:p>
        </w:tc>
        <w:tc>
          <w:tcPr>
            <w:tcW w:type="dxa" w:w="1656"/>
          </w:tcPr>
          <w:p>
            <w:r/>
            <w:r>
              <w:rPr>
                <w:b w:val="0"/>
                <w:i w:val="0"/>
                <w:sz w:val="16"/>
              </w:rPr>
              <w:t>($840,000)</w:t>
            </w:r>
          </w:p>
        </w:tc>
        <w:tc>
          <w:tcPr>
            <w:tcW w:type="dxa" w:w="1512"/>
          </w:tcPr>
          <w:p>
            <w:r/>
            <w:r>
              <w:rPr>
                <w:b w:val="0"/>
                <w:i w:val="0"/>
                <w:sz w:val="16"/>
              </w:rPr>
              <w:t>$0 (pending)</w:t>
            </w:r>
          </w:p>
        </w:tc>
        <w:tc>
          <w:tcPr>
            <w:tcW w:type="dxa" w:w="1440"/>
          </w:tcPr>
          <w:p>
            <w:r/>
            <w:r>
              <w:rPr>
                <w:b w:val="0"/>
                <w:i w:val="0"/>
                <w:sz w:val="16"/>
              </w:rPr>
              <w:t>+$840,000</w:t>
            </w:r>
          </w:p>
        </w:tc>
        <w:tc>
          <w:tcPr>
            <w:tcW w:type="dxa" w:w="792"/>
          </w:tcPr>
          <w:p>
            <w:r/>
            <w:r>
              <w:rPr>
                <w:b w:val="0"/>
                <w:i w:val="0"/>
                <w:sz w:val="16"/>
              </w:rPr>
              <w:t>3.3</w:t>
            </w:r>
          </w:p>
        </w:tc>
      </w:tr>
      <w:tr>
        <w:tc>
          <w:tcPr>
            <w:tcW w:type="dxa" w:w="3960"/>
          </w:tcPr>
          <w:p>
            <w:r/>
            <w:r>
              <w:rPr>
                <w:b w:val="0"/>
                <w:i w:val="0"/>
                <w:sz w:val="16"/>
              </w:rPr>
              <w:t>Less: Contemporaneous exchange § 547(c)(1)</w:t>
            </w:r>
          </w:p>
        </w:tc>
        <w:tc>
          <w:tcPr>
            <w:tcW w:type="dxa" w:w="1656"/>
          </w:tcPr>
          <w:p>
            <w:r/>
            <w:r>
              <w:rPr>
                <w:b w:val="0"/>
                <w:i w:val="0"/>
                <w:sz w:val="16"/>
              </w:rPr>
              <w:t>($1,340,000)</w:t>
            </w:r>
          </w:p>
        </w:tc>
        <w:tc>
          <w:tcPr>
            <w:tcW w:type="dxa" w:w="1512"/>
          </w:tcPr>
          <w:p>
            <w:r/>
            <w:r>
              <w:rPr>
                <w:b w:val="0"/>
                <w:i w:val="0"/>
                <w:sz w:val="16"/>
              </w:rPr>
              <w:t>($675,000)</w:t>
            </w:r>
          </w:p>
        </w:tc>
        <w:tc>
          <w:tcPr>
            <w:tcW w:type="dxa" w:w="1440"/>
          </w:tcPr>
          <w:p>
            <w:r/>
            <w:r>
              <w:rPr>
                <w:b w:val="0"/>
                <w:i w:val="0"/>
                <w:sz w:val="16"/>
              </w:rPr>
              <w:t>+$665,000</w:t>
            </w:r>
          </w:p>
        </w:tc>
        <w:tc>
          <w:tcPr>
            <w:tcW w:type="dxa" w:w="792"/>
          </w:tcPr>
          <w:p>
            <w:r/>
            <w:r>
              <w:rPr>
                <w:b w:val="0"/>
                <w:i w:val="0"/>
                <w:sz w:val="16"/>
              </w:rPr>
              <w:t>1.7, 3.4</w:t>
            </w:r>
          </w:p>
        </w:tc>
      </w:tr>
      <w:tr>
        <w:tc>
          <w:tcPr>
            <w:tcW w:type="dxa" w:w="3960"/>
          </w:tcPr>
          <w:p>
            <w:r/>
            <w:r>
              <w:rPr>
                <w:b w:val="0"/>
                <w:i w:val="0"/>
                <w:sz w:val="16"/>
              </w:rPr>
              <w:t>Less: Earmarking (Lakeshore)</w:t>
            </w:r>
          </w:p>
        </w:tc>
        <w:tc>
          <w:tcPr>
            <w:tcW w:type="dxa" w:w="1656"/>
          </w:tcPr>
          <w:p>
            <w:r/>
            <w:r>
              <w:rPr>
                <w:b w:val="0"/>
                <w:i w:val="0"/>
                <w:sz w:val="16"/>
              </w:rPr>
              <w:t>($750,000)</w:t>
            </w:r>
          </w:p>
        </w:tc>
        <w:tc>
          <w:tcPr>
            <w:tcW w:type="dxa" w:w="1512"/>
          </w:tcPr>
          <w:p>
            <w:r/>
            <w:r>
              <w:rPr>
                <w:b w:val="0"/>
                <w:i w:val="0"/>
                <w:sz w:val="16"/>
              </w:rPr>
              <w:t>$0</w:t>
            </w:r>
          </w:p>
        </w:tc>
        <w:tc>
          <w:tcPr>
            <w:tcW w:type="dxa" w:w="1440"/>
          </w:tcPr>
          <w:p>
            <w:r/>
            <w:r>
              <w:rPr>
                <w:b w:val="0"/>
                <w:i w:val="0"/>
                <w:sz w:val="16"/>
              </w:rPr>
              <w:t>+$750,000</w:t>
            </w:r>
          </w:p>
        </w:tc>
        <w:tc>
          <w:tcPr>
            <w:tcW w:type="dxa" w:w="792"/>
          </w:tcPr>
          <w:p>
            <w:r/>
            <w:r>
              <w:rPr>
                <w:b w:val="0"/>
                <w:i w:val="0"/>
                <w:sz w:val="16"/>
              </w:rPr>
              <w:t>3.6</w:t>
            </w:r>
          </w:p>
        </w:tc>
      </w:tr>
      <w:tr>
        <w:tc>
          <w:tcPr>
            <w:tcW w:type="dxa" w:w="3960"/>
          </w:tcPr>
          <w:p>
            <w:r/>
            <w:r>
              <w:rPr>
                <w:b/>
                <w:i w:val="0"/>
                <w:sz w:val="16"/>
              </w:rPr>
              <w:t>Total defenses credited</w:t>
            </w:r>
          </w:p>
        </w:tc>
        <w:tc>
          <w:tcPr>
            <w:tcW w:type="dxa" w:w="1656"/>
          </w:tcPr>
          <w:p>
            <w:r/>
            <w:r>
              <w:rPr>
                <w:b/>
                <w:i w:val="0"/>
                <w:sz w:val="16"/>
              </w:rPr>
              <w:t>($8,230,000)</w:t>
            </w:r>
          </w:p>
        </w:tc>
        <w:tc>
          <w:tcPr>
            <w:tcW w:type="dxa" w:w="1512"/>
          </w:tcPr>
          <w:p>
            <w:r/>
            <w:r>
              <w:rPr>
                <w:b/>
                <w:i w:val="0"/>
                <w:sz w:val="16"/>
              </w:rPr>
              <w:t>($3,430,000)</w:t>
            </w:r>
          </w:p>
        </w:tc>
        <w:tc>
          <w:tcPr>
            <w:tcW w:type="dxa" w:w="1440"/>
          </w:tcPr>
          <w:p>
            <w:r/>
            <w:r>
              <w:rPr>
                <w:b/>
                <w:i w:val="0"/>
                <w:sz w:val="16"/>
              </w:rPr>
              <w:t>+$4,800,000</w:t>
            </w:r>
          </w:p>
        </w:tc>
        <w:tc>
          <w:tcPr>
            <w:tcW w:type="dxa" w:w="792"/>
          </w:tcPr>
          <w:p>
            <w:r/>
          </w:p>
        </w:tc>
      </w:tr>
      <w:tr>
        <w:tc>
          <w:tcPr>
            <w:tcW w:type="dxa" w:w="3960"/>
          </w:tcPr>
          <w:p>
            <w:r/>
            <w:r>
              <w:rPr>
                <w:b/>
                <w:i w:val="0"/>
                <w:sz w:val="16"/>
              </w:rPr>
              <w:t>Net preference exposure</w:t>
            </w:r>
          </w:p>
        </w:tc>
        <w:tc>
          <w:tcPr>
            <w:tcW w:type="dxa" w:w="1656"/>
          </w:tcPr>
          <w:p>
            <w:r/>
            <w:r>
              <w:rPr>
                <w:b/>
                <w:i w:val="0"/>
                <w:sz w:val="16"/>
              </w:rPr>
              <w:t>$10,502,614</w:t>
            </w:r>
            <w:r>
              <w:rPr>
                <w:b w:val="0"/>
                <w:i w:val="0"/>
                <w:sz w:val="16"/>
              </w:rPr>
              <w:t xml:space="preserve"> (Exec. Summ.: $11.2M)</w:t>
            </w:r>
          </w:p>
        </w:tc>
        <w:tc>
          <w:tcPr>
            <w:tcW w:type="dxa" w:w="1512"/>
          </w:tcPr>
          <w:p>
            <w:r/>
            <w:r>
              <w:rPr>
                <w:b/>
                <w:i w:val="0"/>
                <w:sz w:val="16"/>
              </w:rPr>
              <w:t>$20,108,300</w:t>
            </w:r>
          </w:p>
        </w:tc>
        <w:tc>
          <w:tcPr>
            <w:tcW w:type="dxa" w:w="1440"/>
          </w:tcPr>
          <w:p>
            <w:r/>
            <w:r>
              <w:rPr>
                <w:b/>
                <w:i w:val="0"/>
                <w:sz w:val="16"/>
              </w:rPr>
              <w:t>+$9,605,686</w:t>
            </w:r>
          </w:p>
        </w:tc>
        <w:tc>
          <w:tcPr>
            <w:tcW w:type="dxa" w:w="792"/>
          </w:tcPr>
          <w:p>
            <w:r/>
          </w:p>
        </w:tc>
      </w:tr>
    </w:tbl>
    <w:p>
      <w:pPr>
        <w:spacing w:after="40"/>
      </w:pPr>
    </w:p>
    <w:p>
      <w:pPr>
        <w:spacing w:after="40"/>
      </w:pPr>
      <w:r>
        <w:rPr>
          <w:b/>
          <w:i w:val="0"/>
        </w:rPr>
        <w:t>Sensitivities:</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color="auto" w:fill="D9D9D9"/>
          </w:tcPr>
          <w:p>
            <w:r/>
            <w:r>
              <w:rPr>
                <w:b/>
                <w:sz w:val="16"/>
              </w:rPr>
              <w:t>Scenario</w:t>
            </w:r>
          </w:p>
        </w:tc>
        <w:tc>
          <w:tcPr>
            <w:tcW w:type="dxa" w:w="1728"/>
            <w:shd w:val="clear" w:color="auto" w:fill="D9D9D9"/>
          </w:tcPr>
          <w:p>
            <w:r/>
            <w:r>
              <w:rPr>
                <w:b/>
                <w:sz w:val="16"/>
              </w:rPr>
              <w:t>Net exposure</w:t>
            </w:r>
          </w:p>
        </w:tc>
        <w:tc>
          <w:tcPr>
            <w:tcW w:type="dxa" w:w="4176"/>
            <w:shd w:val="clear" w:color="auto" w:fill="D9D9D9"/>
          </w:tcPr>
          <w:p>
            <w:r/>
            <w:r>
              <w:rPr>
                <w:b/>
                <w:sz w:val="16"/>
              </w:rPr>
              <w:t>Basis</w:t>
            </w:r>
          </w:p>
        </w:tc>
      </w:tr>
      <w:tr>
        <w:tc>
          <w:tcPr>
            <w:tcW w:type="dxa" w:w="3456"/>
          </w:tcPr>
          <w:p>
            <w:r/>
            <w:r>
              <w:rPr>
                <w:b w:val="0"/>
                <w:i w:val="0"/>
                <w:sz w:val="16"/>
              </w:rPr>
              <w:t>Base case (above)</w:t>
            </w:r>
          </w:p>
        </w:tc>
        <w:tc>
          <w:tcPr>
            <w:tcW w:type="dxa" w:w="1728"/>
          </w:tcPr>
          <w:p>
            <w:r/>
            <w:r>
              <w:rPr>
                <w:b w:val="0"/>
                <w:i w:val="0"/>
                <w:sz w:val="16"/>
              </w:rPr>
              <w:t>$20,108,300</w:t>
            </w:r>
          </w:p>
        </w:tc>
        <w:tc>
          <w:tcPr>
            <w:tcW w:type="dxa" w:w="4176"/>
          </w:tcPr>
          <w:p>
            <w:r/>
            <w:r>
              <w:rPr>
                <w:b w:val="0"/>
                <w:i w:val="0"/>
                <w:sz w:val="16"/>
              </w:rPr>
              <w:t>Exhibit A line items; documented defenses only</w:t>
            </w:r>
          </w:p>
        </w:tc>
      </w:tr>
      <w:tr>
        <w:tc>
          <w:tcPr>
            <w:tcW w:type="dxa" w:w="3456"/>
          </w:tcPr>
          <w:p>
            <w:r/>
            <w:r>
              <w:rPr>
                <w:b w:val="0"/>
                <w:i w:val="0"/>
                <w:sz w:val="16"/>
              </w:rPr>
              <w:t>Headline basis</w:t>
            </w:r>
          </w:p>
        </w:tc>
        <w:tc>
          <w:tcPr>
            <w:tcW w:type="dxa" w:w="1728"/>
          </w:tcPr>
          <w:p>
            <w:r/>
            <w:r>
              <w:rPr>
                <w:b w:val="0"/>
                <w:i w:val="0"/>
                <w:sz w:val="16"/>
              </w:rPr>
              <w:t>$14,725,333</w:t>
            </w:r>
          </w:p>
        </w:tc>
        <w:tc>
          <w:tcPr>
            <w:tcW w:type="dxa" w:w="4176"/>
          </w:tcPr>
          <w:p>
            <w:r/>
            <w:r>
              <w:rPr>
                <w:b w:val="0"/>
                <w:i w:val="0"/>
                <w:sz w:val="16"/>
              </w:rPr>
              <w:t>Starts from the Report’s $18,732,614 instead of $24,115,581; all other adjustments the same</w:t>
            </w:r>
          </w:p>
        </w:tc>
      </w:tr>
      <w:tr>
        <w:tc>
          <w:tcPr>
            <w:tcW w:type="dxa" w:w="3456"/>
          </w:tcPr>
          <w:p>
            <w:r/>
            <w:r>
              <w:rPr>
                <w:b w:val="0"/>
                <w:i w:val="0"/>
                <w:sz w:val="16"/>
              </w:rPr>
              <w:t>Downside: ordinary course credits sustained as claimed</w:t>
            </w:r>
          </w:p>
        </w:tc>
        <w:tc>
          <w:tcPr>
            <w:tcW w:type="dxa" w:w="1728"/>
          </w:tcPr>
          <w:p>
            <w:r/>
            <w:r>
              <w:rPr>
                <w:b w:val="0"/>
                <w:i w:val="0"/>
                <w:sz w:val="16"/>
              </w:rPr>
              <w:t>$17,168,300</w:t>
            </w:r>
          </w:p>
        </w:tc>
        <w:tc>
          <w:tcPr>
            <w:tcW w:type="dxa" w:w="4176"/>
          </w:tcPr>
          <w:p>
            <w:r/>
            <w:r>
              <w:rPr>
                <w:b w:val="0"/>
                <w:i w:val="0"/>
                <w:sz w:val="16"/>
              </w:rPr>
              <w:t>Base less $2,940,000 TerraFreight/DataStream credits</w:t>
            </w:r>
          </w:p>
        </w:tc>
      </w:tr>
      <w:tr>
        <w:tc>
          <w:tcPr>
            <w:tcW w:type="dxa" w:w="3456"/>
          </w:tcPr>
          <w:p>
            <w:r/>
            <w:r>
              <w:rPr>
                <w:b w:val="0"/>
                <w:i w:val="0"/>
                <w:sz w:val="16"/>
              </w:rPr>
              <w:t>Upside: Vanderhoff Mar. 10 shipment disallowed</w:t>
            </w:r>
          </w:p>
        </w:tc>
        <w:tc>
          <w:tcPr>
            <w:tcW w:type="dxa" w:w="1728"/>
          </w:tcPr>
          <w:p>
            <w:r/>
            <w:r>
              <w:rPr>
                <w:b w:val="0"/>
                <w:i w:val="0"/>
                <w:sz w:val="16"/>
              </w:rPr>
              <w:t>$20,508,300</w:t>
            </w:r>
          </w:p>
        </w:tc>
        <w:tc>
          <w:tcPr>
            <w:tcW w:type="dxa" w:w="4176"/>
          </w:tcPr>
          <w:p>
            <w:r/>
            <w:r>
              <w:rPr>
                <w:b w:val="0"/>
                <w:i w:val="0"/>
                <w:sz w:val="16"/>
              </w:rPr>
              <w:t>Base plus $400,000 (Issue 3.5)</w:t>
            </w:r>
          </w:p>
        </w:tc>
      </w:tr>
      <w:tr>
        <w:tc>
          <w:tcPr>
            <w:tcW w:type="dxa" w:w="3456"/>
          </w:tcPr>
          <w:p>
            <w:r/>
            <w:r>
              <w:rPr>
                <w:b w:val="0"/>
                <w:i w:val="0"/>
                <w:sz w:val="16"/>
              </w:rPr>
              <w:t>Upside: Harborview carrier claims pursued</w:t>
            </w:r>
          </w:p>
        </w:tc>
        <w:tc>
          <w:tcPr>
            <w:tcW w:type="dxa" w:w="1728"/>
          </w:tcPr>
          <w:p>
            <w:r/>
            <w:r>
              <w:rPr>
                <w:b w:val="0"/>
                <w:i w:val="0"/>
                <w:sz w:val="16"/>
              </w:rPr>
              <w:t>up to $21,478,300</w:t>
            </w:r>
          </w:p>
        </w:tc>
        <w:tc>
          <w:tcPr>
            <w:tcW w:type="dxa" w:w="4176"/>
          </w:tcPr>
          <w:p>
            <w:r/>
            <w:r>
              <w:rPr>
                <w:b w:val="0"/>
                <w:i w:val="0"/>
                <w:sz w:val="16"/>
              </w:rPr>
              <w:t>Base plus $1,370,000; heavily defended (Issue 3.7)</w:t>
            </w:r>
          </w:p>
        </w:tc>
      </w:tr>
    </w:tbl>
    <w:p>
      <w:pPr>
        <w:spacing w:after="40"/>
      </w:pPr>
    </w:p>
    <w:p>
      <w:pPr>
        <w:spacing w:after="120"/>
        <w:jc w:val="both"/>
      </w:pPr>
      <w:r>
        <w:rPr>
          <w:b/>
          <w:i w:val="0"/>
          <w:sz w:val="20"/>
        </w:rPr>
        <w:t>Not included in any scenario (unquantified):</w:t>
      </w:r>
      <w:r>
        <w:rPr>
          <w:b w:val="0"/>
          <w:i w:val="0"/>
          <w:sz w:val="20"/>
        </w:rPr>
        <w:t xml:space="preserve"> the three unidentified payees and 22 unlisted transfers (Issue 1.1); the possible $400,000 § 549 recovery of the Mar. 18 Vanderhoff payment; payments to Ridgeline, Cornerstone and noteholders, and professionals (Issue 4.3); BrightMart § 553(b) recovery (Issue 4.5); transfers from the First Hollcroft account to other payees (Issue 2.2); additional insider amounts, including the $16,153.85 PTO payout, 2024 Thibodeau commissions and other officers’ post-June 2024 compensation (Issue 4.1); and fraudulent-transfer claims (Issue 4.8).</w:t>
      </w:r>
    </w:p>
    <w:p>
      <w:pPr>
        <w:spacing w:after="120"/>
        <w:jc w:val="both"/>
      </w:pPr>
      <w:r>
        <w:rPr>
          <w:b/>
          <w:i w:val="0"/>
          <w:sz w:val="20"/>
        </w:rPr>
        <w:t>Litigation risk not reflected in the base case:</w:t>
      </w:r>
      <w:r>
        <w:rPr>
          <w:b w:val="0"/>
          <w:i w:val="0"/>
          <w:sz w:val="20"/>
        </w:rPr>
        <w:t xml:space="preserve"> the transferees still have defenses that are plausible but unproven. These include ordinary course defenses for Vanderhoff, Lakeshore, TerraFreight and DataStream, and new value defenses for CPI, Lakeshore, TerraFreight and the Tier 2/3 vendors. The base case is a gross-of-unproven-defense figure for negotiating and investigation purposes. A risk-weighted recovery estimate should be developed with Pinehurst once vendor histories are in hand.</w:t>
      </w:r>
    </w:p>
    <w:p>
      <w:pPr>
        <w:pStyle w:val="Heading1"/>
      </w:pPr>
      <w:r>
        <w:t>IX. Consolidated Next Steps</w:t>
      </w:r>
    </w:p>
    <w:p>
      <w:pPr>
        <w:pStyle w:val="Heading2"/>
      </w:pPr>
      <w:r>
        <w:t>A. Before the May 22, 2025 Committee Meeting</w:t>
      </w:r>
    </w:p>
    <w:p>
      <w:pPr>
        <w:pStyle w:val="ListBullet"/>
        <w:spacing w:after="60"/>
      </w:pPr>
      <w:r>
        <w:rPr>
          <w:b w:val="0"/>
          <w:i w:val="0"/>
        </w:rPr>
        <w:t>Send a consolidated document request (through you) to Westbrook covering: native ERP disbursement data for all 237 transfers; statements for all Debtor bank accounts, including First Hollcroft x4738; Glenbrook’s working papers and liquidation analysis; full payroll, bonus, commission, expense and loan records for all officers and directors (Mar. 2023 – Mar. 2025); the Hutchins separation and consulting agreements; Board minutes (6/25/24, 12/20/24); Harborview itemized invoices, trust reports and updated Schedules A; Vanderhoff, CPI, Lakeshore and Exhibit D vendor shipping and receiving records; the BrightMart ledgers and PO #MC-2024-8871; and the debt-service and professional-fee payment history.</w:t>
      </w:r>
    </w:p>
    <w:p>
      <w:pPr>
        <w:pStyle w:val="ListBullet"/>
        <w:spacing w:after="60"/>
      </w:pPr>
      <w:r>
        <w:rPr>
          <w:b w:val="0"/>
          <w:i w:val="0"/>
        </w:rPr>
        <w:t>Send preservation and litigation-hold letters covering insider and CPI records.</w:t>
      </w:r>
    </w:p>
    <w:p>
      <w:pPr>
        <w:pStyle w:val="ListBullet"/>
        <w:spacing w:after="60"/>
      </w:pPr>
      <w:r>
        <w:rPr>
          <w:b w:val="0"/>
          <w:i w:val="0"/>
        </w:rPr>
        <w:t>Brief the Committee: the Report is unreliable; the corrected working estimate is about $20.1M net (range about $14.7M–$21.5M); the insider claims and the standing issue need decisions.</w:t>
      </w:r>
    </w:p>
    <w:p>
      <w:pPr>
        <w:pStyle w:val="ListBullet"/>
        <w:spacing w:after="60"/>
      </w:pPr>
      <w:r>
        <w:rPr>
          <w:b w:val="0"/>
          <w:i w:val="0"/>
        </w:rPr>
        <w:t>Instruct Pinehurst to prepare an independent transfer-population and new value analysis.</w:t>
      </w:r>
    </w:p>
    <w:p>
      <w:pPr>
        <w:pStyle w:val="Heading2"/>
      </w:pPr>
      <w:r>
        <w:t>B. Within 30 Days</w:t>
      </w:r>
    </w:p>
    <w:p>
      <w:pPr>
        <w:pStyle w:val="ListBullet"/>
        <w:spacing w:after="60"/>
      </w:pPr>
      <w:r>
        <w:rPr>
          <w:b w:val="0"/>
          <w:i w:val="0"/>
        </w:rPr>
        <w:t>Decide on derivative standing (Cybergenics motion or stipulation). Check the DIP or cash collateral order for challenge deadlines and releases.</w:t>
      </w:r>
    </w:p>
    <w:p>
      <w:pPr>
        <w:pStyle w:val="ListBullet"/>
        <w:spacing w:after="60"/>
      </w:pPr>
      <w:r>
        <w:rPr>
          <w:b w:val="0"/>
          <w:i w:val="0"/>
        </w:rPr>
        <w:t>Complete research on: earmarking outside the new-lender context; post-petition-paid new value in Delaware; premium-trust conduit status; and non-statutory insider status for Hutchins.</w:t>
      </w:r>
    </w:p>
    <w:p>
      <w:pPr>
        <w:pStyle w:val="ListBullet"/>
        <w:spacing w:after="60"/>
      </w:pPr>
      <w:r>
        <w:rPr>
          <w:b w:val="0"/>
          <w:i w:val="0"/>
        </w:rPr>
        <w:t>Check the docket for critical-vendor or § 503(b)(9) orders (Vanderhoff Mar. 18 payment) and for § 503(b)(9) claims filed by Tier 1 vendors.</w:t>
      </w:r>
    </w:p>
    <w:p>
      <w:pPr>
        <w:pStyle w:val="Heading2"/>
      </w:pPr>
      <w:r>
        <w:t>C. Before Demands or Litigation</w:t>
      </w:r>
    </w:p>
    <w:p>
      <w:pPr>
        <w:pStyle w:val="ListBullet"/>
        <w:spacing w:after="60"/>
      </w:pPr>
      <w:r>
        <w:rPr>
          <w:b w:val="0"/>
          <w:i w:val="0"/>
        </w:rPr>
        <w:t>Complete the § 547(b) due diligence file for each target. Send defense-information requests. Offer tolling agreements where useful.</w:t>
      </w:r>
    </w:p>
    <w:p>
      <w:pPr>
        <w:pStyle w:val="ListBullet"/>
        <w:spacing w:after="60"/>
      </w:pPr>
      <w:r>
        <w:rPr>
          <w:b w:val="0"/>
          <w:i w:val="0"/>
        </w:rPr>
        <w:t>Prepare demand letters for the seven Tier 1 payees (CPI addressed to CPI Americas, Inc.; Harborview limited to Service Fees) and complaints against the insiders (preference and fraudulent-transfer counts).</w:t>
      </w:r>
    </w:p>
    <w:p>
      <w:pPr>
        <w:pStyle w:val="ListBullet"/>
        <w:spacing w:after="60"/>
      </w:pPr>
      <w:r>
        <w:rPr>
          <w:b w:val="0"/>
          <w:i w:val="0"/>
        </w:rPr>
        <w:t>Calendar the § 546(a) deadline: internal March 12, 2027; statutory March 15, 2027 (or later if a trustee is appointed). Do not rely on the Report’s March 14, 2026 date.</w:t>
      </w:r>
    </w:p>
    <w:p>
      <w:pPr>
        <w:pStyle w:val="Heading1"/>
      </w:pPr>
      <w:r>
        <w:t>X. Conclusion</w:t>
      </w:r>
    </w:p>
    <w:p>
      <w:pPr>
        <w:spacing w:after="120"/>
        <w:jc w:val="both"/>
      </w:pPr>
      <w:r>
        <w:rPr>
          <w:b w:val="0"/>
          <w:i w:val="0"/>
        </w:rPr>
        <w:t>The Report materially understates estate preference exposure. It also cannot be reconciled to its own exhibits or to the underlying records. The most significant problems are the omitted insider transfers, the misidentified CPI transferee, the unsupported defense credits (especially earmarking, ordinary course and the late “contemporaneous” payments), and the Report’s reliance on a CFO who is herself a transferee. I recommend that the Committee treat the Report as a starting inventory only, commission an independent analysis by Pinehurst, and move promptly on the insider claims and the standing question. I am available to walk through these findings before the Committee meeting.</w:t>
      </w:r>
    </w:p>
    <w:p>
      <w:pPr>
        <w:spacing w:after="120"/>
      </w:pPr>
      <w:r>
        <w:rPr>
          <w:b w:val="0"/>
          <w:i w:val="0"/>
        </w:rPr>
        <w:t>D.V.</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AND CONFIDENTIAL — ATTORNEY WORK PRODUCT  |  Draft for M. Shelton Review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