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7"/>
        </w:rPr>
        <w:t>PRIVILEGED &amp; CONFIDENTIAL | ATTORNEY WORK PRODUCT | PREPARED AT THE DIRECTION OF COUNSEL</w:t>
      </w:r>
    </w:p>
    <w:p>
      <w:pPr>
        <w:spacing w:after="40"/>
        <w:jc w:val="center"/>
      </w:pPr>
      <w:r>
        <w:rPr>
          <w:b/>
          <w:i w:val="0"/>
          <w:sz w:val="32"/>
        </w:rPr>
        <w:t>DEVIATION REPORT</w:t>
      </w:r>
    </w:p>
    <w:p>
      <w:pPr>
        <w:spacing w:after="40"/>
        <w:jc w:val="center"/>
      </w:pPr>
      <w:r>
        <w:rPr>
          <w:b/>
          <w:i w:val="0"/>
          <w:sz w:val="24"/>
        </w:rPr>
        <w:t>Charter / Underwriting Agreement / Preliminary Prospectus Cross-Check</w:t>
      </w:r>
    </w:p>
    <w:p>
      <w:pPr>
        <w:spacing w:after="200"/>
        <w:jc w:val="center"/>
      </w:pPr>
      <w:r>
        <w:rPr>
          <w:b w:val="0"/>
          <w:i/>
          <w:sz w:val="21"/>
        </w:rPr>
        <w:t>Atherton Biomedical, Inc. (Nasdaq: “ATBM”) — Initial Public Offering of 11,500,000 Shares of Common Stock</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160"/>
            <w:shd w:val="clear" w:color="auto" w:fill="1F3A5F"/>
          </w:tcPr>
          <w:p>
            <w:r/>
            <w:r>
              <w:rPr>
                <w:b/>
                <w:color w:val="FFFFFF"/>
                <w:sz w:val="18"/>
              </w:rPr>
              <w:t>Item</w:t>
            </w:r>
          </w:p>
        </w:tc>
        <w:tc>
          <w:tcPr>
            <w:tcW w:type="dxa" w:w="7488"/>
            <w:shd w:val="clear" w:color="auto" w:fill="1F3A5F"/>
          </w:tcPr>
          <w:p>
            <w:r/>
            <w:r>
              <w:rPr>
                <w:b/>
                <w:color w:val="FFFFFF"/>
                <w:sz w:val="18"/>
              </w:rPr>
              <w:t>Detail</w:t>
            </w:r>
          </w:p>
        </w:tc>
      </w:tr>
      <w:tr>
        <w:tc>
          <w:tcPr>
            <w:tcW w:type="dxa" w:w="2160"/>
          </w:tcPr>
          <w:p>
            <w:pPr>
              <w:spacing w:after="20"/>
            </w:pPr>
            <w:r/>
            <w:r>
              <w:rPr>
                <w:b w:val="0"/>
                <w:i w:val="0"/>
                <w:sz w:val="18"/>
              </w:rPr>
              <w:t>To</w:t>
            </w:r>
          </w:p>
        </w:tc>
        <w:tc>
          <w:tcPr>
            <w:tcW w:type="dxa" w:w="7488"/>
          </w:tcPr>
          <w:p>
            <w:pPr>
              <w:spacing w:after="20"/>
            </w:pPr>
            <w:r/>
            <w:r>
              <w:rPr>
                <w:b w:val="0"/>
                <w:i w:val="0"/>
                <w:sz w:val="18"/>
              </w:rPr>
              <w:t>Deal Partner; IPO Working Group (Company counsel team)</w:t>
            </w:r>
          </w:p>
        </w:tc>
      </w:tr>
      <w:tr>
        <w:tc>
          <w:tcPr>
            <w:tcW w:type="dxa" w:w="2160"/>
          </w:tcPr>
          <w:p>
            <w:pPr>
              <w:spacing w:after="20"/>
            </w:pPr>
            <w:r/>
            <w:r>
              <w:rPr>
                <w:b w:val="0"/>
                <w:i w:val="0"/>
                <w:sz w:val="18"/>
              </w:rPr>
              <w:t>Re</w:t>
            </w:r>
          </w:p>
        </w:tc>
        <w:tc>
          <w:tcPr>
            <w:tcW w:type="dxa" w:w="7488"/>
          </w:tcPr>
          <w:p>
            <w:pPr>
              <w:spacing w:after="20"/>
            </w:pPr>
            <w:r/>
            <w:r>
              <w:rPr>
                <w:b w:val="0"/>
                <w:i w:val="0"/>
                <w:sz w:val="18"/>
              </w:rPr>
              <w:t>Conflicts and omissions among (1) the Fourth Amended and Restated Certificate of Incorporation (filed June 22, 2023, DE File No. 6347821) (the “Charter”); (2) the Underwriting Agreement dated January 6, 2025 (the “UA”); and (3) the Preliminary Prospectus dated January 3, 2025 (the “Prospectus”)</w:t>
            </w:r>
          </w:p>
        </w:tc>
      </w:tr>
      <w:tr>
        <w:tc>
          <w:tcPr>
            <w:tcW w:type="dxa" w:w="2160"/>
          </w:tcPr>
          <w:p>
            <w:pPr>
              <w:spacing w:after="20"/>
            </w:pPr>
            <w:r/>
            <w:r>
              <w:rPr>
                <w:b w:val="0"/>
                <w:i w:val="0"/>
                <w:sz w:val="18"/>
              </w:rPr>
              <w:t>Key dates (per UA)</w:t>
            </w:r>
          </w:p>
        </w:tc>
        <w:tc>
          <w:tcPr>
            <w:tcW w:type="dxa" w:w="7488"/>
          </w:tcPr>
          <w:p>
            <w:pPr>
              <w:spacing w:after="20"/>
            </w:pPr>
            <w:r/>
            <w:r>
              <w:rPr>
                <w:b w:val="0"/>
                <w:i w:val="0"/>
                <w:sz w:val="18"/>
              </w:rPr>
              <w:t>Pricing Date: January 14, 2025 (expected); Closing Date: January 17, 2025 (T+3); IPO Charter must be filed at or prior to Closing (UA §6(j))</w:t>
            </w:r>
          </w:p>
        </w:tc>
      </w:tr>
      <w:tr>
        <w:tc>
          <w:tcPr>
            <w:tcW w:type="dxa" w:w="2160"/>
          </w:tcPr>
          <w:p>
            <w:pPr>
              <w:spacing w:after="20"/>
            </w:pPr>
            <w:r/>
            <w:r>
              <w:rPr>
                <w:b w:val="0"/>
                <w:i w:val="0"/>
                <w:sz w:val="18"/>
              </w:rPr>
              <w:t>Bottom line</w:t>
            </w:r>
          </w:p>
        </w:tc>
        <w:tc>
          <w:tcPr>
            <w:tcW w:type="dxa" w:w="7488"/>
          </w:tcPr>
          <w:p>
            <w:pPr>
              <w:spacing w:after="20"/>
            </w:pPr>
            <w:r/>
            <w:r>
              <w:rPr>
                <w:b w:val="0"/>
                <w:i w:val="0"/>
                <w:sz w:val="18"/>
              </w:rPr>
              <w:t xml:space="preserve">The documents are </w:t>
            </w:r>
            <w:r>
              <w:rPr>
                <w:b/>
                <w:i w:val="0"/>
                <w:sz w:val="18"/>
              </w:rPr>
              <w:t>not</w:t>
            </w:r>
            <w:r>
              <w:rPr>
                <w:b w:val="0"/>
                <w:i w:val="0"/>
                <w:sz w:val="18"/>
              </w:rPr>
              <w:t xml:space="preserve"> ready to price. We identified </w:t>
            </w:r>
            <w:r>
              <w:rPr>
                <w:b/>
                <w:i w:val="0"/>
                <w:sz w:val="18"/>
              </w:rPr>
              <w:t>7 Critical</w:t>
            </w:r>
            <w:r>
              <w:rPr>
                <w:b w:val="0"/>
                <w:i w:val="0"/>
                <w:sz w:val="18"/>
              </w:rPr>
              <w:t xml:space="preserve">, </w:t>
            </w:r>
            <w:r>
              <w:rPr>
                <w:b/>
                <w:i w:val="0"/>
                <w:sz w:val="18"/>
              </w:rPr>
              <w:t>10 High</w:t>
            </w:r>
            <w:r>
              <w:rPr>
                <w:b w:val="0"/>
                <w:i w:val="0"/>
                <w:sz w:val="18"/>
              </w:rPr>
              <w:t xml:space="preserve">, </w:t>
            </w:r>
            <w:r>
              <w:rPr>
                <w:b/>
                <w:i w:val="0"/>
                <w:sz w:val="18"/>
              </w:rPr>
              <w:t>11 Medium</w:t>
            </w:r>
            <w:r>
              <w:rPr>
                <w:b w:val="0"/>
                <w:i w:val="0"/>
                <w:sz w:val="18"/>
              </w:rPr>
              <w:t xml:space="preserve"> and </w:t>
            </w:r>
            <w:r>
              <w:rPr>
                <w:b/>
                <w:i w:val="0"/>
                <w:sz w:val="18"/>
              </w:rPr>
              <w:t>8 Low</w:t>
            </w:r>
            <w:r>
              <w:rPr>
                <w:b w:val="0"/>
                <w:i w:val="0"/>
                <w:sz w:val="18"/>
              </w:rPr>
              <w:t xml:space="preserve"> priority items, including an apparent over-issuance of Preferred Stock under the Charter, a 225,000-share mismatch in the over-allotment option, a capitalization representation that counts unexercised equity awards as outstanding shares, an Exhibit A to the UA that is the existing pre-IPO Charter rather than a form of IPO Charter, and dilution figures that cannot be reconciled to the Capitalization table.</w:t>
            </w:r>
          </w:p>
        </w:tc>
      </w:tr>
    </w:tbl>
    <w:p>
      <w:pPr>
        <w:spacing w:after="40"/>
      </w:pPr>
    </w:p>
    <w:p>
      <w:pPr>
        <w:pStyle w:val="Heading1"/>
      </w:pPr>
      <w:r>
        <w:t>I. Executive Summary</w:t>
      </w:r>
    </w:p>
    <w:p>
      <w:pPr>
        <w:spacing w:after="120"/>
      </w:pPr>
      <w:r>
        <w:rPr>
          <w:b w:val="0"/>
          <w:i w:val="0"/>
        </w:rPr>
        <w:t>We read each of the three documents in full and compared every overlapping term (share counts, pricing and proceeds, over-allotment, capitalization, preferred stock conversion, governance and anti-takeover provisions, lock-ups, equity plan, settlement, parties and advisors). We also tested the internal arithmetic of the Prospectus. The most significant items, each discussed in Part III, are:</w:t>
      </w:r>
    </w:p>
    <w:p>
      <w:pPr>
        <w:pStyle w:val="ListBullet"/>
        <w:spacing w:after="60"/>
      </w:pPr>
      <w:r>
        <w:rPr>
          <w:b/>
          <w:i w:val="0"/>
        </w:rPr>
        <w:t>Preferred Stock over-designation (F-1).</w:t>
      </w:r>
      <w:r>
        <w:rPr>
          <w:b w:val="0"/>
          <w:i w:val="0"/>
        </w:rPr>
        <w:t xml:space="preserve"> Charter §4.1(b) authorizes 25,000,000 shares of Preferred Stock, but §§4.4(a), 4.5(a) and 4.6(a) designate 26,650,000 shares (8,200,000 + 11,650,000 + 6,800,000), and the Prospectus and UA §3(b) treat all 26,650,000 as outstanding. Up to 1,650,000 preferred shares (and the common shares into which they convert) may be void or voidable absent ratification under DGCL §204. This goes directly to the UA §3(b) “duly authorized and validly issued” representation, the Selling Stockholders’ title and conversion representations (UA §4(a), (e)) and Company counsel’s opinion (UA §6(e)).</w:t>
      </w:r>
    </w:p>
    <w:p>
      <w:pPr>
        <w:pStyle w:val="ListBullet"/>
        <w:spacing w:after="60"/>
      </w:pPr>
      <w:r>
        <w:rPr>
          <w:b/>
          <w:i w:val="0"/>
        </w:rPr>
        <w:t>Over-allotment option size (F-2).</w:t>
      </w:r>
      <w:r>
        <w:rPr>
          <w:b w:val="0"/>
          <w:i w:val="0"/>
        </w:rPr>
        <w:t xml:space="preserve"> The Prospectus discloses 1,500,000 option shares throughout; the UA grants 1,725,000 (15% of 11,500,000 Firm Shares) and allocates them on Schedule II. Full-exercise economics in the Prospectus are understated by about $4.0 million of proceeds to the Company.</w:t>
      </w:r>
    </w:p>
    <w:p>
      <w:pPr>
        <w:pStyle w:val="ListBullet"/>
        <w:spacing w:after="60"/>
      </w:pPr>
      <w:r>
        <w:rPr>
          <w:b/>
          <w:i w:val="0"/>
        </w:rPr>
        <w:t>Capitalization representation (F-3).</w:t>
      </w:r>
      <w:r>
        <w:rPr>
          <w:b w:val="0"/>
          <w:i w:val="0"/>
        </w:rPr>
        <w:t xml:space="preserve"> UA §3(b) reaches 42,350,000 “outstanding” shares by counting 12,500,000 founder shares plus 3,200,000 shares underlying unexercised options/RSUs. The Prospectus reaches the same 42,350,000 from 15,700,000 issued common shares and expressly excludes the 3,200,000 award shares. The two cannot both be right.</w:t>
      </w:r>
    </w:p>
    <w:p>
      <w:pPr>
        <w:pStyle w:val="ListBullet"/>
        <w:spacing w:after="60"/>
      </w:pPr>
      <w:r>
        <w:rPr>
          <w:b/>
          <w:i w:val="0"/>
        </w:rPr>
        <w:t>IPO Charter (F-4, F-5).</w:t>
      </w:r>
      <w:r>
        <w:rPr>
          <w:b w:val="0"/>
          <w:i w:val="0"/>
        </w:rPr>
        <w:t xml:space="preserve"> UA Exhibit A, the “form” the IPO Charter must substantially follow, is simply the existing Fourth A&amp;R Charter. That Charter contradicts every governance item the UA §6(j) closing condition requires and the Prospectus describes: classified board, for-cause removal by 66⅔%, written-consent prohibition, federal forum provision, 66⅔% supermajority amendment, Section 203 opt-in (the Charter expressly opts out in Article IX), and 200,000,000/10,000,000 authorized shares (the Charter has 100,000,000/25,000,000).</w:t>
      </w:r>
    </w:p>
    <w:p>
      <w:pPr>
        <w:pStyle w:val="ListBullet"/>
        <w:spacing w:after="60"/>
      </w:pPr>
      <w:r>
        <w:rPr>
          <w:b/>
          <w:i w:val="0"/>
        </w:rPr>
        <w:t>Dilution / capitalization math (F-6, F-8).</w:t>
      </w:r>
      <w:r>
        <w:rPr>
          <w:b w:val="0"/>
          <w:i w:val="0"/>
        </w:rPr>
        <w:t xml:space="preserve"> Pro forma net tangible book value of $148.2 million ($3.50/share) cannot be reconciled with pro forma stockholders’ equity of $109.4 million in the Capitalization table. Net proceeds of $151.0 million are described as being after offering expenses but are actually before them. Pro forma as adjusted APIC is understated by $42,350.</w:t>
      </w:r>
    </w:p>
    <w:p>
      <w:pPr>
        <w:pStyle w:val="ListBullet"/>
        <w:spacing w:after="60"/>
      </w:pPr>
      <w:r>
        <w:rPr>
          <w:b/>
          <w:i w:val="0"/>
        </w:rPr>
        <w:t>Lock-up (F-7, F-12, F-13).</w:t>
      </w:r>
      <w:r>
        <w:rPr>
          <w:b w:val="0"/>
          <w:i w:val="0"/>
        </w:rPr>
        <w:t xml:space="preserve"> The form of lock-up (UA Exhibit C) runs 180 days from the date of the UA (January 6, 2025). The UA body and the Prospectus run 180 days from the final Prospectus. Lock-up parties and exceptions are also described inconsistently.</w:t>
      </w:r>
    </w:p>
    <w:p>
      <w:pPr>
        <w:pStyle w:val="ListBullet"/>
        <w:spacing w:after="60"/>
      </w:pPr>
      <w:r>
        <w:rPr>
          <w:b/>
          <w:i w:val="0"/>
        </w:rPr>
        <w:t>Conversion mechanics and approvals (F-10, F-11).</w:t>
      </w:r>
      <w:r>
        <w:rPr>
          <w:b w:val="0"/>
          <w:i w:val="0"/>
        </w:rPr>
        <w:t xml:space="preserve"> The Charter converts preferred stock automatically “upon the closing” of a Qualified IPO. The Prospectus says conversion happens “immediately prior to” completion, and the UA requires conversion before the Closing Date and before the IPO Charter is filed. Separate series votes (Series A majority, Series B majority, Series C 60%) are needed to adopt the IPO Charter. The documents do not show either the conversion consents or these series votes.</w:t>
      </w:r>
    </w:p>
    <w:p>
      <w:pPr>
        <w:spacing w:after="120"/>
      </w:pPr>
      <w:r>
        <w:rPr>
          <w:b w:val="0"/>
          <w:i w:val="0"/>
          <w:sz w:val="19"/>
        </w:rPr>
        <w:t xml:space="preserve">Severity scale: </w:t>
      </w:r>
      <w:r>
        <w:rPr>
          <w:b/>
          <w:i w:val="0"/>
          <w:sz w:val="19"/>
        </w:rPr>
        <w:t>Critical</w:t>
      </w:r>
      <w:r>
        <w:rPr>
          <w:b w:val="0"/>
          <w:i w:val="0"/>
          <w:sz w:val="19"/>
        </w:rPr>
        <w:t xml:space="preserve">: blocks pricing or closing, or creates material misstatement or validity risk. </w:t>
      </w:r>
      <w:r>
        <w:rPr>
          <w:b/>
          <w:i w:val="0"/>
          <w:sz w:val="19"/>
        </w:rPr>
        <w:t>High</w:t>
      </w:r>
      <w:r>
        <w:rPr>
          <w:b w:val="0"/>
          <w:i w:val="0"/>
          <w:sz w:val="19"/>
        </w:rPr>
        <w:t xml:space="preserve">: must be corrected or conformed before the price-range amendment or pricing. </w:t>
      </w:r>
      <w:r>
        <w:rPr>
          <w:b/>
          <w:i w:val="0"/>
          <w:sz w:val="19"/>
        </w:rPr>
        <w:t>Medium</w:t>
      </w:r>
      <w:r>
        <w:rPr>
          <w:b w:val="0"/>
          <w:i w:val="0"/>
          <w:sz w:val="19"/>
        </w:rPr>
        <w:t xml:space="preserve">: should be addressed before printing the final prospectus or signing. </w:t>
      </w:r>
      <w:r>
        <w:rPr>
          <w:b/>
          <w:i w:val="0"/>
          <w:sz w:val="19"/>
        </w:rPr>
        <w:t>Low</w:t>
      </w:r>
      <w:r>
        <w:rPr>
          <w:b w:val="0"/>
          <w:i w:val="0"/>
          <w:sz w:val="19"/>
        </w:rPr>
        <w:t>: drafting or conforming clean-up.</w:t>
      </w:r>
    </w:p>
    <w:p>
      <w:pPr>
        <w:pStyle w:val="Heading1"/>
      </w:pPr>
      <w:r>
        <w:t>II. Scope, Method and Assumptions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val="clear" w:color="auto" w:fill="1F3A5F"/>
          </w:tcPr>
          <w:p>
            <w:r/>
            <w:r>
              <w:rPr>
                <w:b/>
                <w:color w:val="FFFFFF"/>
                <w:sz w:val="17"/>
              </w:rPr>
              <w:t>Document</w:t>
            </w:r>
          </w:p>
        </w:tc>
        <w:tc>
          <w:tcPr>
            <w:tcW w:type="dxa" w:w="3456"/>
            <w:shd w:val="clear" w:color="auto" w:fill="1F3A5F"/>
          </w:tcPr>
          <w:p>
            <w:r/>
            <w:r>
              <w:rPr>
                <w:b/>
                <w:color w:val="FFFFFF"/>
                <w:sz w:val="17"/>
              </w:rPr>
              <w:t>Description</w:t>
            </w:r>
          </w:p>
        </w:tc>
        <w:tc>
          <w:tcPr>
            <w:tcW w:type="dxa" w:w="4752"/>
            <w:shd w:val="clear" w:color="auto" w:fill="1F3A5F"/>
          </w:tcPr>
          <w:p>
            <w:r/>
            <w:r>
              <w:rPr>
                <w:b/>
                <w:color w:val="FFFFFF"/>
                <w:sz w:val="17"/>
              </w:rPr>
              <w:t>Key provisions reviewed</w:t>
            </w:r>
          </w:p>
        </w:tc>
      </w:tr>
      <w:tr>
        <w:tc>
          <w:tcPr>
            <w:tcW w:type="dxa" w:w="1440"/>
          </w:tcPr>
          <w:p>
            <w:pPr>
              <w:spacing w:after="20"/>
            </w:pPr>
            <w:r/>
            <w:r>
              <w:rPr>
                <w:b w:val="0"/>
                <w:i w:val="0"/>
                <w:sz w:val="17"/>
              </w:rPr>
              <w:t>Charter</w:t>
            </w:r>
          </w:p>
        </w:tc>
        <w:tc>
          <w:tcPr>
            <w:tcW w:type="dxa" w:w="3456"/>
          </w:tcPr>
          <w:p>
            <w:pPr>
              <w:spacing w:after="20"/>
            </w:pPr>
            <w:r/>
            <w:r>
              <w:rPr>
                <w:b w:val="0"/>
                <w:i w:val="0"/>
                <w:sz w:val="17"/>
              </w:rPr>
              <w:t>Fourth Amended and Restated Certificate of Incorporation, signed by Diane Kowalski (GC &amp; Secretary), filed June 22, 2023 (File No. 6347821)</w:t>
            </w:r>
          </w:p>
        </w:tc>
        <w:tc>
          <w:tcPr>
            <w:tcW w:type="dxa" w:w="4752"/>
          </w:tcPr>
          <w:p>
            <w:pPr>
              <w:spacing w:after="20"/>
            </w:pPr>
            <w:r/>
            <w:r>
              <w:rPr>
                <w:b w:val="0"/>
                <w:i w:val="0"/>
                <w:sz w:val="17"/>
              </w:rPr>
              <w:t>Art. IV (authorized shares; Common; blank check; Series A/B/C terms; Deemed Liquidation Events); Art. V (board); Art. VI (meetings; written consent); Art. VII (exculpation; indemnification); Art. VIII (forum); Art. IX (DGCL §203 opt-out); Art. X (amendments)</w:t>
            </w:r>
          </w:p>
        </w:tc>
      </w:tr>
      <w:tr>
        <w:tc>
          <w:tcPr>
            <w:tcW w:type="dxa" w:w="1440"/>
          </w:tcPr>
          <w:p>
            <w:pPr>
              <w:spacing w:after="20"/>
            </w:pPr>
            <w:r/>
            <w:r>
              <w:rPr>
                <w:b w:val="0"/>
                <w:i w:val="0"/>
                <w:sz w:val="17"/>
              </w:rPr>
              <w:t>UA</w:t>
            </w:r>
          </w:p>
        </w:tc>
        <w:tc>
          <w:tcPr>
            <w:tcW w:type="dxa" w:w="3456"/>
          </w:tcPr>
          <w:p>
            <w:pPr>
              <w:spacing w:after="20"/>
            </w:pPr>
            <w:r/>
            <w:r>
              <w:rPr>
                <w:b w:val="0"/>
                <w:i w:val="0"/>
                <w:sz w:val="17"/>
              </w:rPr>
              <w:t>Underwriting Agreement dated January 6, 2025 among the Company, Selling Stockholders (Sched. I) and Underwriters (Sched. II; Stonebridge Partners as Representative), with Exhibits A–D</w:t>
            </w:r>
          </w:p>
        </w:tc>
        <w:tc>
          <w:tcPr>
            <w:tcW w:type="dxa" w:w="4752"/>
          </w:tcPr>
          <w:p>
            <w:pPr>
              <w:spacing w:after="20"/>
            </w:pPr>
            <w:r/>
            <w:r>
              <w:rPr>
                <w:b w:val="0"/>
                <w:i w:val="0"/>
                <w:sz w:val="17"/>
              </w:rPr>
              <w:t>§1 definitions; §2 purchase/option/settlement; §3 Company reps (esp. 3(a)–(d), (k)); §4 Selling Stockholder reps; §5 covenants (esp. 5(h), 5(i)); §6 conditions (esp. 6(i), 6(j)); §§7–9; Schedules I–II; Exhibits A, C, D</w:t>
            </w:r>
          </w:p>
        </w:tc>
      </w:tr>
      <w:tr>
        <w:tc>
          <w:tcPr>
            <w:tcW w:type="dxa" w:w="1440"/>
          </w:tcPr>
          <w:p>
            <w:pPr>
              <w:spacing w:after="20"/>
            </w:pPr>
            <w:r/>
            <w:r>
              <w:rPr>
                <w:b w:val="0"/>
                <w:i w:val="0"/>
                <w:sz w:val="17"/>
              </w:rPr>
              <w:t>Prospectus</w:t>
            </w:r>
          </w:p>
        </w:tc>
        <w:tc>
          <w:tcPr>
            <w:tcW w:type="dxa" w:w="3456"/>
          </w:tcPr>
          <w:p>
            <w:pPr>
              <w:spacing w:after="20"/>
            </w:pPr>
            <w:r/>
            <w:r>
              <w:rPr>
                <w:b w:val="0"/>
                <w:i w:val="0"/>
                <w:sz w:val="17"/>
              </w:rPr>
              <w:t>Preliminary prospectus (red herring) dated January 3, 2025, Form S-1 (File No. 333-[●])</w:t>
            </w:r>
          </w:p>
        </w:tc>
        <w:tc>
          <w:tcPr>
            <w:tcW w:type="dxa" w:w="4752"/>
          </w:tcPr>
          <w:p>
            <w:pPr>
              <w:spacing w:after="20"/>
            </w:pPr>
            <w:r/>
            <w:r>
              <w:rPr>
                <w:b w:val="0"/>
                <w:i w:val="0"/>
                <w:sz w:val="17"/>
              </w:rPr>
              <w:t>Cover; Summary/The Offering; Risk Factors; Use of Proceeds; Capitalization; Dilution; Description of Capital Stock; Shares Eligible for Future Sale; Underwriting; Legal Matters; Experts</w:t>
            </w:r>
          </w:p>
        </w:tc>
      </w:tr>
    </w:tbl>
    <w:p>
      <w:pPr>
        <w:spacing w:after="40"/>
      </w:pPr>
    </w:p>
    <w:p>
      <w:pPr>
        <w:pStyle w:val="ListBullet"/>
        <w:spacing w:after="60"/>
      </w:pPr>
      <w:r>
        <w:rPr>
          <w:b w:val="0"/>
          <w:i w:val="0"/>
        </w:rPr>
        <w:t xml:space="preserve">The amended and restated bylaws, the S-1 exhibit index, the audited financial statements, the stockholder and board consents, the cap table/transfer agent ledger and the executed lock-ups were </w:t>
      </w:r>
      <w:r>
        <w:rPr>
          <w:b/>
          <w:i w:val="0"/>
        </w:rPr>
        <w:t>not</w:t>
      </w:r>
      <w:r>
        <w:rPr>
          <w:b w:val="0"/>
          <w:i w:val="0"/>
        </w:rPr>
        <w:t xml:space="preserve"> provided. Where an issue depends on them, we identify the diligence item needed.</w:t>
      </w:r>
    </w:p>
    <w:p>
      <w:pPr>
        <w:pStyle w:val="ListBullet"/>
        <w:spacing w:after="60"/>
      </w:pPr>
      <w:r>
        <w:rPr>
          <w:b w:val="0"/>
          <w:i w:val="0"/>
        </w:rPr>
        <w:t>References to the “IPO Charter” mean the amended and restated certificate of incorporation contemplated by UA §6(j) and described in the Prospectus as effective upon completion of the offering.</w:t>
      </w:r>
    </w:p>
    <w:p>
      <w:pPr>
        <w:pStyle w:val="ListBullet"/>
        <w:spacing w:after="60"/>
      </w:pPr>
      <w:r>
        <w:rPr>
          <w:b w:val="0"/>
          <w:i w:val="0"/>
        </w:rPr>
        <w:t>Statutory references are to the DGCL and the federal securities laws as in effect at the January 2025 offering dates. Conclusions on statutory points should be confirmed before they are relied on.</w:t>
      </w:r>
    </w:p>
    <w:p>
      <w:pPr>
        <w:pStyle w:val="Heading1"/>
      </w:pPr>
      <w:r>
        <w:t>III. Detailed Findings</w:t>
      </w:r>
    </w:p>
    <w:p>
      <w:pPr>
        <w:pStyle w:val="Heading2"/>
      </w:pPr>
      <w:r>
        <w:t>A. Critical</w:t>
      </w:r>
    </w:p>
    <w:p>
      <w:pPr>
        <w:pStyle w:val="Heading3"/>
      </w:pPr>
      <w:r>
        <w:rPr>
          <w:color w:val="C00000"/>
        </w:rPr>
        <w:t xml:space="preserve">F-1  [CRITICAL]  </w:t>
      </w:r>
      <w:r>
        <w:t>Preferred Stock designated and outstanding exceeds Preferred Stock authorized by the Charter</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Charter §4.1(b) (25,000,000 shares of Preferred Stock authorized); §4.4(a) (8,200,000 Series A); §4.5(a) (11,650,000 Series B); §4.6(a) (6,800,000 Series C). Prospectus, Capitalization (conversion of “an aggregate of 26,650,000 shares”). UA §3(b) (same series counts; “All outstanding shares of Common Stock and Preferred Stock have been duly authorized and validly issued”); UA §4(e); UA §6(e).</w:t>
            </w:r>
          </w:p>
        </w:tc>
      </w:tr>
      <w:tr>
        <w:tc>
          <w:tcPr>
            <w:tcW w:type="dxa" w:w="2088"/>
            <w:shd w:val="clear" w:color="auto" w:fill="E7ECF3"/>
          </w:tcPr>
          <w:p>
            <w:r/>
            <w:r>
              <w:rPr>
                <w:b/>
                <w:sz w:val="18"/>
              </w:rPr>
              <w:t>Deviation</w:t>
            </w:r>
          </w:p>
        </w:tc>
        <w:tc>
          <w:tcPr>
            <w:tcW w:type="dxa" w:w="7560"/>
          </w:tcPr>
          <w:p>
            <w:pPr>
              <w:spacing w:after="40"/>
            </w:pPr>
            <w:r/>
            <w:r>
              <w:rPr>
                <w:b w:val="0"/>
                <w:i w:val="0"/>
                <w:sz w:val="18"/>
              </w:rPr>
              <w:t xml:space="preserve">The three series designated in the Charter total </w:t>
            </w:r>
            <w:r>
              <w:rPr>
                <w:b/>
                <w:i w:val="0"/>
                <w:sz w:val="18"/>
              </w:rPr>
              <w:t>26,650,000</w:t>
            </w:r>
            <w:r>
              <w:rPr>
                <w:b w:val="0"/>
                <w:i w:val="0"/>
                <w:sz w:val="18"/>
              </w:rPr>
              <w:t xml:space="preserve"> shares, </w:t>
            </w:r>
            <w:r>
              <w:rPr>
                <w:b/>
                <w:i w:val="0"/>
                <w:sz w:val="18"/>
              </w:rPr>
              <w:t>1,650,000 more</w:t>
            </w:r>
            <w:r>
              <w:rPr>
                <w:b w:val="0"/>
                <w:i w:val="0"/>
                <w:sz w:val="18"/>
              </w:rPr>
              <w:t xml:space="preserve"> than the 25,000,000 Preferred Stock authorized. The Prospectus and the UA both assume all 26,650,000 preferred shares are outstanding and will convert 1:1.</w:t>
            </w:r>
          </w:p>
        </w:tc>
      </w:tr>
      <w:tr>
        <w:tc>
          <w:tcPr>
            <w:tcW w:type="dxa" w:w="2088"/>
            <w:shd w:val="clear" w:color="auto" w:fill="E7ECF3"/>
          </w:tcPr>
          <w:p>
            <w:r/>
            <w:r>
              <w:rPr>
                <w:b/>
                <w:sz w:val="18"/>
              </w:rPr>
              <w:t>Analysis / exposure</w:t>
            </w:r>
          </w:p>
        </w:tc>
        <w:tc>
          <w:tcPr>
            <w:tcW w:type="dxa" w:w="7560"/>
          </w:tcPr>
          <w:p>
            <w:pPr>
              <w:spacing w:after="40"/>
            </w:pPr>
            <w:r/>
            <w:r>
              <w:rPr>
                <w:b w:val="0"/>
                <w:i w:val="0"/>
                <w:sz w:val="18"/>
              </w:rPr>
              <w:t>A Delaware corporation may issue only the shares its certificate of incorporation authorizes (DGCL §§102(a)(4), 151, 161). Shares issued beyond that are “overissued” and treated as void or voidable defective stock unless they are ratified under DGCL §204 or validated by the Court of Chancery under §205. As drafted, (i) the UA §3(b) validity representation would be untrue when made; (ii) the Selling Stockholders’ title and conversion representations (UA §4(a), (e)) may be inaccurate, because Redhill Ventures and Solstice Health Capital are the lead preferred investors; (iii) Hargrove Whitfield could not give a clean “validly issued” opinion (UA §6(e); Prospectus, Legal Matters); and (iv) the 26,650,000-share conversion count driving the 42,350,000/50,850,000 share figures and the dilution tables is unsupported. The Charter is also internally inconsistent, because the series designations cannot exceed the blank-check pool in §4.3. Earlier charters, the Series C closing documents or any certificate of correction may explain the gap. None was provided.</w:t>
            </w:r>
          </w:p>
        </w:tc>
      </w:tr>
      <w:tr>
        <w:tc>
          <w:tcPr>
            <w:tcW w:type="dxa" w:w="2088"/>
            <w:shd w:val="clear" w:color="auto" w:fill="E7ECF3"/>
          </w:tcPr>
          <w:p>
            <w:r/>
            <w:r>
              <w:rPr>
                <w:b/>
                <w:sz w:val="18"/>
              </w:rPr>
              <w:t>Recommended action</w:t>
            </w:r>
          </w:p>
        </w:tc>
        <w:tc>
          <w:tcPr>
            <w:tcW w:type="dxa" w:w="7560"/>
          </w:tcPr>
          <w:p>
            <w:pPr>
              <w:spacing w:after="40"/>
            </w:pPr>
            <w:r/>
            <w:r>
              <w:rPr>
                <w:b w:val="0"/>
                <w:i w:val="0"/>
                <w:sz w:val="18"/>
              </w:rPr>
              <w:t>(1) Obtain the issuance history (stock ledger, Third A&amp;R Charter, Series C closing documents) and determine whether more than 25,000,000 preferred shares were actually issued.</w:t>
            </w:r>
          </w:p>
          <w:p>
            <w:pPr>
              <w:spacing w:after="40"/>
            </w:pPr>
            <w:r>
              <w:rPr>
                <w:b w:val="0"/>
                <w:i w:val="0"/>
                <w:sz w:val="18"/>
              </w:rPr>
              <w:t>(2) If so, have the board and the required stockholders ratify the defective corporate acts under DGCL §204, and file a certificate of validation before pricing. Factor in the §204 notice requirements and the 120-day §205 challenge period, and consider a risk factor.</w:t>
            </w:r>
          </w:p>
          <w:p>
            <w:pPr>
              <w:spacing w:after="40"/>
            </w:pPr>
            <w:r>
              <w:rPr>
                <w:b w:val="0"/>
                <w:i w:val="0"/>
                <w:sz w:val="18"/>
              </w:rPr>
              <w:t>(3) Expect the Underwriters to require a specific opinion or diligence back-up on the ratification. Conform UA §3(b) and the Prospectus capitalization disclosure.</w:t>
            </w:r>
          </w:p>
        </w:tc>
      </w:tr>
    </w:tbl>
    <w:p>
      <w:pPr>
        <w:spacing w:after="40"/>
      </w:pPr>
    </w:p>
    <w:p>
      <w:pPr>
        <w:pStyle w:val="Heading3"/>
      </w:pPr>
      <w:r>
        <w:rPr>
          <w:color w:val="C00000"/>
        </w:rPr>
        <w:t xml:space="preserve">F-2  [CRITICAL]  </w:t>
      </w:r>
      <w:r>
        <w:t>Over-allotment option: 1,500,000 shares (Prospectus) vs. 1,725,000 shares (UA)</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Prospectus: cover page; The Offering; Use of Proceeds; Capitalization fn. (4); Dilution; Underwriting (“Over-Allotment Option” and full-exercise column, including “Total (Full Over-Allotment)” of $247,000,000 / $16,055,000 / $177,650,000). UA §1 (“Option Shares”), §2(b), Schedule I (no Option Shares from Selling Stockholders), Schedule II (option allocations 1,121,250 / 345,000 / 258,750).</w:t>
            </w:r>
          </w:p>
        </w:tc>
      </w:tr>
      <w:tr>
        <w:tc>
          <w:tcPr>
            <w:tcW w:type="dxa" w:w="2088"/>
            <w:shd w:val="clear" w:color="auto" w:fill="E7ECF3"/>
          </w:tcPr>
          <w:p>
            <w:r/>
            <w:r>
              <w:rPr>
                <w:b/>
                <w:sz w:val="18"/>
              </w:rPr>
              <w:t>Deviation</w:t>
            </w:r>
          </w:p>
        </w:tc>
        <w:tc>
          <w:tcPr>
            <w:tcW w:type="dxa" w:w="7560"/>
          </w:tcPr>
          <w:p>
            <w:pPr>
              <w:spacing w:after="40"/>
            </w:pPr>
            <w:r/>
            <w:r>
              <w:rPr>
                <w:b w:val="0"/>
                <w:i w:val="0"/>
                <w:sz w:val="18"/>
              </w:rPr>
              <w:t xml:space="preserve">The Prospectus consistently discloses an option of up to </w:t>
            </w:r>
            <w:r>
              <w:rPr>
                <w:b/>
                <w:i w:val="0"/>
                <w:sz w:val="18"/>
              </w:rPr>
              <w:t>1,500,000</w:t>
            </w:r>
            <w:r>
              <w:rPr>
                <w:b w:val="0"/>
                <w:i w:val="0"/>
                <w:sz w:val="18"/>
              </w:rPr>
              <w:t xml:space="preserve"> shares from the Company. The UA grants </w:t>
            </w:r>
            <w:r>
              <w:rPr>
                <w:b/>
                <w:i w:val="0"/>
                <w:sz w:val="18"/>
              </w:rPr>
              <w:t>1,725,000</w:t>
            </w:r>
            <w:r>
              <w:rPr>
                <w:b w:val="0"/>
                <w:i w:val="0"/>
                <w:sz w:val="18"/>
              </w:rPr>
              <w:t xml:space="preserve"> shares (“15% × 11,500,000 = 1,725,000”) and allocates that amount among the Underwriters. The Prospectus figure equals about 13.0% of the Firm Shares (or 17.6% of the 8,500,000 Company Shares). It appears to have been sized on a different base.</w:t>
            </w:r>
          </w:p>
        </w:tc>
      </w:tr>
      <w:tr>
        <w:tc>
          <w:tcPr>
            <w:tcW w:type="dxa" w:w="2088"/>
            <w:shd w:val="clear" w:color="auto" w:fill="E7ECF3"/>
          </w:tcPr>
          <w:p>
            <w:r/>
            <w:r>
              <w:rPr>
                <w:b/>
                <w:sz w:val="18"/>
              </w:rPr>
              <w:t>Analysis / exposure</w:t>
            </w:r>
          </w:p>
        </w:tc>
        <w:tc>
          <w:tcPr>
            <w:tcW w:type="dxa" w:w="7560"/>
          </w:tcPr>
          <w:p>
            <w:pPr>
              <w:spacing w:after="40"/>
            </w:pPr>
            <w:r/>
            <w:r>
              <w:rPr>
                <w:b w:val="0"/>
                <w:i w:val="0"/>
                <w:sz w:val="18"/>
              </w:rPr>
              <w:t xml:space="preserve">At the $19.00 midpoint, full exercise under the UA would mean 13,225,000 shares, gross proceeds of $251,275,000, an underwriting discount of $16,332,875 and proceeds to the Company of </w:t>
            </w:r>
            <w:r>
              <w:rPr>
                <w:b/>
                <w:i w:val="0"/>
                <w:sz w:val="18"/>
              </w:rPr>
              <w:t>$181,647,125</w:t>
            </w:r>
            <w:r>
              <w:rPr>
                <w:b w:val="0"/>
                <w:i w:val="0"/>
                <w:sz w:val="18"/>
              </w:rPr>
              <w:t>. The Prospectus shows 13,000,000 shares, $247,000,000, $16,055,000 and $177,650,000, an understatement of $3,997,125 in Company proceeds. The Time of Sale Prospectus is what investors rely on for Section 12(a)(2)/Rule 159 purposes. The Underwriters cannot over-allot and cover with Option Shares beyond what is disclosed and registered, so the registration statement must also cover the larger number of shares. Every Prospectus statement that depends on full exercise (dilution, ownership percentages, net proceeds) is affected.</w:t>
            </w:r>
          </w:p>
        </w:tc>
      </w:tr>
      <w:tr>
        <w:tc>
          <w:tcPr>
            <w:tcW w:type="dxa" w:w="2088"/>
            <w:shd w:val="clear" w:color="auto" w:fill="E7ECF3"/>
          </w:tcPr>
          <w:p>
            <w:r/>
            <w:r>
              <w:rPr>
                <w:b/>
                <w:sz w:val="18"/>
              </w:rPr>
              <w:t>Recommended action</w:t>
            </w:r>
          </w:p>
        </w:tc>
        <w:tc>
          <w:tcPr>
            <w:tcW w:type="dxa" w:w="7560"/>
          </w:tcPr>
          <w:p>
            <w:pPr>
              <w:spacing w:after="40"/>
            </w:pPr>
            <w:r/>
            <w:r>
              <w:rPr>
                <w:b w:val="0"/>
                <w:i w:val="0"/>
                <w:sz w:val="18"/>
              </w:rPr>
              <w:t>Confirm the commercial agreement (15% of Firm Shares is market standard and is the cap generally accepted for FINRA/Regulation M purposes). Conform the Prospectus (cover, Summary, Use of Proceeds, Capitalization, Dilution and Underwriting tables) or UA §§1 and 2(b) and Schedule II. Confirm the registration statement registers the maximum number of shares. Fill in the Use of Proceeds full-exercise blank ([●]).</w:t>
            </w:r>
          </w:p>
        </w:tc>
      </w:tr>
    </w:tbl>
    <w:p>
      <w:pPr>
        <w:spacing w:after="40"/>
      </w:pPr>
    </w:p>
    <w:p>
      <w:pPr>
        <w:pStyle w:val="Heading3"/>
      </w:pPr>
      <w:r>
        <w:rPr>
          <w:color w:val="C00000"/>
        </w:rPr>
        <w:t xml:space="preserve">F-3  [CRITICAL]  </w:t>
      </w:r>
      <w:r>
        <w:t>UA capitalization representation counts unexercised options/RSUs as outstanding and conflicts with the Prospectus share build</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 xml:space="preserve">UA §3(b) (42,350,000 outstanding = 12,500,000 founder shares (Nagarajan 7,500,000; Marchetti 5,000,000) + 8,200,000 + 11,650,000 + 6,800,000 as-converted + </w:t>
            </w:r>
            <w:r>
              <w:rPr>
                <w:b/>
                <w:i w:val="0"/>
                <w:sz w:val="18"/>
              </w:rPr>
              <w:t>3,200,000 shares subject to outstanding options and RSUs</w:t>
            </w:r>
            <w:r>
              <w:rPr>
                <w:b w:val="0"/>
                <w:i w:val="0"/>
                <w:sz w:val="18"/>
              </w:rPr>
              <w:t>). Prospectus: The Offering (42,350,000 “excludes” the 3,200,000 option/RSU shares, fn. (1)); Capitalization (common stock par $15,700, i.e., 15,700,000 shares actual; fn. (1)); Dilution (“15,700,000 shares of common stock outstanding on an actual basis”).</w:t>
            </w:r>
          </w:p>
        </w:tc>
      </w:tr>
      <w:tr>
        <w:tc>
          <w:tcPr>
            <w:tcW w:type="dxa" w:w="2088"/>
            <w:shd w:val="clear" w:color="auto" w:fill="E7ECF3"/>
          </w:tcPr>
          <w:p>
            <w:r/>
            <w:r>
              <w:rPr>
                <w:b/>
                <w:sz w:val="18"/>
              </w:rPr>
              <w:t>Deviation</w:t>
            </w:r>
          </w:p>
        </w:tc>
        <w:tc>
          <w:tcPr>
            <w:tcW w:type="dxa" w:w="7560"/>
          </w:tcPr>
          <w:p>
            <w:pPr>
              <w:spacing w:after="40"/>
            </w:pPr>
            <w:r/>
            <w:r>
              <w:rPr>
                <w:b w:val="0"/>
                <w:i w:val="0"/>
                <w:sz w:val="18"/>
              </w:rPr>
              <w:t xml:space="preserve">The Prospectus build is 15,700,000 issued common + 26,650,000 converted preferred = 42,350,000, </w:t>
            </w:r>
            <w:r>
              <w:rPr>
                <w:b/>
                <w:i w:val="0"/>
                <w:sz w:val="18"/>
              </w:rPr>
              <w:t>excluding</w:t>
            </w:r>
            <w:r>
              <w:rPr>
                <w:b w:val="0"/>
                <w:i w:val="0"/>
                <w:sz w:val="18"/>
              </w:rPr>
              <w:t xml:space="preserve"> 3,200,000 award shares. The UA build is 12,500,000 founder common + 26,650,000 + 3,200,000 award shares = 42,350,000, </w:t>
            </w:r>
            <w:r>
              <w:rPr>
                <w:b/>
                <w:i w:val="0"/>
                <w:sz w:val="18"/>
              </w:rPr>
              <w:t>including</w:t>
            </w:r>
            <w:r>
              <w:rPr>
                <w:b w:val="0"/>
                <w:i w:val="0"/>
                <w:sz w:val="18"/>
              </w:rPr>
              <w:t xml:space="preserve"> award shares as “outstanding”. The 3,200,000-share difference in issued common is exactly the award pool.</w:t>
            </w:r>
          </w:p>
        </w:tc>
      </w:tr>
      <w:tr>
        <w:tc>
          <w:tcPr>
            <w:tcW w:type="dxa" w:w="2088"/>
            <w:shd w:val="clear" w:color="auto" w:fill="E7ECF3"/>
          </w:tcPr>
          <w:p>
            <w:r/>
            <w:r>
              <w:rPr>
                <w:b/>
                <w:sz w:val="18"/>
              </w:rPr>
              <w:t>Analysis / exposure</w:t>
            </w:r>
          </w:p>
        </w:tc>
        <w:tc>
          <w:tcPr>
            <w:tcW w:type="dxa" w:w="7560"/>
          </w:tcPr>
          <w:p>
            <w:pPr>
              <w:spacing w:after="40"/>
            </w:pPr>
            <w:r/>
            <w:r>
              <w:rPr>
                <w:b w:val="0"/>
                <w:i w:val="0"/>
                <w:sz w:val="18"/>
              </w:rPr>
              <w:t>Shares underlying unexercised options and unsettled RSUs are not issued or outstanding, so UA §3(b) misdescribes the capitalization, and its “validly issued” statement covers shares that do not exist. If the UA founder count is the complete list of common holders, issued common is 12,500,000, not 15,700,000. Pre-offering outstanding would then be 39,150,000 and post-offering 47,650,000, and the Prospectus share figures, NTBV per share, the “approximately 10%” plan reserve and the 39,350,000 restricted-share figure would all be wrong. If the Prospectus is right, the UA omits 3,200,000 issued non-founder shares and their holders, which matters for the UA §6(i) 1%-holder lock-up requirement. The UA rep is brought down on the Closing Date (§6(c)), so an inaccurate rep risks breach and failure of a closing condition.</w:t>
            </w:r>
          </w:p>
        </w:tc>
      </w:tr>
      <w:tr>
        <w:tc>
          <w:tcPr>
            <w:tcW w:type="dxa" w:w="2088"/>
            <w:shd w:val="clear" w:color="auto" w:fill="E7ECF3"/>
          </w:tcPr>
          <w:p>
            <w:r/>
            <w:r>
              <w:rPr>
                <w:b/>
                <w:sz w:val="18"/>
              </w:rPr>
              <w:t>Recommended action</w:t>
            </w:r>
          </w:p>
        </w:tc>
        <w:tc>
          <w:tcPr>
            <w:tcW w:type="dxa" w:w="7560"/>
          </w:tcPr>
          <w:p>
            <w:pPr>
              <w:spacing w:after="40"/>
            </w:pPr>
            <w:r/>
            <w:r>
              <w:rPr>
                <w:b w:val="0"/>
                <w:i w:val="0"/>
                <w:sz w:val="18"/>
              </w:rPr>
              <w:t>Reconcile to the transfer agent ledger and an option/RSU register. Redraft UA §3(b) in standard form: issued and outstanding common, preferred by series, and shares reserved for outstanding awards and the plan, shown separately. Identify every record holder of the 15,700,000 common shares (or confirm 12,500,000) and conform the Prospectus.</w:t>
            </w:r>
          </w:p>
        </w:tc>
      </w:tr>
    </w:tbl>
    <w:p>
      <w:pPr>
        <w:spacing w:after="40"/>
      </w:pPr>
    </w:p>
    <w:p>
      <w:pPr>
        <w:pStyle w:val="Heading3"/>
      </w:pPr>
      <w:r>
        <w:rPr>
          <w:color w:val="C00000"/>
        </w:rPr>
        <w:t xml:space="preserve">F-4  [CRITICAL]  </w:t>
      </w:r>
      <w:r>
        <w:t>UA Exhibit A (“form” of IPO Charter) is the existing pre-IPO Charter</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UA §1 (“IPO Charter” … “in substantially the form attached hereto as Exhibit A”); §3(b) (after filing, authorized capital “shall be as set forth in the IPO Charter attached hereto as Exhibit A”); §3(c); §6(j); Exhibit A (attaches “the text of the Fourth Amended and Restated Certificate of Incorporation … filed … June 22, 2023”). Prospectus, Description of Capital Stock – General (charter “filed as [an] exhibit[] to the registration statement”).</w:t>
            </w:r>
          </w:p>
        </w:tc>
      </w:tr>
      <w:tr>
        <w:tc>
          <w:tcPr>
            <w:tcW w:type="dxa" w:w="2088"/>
            <w:shd w:val="clear" w:color="auto" w:fill="E7ECF3"/>
          </w:tcPr>
          <w:p>
            <w:r/>
            <w:r>
              <w:rPr>
                <w:b/>
                <w:sz w:val="18"/>
              </w:rPr>
              <w:t>Deviation</w:t>
            </w:r>
          </w:p>
        </w:tc>
        <w:tc>
          <w:tcPr>
            <w:tcW w:type="dxa" w:w="7560"/>
          </w:tcPr>
          <w:p>
            <w:pPr>
              <w:spacing w:after="40"/>
            </w:pPr>
            <w:r/>
            <w:r>
              <w:rPr>
                <w:b w:val="0"/>
                <w:i w:val="0"/>
                <w:sz w:val="18"/>
              </w:rPr>
              <w:t>Exhibit A contains no IPO Charter. It incorporates the Fourth A&amp;R Charter and states that the IPO Charter “shall be based on such form.” That Charter contradicts every one of the ten requirements in UA §6(j) (see Part IV matrix).</w:t>
            </w:r>
          </w:p>
        </w:tc>
      </w:tr>
      <w:tr>
        <w:tc>
          <w:tcPr>
            <w:tcW w:type="dxa" w:w="2088"/>
            <w:shd w:val="clear" w:color="auto" w:fill="E7ECF3"/>
          </w:tcPr>
          <w:p>
            <w:r/>
            <w:r>
              <w:rPr>
                <w:b/>
                <w:sz w:val="18"/>
              </w:rPr>
              <w:t>Analysis / exposure</w:t>
            </w:r>
          </w:p>
        </w:tc>
        <w:tc>
          <w:tcPr>
            <w:tcW w:type="dxa" w:w="7560"/>
          </w:tcPr>
          <w:p>
            <w:pPr>
              <w:spacing w:after="40"/>
            </w:pPr>
            <w:r/>
            <w:r>
              <w:rPr>
                <w:b w:val="0"/>
                <w:i w:val="0"/>
                <w:sz w:val="18"/>
              </w:rPr>
              <w:t>The closing condition is internally contradictory. A charter “substantially in the form of” Exhibit A would keep the 100,000,000/25,000,000 authorized shares, annual elections, written consent and the Section 203 opt-out, and so fail §6(j)(i)–(x). The §3(b) representation, read literally, ties post-closing authorized capital to 100,000,000/25,000,000, contrary to §6(j)(i) and to the Prospectus (200,000,000/10,000,000). The Prospectus says its description is “qualified in its entirety” by a charter filed as an exhibit (Reg. S-K Item 601(b)(3)). If the Exhibit 3.x form has not been filed, that statement is inaccurate and the description has nothing to be checked against.</w:t>
            </w:r>
          </w:p>
        </w:tc>
      </w:tr>
      <w:tr>
        <w:tc>
          <w:tcPr>
            <w:tcW w:type="dxa" w:w="2088"/>
            <w:shd w:val="clear" w:color="auto" w:fill="E7ECF3"/>
          </w:tcPr>
          <w:p>
            <w:r/>
            <w:r>
              <w:rPr>
                <w:b/>
                <w:sz w:val="18"/>
              </w:rPr>
              <w:t>Recommended action</w:t>
            </w:r>
          </w:p>
        </w:tc>
        <w:tc>
          <w:tcPr>
            <w:tcW w:type="dxa" w:w="7560"/>
          </w:tcPr>
          <w:p>
            <w:pPr>
              <w:spacing w:after="40"/>
            </w:pPr>
            <w:r/>
            <w:r>
              <w:rPr>
                <w:b w:val="0"/>
                <w:i w:val="0"/>
                <w:sz w:val="18"/>
              </w:rPr>
              <w:t>Prepare the Fifth Amended and Restated Certificate of Incorporation implementing §6(j)(i)–(x), with initial director class assignments. Attach it as UA Exhibit A, file it as an S-1 exhibit before the price-range amendment and conform the §3(b) language. Obtain board approval and stockholder approval, including the series votes (see F-14).</w:t>
            </w:r>
          </w:p>
        </w:tc>
      </w:tr>
    </w:tbl>
    <w:p>
      <w:pPr>
        <w:spacing w:after="40"/>
      </w:pPr>
    </w:p>
    <w:p>
      <w:pPr>
        <w:pStyle w:val="Heading3"/>
      </w:pPr>
      <w:r>
        <w:rPr>
          <w:color w:val="C00000"/>
        </w:rPr>
        <w:t xml:space="preserve">F-5  [CRITICAL]  </w:t>
      </w:r>
      <w:r>
        <w:t>Current Charter governance provisions conflict with UA §6(j) and the Prospectus anti-takeover description</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Charter §§4.1, 4.4–4.7, 5.3, 6.3, 8.1, Art. IX, Art. X (silent on director removal and cumulative voting). UA §6(j)(i)–(x). Prospectus: Summary Risk Factors; Risk Factor “Anti-takeover provisions …”; Capitalization; Description of Capital Stock (Classified Board; Removal; No Cumulative Voting; No Action by Written Consent; Exclusive Forum; Amendment of Charter Provisions; Section 203).</w:t>
            </w:r>
          </w:p>
        </w:tc>
      </w:tr>
      <w:tr>
        <w:tc>
          <w:tcPr>
            <w:tcW w:type="dxa" w:w="2088"/>
            <w:shd w:val="clear" w:color="auto" w:fill="E7ECF3"/>
          </w:tcPr>
          <w:p>
            <w:r/>
            <w:r>
              <w:rPr>
                <w:b/>
                <w:sz w:val="18"/>
              </w:rPr>
              <w:t>Deviation</w:t>
            </w:r>
          </w:p>
        </w:tc>
        <w:tc>
          <w:tcPr>
            <w:tcW w:type="dxa" w:w="7560"/>
          </w:tcPr>
          <w:p>
            <w:pPr>
              <w:spacing w:after="40"/>
            </w:pPr>
            <w:r/>
            <w:r>
              <w:rPr>
                <w:b w:val="0"/>
                <w:i w:val="0"/>
                <w:sz w:val="18"/>
              </w:rPr>
              <w:t>The Prospectus describes, and the UA requires, a charter with: 200,000,000 common / 10,000,000 blank-check preferred; no preferred series; a three-class staggered board; for-cause removal by 66⅔%; no cumulative voting; no written consent; Chancery plus a federal forum provision; a 66⅔% supermajority for those provisions; and Section 203 applicability. The Charter currently provides 100,000,000 / 25,000,000; three series with participation, full ratchet, redemption and director-designation rights; annual election of all directors (§5.3); stockholder written consent (§6.3); Chancery forum only, with no federal forum provision (§8.1); amendment by simple majority (Art. X); and an express opt-out of DGCL §203 (Art. IX). It is silent on removal and cumulative voting. Item-by-item detail is in Part IV.</w:t>
            </w:r>
          </w:p>
        </w:tc>
      </w:tr>
      <w:tr>
        <w:tc>
          <w:tcPr>
            <w:tcW w:type="dxa" w:w="2088"/>
            <w:shd w:val="clear" w:color="auto" w:fill="E7ECF3"/>
          </w:tcPr>
          <w:p>
            <w:r/>
            <w:r>
              <w:rPr>
                <w:b/>
                <w:sz w:val="18"/>
              </w:rPr>
              <w:t>Analysis / exposure</w:t>
            </w:r>
          </w:p>
        </w:tc>
        <w:tc>
          <w:tcPr>
            <w:tcW w:type="dxa" w:w="7560"/>
          </w:tcPr>
          <w:p>
            <w:pPr>
              <w:spacing w:after="40"/>
            </w:pPr>
            <w:r/>
            <w:r>
              <w:rPr>
                <w:b w:val="0"/>
                <w:i w:val="0"/>
                <w:sz w:val="18"/>
              </w:rPr>
              <w:t xml:space="preserve">The Prospectus is forward-looking (“will provide”), so this is acceptable </w:t>
            </w:r>
            <w:r>
              <w:rPr>
                <w:b/>
                <w:i w:val="0"/>
                <w:sz w:val="18"/>
              </w:rPr>
              <w:t>only if</w:t>
            </w:r>
            <w:r>
              <w:rPr>
                <w:b w:val="0"/>
                <w:i w:val="0"/>
                <w:sz w:val="18"/>
              </w:rPr>
              <w:t xml:space="preserve"> the IPO Charter is approved and filed before closing. Until then the Prospectus describes provisions that do not exist, and the UA §6(j) closing condition is unsatisfied. Failure to file the IPO Charter by January 17, 2025 gives the Representative a termination right (UA §8(e)).</w:t>
            </w:r>
          </w:p>
        </w:tc>
      </w:tr>
      <w:tr>
        <w:tc>
          <w:tcPr>
            <w:tcW w:type="dxa" w:w="2088"/>
            <w:shd w:val="clear" w:color="auto" w:fill="E7ECF3"/>
          </w:tcPr>
          <w:p>
            <w:r/>
            <w:r>
              <w:rPr>
                <w:b/>
                <w:sz w:val="18"/>
              </w:rPr>
              <w:t>Recommended action</w:t>
            </w:r>
          </w:p>
        </w:tc>
        <w:tc>
          <w:tcPr>
            <w:tcW w:type="dxa" w:w="7560"/>
          </w:tcPr>
          <w:p>
            <w:pPr>
              <w:spacing w:after="40"/>
            </w:pPr>
            <w:r/>
            <w:r>
              <w:rPr>
                <w:b w:val="0"/>
                <w:i w:val="0"/>
                <w:sz w:val="18"/>
              </w:rPr>
              <w:t>Track each §6(j) item on the closing checklist. Confirm that the stockholder approval (which can be given by written consent under current Charter §6.3 and DGCL §228) is obtained before the written-consent right is eliminated. Add a Prospectus statement that the IPO Charter will be effective immediately prior to completion of the offering.</w:t>
            </w:r>
          </w:p>
        </w:tc>
      </w:tr>
    </w:tbl>
    <w:p>
      <w:pPr>
        <w:spacing w:after="40"/>
      </w:pPr>
    </w:p>
    <w:p>
      <w:pPr>
        <w:pStyle w:val="Heading3"/>
      </w:pPr>
      <w:r>
        <w:rPr>
          <w:color w:val="C00000"/>
        </w:rPr>
        <w:t xml:space="preserve">F-6  [CRITICAL]  </w:t>
      </w:r>
      <w:r>
        <w:t>Dilution: pro forma net tangible book value cannot be reconciled to the Capitalization table</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Prospectus, Capitalization (pro forma total stockholders’ equity $109,426,000; pro forma as adjusted $260,386,150). Prospectus, Dilution (pro forma NTBV “approximately $148.2 million, or approximately $3.50 per share”; pro forma as adjusted $299.2 million / $5.88; dilution $13.12; existing stockholders’ “Total Consideration” $148,225,000).</w:t>
            </w:r>
          </w:p>
        </w:tc>
      </w:tr>
      <w:tr>
        <w:tc>
          <w:tcPr>
            <w:tcW w:type="dxa" w:w="2088"/>
            <w:shd w:val="clear" w:color="auto" w:fill="E7ECF3"/>
          </w:tcPr>
          <w:p>
            <w:r/>
            <w:r>
              <w:rPr>
                <w:b/>
                <w:sz w:val="18"/>
              </w:rPr>
              <w:t>Deviation</w:t>
            </w:r>
          </w:p>
        </w:tc>
        <w:tc>
          <w:tcPr>
            <w:tcW w:type="dxa" w:w="7560"/>
          </w:tcPr>
          <w:p>
            <w:pPr>
              <w:spacing w:after="40"/>
            </w:pPr>
            <w:r/>
            <w:r>
              <w:rPr>
                <w:b w:val="0"/>
                <w:i w:val="0"/>
                <w:sz w:val="18"/>
              </w:rPr>
              <w:t xml:space="preserve">Converting the preferred stock moves $131,850,000 from mezzanine into equity: –$22.4 million + $131.85 million = </w:t>
            </w:r>
            <w:r>
              <w:rPr>
                <w:b/>
                <w:i w:val="0"/>
                <w:sz w:val="18"/>
              </w:rPr>
              <w:t>$109.4 million</w:t>
            </w:r>
            <w:r>
              <w:rPr>
                <w:b w:val="0"/>
                <w:i w:val="0"/>
                <w:sz w:val="18"/>
              </w:rPr>
              <w:t>, which is the figure the Capitalization table shows. The Dilution section instead uses $148.2 million, $38.8 million higher. Net tangible book value excludes intangibles, so it cannot exceed total stockholders’ equity. The existing stockholders’ “Total Consideration” ($148,225,000 = 42,350,000 × $3.50) is the NTBV figure, not consideration actually paid. Preferred issue prices alone imply about $121.3 million (see F-9).</w:t>
            </w:r>
          </w:p>
        </w:tc>
      </w:tr>
      <w:tr>
        <w:tc>
          <w:tcPr>
            <w:tcW w:type="dxa" w:w="2088"/>
            <w:shd w:val="clear" w:color="auto" w:fill="E7ECF3"/>
          </w:tcPr>
          <w:p>
            <w:r/>
            <w:r>
              <w:rPr>
                <w:b/>
                <w:sz w:val="18"/>
              </w:rPr>
              <w:t>Analysis / exposure</w:t>
            </w:r>
          </w:p>
        </w:tc>
        <w:tc>
          <w:tcPr>
            <w:tcW w:type="dxa" w:w="7560"/>
          </w:tcPr>
          <w:p>
            <w:pPr>
              <w:spacing w:after="40"/>
            </w:pPr>
            <w:r/>
            <w:r>
              <w:rPr>
                <w:b w:val="0"/>
                <w:i w:val="0"/>
                <w:sz w:val="18"/>
              </w:rPr>
              <w:t xml:space="preserve">Using the Capitalization figures (and before deducting any intangibles or offering expenses): pro forma NTBV is at most $109.4 million, or </w:t>
            </w:r>
            <w:r>
              <w:rPr>
                <w:b/>
                <w:i w:val="0"/>
                <w:sz w:val="18"/>
              </w:rPr>
              <w:t>$2.58</w:t>
            </w:r>
            <w:r>
              <w:rPr>
                <w:b w:val="0"/>
                <w:i w:val="0"/>
                <w:sz w:val="18"/>
              </w:rPr>
              <w:t xml:space="preserve"> per share. Pro forma as adjusted is at most $260.4 million, or </w:t>
            </w:r>
            <w:r>
              <w:rPr>
                <w:b/>
                <w:i w:val="0"/>
                <w:sz w:val="18"/>
              </w:rPr>
              <w:t>$5.12</w:t>
            </w:r>
            <w:r>
              <w:rPr>
                <w:b w:val="0"/>
                <w:i w:val="0"/>
                <w:sz w:val="18"/>
              </w:rPr>
              <w:t xml:space="preserve"> per share. The increase to existing holders is about $2.54 and dilution to new investors is at least </w:t>
            </w:r>
            <w:r>
              <w:rPr>
                <w:b/>
                <w:i w:val="0"/>
                <w:sz w:val="18"/>
              </w:rPr>
              <w:t>$13.88</w:t>
            </w:r>
            <w:r>
              <w:rPr>
                <w:b w:val="0"/>
                <w:i w:val="0"/>
                <w:sz w:val="18"/>
              </w:rPr>
              <w:t xml:space="preserve"> per share, against the $13.12 disclosed. The Prospectus therefore understates dilution, an Item 506 disclosure with Section 11/12 exposure.</w:t>
            </w:r>
          </w:p>
        </w:tc>
      </w:tr>
      <w:tr>
        <w:tc>
          <w:tcPr>
            <w:tcW w:type="dxa" w:w="2088"/>
            <w:shd w:val="clear" w:color="auto" w:fill="E7ECF3"/>
          </w:tcPr>
          <w:p>
            <w:r/>
            <w:r>
              <w:rPr>
                <w:b/>
                <w:sz w:val="18"/>
              </w:rPr>
              <w:t>Recommended action</w:t>
            </w:r>
          </w:p>
        </w:tc>
        <w:tc>
          <w:tcPr>
            <w:tcW w:type="dxa" w:w="7560"/>
          </w:tcPr>
          <w:p>
            <w:pPr>
              <w:spacing w:after="40"/>
            </w:pPr>
            <w:r/>
            <w:r>
              <w:rPr>
                <w:b w:val="0"/>
                <w:i w:val="0"/>
                <w:sz w:val="18"/>
              </w:rPr>
              <w:t>Have the auditors and finance team rebuild the Dilution section from the balance sheet (net of intangibles) and tie it to Capitalization. Replace the existing stockholders’ consideration with actual cash and other consideration received. Re-run the over-allotment sensitivity once F-2 is resolved. Add this to the comfort letter tick-and-tie (UA §6(d)).</w:t>
            </w:r>
          </w:p>
        </w:tc>
      </w:tr>
    </w:tbl>
    <w:p>
      <w:pPr>
        <w:spacing w:after="40"/>
      </w:pPr>
    </w:p>
    <w:p>
      <w:pPr>
        <w:pStyle w:val="Heading3"/>
      </w:pPr>
      <w:r>
        <w:rPr>
          <w:color w:val="C00000"/>
        </w:rPr>
        <w:t xml:space="preserve">F-7  [CRITICAL]  </w:t>
      </w:r>
      <w:r>
        <w:t>Lock-up form (Exhibit C) measures 180 days from the UA date, not the final Prospectus date</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UA §1 (“Lock-Up Period”: 180 days after the date of the final Prospectus); §5(i); §6(i) (agreements “substantially in the form of Exhibit C” restricting for 180 days after the final Prospectus). UA Exhibit C (“for a period of 180 days after the date of the Underwriting Agreement”). Prospectus: The Offering, Shares Eligible for Future Sale, and Underwriting (180 days “from/after the date of this prospectus”).</w:t>
            </w:r>
          </w:p>
        </w:tc>
      </w:tr>
      <w:tr>
        <w:tc>
          <w:tcPr>
            <w:tcW w:type="dxa" w:w="2088"/>
            <w:shd w:val="clear" w:color="auto" w:fill="E7ECF3"/>
          </w:tcPr>
          <w:p>
            <w:r/>
            <w:r>
              <w:rPr>
                <w:b/>
                <w:sz w:val="18"/>
              </w:rPr>
              <w:t>Deviation</w:t>
            </w:r>
          </w:p>
        </w:tc>
        <w:tc>
          <w:tcPr>
            <w:tcW w:type="dxa" w:w="7560"/>
          </w:tcPr>
          <w:p>
            <w:pPr>
              <w:spacing w:after="40"/>
            </w:pPr>
            <w:r/>
            <w:r>
              <w:rPr>
                <w:b w:val="0"/>
                <w:i w:val="0"/>
                <w:sz w:val="18"/>
              </w:rPr>
              <w:t>Exhibit C, which every director, officer, selling stockholder and 1% holder will sign, starts the 180 days on January 6, 2025 (UA date). The UA body and the Prospectus start it on the final Prospectus date (expected around January 14, 2025).</w:t>
            </w:r>
          </w:p>
        </w:tc>
      </w:tr>
      <w:tr>
        <w:tc>
          <w:tcPr>
            <w:tcW w:type="dxa" w:w="2088"/>
            <w:shd w:val="clear" w:color="auto" w:fill="E7ECF3"/>
          </w:tcPr>
          <w:p>
            <w:r/>
            <w:r>
              <w:rPr>
                <w:b/>
                <w:sz w:val="18"/>
              </w:rPr>
              <w:t>Analysis / exposure</w:t>
            </w:r>
          </w:p>
        </w:tc>
        <w:tc>
          <w:tcPr>
            <w:tcW w:type="dxa" w:w="7560"/>
          </w:tcPr>
          <w:p>
            <w:pPr>
              <w:spacing w:after="40"/>
            </w:pPr>
            <w:r/>
            <w:r>
              <w:rPr>
                <w:b w:val="0"/>
                <w:i w:val="0"/>
                <w:sz w:val="18"/>
              </w:rPr>
              <w:t>The signed lock-ups would expire about 8 days before the period disclosed to investors and required by §6(i), so the market overhang disclosure in the Prospectus would be inaccurate. The §6(i) condition (“restrict … for a period of 180 days after the date of the final Prospectus”) would not be satisfied by agreements in the attached form. That creates an internal conflict and a closing-condition risk. Rated Critical because the lock-ups must be signed before the Pricing Date (§6(i)).</w:t>
            </w:r>
          </w:p>
        </w:tc>
      </w:tr>
      <w:tr>
        <w:tc>
          <w:tcPr>
            <w:tcW w:type="dxa" w:w="2088"/>
            <w:shd w:val="clear" w:color="auto" w:fill="E7ECF3"/>
          </w:tcPr>
          <w:p>
            <w:r/>
            <w:r>
              <w:rPr>
                <w:b/>
                <w:sz w:val="18"/>
              </w:rPr>
              <w:t>Recommended action</w:t>
            </w:r>
          </w:p>
        </w:tc>
        <w:tc>
          <w:tcPr>
            <w:tcW w:type="dxa" w:w="7560"/>
          </w:tcPr>
          <w:p>
            <w:pPr>
              <w:spacing w:after="40"/>
            </w:pPr>
            <w:r/>
            <w:r>
              <w:rPr>
                <w:b w:val="0"/>
                <w:i w:val="0"/>
                <w:sz w:val="18"/>
              </w:rPr>
              <w:t>Amend Exhibit C to “180 days after the date of the final prospectus relating to the Offering”. Re-paper any lock-ups already signed. Add the customary automatic-termination provisions (e.g., if the UA is not signed by an outside date).</w:t>
            </w:r>
          </w:p>
        </w:tc>
      </w:tr>
    </w:tbl>
    <w:p>
      <w:pPr>
        <w:spacing w:after="40"/>
      </w:pPr>
    </w:p>
    <w:p>
      <w:pPr>
        <w:pStyle w:val="Heading2"/>
      </w:pPr>
      <w:r>
        <w:t>B. High</w:t>
      </w:r>
    </w:p>
    <w:p>
      <w:pPr>
        <w:pStyle w:val="Heading3"/>
      </w:pPr>
      <w:r>
        <w:rPr>
          <w:color w:val="C55A11"/>
        </w:rPr>
        <w:t xml:space="preserve">F-8  [HIGH]  </w:t>
      </w:r>
      <w:r>
        <w:t>Net proceeds described as “after offering expenses” but calculated before them; pro forma as adjusted APIC/equity arithmetic error</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Prospectus: cover table (“Proceeds to the Company (before expenses) … $151,002,500”); Use of Proceeds (“net proceeds … approximately $151.0 million … after deducting the estimated underwriting discount and estimated offering expenses”); Capitalization (“After deducting the underwriting discount … and estimated offering expenses … net proceeds … approximately $151,002,500”; pro forma as adjusted cash $215,702,500; APIC $371,185,300; equity $260,386,150); Underwriting (“total offering expenses … approximately $[●] million”). UA §2(a) (“net proceeds … (before deducting other offering expenses) … $151,002,500”).</w:t>
            </w:r>
          </w:p>
        </w:tc>
      </w:tr>
      <w:tr>
        <w:tc>
          <w:tcPr>
            <w:tcW w:type="dxa" w:w="2088"/>
            <w:shd w:val="clear" w:color="auto" w:fill="E7ECF3"/>
          </w:tcPr>
          <w:p>
            <w:r/>
            <w:r>
              <w:rPr>
                <w:b/>
                <w:sz w:val="18"/>
              </w:rPr>
              <w:t>Deviation</w:t>
            </w:r>
          </w:p>
        </w:tc>
        <w:tc>
          <w:tcPr>
            <w:tcW w:type="dxa" w:w="7560"/>
          </w:tcPr>
          <w:p>
            <w:pPr>
              <w:spacing w:after="40"/>
            </w:pPr>
            <w:r/>
            <w:r>
              <w:rPr>
                <w:b w:val="0"/>
                <w:i w:val="0"/>
                <w:sz w:val="18"/>
              </w:rPr>
              <w:t xml:space="preserve">$151,002,500 is 8,500,000 × $17.765, i.e., after the discount only. The UA correctly says it is before other expenses. Use of Proceeds and Capitalization say expenses have also been deducted, but no expense amount is shown. Pro forma as adjusted cash ($64.7 million + $151,002,500 = $215,702,500) confirms no expenses were deducted. Separately, the pro forma as adjusted APIC should be $220,233,650 + $151,002,500 – $8,500 (par on the new shares) = </w:t>
            </w:r>
            <w:r>
              <w:rPr>
                <w:b/>
                <w:i w:val="0"/>
                <w:sz w:val="18"/>
              </w:rPr>
              <w:t>$371,227,650</w:t>
            </w:r>
            <w:r>
              <w:rPr>
                <w:b w:val="0"/>
                <w:i w:val="0"/>
                <w:sz w:val="18"/>
              </w:rPr>
              <w:t xml:space="preserve">. The table shows $371,185,300 because it deducted par on all 50,850,000 shares ($50,850) instead of only the 8,500,000 new shares. Pro forma as adjusted equity is understated by </w:t>
            </w:r>
            <w:r>
              <w:rPr>
                <w:b/>
                <w:i w:val="0"/>
                <w:sz w:val="18"/>
              </w:rPr>
              <w:t>$42,350</w:t>
            </w:r>
            <w:r>
              <w:rPr>
                <w:b w:val="0"/>
                <w:i w:val="0"/>
                <w:sz w:val="18"/>
              </w:rPr>
              <w:t xml:space="preserve"> (should be $260,428,500 before expenses).</w:t>
            </w:r>
          </w:p>
        </w:tc>
      </w:tr>
      <w:tr>
        <w:tc>
          <w:tcPr>
            <w:tcW w:type="dxa" w:w="2088"/>
            <w:shd w:val="clear" w:color="auto" w:fill="E7ECF3"/>
          </w:tcPr>
          <w:p>
            <w:r/>
            <w:r>
              <w:rPr>
                <w:b/>
                <w:sz w:val="18"/>
              </w:rPr>
              <w:t>Analysis / exposure</w:t>
            </w:r>
          </w:p>
        </w:tc>
        <w:tc>
          <w:tcPr>
            <w:tcW w:type="dxa" w:w="7560"/>
          </w:tcPr>
          <w:p>
            <w:pPr>
              <w:spacing w:after="40"/>
            </w:pPr>
            <w:r/>
            <w:r>
              <w:rPr>
                <w:b w:val="0"/>
                <w:i w:val="0"/>
                <w:sz w:val="18"/>
              </w:rPr>
              <w:t>Use of Proceeds, Capitalization and Dilution all overstate net proceeds by the (undisclosed) offering expenses, and the Capitalization columns do not foot.</w:t>
            </w:r>
          </w:p>
        </w:tc>
      </w:tr>
      <w:tr>
        <w:tc>
          <w:tcPr>
            <w:tcW w:type="dxa" w:w="2088"/>
            <w:shd w:val="clear" w:color="auto" w:fill="E7ECF3"/>
          </w:tcPr>
          <w:p>
            <w:r/>
            <w:r>
              <w:rPr>
                <w:b/>
                <w:sz w:val="18"/>
              </w:rPr>
              <w:t>Recommended action</w:t>
            </w:r>
          </w:p>
        </w:tc>
        <w:tc>
          <w:tcPr>
            <w:tcW w:type="dxa" w:w="7560"/>
          </w:tcPr>
          <w:p>
            <w:pPr>
              <w:spacing w:after="40"/>
            </w:pPr>
            <w:r/>
            <w:r>
              <w:rPr>
                <w:b w:val="0"/>
                <w:i w:val="0"/>
                <w:sz w:val="18"/>
              </w:rPr>
              <w:t>Insert the estimated expenses. Restate net proceeds, pro forma as adjusted cash, APIC and equity. Correct the APIC formula. Run a full tick-and-tie with Pennington Frost.</w:t>
            </w:r>
          </w:p>
        </w:tc>
      </w:tr>
    </w:tbl>
    <w:p>
      <w:pPr>
        <w:spacing w:after="40"/>
      </w:pPr>
    </w:p>
    <w:p>
      <w:pPr>
        <w:pStyle w:val="Heading3"/>
      </w:pPr>
      <w:r>
        <w:rPr>
          <w:color w:val="C55A11"/>
        </w:rPr>
        <w:t xml:space="preserve">F-9  [HIGH]  </w:t>
      </w:r>
      <w:r>
        <w:t>Preferred stock carrying values and “redeemable” labels inconsistent with the Charter</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Prospectus, Capitalization (“Redeemable convertible preferred stock”: Series A $32,800,000; Series B $58,250,000; Series C $40,800,000). Charter §§4.4(a)/(h), 4.5(a)/(h), 4.6(a)/(h) (Original Issue Prices $1.50 / $4.25 / $8.75; Series A and B “shall not be redeemable”; only Series C redeemable after the 5th anniversary at the 60% holders’ election).</w:t>
            </w:r>
          </w:p>
        </w:tc>
      </w:tr>
      <w:tr>
        <w:tc>
          <w:tcPr>
            <w:tcW w:type="dxa" w:w="2088"/>
            <w:shd w:val="clear" w:color="auto" w:fill="E7ECF3"/>
          </w:tcPr>
          <w:p>
            <w:r/>
            <w:r>
              <w:rPr>
                <w:b/>
                <w:sz w:val="18"/>
              </w:rPr>
              <w:t>Deviation</w:t>
            </w:r>
          </w:p>
        </w:tc>
        <w:tc>
          <w:tcPr>
            <w:tcW w:type="dxa" w:w="7560"/>
          </w:tcPr>
          <w:p>
            <w:pPr>
              <w:spacing w:after="40"/>
            </w:pPr>
            <w:r/>
            <w:r>
              <w:rPr>
                <w:b w:val="0"/>
                <w:i w:val="0"/>
                <w:sz w:val="18"/>
              </w:rPr>
              <w:t>The carrying values imply $4.00 (A), $5.00 (B) and $6.00 (C) per share, against Original Issue Prices of $1.50, $4.25 and $8.75. At issue price the series total $12,300,000 / $49,512,500 / $59,500,000 = $121,312,500, against $131,850,000 shown. Series A and B are labeled “redeemable” although the Charter makes them non-redeemable.</w:t>
            </w:r>
          </w:p>
        </w:tc>
      </w:tr>
      <w:tr>
        <w:tc>
          <w:tcPr>
            <w:tcW w:type="dxa" w:w="2088"/>
            <w:shd w:val="clear" w:color="auto" w:fill="E7ECF3"/>
          </w:tcPr>
          <w:p>
            <w:r/>
            <w:r>
              <w:rPr>
                <w:b/>
                <w:sz w:val="18"/>
              </w:rPr>
              <w:t>Analysis / exposure</w:t>
            </w:r>
          </w:p>
        </w:tc>
        <w:tc>
          <w:tcPr>
            <w:tcW w:type="dxa" w:w="7560"/>
          </w:tcPr>
          <w:p>
            <w:pPr>
              <w:spacing w:after="40"/>
            </w:pPr>
            <w:r/>
            <w:r>
              <w:rPr>
                <w:b w:val="0"/>
                <w:i w:val="0"/>
                <w:sz w:val="18"/>
              </w:rPr>
              <w:t>Carrying values can differ from issue price (issuance costs, accretion, deemed-liquidation mezzanine classification), but Series A carried at 2.7x its issue price and Series C below its issue price and redemption price ($8.75 plus declared dividends) need an explanation. These figures drive the pro forma APIC and dilution consideration.</w:t>
            </w:r>
          </w:p>
        </w:tc>
      </w:tr>
      <w:tr>
        <w:tc>
          <w:tcPr>
            <w:tcW w:type="dxa" w:w="2088"/>
            <w:shd w:val="clear" w:color="auto" w:fill="E7ECF3"/>
          </w:tcPr>
          <w:p>
            <w:r/>
            <w:r>
              <w:rPr>
                <w:b/>
                <w:sz w:val="18"/>
              </w:rPr>
              <w:t>Recommended action</w:t>
            </w:r>
          </w:p>
        </w:tc>
        <w:tc>
          <w:tcPr>
            <w:tcW w:type="dxa" w:w="7560"/>
          </w:tcPr>
          <w:p>
            <w:pPr>
              <w:spacing w:after="40"/>
            </w:pPr>
            <w:r/>
            <w:r>
              <w:rPr>
                <w:b w:val="0"/>
                <w:i w:val="0"/>
                <w:sz w:val="18"/>
              </w:rPr>
              <w:t>Tie the amounts to the audited balance sheet and footnotes. Relabel as “convertible preferred stock” (or explain the mezzanine classification based on the Deemed Liquidation Event provisions in Charter §4.7). Disclose the basis for the carrying amounts.</w:t>
            </w:r>
          </w:p>
        </w:tc>
      </w:tr>
    </w:tbl>
    <w:p>
      <w:pPr>
        <w:spacing w:after="40"/>
      </w:pPr>
    </w:p>
    <w:p>
      <w:pPr>
        <w:pStyle w:val="Heading3"/>
      </w:pPr>
      <w:r>
        <w:rPr>
          <w:color w:val="C55A11"/>
        </w:rPr>
        <w:t xml:space="preserve">F-10  [HIGH]  </w:t>
      </w:r>
      <w:r>
        <w:t>Automatic conversion timing and sequencing: “upon the closing” (Charter) vs. “immediately prior to” (Prospectus) vs. before Closing/IPO Charter filing (UA)</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Charter §§4.4(d), 4.5(d), 4.6(d) (automatic conversion “upon (i) the closing of” a Qualified IPO, or (ii) written consent of a majority of Series A, a majority of Series B, or 60% of Series C). Prospectus, Capitalization and Dilution (conversion “immediately prior to the completion of this offering”). UA §4(e) (preferred held by Selling Stockholders converted “prior to the Closing Date”); §6(j)(ii) (upon filing of the IPO Charter, no preferred outstanding and all preferred converted).</w:t>
            </w:r>
          </w:p>
        </w:tc>
      </w:tr>
      <w:tr>
        <w:tc>
          <w:tcPr>
            <w:tcW w:type="dxa" w:w="2088"/>
            <w:shd w:val="clear" w:color="auto" w:fill="E7ECF3"/>
          </w:tcPr>
          <w:p>
            <w:r/>
            <w:r>
              <w:rPr>
                <w:b/>
                <w:sz w:val="18"/>
              </w:rPr>
              <w:t>Deviation</w:t>
            </w:r>
          </w:p>
        </w:tc>
        <w:tc>
          <w:tcPr>
            <w:tcW w:type="dxa" w:w="7560"/>
          </w:tcPr>
          <w:p>
            <w:pPr>
              <w:spacing w:after="40"/>
            </w:pPr>
            <w:r/>
            <w:r>
              <w:rPr>
                <w:b w:val="0"/>
                <w:i w:val="0"/>
                <w:sz w:val="18"/>
              </w:rPr>
              <w:t>Under the Charter, a Qualified IPO conversion happens at the closing. But (a) the Selling Stockholders must deliver common stock at that closing, (b) the IPO Charter, which cuts authorized preferred to 10,000,000 and removes the series, must be filed “at or prior to” closing, and the 26,650,000 outstanding preferred shares could not survive a reduction to 10,000,000 authorized, and (c) UA §4(e) requires conversion before the Closing Date.</w:t>
            </w:r>
          </w:p>
        </w:tc>
      </w:tr>
      <w:tr>
        <w:tc>
          <w:tcPr>
            <w:tcW w:type="dxa" w:w="2088"/>
            <w:shd w:val="clear" w:color="auto" w:fill="E7ECF3"/>
          </w:tcPr>
          <w:p>
            <w:r/>
            <w:r>
              <w:rPr>
                <w:b/>
                <w:sz w:val="18"/>
              </w:rPr>
              <w:t>Analysis / exposure</w:t>
            </w:r>
          </w:p>
        </w:tc>
        <w:tc>
          <w:tcPr>
            <w:tcW w:type="dxa" w:w="7560"/>
          </w:tcPr>
          <w:p>
            <w:pPr>
              <w:spacing w:after="40"/>
            </w:pPr>
            <w:r/>
            <w:r>
              <w:rPr>
                <w:b w:val="0"/>
                <w:i w:val="0"/>
                <w:sz w:val="18"/>
              </w:rPr>
              <w:t>The Qualified IPO trigger is circular for these purposes. The documents show no series written consents under clause (ii) of each conversion section. Unless conversion is effected separately and in sequence (conversion, then IPO Charter filing, then closing), the Selling Stockholders cannot deliver common stock and the Charter filing would conflict with outstanding preferred.</w:t>
            </w:r>
          </w:p>
        </w:tc>
      </w:tr>
      <w:tr>
        <w:tc>
          <w:tcPr>
            <w:tcW w:type="dxa" w:w="2088"/>
            <w:shd w:val="clear" w:color="auto" w:fill="E7ECF3"/>
          </w:tcPr>
          <w:p>
            <w:r/>
            <w:r>
              <w:rPr>
                <w:b/>
                <w:sz w:val="18"/>
              </w:rPr>
              <w:t>Recommended action</w:t>
            </w:r>
          </w:p>
        </w:tc>
        <w:tc>
          <w:tcPr>
            <w:tcW w:type="dxa" w:w="7560"/>
          </w:tcPr>
          <w:p>
            <w:pPr>
              <w:spacing w:after="40"/>
            </w:pPr>
            <w:r/>
            <w:r>
              <w:rPr>
                <w:b w:val="0"/>
                <w:i w:val="0"/>
                <w:sz w:val="18"/>
              </w:rPr>
              <w:t xml:space="preserve">Obtain written consents from a majority of Series A, a majority of Series B and </w:t>
            </w:r>
            <w:r>
              <w:rPr>
                <w:b/>
                <w:i w:val="0"/>
                <w:sz w:val="18"/>
              </w:rPr>
              <w:t>at least 60% of Series C</w:t>
            </w:r>
            <w:r>
              <w:rPr>
                <w:b w:val="0"/>
                <w:i w:val="0"/>
                <w:sz w:val="18"/>
              </w:rPr>
              <w:t>, electing conversion effective immediately prior to closing (contingent on the closing). Set the closing-morning sequence in the closing memorandum. Conform the Prospectus wording. Note that the Qualified IPO thresholds ($50 million gross to the Company; at least $10.00 per share) are met across the range ($153.0 million at $18.00), so the consents are needed for timing only.</w:t>
            </w:r>
          </w:p>
        </w:tc>
      </w:tr>
    </w:tbl>
    <w:p>
      <w:pPr>
        <w:spacing w:after="40"/>
      </w:pPr>
    </w:p>
    <w:p>
      <w:pPr>
        <w:pStyle w:val="Heading3"/>
      </w:pPr>
      <w:r>
        <w:rPr>
          <w:color w:val="C55A11"/>
        </w:rPr>
        <w:t xml:space="preserve">F-11  [HIGH]  </w:t>
      </w:r>
      <w:r>
        <w:t>Approvals required to adopt the IPO Charter are not addressed</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Charter §4.4(f)(i), (g)(i) (Series A majority); §4.5(f)(i), (g)(i) (Series B majority); §4.6(f)(i), (g)(i), (g)(vi) (</w:t>
            </w:r>
            <w:r>
              <w:rPr>
                <w:b/>
                <w:i w:val="0"/>
                <w:sz w:val="18"/>
              </w:rPr>
              <w:t>Series C 60%</w:t>
            </w:r>
            <w:r>
              <w:rPr>
                <w:b w:val="0"/>
                <w:i w:val="0"/>
                <w:sz w:val="18"/>
              </w:rPr>
              <w:t>); Art. X (majority of voting power, plus series votes); DGCL §§242(b), 245. UA §3(c) (“all necessary stockholder approvals, has been or prior to the Closing Date will have been taken”). Prospectus (silent).</w:t>
            </w:r>
          </w:p>
        </w:tc>
      </w:tr>
      <w:tr>
        <w:tc>
          <w:tcPr>
            <w:tcW w:type="dxa" w:w="2088"/>
            <w:shd w:val="clear" w:color="auto" w:fill="E7ECF3"/>
          </w:tcPr>
          <w:p>
            <w:r/>
            <w:r>
              <w:rPr>
                <w:b/>
                <w:sz w:val="18"/>
              </w:rPr>
              <w:t>Deviation</w:t>
            </w:r>
          </w:p>
        </w:tc>
        <w:tc>
          <w:tcPr>
            <w:tcW w:type="dxa" w:w="7560"/>
          </w:tcPr>
          <w:p>
            <w:pPr>
              <w:spacing w:after="40"/>
            </w:pPr>
            <w:r/>
            <w:r>
              <w:rPr>
                <w:b w:val="0"/>
                <w:i w:val="0"/>
                <w:sz w:val="18"/>
              </w:rPr>
              <w:t>Eliminating the series and their rights, reducing authorized preferred and changing governance each “alter[s] or change[s] the rights, preferences, or privileges” of every series. That needs separate series votes at different thresholds (Series C at 60%), in addition to the Article X vote and any DGCL §242(b)(2) class vote on the change in authorized preferred.</w:t>
            </w:r>
          </w:p>
        </w:tc>
      </w:tr>
      <w:tr>
        <w:tc>
          <w:tcPr>
            <w:tcW w:type="dxa" w:w="2088"/>
            <w:shd w:val="clear" w:color="auto" w:fill="E7ECF3"/>
          </w:tcPr>
          <w:p>
            <w:r/>
            <w:r>
              <w:rPr>
                <w:b/>
                <w:sz w:val="18"/>
              </w:rPr>
              <w:t>Analysis / exposure</w:t>
            </w:r>
          </w:p>
        </w:tc>
        <w:tc>
          <w:tcPr>
            <w:tcW w:type="dxa" w:w="7560"/>
          </w:tcPr>
          <w:p>
            <w:pPr>
              <w:spacing w:after="40"/>
            </w:pPr>
            <w:r/>
            <w:r>
              <w:rPr>
                <w:b w:val="0"/>
                <w:i w:val="0"/>
                <w:sz w:val="18"/>
              </w:rPr>
              <w:t>Without evidence of these approvals, the UA §3(c) representation and the §6(j) condition are at risk. The 60% Series C threshold is the most likely holdout point.</w:t>
            </w:r>
          </w:p>
        </w:tc>
      </w:tr>
      <w:tr>
        <w:tc>
          <w:tcPr>
            <w:tcW w:type="dxa" w:w="2088"/>
            <w:shd w:val="clear" w:color="auto" w:fill="E7ECF3"/>
          </w:tcPr>
          <w:p>
            <w:r/>
            <w:r>
              <w:rPr>
                <w:b/>
                <w:sz w:val="18"/>
              </w:rPr>
              <w:t>Recommended action</w:t>
            </w:r>
          </w:p>
        </w:tc>
        <w:tc>
          <w:tcPr>
            <w:tcW w:type="dxa" w:w="7560"/>
          </w:tcPr>
          <w:p>
            <w:pPr>
              <w:spacing w:after="40"/>
            </w:pPr>
            <w:r/>
            <w:r>
              <w:rPr>
                <w:b w:val="0"/>
                <w:i w:val="0"/>
                <w:sz w:val="18"/>
              </w:rPr>
              <w:t>Prepare the board resolutions and the stockholder, Series A, Series B and Series C written consents (Charter §6.3; DGCL §228), with the §228(e) prompt notice to non-consenting holders. Add the consents to the closing deliverables and the Hargrove Whitfield opinion back-up.</w:t>
            </w:r>
          </w:p>
        </w:tc>
      </w:tr>
    </w:tbl>
    <w:p>
      <w:pPr>
        <w:spacing w:after="40"/>
      </w:pPr>
    </w:p>
    <w:p>
      <w:pPr>
        <w:pStyle w:val="Heading3"/>
      </w:pPr>
      <w:r>
        <w:rPr>
          <w:color w:val="C55A11"/>
        </w:rPr>
        <w:t xml:space="preserve">F-12  [HIGH]  </w:t>
      </w:r>
      <w:r>
        <w:t>Lock-up parties described inconsistently</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 xml:space="preserve">Prospectus, The Offering (“We, all of our directors and executive officers, and the selling stockholders”); Shares Eligible for Future Sale and Underwriting (“holders of substantially all of our common stock and securities convertible”); Risk Factors (the remaining “approximately 39,350,000 shares” restricted or locked up). UA §6(i) (directors, executive officers and </w:t>
            </w:r>
            <w:r>
              <w:rPr>
                <w:b/>
                <w:i w:val="0"/>
                <w:sz w:val="18"/>
              </w:rPr>
              <w:t>holders of 1% or more</w:t>
            </w:r>
            <w:r>
              <w:rPr>
                <w:b w:val="0"/>
                <w:i w:val="0"/>
                <w:sz w:val="18"/>
              </w:rPr>
              <w:t xml:space="preserve"> on an as-converted basis, plus Selling Stockholders).</w:t>
            </w:r>
          </w:p>
        </w:tc>
      </w:tr>
      <w:tr>
        <w:tc>
          <w:tcPr>
            <w:tcW w:type="dxa" w:w="2088"/>
            <w:shd w:val="clear" w:color="auto" w:fill="E7ECF3"/>
          </w:tcPr>
          <w:p>
            <w:r/>
            <w:r>
              <w:rPr>
                <w:b/>
                <w:sz w:val="18"/>
              </w:rPr>
              <w:t>Deviation</w:t>
            </w:r>
          </w:p>
        </w:tc>
        <w:tc>
          <w:tcPr>
            <w:tcW w:type="dxa" w:w="7560"/>
          </w:tcPr>
          <w:p>
            <w:pPr>
              <w:spacing w:after="40"/>
            </w:pPr>
            <w:r/>
            <w:r>
              <w:rPr>
                <w:b w:val="0"/>
                <w:i w:val="0"/>
                <w:sz w:val="18"/>
              </w:rPr>
              <w:t>The Summary describes a narrower group than the body of the Prospectus. The UA requires lock-ups only from 1% holders, which may not reach “substantially all” holders, particularly given the unexplained 3,200,000 non-founder common shares (F-3).</w:t>
            </w:r>
          </w:p>
        </w:tc>
      </w:tr>
      <w:tr>
        <w:tc>
          <w:tcPr>
            <w:tcW w:type="dxa" w:w="2088"/>
            <w:shd w:val="clear" w:color="auto" w:fill="E7ECF3"/>
          </w:tcPr>
          <w:p>
            <w:r/>
            <w:r>
              <w:rPr>
                <w:b/>
                <w:sz w:val="18"/>
              </w:rPr>
              <w:t>Analysis / exposure</w:t>
            </w:r>
          </w:p>
        </w:tc>
        <w:tc>
          <w:tcPr>
            <w:tcW w:type="dxa" w:w="7560"/>
          </w:tcPr>
          <w:p>
            <w:pPr>
              <w:spacing w:after="40"/>
            </w:pPr>
            <w:r/>
            <w:r>
              <w:rPr>
                <w:b w:val="0"/>
                <w:i w:val="0"/>
                <w:sz w:val="18"/>
              </w:rPr>
              <w:t>The overhang disclosure (39,350,000 shares locked up or restricted) may be inaccurate if sub-1% holders are not bound. Rule 144 and Rule 701 holders could sell 90 days after the offering.</w:t>
            </w:r>
          </w:p>
        </w:tc>
      </w:tr>
      <w:tr>
        <w:tc>
          <w:tcPr>
            <w:tcW w:type="dxa" w:w="2088"/>
            <w:shd w:val="clear" w:color="auto" w:fill="E7ECF3"/>
          </w:tcPr>
          <w:p>
            <w:r/>
            <w:r>
              <w:rPr>
                <w:b/>
                <w:sz w:val="18"/>
              </w:rPr>
              <w:t>Recommended action</w:t>
            </w:r>
          </w:p>
        </w:tc>
        <w:tc>
          <w:tcPr>
            <w:tcW w:type="dxa" w:w="7560"/>
          </w:tcPr>
          <w:p>
            <w:pPr>
              <w:spacing w:after="40"/>
            </w:pPr>
            <w:r/>
            <w:r>
              <w:rPr>
                <w:b w:val="0"/>
                <w:i w:val="0"/>
                <w:sz w:val="18"/>
              </w:rPr>
              <w:t>Decide the target population. Either expand UA §6(i) to “substantially all” holders, or change the Prospectus to describe the actual coverage and quantify any unlocked shares. Conform the Summary.</w:t>
            </w:r>
          </w:p>
        </w:tc>
      </w:tr>
    </w:tbl>
    <w:p>
      <w:pPr>
        <w:spacing w:after="40"/>
      </w:pPr>
    </w:p>
    <w:p>
      <w:pPr>
        <w:pStyle w:val="Heading3"/>
      </w:pPr>
      <w:r>
        <w:rPr>
          <w:color w:val="C55A11"/>
        </w:rPr>
        <w:t xml:space="preserve">F-13  [HIGH]  </w:t>
      </w:r>
      <w:r>
        <w:t>Lock-up exceptions in the Prospectus do not match the form in UA Exhibit C</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 xml:space="preserve">Prospectus, Shares Eligible for Future Sale (gifts/estate planning; will or intestate succession; nominee/custodian; 10b5-1 plans “established … prior to the offering”; tax withholding up to [●] shares; catch-all with no-filing condition). Prospectus, Underwriting (adds domestic relations orders; tax-withholding “subject to caps”). UA Exhibit C (i)–(vii) (gifts; family/trusts; </w:t>
            </w:r>
            <w:r>
              <w:rPr>
                <w:b/>
                <w:i w:val="0"/>
                <w:sz w:val="18"/>
              </w:rPr>
              <w:t>distributions by partnerships/LLCs to partners/members</w:t>
            </w:r>
            <w:r>
              <w:rPr>
                <w:b w:val="0"/>
                <w:i w:val="0"/>
                <w:sz w:val="18"/>
              </w:rPr>
              <w:t xml:space="preserve">; DRO; </w:t>
            </w:r>
            <w:r>
              <w:rPr>
                <w:b/>
                <w:i w:val="0"/>
                <w:sz w:val="18"/>
              </w:rPr>
              <w:t>establishment</w:t>
            </w:r>
            <w:r>
              <w:rPr>
                <w:b w:val="0"/>
                <w:i w:val="0"/>
                <w:sz w:val="18"/>
              </w:rPr>
              <w:t xml:space="preserve"> of new 10b5-1 plans; option exercise/RSU settlement; tax withholding to the Company with no cap). UA §5(i) (Company lock-up exceptions (A)–(C)).</w:t>
            </w:r>
          </w:p>
        </w:tc>
      </w:tr>
      <w:tr>
        <w:tc>
          <w:tcPr>
            <w:tcW w:type="dxa" w:w="2088"/>
            <w:shd w:val="clear" w:color="auto" w:fill="E7ECF3"/>
          </w:tcPr>
          <w:p>
            <w:r/>
            <w:r>
              <w:rPr>
                <w:b/>
                <w:sz w:val="18"/>
              </w:rPr>
              <w:t>Deviation</w:t>
            </w:r>
          </w:p>
        </w:tc>
        <w:tc>
          <w:tcPr>
            <w:tcW w:type="dxa" w:w="7560"/>
          </w:tcPr>
          <w:p>
            <w:pPr>
              <w:spacing w:after="40"/>
            </w:pPr>
            <w:r/>
            <w:r>
              <w:rPr>
                <w:b w:val="0"/>
                <w:i w:val="0"/>
                <w:sz w:val="18"/>
              </w:rPr>
              <w:t>Exhibit C has no will/intestacy, nominee/custodian or catch-all exception, and no Exchange Act filing or announcement condition. The Prospectus omits Exhibit C’s fund-distribution exception (important for Redhill and Solstice) and option-exercise exception, limits 10b5-1 to pre-existing plans where Exhibit C allows new plans, and describes caps that Exhibit C does not contain. The Prospectus does not describe the Company’s own lock-up exceptions (UA §5(i)(A)–(C)). It also states Stonebridge may release “without notice”, but neither document provides for the FINRA Rule 5131(d)(2) announcement of releases for officers and directors.</w:t>
            </w:r>
          </w:p>
        </w:tc>
      </w:tr>
      <w:tr>
        <w:tc>
          <w:tcPr>
            <w:tcW w:type="dxa" w:w="2088"/>
            <w:shd w:val="clear" w:color="auto" w:fill="E7ECF3"/>
          </w:tcPr>
          <w:p>
            <w:r/>
            <w:r>
              <w:rPr>
                <w:b/>
                <w:sz w:val="18"/>
              </w:rPr>
              <w:t>Analysis / exposure</w:t>
            </w:r>
          </w:p>
        </w:tc>
        <w:tc>
          <w:tcPr>
            <w:tcW w:type="dxa" w:w="7560"/>
          </w:tcPr>
          <w:p>
            <w:pPr>
              <w:spacing w:after="40"/>
            </w:pPr>
            <w:r/>
            <w:r>
              <w:rPr>
                <w:b w:val="0"/>
                <w:i w:val="0"/>
                <w:sz w:val="18"/>
              </w:rPr>
              <w:t>Inconsistent descriptions of transfer restrictions on 39,350,000 shares are material to market overhang and expose the Company and Underwriters to disclosure claims. The fund-distribution exception is especially relevant because two VC funds are Selling Stockholders.</w:t>
            </w:r>
          </w:p>
        </w:tc>
      </w:tr>
      <w:tr>
        <w:tc>
          <w:tcPr>
            <w:tcW w:type="dxa" w:w="2088"/>
            <w:shd w:val="clear" w:color="auto" w:fill="E7ECF3"/>
          </w:tcPr>
          <w:p>
            <w:r/>
            <w:r>
              <w:rPr>
                <w:b/>
                <w:sz w:val="18"/>
              </w:rPr>
              <w:t>Recommended action</w:t>
            </w:r>
          </w:p>
        </w:tc>
        <w:tc>
          <w:tcPr>
            <w:tcW w:type="dxa" w:w="7560"/>
          </w:tcPr>
          <w:p>
            <w:pPr>
              <w:spacing w:after="40"/>
            </w:pPr>
            <w:r/>
            <w:r>
              <w:rPr>
                <w:b w:val="0"/>
                <w:i w:val="0"/>
                <w:sz w:val="18"/>
              </w:rPr>
              <w:t>Finalize the negotiated Exhibit C. Then conform both Prospectus sections word-for-word. Add the Company exceptions and the FINRA 5131 notice and announcement mechanics (UA covenant and Prospectus disclosure).</w:t>
            </w:r>
          </w:p>
        </w:tc>
      </w:tr>
    </w:tbl>
    <w:p>
      <w:pPr>
        <w:spacing w:after="40"/>
      </w:pPr>
    </w:p>
    <w:p>
      <w:pPr>
        <w:pStyle w:val="Heading3"/>
      </w:pPr>
      <w:r>
        <w:rPr>
          <w:color w:val="C55A11"/>
        </w:rPr>
        <w:t xml:space="preserve">F-14  [HIGH]  </w:t>
      </w:r>
      <w:r>
        <w:t>Exclusive forum provisions: three different formulations</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 xml:space="preserve">Charter §8.1 (Chancery → </w:t>
            </w:r>
            <w:r>
              <w:rPr>
                <w:b/>
                <w:i w:val="0"/>
                <w:sz w:val="18"/>
              </w:rPr>
              <w:t>Superior Court of Delaware</w:t>
            </w:r>
            <w:r>
              <w:rPr>
                <w:b w:val="0"/>
                <w:i w:val="0"/>
                <w:sz w:val="18"/>
              </w:rPr>
              <w:t xml:space="preserve"> → D. Del.; covers current or former director, officer, employee </w:t>
            </w:r>
            <w:r>
              <w:rPr>
                <w:b/>
                <w:i w:val="0"/>
                <w:sz w:val="18"/>
              </w:rPr>
              <w:t>or agent</w:t>
            </w:r>
            <w:r>
              <w:rPr>
                <w:b w:val="0"/>
                <w:i w:val="0"/>
                <w:sz w:val="18"/>
              </w:rPr>
              <w:t xml:space="preserve">; no federal forum provision). UA §6(j)(vii) (Chancery → </w:t>
            </w:r>
            <w:r>
              <w:rPr>
                <w:b/>
                <w:i w:val="0"/>
                <w:sz w:val="18"/>
              </w:rPr>
              <w:t>another state court located within Delaware</w:t>
            </w:r>
            <w:r>
              <w:rPr>
                <w:b w:val="0"/>
                <w:i w:val="0"/>
                <w:sz w:val="18"/>
              </w:rPr>
              <w:t xml:space="preserve"> → D. Del.; current or former director, officer or employee; federal forum provision “including all causes of action asserted against any defendant named in any such complaint”). Prospectus, Description of Capital Stock (Chancery → </w:t>
            </w:r>
            <w:r>
              <w:rPr>
                <w:b/>
                <w:i w:val="0"/>
                <w:sz w:val="18"/>
              </w:rPr>
              <w:t>federal district court for the District of Delaware</w:t>
            </w:r>
            <w:r>
              <w:rPr>
                <w:b w:val="0"/>
                <w:i w:val="0"/>
                <w:sz w:val="18"/>
              </w:rPr>
              <w:t>, with no state-court fallback; “our directors, officers, or other employees”, without “former”; federal forum provision without the “all defendants” language; states the provision does not apply to Exchange Act claims).</w:t>
            </w:r>
          </w:p>
        </w:tc>
      </w:tr>
      <w:tr>
        <w:tc>
          <w:tcPr>
            <w:tcW w:type="dxa" w:w="2088"/>
            <w:shd w:val="clear" w:color="auto" w:fill="E7ECF3"/>
          </w:tcPr>
          <w:p>
            <w:r/>
            <w:r>
              <w:rPr>
                <w:b/>
                <w:sz w:val="18"/>
              </w:rPr>
              <w:t>Deviation</w:t>
            </w:r>
          </w:p>
        </w:tc>
        <w:tc>
          <w:tcPr>
            <w:tcW w:type="dxa" w:w="7560"/>
          </w:tcPr>
          <w:p>
            <w:pPr>
              <w:spacing w:after="40"/>
            </w:pPr>
            <w:r/>
            <w:r>
              <w:rPr>
                <w:b w:val="0"/>
                <w:i w:val="0"/>
                <w:sz w:val="18"/>
              </w:rPr>
              <w:t>The fallback courts, the covered persons and the scope of the federal forum provision differ across all three documents.</w:t>
            </w:r>
          </w:p>
        </w:tc>
      </w:tr>
      <w:tr>
        <w:tc>
          <w:tcPr>
            <w:tcW w:type="dxa" w:w="2088"/>
            <w:shd w:val="clear" w:color="auto" w:fill="E7ECF3"/>
          </w:tcPr>
          <w:p>
            <w:r/>
            <w:r>
              <w:rPr>
                <w:b/>
                <w:sz w:val="18"/>
              </w:rPr>
              <w:t>Analysis / exposure</w:t>
            </w:r>
          </w:p>
        </w:tc>
        <w:tc>
          <w:tcPr>
            <w:tcW w:type="dxa" w:w="7560"/>
          </w:tcPr>
          <w:p>
            <w:pPr>
              <w:spacing w:after="40"/>
            </w:pPr>
            <w:r/>
            <w:r>
              <w:rPr>
                <w:b w:val="0"/>
                <w:i w:val="0"/>
                <w:sz w:val="18"/>
              </w:rPr>
              <w:t>The Prospectus describes a provision that matches neither the existing Charter nor the UA requirement. The federal forum provision, valid under Salzberg v. Sciabacucchi (Del. 2020), must be added to the charter. The Exchange Act carve-out is consistent with Section 27 exclusive federal jurisdiction but is not reflected in the UA’s required text.</w:t>
            </w:r>
          </w:p>
        </w:tc>
      </w:tr>
      <w:tr>
        <w:tc>
          <w:tcPr>
            <w:tcW w:type="dxa" w:w="2088"/>
            <w:shd w:val="clear" w:color="auto" w:fill="E7ECF3"/>
          </w:tcPr>
          <w:p>
            <w:r/>
            <w:r>
              <w:rPr>
                <w:b/>
                <w:sz w:val="18"/>
              </w:rPr>
              <w:t>Recommended action</w:t>
            </w:r>
          </w:p>
        </w:tc>
        <w:tc>
          <w:tcPr>
            <w:tcW w:type="dxa" w:w="7560"/>
          </w:tcPr>
          <w:p>
            <w:pPr>
              <w:spacing w:after="40"/>
            </w:pPr>
            <w:r/>
            <w:r>
              <w:rPr>
                <w:b w:val="0"/>
                <w:i w:val="0"/>
                <w:sz w:val="18"/>
              </w:rPr>
              <w:t>Settle one formulation in the IPO Charter (we suggest the UA §6(j)(vii) language plus an express Exchange Act carve-out and a notice/consent clause like Charter §8.1). Conform the Prospectus Description and Risk Factor word-for-word.</w:t>
            </w:r>
          </w:p>
        </w:tc>
      </w:tr>
    </w:tbl>
    <w:p>
      <w:pPr>
        <w:spacing w:after="40"/>
      </w:pPr>
    </w:p>
    <w:p>
      <w:pPr>
        <w:pStyle w:val="Heading3"/>
      </w:pPr>
      <w:r>
        <w:rPr>
          <w:color w:val="C55A11"/>
        </w:rPr>
        <w:t xml:space="preserve">F-15  [HIGH]  </w:t>
      </w:r>
      <w:r>
        <w:t>T+3 settlement in UA vs. T+1 standard settlement; no Prospectus disclosure</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UA §1 (“Closing Date” January 17, 2025, “no later than three (3) business days after the Pricing Date (T+3 settlement)”); §2(c). Prospectus (no expected delivery date; no extended-settlement legend).</w:t>
            </w:r>
          </w:p>
        </w:tc>
      </w:tr>
      <w:tr>
        <w:tc>
          <w:tcPr>
            <w:tcW w:type="dxa" w:w="2088"/>
            <w:shd w:val="clear" w:color="auto" w:fill="E7ECF3"/>
          </w:tcPr>
          <w:p>
            <w:r/>
            <w:r>
              <w:rPr>
                <w:b/>
                <w:sz w:val="18"/>
              </w:rPr>
              <w:t>Deviation</w:t>
            </w:r>
          </w:p>
        </w:tc>
        <w:tc>
          <w:tcPr>
            <w:tcW w:type="dxa" w:w="7560"/>
          </w:tcPr>
          <w:p>
            <w:pPr>
              <w:spacing w:after="40"/>
            </w:pPr>
            <w:r/>
            <w:r>
              <w:rPr>
                <w:b w:val="0"/>
                <w:i w:val="0"/>
                <w:sz w:val="18"/>
              </w:rPr>
              <w:t>Exchange Act Rule 15c6-1 moved standard settlement to T+1 on May 28, 2024 (T+2 is available for firm-commitment offerings priced after 4:30 p.m. ET). A T+3 closing needs express agreement at the time of the transaction under Rule 15c6-1(d). Market practice is to disclose the expected delivery date and warn purchasers who wish to trade before delivery.</w:t>
            </w:r>
          </w:p>
        </w:tc>
      </w:tr>
      <w:tr>
        <w:tc>
          <w:tcPr>
            <w:tcW w:type="dxa" w:w="2088"/>
            <w:shd w:val="clear" w:color="auto" w:fill="E7ECF3"/>
          </w:tcPr>
          <w:p>
            <w:r/>
            <w:r>
              <w:rPr>
                <w:b/>
                <w:sz w:val="18"/>
              </w:rPr>
              <w:t>Analysis / exposure</w:t>
            </w:r>
          </w:p>
        </w:tc>
        <w:tc>
          <w:tcPr>
            <w:tcW w:type="dxa" w:w="7560"/>
          </w:tcPr>
          <w:p>
            <w:pPr>
              <w:spacing w:after="40"/>
            </w:pPr>
            <w:r/>
            <w:r>
              <w:rPr>
                <w:b w:val="0"/>
                <w:i w:val="0"/>
                <w:sz w:val="18"/>
              </w:rPr>
              <w:t>Without disclosure, purchasers trading in the secondary market before January 17 may face failed settlement, and broker-dealers could violate Rule 15c6-1.</w:t>
            </w:r>
          </w:p>
        </w:tc>
      </w:tr>
      <w:tr>
        <w:tc>
          <w:tcPr>
            <w:tcW w:type="dxa" w:w="2088"/>
            <w:shd w:val="clear" w:color="auto" w:fill="E7ECF3"/>
          </w:tcPr>
          <w:p>
            <w:r/>
            <w:r>
              <w:rPr>
                <w:b/>
                <w:sz w:val="18"/>
              </w:rPr>
              <w:t>Recommended action</w:t>
            </w:r>
          </w:p>
        </w:tc>
        <w:tc>
          <w:tcPr>
            <w:tcW w:type="dxa" w:w="7560"/>
          </w:tcPr>
          <w:p>
            <w:pPr>
              <w:spacing w:after="40"/>
            </w:pPr>
            <w:r/>
            <w:r>
              <w:rPr>
                <w:b w:val="0"/>
                <w:i w:val="0"/>
                <w:sz w:val="18"/>
              </w:rPr>
              <w:t>Add an expected-delivery-date paragraph to the cover and Underwriting sections (“on or about January 17, 2025, which will be the third business day following pricing (T+3) … purchasers who wish to trade prior to delivery … will be required to specify alternative settlement arrangements”). Alternatively, move the Closing to T+1.</w:t>
            </w:r>
          </w:p>
        </w:tc>
      </w:tr>
    </w:tbl>
    <w:p>
      <w:pPr>
        <w:spacing w:after="40"/>
      </w:pPr>
    </w:p>
    <w:p>
      <w:pPr>
        <w:pStyle w:val="Heading3"/>
      </w:pPr>
      <w:r>
        <w:rPr>
          <w:color w:val="C55A11"/>
        </w:rPr>
        <w:t xml:space="preserve">F-16  [HIGH]  </w:t>
      </w:r>
      <w:r>
        <w:t>UA dated before pricing; effectiveness representation inconsistent with the Preliminary Prospectus</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UA preamble and date (January 6, 2025); §1 (Pricing Date expected January 14, 2025; Closing Date January 17, 2025); §2(a) (public offering price “$___”); §3(d) (Registration Statement “has been declared effective”; “The Company has complied with Rule 430A”); §6(d) (comfort letter dated the date of the UA). Prospectus (red herring legend dated January 3, 2025: “may not be sold until the registration statement … is effective”).</w:t>
            </w:r>
          </w:p>
        </w:tc>
      </w:tr>
      <w:tr>
        <w:tc>
          <w:tcPr>
            <w:tcW w:type="dxa" w:w="2088"/>
            <w:shd w:val="clear" w:color="auto" w:fill="E7ECF3"/>
          </w:tcPr>
          <w:p>
            <w:r/>
            <w:r>
              <w:rPr>
                <w:b/>
                <w:sz w:val="18"/>
              </w:rPr>
              <w:t>Deviation</w:t>
            </w:r>
          </w:p>
        </w:tc>
        <w:tc>
          <w:tcPr>
            <w:tcW w:type="dxa" w:w="7560"/>
          </w:tcPr>
          <w:p>
            <w:pPr>
              <w:spacing w:after="40"/>
            </w:pPr>
            <w:r/>
            <w:r>
              <w:rPr>
                <w:b w:val="0"/>
                <w:i w:val="0"/>
                <w:sz w:val="18"/>
              </w:rPr>
              <w:t>The UA is dated eight days before pricing, contains no price, and represents that the S-1 is already effective. The Preliminary Prospectus states it is not effective. The Pricing Date, comfort letter date and the representation dates (“as of the date hereof, as of the Pricing Date”) assume a pre-pricing signing.</w:t>
            </w:r>
          </w:p>
        </w:tc>
      </w:tr>
      <w:tr>
        <w:tc>
          <w:tcPr>
            <w:tcW w:type="dxa" w:w="2088"/>
            <w:shd w:val="clear" w:color="auto" w:fill="E7ECF3"/>
          </w:tcPr>
          <w:p>
            <w:r/>
            <w:r>
              <w:rPr>
                <w:b/>
                <w:sz w:val="18"/>
              </w:rPr>
              <w:t>Analysis / exposure</w:t>
            </w:r>
          </w:p>
        </w:tc>
        <w:tc>
          <w:tcPr>
            <w:tcW w:type="dxa" w:w="7560"/>
          </w:tcPr>
          <w:p>
            <w:pPr>
              <w:spacing w:after="40"/>
            </w:pPr>
            <w:r/>
            <w:r>
              <w:rPr>
                <w:b w:val="0"/>
                <w:i w:val="0"/>
                <w:sz w:val="18"/>
              </w:rPr>
              <w:t>Standard practice is to sign the UA at pricing, after effectiveness (or under Rule 430A) and with the price filled in. As drafted, the §3(d) representation may be untrue when made, and the Time of Sale Prospectus cannot yet include pricing information.</w:t>
            </w:r>
          </w:p>
        </w:tc>
      </w:tr>
      <w:tr>
        <w:tc>
          <w:tcPr>
            <w:tcW w:type="dxa" w:w="2088"/>
            <w:shd w:val="clear" w:color="auto" w:fill="E7ECF3"/>
          </w:tcPr>
          <w:p>
            <w:r/>
            <w:r>
              <w:rPr>
                <w:b/>
                <w:sz w:val="18"/>
              </w:rPr>
              <w:t>Recommended action</w:t>
            </w:r>
          </w:p>
        </w:tc>
        <w:tc>
          <w:tcPr>
            <w:tcW w:type="dxa" w:w="7560"/>
          </w:tcPr>
          <w:p>
            <w:pPr>
              <w:spacing w:after="40"/>
            </w:pPr>
            <w:r/>
            <w:r>
              <w:rPr>
                <w:b w:val="0"/>
                <w:i w:val="0"/>
                <w:sz w:val="18"/>
              </w:rPr>
              <w:t>Re-date the UA to the Pricing Date. Fill in the price and the Time of Sale information (Schedule III, pricing information). Align the comfort letter date. Alternatively, confirm the S-1 was declared effective before January 6 and update the Prospectus legend.</w:t>
            </w:r>
          </w:p>
        </w:tc>
      </w:tr>
    </w:tbl>
    <w:p>
      <w:pPr>
        <w:spacing w:after="40"/>
      </w:pPr>
    </w:p>
    <w:p>
      <w:pPr>
        <w:pStyle w:val="Heading3"/>
      </w:pPr>
      <w:r>
        <w:rPr>
          <w:color w:val="C55A11"/>
        </w:rPr>
        <w:t xml:space="preserve">F-17  [HIGH]  </w:t>
      </w:r>
      <w:r>
        <w:t>Selling stockholders not identified in the Prospectus; director affiliations and related-party sections missing</w:t>
      </w:r>
    </w:p>
    <w:tbl>
      <w:tblPr>
        <w:tblStyle w:val="TableGrid"/>
        <w:tblW w:type="auto" w:w="0"/>
        <w:tblLook w:firstColumn="1" w:firstRow="1" w:lastColumn="0" w:lastRow="0" w:noHBand="0" w:noVBand="1" w:val="04A0"/>
      </w:tblPr>
      <w:tblGrid>
        <w:gridCol w:w="4824"/>
        <w:gridCol w:w="4824"/>
      </w:tblGrid>
      <w:tr>
        <w:tc>
          <w:tcPr>
            <w:tcW w:type="dxa" w:w="2088"/>
            <w:shd w:val="clear" w:color="auto" w:fill="E7ECF3"/>
          </w:tcPr>
          <w:p>
            <w:r/>
            <w:r>
              <w:rPr>
                <w:b/>
                <w:sz w:val="18"/>
              </w:rPr>
              <w:t>Provisions compared</w:t>
            </w:r>
          </w:p>
        </w:tc>
        <w:tc>
          <w:tcPr>
            <w:tcW w:type="dxa" w:w="7560"/>
          </w:tcPr>
          <w:p>
            <w:pPr>
              <w:spacing w:after="40"/>
            </w:pPr>
            <w:r/>
            <w:r>
              <w:rPr>
                <w:b w:val="0"/>
                <w:i w:val="0"/>
                <w:sz w:val="18"/>
              </w:rPr>
              <w:t xml:space="preserve">Prospectus cover (“selling stockholders identified in this prospectus”); Shares Eligible (refers to “Certain Relationships and Related Person Transactions”). UA Schedule I (Redhill Ventures Fund III, L.P. 1,500,000; Solstice Health Capital Partners, L.P. 1,200,000; Dr. Julian Marchetti 300,000); UA signature blocks (Redhill signed by </w:t>
            </w:r>
            <w:r>
              <w:rPr>
                <w:b/>
                <w:i w:val="0"/>
                <w:sz w:val="18"/>
              </w:rPr>
              <w:t>Gregory Okonkwo</w:t>
            </w:r>
            <w:r>
              <w:rPr>
                <w:b w:val="0"/>
                <w:i w:val="0"/>
                <w:sz w:val="18"/>
              </w:rPr>
              <w:t xml:space="preserve">; Solstice signed by </w:t>
            </w:r>
            <w:r>
              <w:rPr>
                <w:b/>
                <w:i w:val="0"/>
                <w:sz w:val="18"/>
              </w:rPr>
              <w:t>Sunita Rajagopal</w:t>
            </w:r>
            <w:r>
              <w:rPr>
                <w:b w:val="0"/>
                <w:i w:val="0"/>
                <w:sz w:val="18"/>
              </w:rPr>
              <w:t>, both directors per the Prospectus board list; Marchetti is CSO and a director).</w:t>
            </w:r>
          </w:p>
        </w:tc>
      </w:tr>
      <w:tr>
        <w:tc>
          <w:tcPr>
            <w:tcW w:type="dxa" w:w="2088"/>
            <w:shd w:val="clear" w:color="auto" w:fill="E7ECF3"/>
          </w:tcPr>
          <w:p>
            <w:r/>
            <w:r>
              <w:rPr>
                <w:b/>
                <w:sz w:val="18"/>
              </w:rPr>
              <w:t>Deviation</w:t>
            </w:r>
          </w:p>
        </w:tc>
        <w:tc>
          <w:tcPr>
            <w:tcW w:type="dxa" w:w="7560"/>
          </w:tcPr>
          <w:p>
            <w:pPr>
              <w:spacing w:after="40"/>
            </w:pPr>
            <w:r/>
            <w:r>
              <w:rPr>
                <w:b w:val="0"/>
                <w:i w:val="0"/>
                <w:sz w:val="18"/>
              </w:rPr>
              <w:t>The Prospectus contains no “Principal and Selling Stockholders” table and no “Certain Relationships” section, although both are referred to. Board members are affiliated with each entity Selling Stockholder, and the Prospectus does not disclose this.</w:t>
            </w:r>
          </w:p>
        </w:tc>
      </w:tr>
      <w:tr>
        <w:tc>
          <w:tcPr>
            <w:tcW w:type="dxa" w:w="2088"/>
            <w:shd w:val="clear" w:color="auto" w:fill="E7ECF3"/>
          </w:tcPr>
          <w:p>
            <w:r/>
            <w:r>
              <w:rPr>
                <w:b/>
                <w:sz w:val="18"/>
              </w:rPr>
              <w:t>Analysis / exposure</w:t>
            </w:r>
          </w:p>
        </w:tc>
        <w:tc>
          <w:tcPr>
            <w:tcW w:type="dxa" w:w="7560"/>
          </w:tcPr>
          <w:p>
            <w:pPr>
              <w:spacing w:after="40"/>
            </w:pPr>
            <w:r/>
            <w:r>
              <w:rPr>
                <w:b w:val="0"/>
                <w:i w:val="0"/>
                <w:sz w:val="18"/>
              </w:rPr>
              <w:t>Reg. S-K Items 403, 404 and 507 require identification of selling security holders, their holdings before and after the offering and any material relationships. Omitting them makes the Time of Sale Prospectus incomplete. The registration-rights holders (Redhill, Solstice, founders) also need to be described.</w:t>
            </w:r>
          </w:p>
        </w:tc>
      </w:tr>
      <w:tr>
        <w:tc>
          <w:tcPr>
            <w:tcW w:type="dxa" w:w="2088"/>
            <w:shd w:val="clear" w:color="auto" w:fill="E7ECF3"/>
          </w:tcPr>
          <w:p>
            <w:r/>
            <w:r>
              <w:rPr>
                <w:b/>
                <w:sz w:val="18"/>
              </w:rPr>
              <w:t>Recommended action</w:t>
            </w:r>
          </w:p>
        </w:tc>
        <w:tc>
          <w:tcPr>
            <w:tcW w:type="dxa" w:w="7560"/>
          </w:tcPr>
          <w:p>
            <w:pPr>
              <w:spacing w:after="40"/>
            </w:pPr>
            <w:r/>
            <w:r>
              <w:rPr>
                <w:b w:val="0"/>
                <w:i w:val="0"/>
                <w:sz w:val="18"/>
              </w:rPr>
              <w:t>Add a Principal and Selling Stockholders table that ties to UA Schedule I, plus a Related Person Transactions section (registration rights, director designation rights terminating at the IPO, investor rights agreements). Confirm with the selling stockholders whether any of them is a broker-dealer affiliate.</w:t>
            </w:r>
          </w:p>
        </w:tc>
      </w:tr>
    </w:tbl>
    <w:p>
      <w:pPr>
        <w:spacing w:after="40"/>
      </w:pPr>
    </w:p>
    <w:p>
      <w:pPr>
        <w:pStyle w:val="Heading2"/>
      </w:pPr>
      <w:r>
        <w:t>C. Medium</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648"/>
            <w:shd w:val="clear" w:color="auto" w:fill="1F3A5F"/>
          </w:tcPr>
          <w:p>
            <w:r/>
            <w:r>
              <w:rPr>
                <w:b/>
                <w:color w:val="FFFFFF"/>
                <w:sz w:val="17"/>
              </w:rPr>
              <w:t>ID</w:t>
            </w:r>
          </w:p>
        </w:tc>
        <w:tc>
          <w:tcPr>
            <w:tcW w:type="dxa" w:w="1872"/>
            <w:shd w:val="clear" w:color="auto" w:fill="1F3A5F"/>
          </w:tcPr>
          <w:p>
            <w:r/>
            <w:r>
              <w:rPr>
                <w:b/>
                <w:color w:val="FFFFFF"/>
                <w:sz w:val="17"/>
              </w:rPr>
              <w:t>Issue</w:t>
            </w:r>
          </w:p>
        </w:tc>
        <w:tc>
          <w:tcPr>
            <w:tcW w:type="dxa" w:w="3888"/>
            <w:shd w:val="clear" w:color="auto" w:fill="1F3A5F"/>
          </w:tcPr>
          <w:p>
            <w:r/>
            <w:r>
              <w:rPr>
                <w:b/>
                <w:color w:val="FFFFFF"/>
                <w:sz w:val="17"/>
              </w:rPr>
              <w:t>Conflict / omission (sources)</w:t>
            </w:r>
          </w:p>
        </w:tc>
        <w:tc>
          <w:tcPr>
            <w:tcW w:type="dxa" w:w="3240"/>
            <w:shd w:val="clear" w:color="auto" w:fill="1F3A5F"/>
          </w:tcPr>
          <w:p>
            <w:r/>
            <w:r>
              <w:rPr>
                <w:b/>
                <w:color w:val="FFFFFF"/>
                <w:sz w:val="17"/>
              </w:rPr>
              <w:t>Recommended action</w:t>
            </w:r>
          </w:p>
        </w:tc>
      </w:tr>
      <w:tr>
        <w:tc>
          <w:tcPr>
            <w:tcW w:type="dxa" w:w="648"/>
          </w:tcPr>
          <w:p>
            <w:pPr>
              <w:spacing w:after="20"/>
            </w:pPr>
            <w:r/>
            <w:r>
              <w:rPr>
                <w:b w:val="0"/>
                <w:i w:val="0"/>
                <w:sz w:val="17"/>
              </w:rPr>
              <w:t>F-18</w:t>
            </w:r>
          </w:p>
        </w:tc>
        <w:tc>
          <w:tcPr>
            <w:tcW w:type="dxa" w:w="1872"/>
          </w:tcPr>
          <w:p>
            <w:pPr>
              <w:spacing w:after="20"/>
            </w:pPr>
            <w:r/>
            <w:r>
              <w:rPr>
                <w:b w:val="0"/>
                <w:i w:val="0"/>
                <w:sz w:val="17"/>
              </w:rPr>
              <w:t>Series C debt covenant vs. $41.3 million of debt</w:t>
            </w:r>
          </w:p>
        </w:tc>
        <w:tc>
          <w:tcPr>
            <w:tcW w:type="dxa" w:w="3888"/>
          </w:tcPr>
          <w:p>
            <w:pPr>
              <w:spacing w:after="20"/>
            </w:pPr>
            <w:r/>
            <w:r>
              <w:rPr>
                <w:b w:val="0"/>
                <w:i w:val="0"/>
                <w:sz w:val="17"/>
              </w:rPr>
              <w:t>Charter §4.6(g)(v): no indebtedness over $10,000,000 (excluding trade payables and ordinary-course equipment financing) without consent of 60% of Series C. Prospectus: total debt $41.3 million (debt, net of current portion, $41,300,000).</w:t>
            </w:r>
          </w:p>
        </w:tc>
        <w:tc>
          <w:tcPr>
            <w:tcW w:type="dxa" w:w="3240"/>
          </w:tcPr>
          <w:p>
            <w:pPr>
              <w:spacing w:after="20"/>
            </w:pPr>
            <w:r/>
            <w:r>
              <w:rPr>
                <w:b w:val="0"/>
                <w:i w:val="0"/>
                <w:sz w:val="17"/>
              </w:rPr>
              <w:t>Confirm the Series C consent was obtained for the debt. If not, there is a charter violation and a possible undisclosed contingency (and an issue for the UA §3(f) and 3(o) reps). Request the consents in diligence.</w:t>
            </w:r>
          </w:p>
        </w:tc>
      </w:tr>
      <w:tr>
        <w:tc>
          <w:tcPr>
            <w:tcW w:type="dxa" w:w="648"/>
          </w:tcPr>
          <w:p>
            <w:pPr>
              <w:spacing w:after="20"/>
            </w:pPr>
            <w:r/>
            <w:r>
              <w:rPr>
                <w:b w:val="0"/>
                <w:i w:val="0"/>
                <w:sz w:val="17"/>
              </w:rPr>
              <w:t>F-19</w:t>
            </w:r>
          </w:p>
        </w:tc>
        <w:tc>
          <w:tcPr>
            <w:tcW w:type="dxa" w:w="1872"/>
          </w:tcPr>
          <w:p>
            <w:pPr>
              <w:spacing w:after="20"/>
            </w:pPr>
            <w:r/>
            <w:r>
              <w:rPr>
                <w:b w:val="0"/>
                <w:i w:val="0"/>
                <w:sz w:val="17"/>
              </w:rPr>
              <w:t>2024 Equity Incentive Plan evergreen measurement date</w:t>
            </w:r>
          </w:p>
        </w:tc>
        <w:tc>
          <w:tcPr>
            <w:tcW w:type="dxa" w:w="3888"/>
          </w:tcPr>
          <w:p>
            <w:pPr>
              <w:spacing w:after="20"/>
            </w:pPr>
            <w:r/>
            <w:r>
              <w:rPr>
                <w:b w:val="0"/>
                <w:i w:val="0"/>
                <w:sz w:val="17"/>
              </w:rPr>
              <w:t>Prospectus Capitalization fn. (3): 4% of shares outstanding “on the last day of the immediately preceding fiscal year”. Prospectus Equity Incentive Plan: 4% of shares “outstanding on January 1 of each year”. UA §3(b): “on the immediately preceding December 31”. UA §5(h): “outstanding … on January 1”. The Prospectus allows the board to choose a “lesser number”; UA §5(h) covenants to “maintain” a 4% evergreen.</w:t>
            </w:r>
          </w:p>
        </w:tc>
        <w:tc>
          <w:tcPr>
            <w:tcW w:type="dxa" w:w="3240"/>
          </w:tcPr>
          <w:p>
            <w:pPr>
              <w:spacing w:after="20"/>
            </w:pPr>
            <w:r/>
            <w:r>
              <w:rPr>
                <w:b w:val="0"/>
                <w:i w:val="0"/>
                <w:sz w:val="17"/>
              </w:rPr>
              <w:t>Conform all four statements to the plan document. Make the UA §5(h) covenant subject to the board’s discretion to reduce the increase. Confirm the plan received stockholder approval (UA §1 says it did; the Prospectus is silent).</w:t>
            </w:r>
          </w:p>
        </w:tc>
      </w:tr>
      <w:tr>
        <w:tc>
          <w:tcPr>
            <w:tcW w:type="dxa" w:w="648"/>
          </w:tcPr>
          <w:p>
            <w:pPr>
              <w:spacing w:after="20"/>
            </w:pPr>
            <w:r/>
            <w:r>
              <w:rPr>
                <w:b w:val="0"/>
                <w:i w:val="0"/>
                <w:sz w:val="17"/>
              </w:rPr>
              <w:t>F-20</w:t>
            </w:r>
          </w:p>
        </w:tc>
        <w:tc>
          <w:tcPr>
            <w:tcW w:type="dxa" w:w="1872"/>
          </w:tcPr>
          <w:p>
            <w:pPr>
              <w:spacing w:after="20"/>
            </w:pPr>
            <w:r/>
            <w:r>
              <w:rPr>
                <w:b w:val="0"/>
                <w:i w:val="0"/>
                <w:sz w:val="17"/>
              </w:rPr>
              <w:t>“Certificates of designation” to be eliminated do not exist</w:t>
            </w:r>
          </w:p>
        </w:tc>
        <w:tc>
          <w:tcPr>
            <w:tcW w:type="dxa" w:w="3888"/>
          </w:tcPr>
          <w:p>
            <w:pPr>
              <w:spacing w:after="20"/>
            </w:pPr>
            <w:r/>
            <w:r>
              <w:rPr>
                <w:b w:val="0"/>
                <w:i w:val="0"/>
                <w:sz w:val="17"/>
              </w:rPr>
              <w:t>UA §6(j)(ii) requires the IPO Charter to “eliminate … the certificates of designation for the Series A, B and C”. Charter §§4.4–4.6 create the series directly in the charter, not by §151(g) certificates. The Prospectus says “series designations will be eliminated”.</w:t>
            </w:r>
          </w:p>
        </w:tc>
        <w:tc>
          <w:tcPr>
            <w:tcW w:type="dxa" w:w="3240"/>
          </w:tcPr>
          <w:p>
            <w:pPr>
              <w:spacing w:after="20"/>
            </w:pPr>
            <w:r/>
            <w:r>
              <w:rPr>
                <w:b w:val="0"/>
                <w:i w:val="0"/>
                <w:sz w:val="17"/>
              </w:rPr>
              <w:t>The IPO Charter must delete Charter §§4.4–4.7 and the related cross-references (§4.2.3 participation; §5.4/5.5 designation rights; §4.2.1 joint voting). Revise UA §6(j)(ii) to match the mechanics. No §151(g) certificate of elimination is needed.</w:t>
            </w:r>
          </w:p>
        </w:tc>
      </w:tr>
      <w:tr>
        <w:tc>
          <w:tcPr>
            <w:tcW w:type="dxa" w:w="648"/>
          </w:tcPr>
          <w:p>
            <w:pPr>
              <w:spacing w:after="20"/>
            </w:pPr>
            <w:r/>
            <w:r>
              <w:rPr>
                <w:b w:val="0"/>
                <w:i w:val="0"/>
                <w:sz w:val="17"/>
              </w:rPr>
              <w:t>F-21</w:t>
            </w:r>
          </w:p>
        </w:tc>
        <w:tc>
          <w:tcPr>
            <w:tcW w:type="dxa" w:w="1872"/>
          </w:tcPr>
          <w:p>
            <w:pPr>
              <w:spacing w:after="20"/>
            </w:pPr>
            <w:r/>
            <w:r>
              <w:rPr>
                <w:b w:val="0"/>
                <w:i w:val="0"/>
                <w:sz w:val="17"/>
              </w:rPr>
              <w:t>Stockholder right to call special meetings (25%) not addressed</w:t>
            </w:r>
          </w:p>
        </w:tc>
        <w:tc>
          <w:tcPr>
            <w:tcW w:type="dxa" w:w="3888"/>
          </w:tcPr>
          <w:p>
            <w:pPr>
              <w:spacing w:after="20"/>
            </w:pPr>
            <w:r/>
            <w:r>
              <w:rPr>
                <w:b w:val="0"/>
                <w:i w:val="0"/>
                <w:sz w:val="17"/>
              </w:rPr>
              <w:t>Charter §6.2: holders of 25% of voting power may require the Secretary to call a special meeting. The UA §6(j) list does not mention it. The Prospectus anti-takeover description is silent.</w:t>
            </w:r>
          </w:p>
        </w:tc>
        <w:tc>
          <w:tcPr>
            <w:tcW w:type="dxa" w:w="3240"/>
          </w:tcPr>
          <w:p>
            <w:pPr>
              <w:spacing w:after="20"/>
            </w:pPr>
            <w:r/>
            <w:r>
              <w:rPr>
                <w:b w:val="0"/>
                <w:i w:val="0"/>
                <w:sz w:val="17"/>
              </w:rPr>
              <w:t>If the right stays, the Prospectus must disclose it (it weakens the written-consent prohibition). If it is eliminated, as is customary, add it to the IPO Charter and to the Prospectus description and risk factor.</w:t>
            </w:r>
          </w:p>
        </w:tc>
      </w:tr>
      <w:tr>
        <w:tc>
          <w:tcPr>
            <w:tcW w:type="dxa" w:w="648"/>
          </w:tcPr>
          <w:p>
            <w:pPr>
              <w:spacing w:after="20"/>
            </w:pPr>
            <w:r/>
            <w:r>
              <w:rPr>
                <w:b w:val="0"/>
                <w:i w:val="0"/>
                <w:sz w:val="17"/>
              </w:rPr>
              <w:t>F-22</w:t>
            </w:r>
          </w:p>
        </w:tc>
        <w:tc>
          <w:tcPr>
            <w:tcW w:type="dxa" w:w="1872"/>
          </w:tcPr>
          <w:p>
            <w:pPr>
              <w:spacing w:after="20"/>
            </w:pPr>
            <w:r/>
            <w:r>
              <w:rPr>
                <w:b w:val="0"/>
                <w:i w:val="0"/>
                <w:sz w:val="17"/>
              </w:rPr>
              <w:t>Limitation of liability and indemnification not described</w:t>
            </w:r>
          </w:p>
        </w:tc>
        <w:tc>
          <w:tcPr>
            <w:tcW w:type="dxa" w:w="3888"/>
          </w:tcPr>
          <w:p>
            <w:pPr>
              <w:spacing w:after="20"/>
            </w:pPr>
            <w:r/>
            <w:r>
              <w:rPr>
                <w:b w:val="0"/>
                <w:i w:val="0"/>
                <w:sz w:val="17"/>
              </w:rPr>
              <w:t xml:space="preserve">Charter §7.1 exculpates directors </w:t>
            </w:r>
            <w:r>
              <w:rPr>
                <w:b/>
                <w:i w:val="0"/>
                <w:sz w:val="17"/>
              </w:rPr>
              <w:t>and officers</w:t>
            </w:r>
            <w:r>
              <w:rPr>
                <w:b w:val="0"/>
                <w:i w:val="0"/>
                <w:sz w:val="17"/>
              </w:rPr>
              <w:t xml:space="preserve"> (DGCL §102(b)(7), as amended in 2022); §7.2 mandatory indemnification and advancement. UA §6(j) does not address them. The Prospectus has no description and no SEC indemnification position statement.</w:t>
            </w:r>
          </w:p>
        </w:tc>
        <w:tc>
          <w:tcPr>
            <w:tcW w:type="dxa" w:w="3240"/>
          </w:tcPr>
          <w:p>
            <w:pPr>
              <w:spacing w:after="20"/>
            </w:pPr>
            <w:r/>
            <w:r>
              <w:rPr>
                <w:b w:val="0"/>
                <w:i w:val="0"/>
                <w:sz w:val="17"/>
              </w:rPr>
              <w:t>Add a “Limitation of Liability and Indemnification” discussion and the Reg. S-K Item 510 statement of the SEC position on Securities Act indemnification. Confirm the IPO Charter keeps officer exculpation and that Part II Item 14 is consistent.</w:t>
            </w:r>
          </w:p>
        </w:tc>
      </w:tr>
      <w:tr>
        <w:tc>
          <w:tcPr>
            <w:tcW w:type="dxa" w:w="648"/>
          </w:tcPr>
          <w:p>
            <w:pPr>
              <w:spacing w:after="20"/>
            </w:pPr>
            <w:r/>
            <w:r>
              <w:rPr>
                <w:b w:val="0"/>
                <w:i w:val="0"/>
                <w:sz w:val="17"/>
              </w:rPr>
              <w:t>F-23</w:t>
            </w:r>
          </w:p>
        </w:tc>
        <w:tc>
          <w:tcPr>
            <w:tcW w:type="dxa" w:w="1872"/>
          </w:tcPr>
          <w:p>
            <w:pPr>
              <w:spacing w:after="20"/>
            </w:pPr>
            <w:r/>
            <w:r>
              <w:rPr>
                <w:b w:val="0"/>
                <w:i w:val="0"/>
                <w:sz w:val="17"/>
              </w:rPr>
              <w:t>Classified board: class assignments omitted</w:t>
            </w:r>
          </w:p>
        </w:tc>
        <w:tc>
          <w:tcPr>
            <w:tcW w:type="dxa" w:w="3888"/>
          </w:tcPr>
          <w:p>
            <w:pPr>
              <w:spacing w:after="20"/>
            </w:pPr>
            <w:r/>
            <w:r>
              <w:rPr>
                <w:b w:val="0"/>
                <w:i w:val="0"/>
                <w:sz w:val="17"/>
              </w:rPr>
              <w:t>UA §6(j)(iii): initial classification “as set forth in the IPO Charter” (no form exists, see F-4). The Prospectus lists seven directors but does not assign them to Class I, II or III.</w:t>
            </w:r>
          </w:p>
        </w:tc>
        <w:tc>
          <w:tcPr>
            <w:tcW w:type="dxa" w:w="3240"/>
          </w:tcPr>
          <w:p>
            <w:pPr>
              <w:spacing w:after="20"/>
            </w:pPr>
            <w:r/>
            <w:r>
              <w:rPr>
                <w:b w:val="0"/>
                <w:i w:val="0"/>
                <w:sz w:val="17"/>
              </w:rPr>
              <w:t>Assign directors (e.g., 3/2/2) in the IPO Charter or board resolutions and disclose the assignments and term expirations in the Prospectus Management and Description sections. Note that the Series A, B and C designee seats terminate on conversion.</w:t>
            </w:r>
          </w:p>
        </w:tc>
      </w:tr>
      <w:tr>
        <w:tc>
          <w:tcPr>
            <w:tcW w:type="dxa" w:w="648"/>
          </w:tcPr>
          <w:p>
            <w:pPr>
              <w:spacing w:after="20"/>
            </w:pPr>
            <w:r/>
            <w:r>
              <w:rPr>
                <w:b w:val="0"/>
                <w:i w:val="0"/>
                <w:sz w:val="17"/>
              </w:rPr>
              <w:t>F-24</w:t>
            </w:r>
          </w:p>
        </w:tc>
        <w:tc>
          <w:tcPr>
            <w:tcW w:type="dxa" w:w="1872"/>
          </w:tcPr>
          <w:p>
            <w:pPr>
              <w:spacing w:after="20"/>
            </w:pPr>
            <w:r/>
            <w:r>
              <w:rPr>
                <w:b w:val="0"/>
                <w:i w:val="0"/>
                <w:sz w:val="17"/>
              </w:rPr>
              <w:t>Section 203 opt-in: effect on existing 15% holders</w:t>
            </w:r>
          </w:p>
        </w:tc>
        <w:tc>
          <w:tcPr>
            <w:tcW w:type="dxa" w:w="3888"/>
          </w:tcPr>
          <w:p>
            <w:pPr>
              <w:spacing w:after="20"/>
            </w:pPr>
            <w:r/>
            <w:r>
              <w:rPr>
                <w:b w:val="0"/>
                <w:i w:val="0"/>
                <w:sz w:val="17"/>
              </w:rPr>
              <w:t>Charter Art. IX opts out of §203. UA §6(j)(ix) and the Prospectus say the Company will be governed by §203. The Prospectus does not address whether Redhill, Solstice or the founders (any holder of 15% or more) are exempt.</w:t>
            </w:r>
          </w:p>
        </w:tc>
        <w:tc>
          <w:tcPr>
            <w:tcW w:type="dxa" w:w="3240"/>
          </w:tcPr>
          <w:p>
            <w:pPr>
              <w:spacing w:after="20"/>
            </w:pPr>
            <w:r/>
            <w:r>
              <w:rPr>
                <w:b w:val="0"/>
                <w:i w:val="0"/>
                <w:sz w:val="17"/>
              </w:rPr>
              <w:t>Removing the opt-out is required. Confirm and disclose how §203 applies to persons who became 15% holders before the Company became subject to the statute (including any board approval to exempt them), since this affects the anti-takeover analysis disclosed.</w:t>
            </w:r>
          </w:p>
        </w:tc>
      </w:tr>
      <w:tr>
        <w:tc>
          <w:tcPr>
            <w:tcW w:type="dxa" w:w="648"/>
          </w:tcPr>
          <w:p>
            <w:pPr>
              <w:spacing w:after="20"/>
            </w:pPr>
            <w:r/>
            <w:r>
              <w:rPr>
                <w:b w:val="0"/>
                <w:i w:val="0"/>
                <w:sz w:val="17"/>
              </w:rPr>
              <w:t>F-25</w:t>
            </w:r>
          </w:p>
        </w:tc>
        <w:tc>
          <w:tcPr>
            <w:tcW w:type="dxa" w:w="1872"/>
          </w:tcPr>
          <w:p>
            <w:pPr>
              <w:spacing w:after="20"/>
            </w:pPr>
            <w:r/>
            <w:r>
              <w:rPr>
                <w:b w:val="0"/>
                <w:i w:val="0"/>
                <w:sz w:val="17"/>
              </w:rPr>
              <w:t>Underwriter expense reimbursement disclosure</w:t>
            </w:r>
          </w:p>
        </w:tc>
        <w:tc>
          <w:tcPr>
            <w:tcW w:type="dxa" w:w="3888"/>
          </w:tcPr>
          <w:p>
            <w:pPr>
              <w:spacing w:after="20"/>
            </w:pPr>
            <w:r/>
            <w:r>
              <w:rPr>
                <w:b w:val="0"/>
                <w:i w:val="0"/>
                <w:sz w:val="17"/>
              </w:rPr>
              <w:t>Prospectus: “We have agreed to reimburse the underwriters for certain expenses”; offering expenses $[●]. UA §9: the Company reimburses Underwriter expenses only if the deal fails due to Company breach, capped at $300,000. The Underwriters otherwise pay their own counsel.</w:t>
            </w:r>
          </w:p>
        </w:tc>
        <w:tc>
          <w:tcPr>
            <w:tcW w:type="dxa" w:w="3240"/>
          </w:tcPr>
          <w:p>
            <w:pPr>
              <w:spacing w:after="20"/>
            </w:pPr>
            <w:r/>
            <w:r>
              <w:rPr>
                <w:b w:val="0"/>
                <w:i w:val="0"/>
                <w:sz w:val="17"/>
              </w:rPr>
              <w:t>Conform the description. Disclose the reimbursement terms and any cap (FINRA Rule 5110 requires disclosure of underwriting compensation items). Fill in total expenses.</w:t>
            </w:r>
          </w:p>
        </w:tc>
      </w:tr>
      <w:tr>
        <w:tc>
          <w:tcPr>
            <w:tcW w:type="dxa" w:w="648"/>
          </w:tcPr>
          <w:p>
            <w:pPr>
              <w:spacing w:after="20"/>
            </w:pPr>
            <w:r/>
            <w:r>
              <w:rPr>
                <w:b w:val="0"/>
                <w:i w:val="0"/>
                <w:sz w:val="17"/>
              </w:rPr>
              <w:t>F-26</w:t>
            </w:r>
          </w:p>
        </w:tc>
        <w:tc>
          <w:tcPr>
            <w:tcW w:type="dxa" w:w="1872"/>
          </w:tcPr>
          <w:p>
            <w:pPr>
              <w:spacing w:after="20"/>
            </w:pPr>
            <w:r/>
            <w:r>
              <w:rPr>
                <w:b w:val="0"/>
                <w:i w:val="0"/>
                <w:sz w:val="17"/>
              </w:rPr>
              <w:t>Selling stockholder indemnity described more broadly than the UA</w:t>
            </w:r>
          </w:p>
        </w:tc>
        <w:tc>
          <w:tcPr>
            <w:tcW w:type="dxa" w:w="3888"/>
          </w:tcPr>
          <w:p>
            <w:pPr>
              <w:spacing w:after="20"/>
            </w:pPr>
            <w:r/>
            <w:r>
              <w:rPr>
                <w:b w:val="0"/>
                <w:i w:val="0"/>
                <w:sz w:val="17"/>
              </w:rPr>
              <w:t>Prospectus, Underwriting: “we and the selling stockholders will indemnify the underwriters against certain liabilities”, described in general terms. UA §7(b) and 7(d): selling stockholder indemnity is limited to information each furnished, several not joint, and capped at net proceeds.</w:t>
            </w:r>
          </w:p>
        </w:tc>
        <w:tc>
          <w:tcPr>
            <w:tcW w:type="dxa" w:w="3240"/>
          </w:tcPr>
          <w:p>
            <w:pPr>
              <w:spacing w:after="20"/>
            </w:pPr>
            <w:r/>
            <w:r>
              <w:rPr>
                <w:b w:val="0"/>
                <w:i w:val="0"/>
                <w:sz w:val="17"/>
              </w:rPr>
              <w:t>Add the limitation and cap to the Prospectus description.</w:t>
            </w:r>
          </w:p>
        </w:tc>
      </w:tr>
      <w:tr>
        <w:tc>
          <w:tcPr>
            <w:tcW w:type="dxa" w:w="648"/>
          </w:tcPr>
          <w:p>
            <w:pPr>
              <w:spacing w:after="20"/>
            </w:pPr>
            <w:r/>
            <w:r>
              <w:rPr>
                <w:b w:val="0"/>
                <w:i w:val="0"/>
                <w:sz w:val="17"/>
              </w:rPr>
              <w:t>F-27</w:t>
            </w:r>
          </w:p>
        </w:tc>
        <w:tc>
          <w:tcPr>
            <w:tcW w:type="dxa" w:w="1872"/>
          </w:tcPr>
          <w:p>
            <w:pPr>
              <w:spacing w:after="20"/>
            </w:pPr>
            <w:r/>
            <w:r>
              <w:rPr>
                <w:b w:val="0"/>
                <w:i w:val="0"/>
                <w:sz w:val="17"/>
              </w:rPr>
              <w:t>Nasdaq listing status and timing</w:t>
            </w:r>
          </w:p>
        </w:tc>
        <w:tc>
          <w:tcPr>
            <w:tcW w:type="dxa" w:w="3888"/>
          </w:tcPr>
          <w:p>
            <w:pPr>
              <w:spacing w:after="20"/>
            </w:pPr>
            <w:r/>
            <w:r>
              <w:rPr>
                <w:b w:val="0"/>
                <w:i w:val="0"/>
                <w:sz w:val="17"/>
              </w:rPr>
              <w:t>Prospectus: “We have applied to list”. UA §3(k): the Company “has applied for, and has been approved for” listing. UA §6(h): approval is a closing condition.</w:t>
            </w:r>
          </w:p>
        </w:tc>
        <w:tc>
          <w:tcPr>
            <w:tcW w:type="dxa" w:w="3240"/>
          </w:tcPr>
          <w:p>
            <w:pPr>
              <w:spacing w:after="20"/>
            </w:pPr>
            <w:r/>
            <w:r>
              <w:rPr>
                <w:b w:val="0"/>
                <w:i w:val="0"/>
                <w:sz w:val="17"/>
              </w:rPr>
              <w:t>Acceptable timing difference if approval is received by signing. Confirm before re-dating the UA (F-16) and update the final Prospectus.</w:t>
            </w:r>
          </w:p>
        </w:tc>
      </w:tr>
      <w:tr>
        <w:tc>
          <w:tcPr>
            <w:tcW w:type="dxa" w:w="648"/>
          </w:tcPr>
          <w:p>
            <w:pPr>
              <w:spacing w:after="20"/>
            </w:pPr>
            <w:r/>
            <w:r>
              <w:rPr>
                <w:b w:val="0"/>
                <w:i w:val="0"/>
                <w:sz w:val="17"/>
              </w:rPr>
              <w:t>F-28</w:t>
            </w:r>
          </w:p>
        </w:tc>
        <w:tc>
          <w:tcPr>
            <w:tcW w:type="dxa" w:w="1872"/>
          </w:tcPr>
          <w:p>
            <w:pPr>
              <w:spacing w:after="20"/>
            </w:pPr>
            <w:r/>
            <w:r>
              <w:rPr>
                <w:b w:val="0"/>
                <w:i w:val="0"/>
                <w:sz w:val="17"/>
              </w:rPr>
              <w:t>Prospectus is silent on termination of preferred rights and designee directors</w:t>
            </w:r>
          </w:p>
        </w:tc>
        <w:tc>
          <w:tcPr>
            <w:tcW w:type="dxa" w:w="3888"/>
          </w:tcPr>
          <w:p>
            <w:pPr>
              <w:spacing w:after="20"/>
            </w:pPr>
            <w:r/>
            <w:r>
              <w:rPr>
                <w:b w:val="0"/>
                <w:i w:val="0"/>
                <w:sz w:val="17"/>
              </w:rPr>
              <w:t>The Charter grants Series A, B and C director designation rights (§§4.4(i), 4.5(i), 4.6(i), 5.5), participation (3x cap on Series C), full-ratchet (Series C) and Series C redemption rights. The Prospectus mentions only that the series designations will be eliminated.</w:t>
            </w:r>
          </w:p>
        </w:tc>
        <w:tc>
          <w:tcPr>
            <w:tcW w:type="dxa" w:w="3240"/>
          </w:tcPr>
          <w:p>
            <w:pPr>
              <w:spacing w:after="20"/>
            </w:pPr>
            <w:r/>
            <w:r>
              <w:rPr>
                <w:b w:val="0"/>
                <w:i w:val="0"/>
                <w:sz w:val="17"/>
              </w:rPr>
              <w:t>Disclose which current directors are series designees (likely Okonkwo and Rajagopal) and that the designation, redemption and anti-dilution rights terminate on conversion. Confirm that no anti-dilution adjustment has occurred that would change the 1:1 ratio (see F-29).</w:t>
            </w:r>
          </w:p>
        </w:tc>
      </w:tr>
    </w:tbl>
    <w:p>
      <w:pPr>
        <w:spacing w:after="40"/>
      </w:pPr>
    </w:p>
    <w:p>
      <w:pPr>
        <w:pStyle w:val="Heading2"/>
      </w:pPr>
      <w:r>
        <w:t>D. Low (Drafting and Conforming)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648"/>
            <w:shd w:val="clear" w:color="auto" w:fill="1F3A5F"/>
          </w:tcPr>
          <w:p>
            <w:r/>
            <w:r>
              <w:rPr>
                <w:b/>
                <w:color w:val="FFFFFF"/>
                <w:sz w:val="17"/>
              </w:rPr>
              <w:t>ID</w:t>
            </w:r>
          </w:p>
        </w:tc>
        <w:tc>
          <w:tcPr>
            <w:tcW w:type="dxa" w:w="5328"/>
            <w:shd w:val="clear" w:color="auto" w:fill="1F3A5F"/>
          </w:tcPr>
          <w:p>
            <w:r/>
            <w:r>
              <w:rPr>
                <w:b/>
                <w:color w:val="FFFFFF"/>
                <w:sz w:val="17"/>
              </w:rPr>
              <w:t>Deviation</w:t>
            </w:r>
          </w:p>
        </w:tc>
        <w:tc>
          <w:tcPr>
            <w:tcW w:type="dxa" w:w="3672"/>
            <w:shd w:val="clear" w:color="auto" w:fill="1F3A5F"/>
          </w:tcPr>
          <w:p>
            <w:r/>
            <w:r>
              <w:rPr>
                <w:b/>
                <w:color w:val="FFFFFF"/>
                <w:sz w:val="17"/>
              </w:rPr>
              <w:t>Recommended action</w:t>
            </w:r>
          </w:p>
        </w:tc>
      </w:tr>
      <w:tr>
        <w:tc>
          <w:tcPr>
            <w:tcW w:type="dxa" w:w="648"/>
          </w:tcPr>
          <w:p>
            <w:pPr>
              <w:spacing w:after="20"/>
            </w:pPr>
            <w:r/>
            <w:r>
              <w:rPr>
                <w:b w:val="0"/>
                <w:i w:val="0"/>
                <w:sz w:val="17"/>
              </w:rPr>
              <w:t>F-29</w:t>
            </w:r>
          </w:p>
        </w:tc>
        <w:tc>
          <w:tcPr>
            <w:tcW w:type="dxa" w:w="5328"/>
          </w:tcPr>
          <w:p>
            <w:pPr>
              <w:spacing w:after="20"/>
            </w:pPr>
            <w:r/>
            <w:r>
              <w:rPr>
                <w:b w:val="0"/>
                <w:i w:val="0"/>
                <w:sz w:val="17"/>
              </w:rPr>
              <w:t>Charter §§4.4(d)/(e), 4.5(d)/(e), 4.6(d)/(e) use both a “Conversion Ratio” (1:1) and a “Conversion Price” that is never set at an initial dollar amount, so it is unclear how a price adjustment changes the ratio.</w:t>
            </w:r>
          </w:p>
        </w:tc>
        <w:tc>
          <w:tcPr>
            <w:tcW w:type="dxa" w:w="3672"/>
          </w:tcPr>
          <w:p>
            <w:pPr>
              <w:spacing w:after="20"/>
            </w:pPr>
            <w:r/>
            <w:r>
              <w:rPr>
                <w:b w:val="0"/>
                <w:i w:val="0"/>
                <w:sz w:val="17"/>
              </w:rPr>
              <w:t>Obtain an officer’s certificate that no adjustment events have occurred, so that the 26,650,000 as-converted figure stands. Note this for the opinion back-up.</w:t>
            </w:r>
          </w:p>
        </w:tc>
      </w:tr>
      <w:tr>
        <w:tc>
          <w:tcPr>
            <w:tcW w:type="dxa" w:w="648"/>
          </w:tcPr>
          <w:p>
            <w:pPr>
              <w:spacing w:after="20"/>
            </w:pPr>
            <w:r/>
            <w:r>
              <w:rPr>
                <w:b w:val="0"/>
                <w:i w:val="0"/>
                <w:sz w:val="17"/>
              </w:rPr>
              <w:t>F-30</w:t>
            </w:r>
          </w:p>
        </w:tc>
        <w:tc>
          <w:tcPr>
            <w:tcW w:type="dxa" w:w="5328"/>
          </w:tcPr>
          <w:p>
            <w:pPr>
              <w:spacing w:after="20"/>
            </w:pPr>
            <w:r/>
            <w:r>
              <w:rPr>
                <w:b w:val="0"/>
                <w:i w:val="0"/>
                <w:sz w:val="17"/>
              </w:rPr>
              <w:t>Name of IPO Charter: UA and Prospectus say “Amended and Restated Certificate of Incorporation”. Following the Fourth A&amp;R it should be the “Fifth Amended and Restated”.</w:t>
            </w:r>
          </w:p>
        </w:tc>
        <w:tc>
          <w:tcPr>
            <w:tcW w:type="dxa" w:w="3672"/>
          </w:tcPr>
          <w:p>
            <w:pPr>
              <w:spacing w:after="20"/>
            </w:pPr>
            <w:r/>
            <w:r>
              <w:rPr>
                <w:b w:val="0"/>
                <w:i w:val="0"/>
                <w:sz w:val="17"/>
              </w:rPr>
              <w:t>Use consistent nomenclature in UA §1, Exhibit A, the S-1 exhibit index and the Prospectus.</w:t>
            </w:r>
          </w:p>
        </w:tc>
      </w:tr>
      <w:tr>
        <w:tc>
          <w:tcPr>
            <w:tcW w:type="dxa" w:w="648"/>
          </w:tcPr>
          <w:p>
            <w:pPr>
              <w:spacing w:after="20"/>
            </w:pPr>
            <w:r/>
            <w:r>
              <w:rPr>
                <w:b w:val="0"/>
                <w:i w:val="0"/>
                <w:sz w:val="17"/>
              </w:rPr>
              <w:t>F-31</w:t>
            </w:r>
          </w:p>
        </w:tc>
        <w:tc>
          <w:tcPr>
            <w:tcW w:type="dxa" w:w="5328"/>
          </w:tcPr>
          <w:p>
            <w:pPr>
              <w:spacing w:after="20"/>
            </w:pPr>
            <w:r/>
            <w:r>
              <w:rPr>
                <w:b w:val="0"/>
                <w:i w:val="0"/>
                <w:sz w:val="17"/>
              </w:rPr>
              <w:t>UA §6(j)(i) requires “not fewer than 200,000,000” common shares. The Prospectus states exactly 200,000,000.</w:t>
            </w:r>
          </w:p>
        </w:tc>
        <w:tc>
          <w:tcPr>
            <w:tcW w:type="dxa" w:w="3672"/>
          </w:tcPr>
          <w:p>
            <w:pPr>
              <w:spacing w:after="20"/>
            </w:pPr>
            <w:r/>
            <w:r>
              <w:rPr>
                <w:b w:val="0"/>
                <w:i w:val="0"/>
                <w:sz w:val="17"/>
              </w:rPr>
              <w:t>Fix at exactly 200,000,000 in the UA or confirm the final number.</w:t>
            </w:r>
          </w:p>
        </w:tc>
      </w:tr>
      <w:tr>
        <w:tc>
          <w:tcPr>
            <w:tcW w:type="dxa" w:w="648"/>
          </w:tcPr>
          <w:p>
            <w:pPr>
              <w:spacing w:after="20"/>
            </w:pPr>
            <w:r/>
            <w:r>
              <w:rPr>
                <w:b w:val="0"/>
                <w:i w:val="0"/>
                <w:sz w:val="17"/>
              </w:rPr>
              <w:t>F-32</w:t>
            </w:r>
          </w:p>
        </w:tc>
        <w:tc>
          <w:tcPr>
            <w:tcW w:type="dxa" w:w="5328"/>
          </w:tcPr>
          <w:p>
            <w:pPr>
              <w:spacing w:after="20"/>
            </w:pPr>
            <w:r/>
            <w:r>
              <w:rPr>
                <w:b w:val="0"/>
                <w:i w:val="0"/>
                <w:sz w:val="17"/>
              </w:rPr>
              <w:t>The Prospectus underwriter allocation table is blank ([●]). UA Schedule II shows Stonebridge 7,475,000 (65%), Pelham 2,300,000 (20%), Lanyard 1,725,000 (15%). UA §2(a)(i) refers to “Company Shares set forth opposite such Underwriter’s name on Schedule II”, but Schedule II does not split Company and Selling Stockholder shares.</w:t>
            </w:r>
          </w:p>
        </w:tc>
        <w:tc>
          <w:tcPr>
            <w:tcW w:type="dxa" w:w="3672"/>
          </w:tcPr>
          <w:p>
            <w:pPr>
              <w:spacing w:after="20"/>
            </w:pPr>
            <w:r/>
            <w:r>
              <w:rPr>
                <w:b w:val="0"/>
                <w:i w:val="0"/>
                <w:sz w:val="17"/>
              </w:rPr>
              <w:t>Complete the Prospectus table at pricing. Add Company and Selling Stockholder columns to Schedule II.</w:t>
            </w:r>
          </w:p>
        </w:tc>
      </w:tr>
      <w:tr>
        <w:tc>
          <w:tcPr>
            <w:tcW w:type="dxa" w:w="648"/>
          </w:tcPr>
          <w:p>
            <w:pPr>
              <w:spacing w:after="20"/>
            </w:pPr>
            <w:r/>
            <w:r>
              <w:rPr>
                <w:b w:val="0"/>
                <w:i w:val="0"/>
                <w:sz w:val="17"/>
              </w:rPr>
              <w:t>F-33</w:t>
            </w:r>
          </w:p>
        </w:tc>
        <w:tc>
          <w:tcPr>
            <w:tcW w:type="dxa" w:w="5328"/>
          </w:tcPr>
          <w:p>
            <w:pPr>
              <w:spacing w:after="20"/>
            </w:pPr>
            <w:r/>
            <w:r>
              <w:rPr>
                <w:b w:val="0"/>
                <w:i w:val="0"/>
                <w:sz w:val="17"/>
              </w:rPr>
              <w:t>UA drafting: “Representatives” defined in the plural, though the UA uses the singular “Representative” throughout; Schedule III (issuer FWPs) referenced but not attached; S-1 file number placeholder (333-XXXXXX vs. 333-[●]); Exhibit D has no custodian named (only an attorney-in-fact, the Company’s GC, which raises a conflict for the Selling Stockholders).</w:t>
            </w:r>
          </w:p>
        </w:tc>
        <w:tc>
          <w:tcPr>
            <w:tcW w:type="dxa" w:w="3672"/>
          </w:tcPr>
          <w:p>
            <w:pPr>
              <w:spacing w:after="20"/>
            </w:pPr>
            <w:r/>
            <w:r>
              <w:rPr>
                <w:b w:val="0"/>
                <w:i w:val="0"/>
                <w:sz w:val="17"/>
              </w:rPr>
              <w:t>Clean up. Attach Schedule III (or state “None”). Insert the file number. Name a custodian (e.g., Clearfield Transfer Services) in Exhibit D.</w:t>
            </w:r>
          </w:p>
        </w:tc>
      </w:tr>
      <w:tr>
        <w:tc>
          <w:tcPr>
            <w:tcW w:type="dxa" w:w="648"/>
          </w:tcPr>
          <w:p>
            <w:pPr>
              <w:spacing w:after="20"/>
            </w:pPr>
            <w:r/>
            <w:r>
              <w:rPr>
                <w:b w:val="0"/>
                <w:i w:val="0"/>
                <w:sz w:val="17"/>
              </w:rPr>
              <w:t>F-34</w:t>
            </w:r>
          </w:p>
        </w:tc>
        <w:tc>
          <w:tcPr>
            <w:tcW w:type="dxa" w:w="5328"/>
          </w:tcPr>
          <w:p>
            <w:pPr>
              <w:spacing w:after="20"/>
            </w:pPr>
            <w:r/>
            <w:r>
              <w:rPr>
                <w:b w:val="0"/>
                <w:i w:val="0"/>
                <w:sz w:val="17"/>
              </w:rPr>
              <w:t>Prospectus “Experts” lists Bridger &amp; Callahan LLP (tax counsel). Counsel is not an expert under Section 7/11 in this sense.</w:t>
            </w:r>
          </w:p>
        </w:tc>
        <w:tc>
          <w:tcPr>
            <w:tcW w:type="dxa" w:w="3672"/>
          </w:tcPr>
          <w:p>
            <w:pPr>
              <w:spacing w:after="20"/>
            </w:pPr>
            <w:r/>
            <w:r>
              <w:rPr>
                <w:b w:val="0"/>
                <w:i w:val="0"/>
                <w:sz w:val="17"/>
              </w:rPr>
              <w:t>Move it to “Legal Matters” and conform it to the UA §6(g) tax opinion.</w:t>
            </w:r>
          </w:p>
        </w:tc>
      </w:tr>
      <w:tr>
        <w:tc>
          <w:tcPr>
            <w:tcW w:type="dxa" w:w="648"/>
          </w:tcPr>
          <w:p>
            <w:pPr>
              <w:spacing w:after="20"/>
            </w:pPr>
            <w:r/>
            <w:r>
              <w:rPr>
                <w:b w:val="0"/>
                <w:i w:val="0"/>
                <w:sz w:val="17"/>
              </w:rPr>
              <w:t>F-35</w:t>
            </w:r>
          </w:p>
        </w:tc>
        <w:tc>
          <w:tcPr>
            <w:tcW w:type="dxa" w:w="5328"/>
          </w:tcPr>
          <w:p>
            <w:pPr>
              <w:spacing w:after="20"/>
            </w:pPr>
            <w:r/>
            <w:r>
              <w:rPr>
                <w:b w:val="0"/>
                <w:i w:val="0"/>
                <w:sz w:val="17"/>
              </w:rPr>
              <w:t>Use of Proceeds leaves full-exercise net proceeds blank ($[●]), though the Underwriting table computes $177,650,000 (before expenses) on 1,500,000 shares.</w:t>
            </w:r>
          </w:p>
        </w:tc>
        <w:tc>
          <w:tcPr>
            <w:tcW w:type="dxa" w:w="3672"/>
          </w:tcPr>
          <w:p>
            <w:pPr>
              <w:spacing w:after="20"/>
            </w:pPr>
            <w:r/>
            <w:r>
              <w:rPr>
                <w:b w:val="0"/>
                <w:i w:val="0"/>
                <w:sz w:val="17"/>
              </w:rPr>
              <w:t>Complete after F-2 and F-8 are resolved (UA basis: $181,647,125 before expenses).</w:t>
            </w:r>
          </w:p>
        </w:tc>
      </w:tr>
      <w:tr>
        <w:tc>
          <w:tcPr>
            <w:tcW w:type="dxa" w:w="648"/>
          </w:tcPr>
          <w:p>
            <w:pPr>
              <w:spacing w:after="20"/>
            </w:pPr>
            <w:r/>
            <w:r>
              <w:rPr>
                <w:b w:val="0"/>
                <w:i w:val="0"/>
                <w:sz w:val="17"/>
              </w:rPr>
              <w:t>F-36</w:t>
            </w:r>
          </w:p>
        </w:tc>
        <w:tc>
          <w:tcPr>
            <w:tcW w:type="dxa" w:w="5328"/>
          </w:tcPr>
          <w:p>
            <w:pPr>
              <w:spacing w:after="20"/>
            </w:pPr>
            <w:r/>
            <w:r>
              <w:rPr>
                <w:b w:val="0"/>
                <w:i w:val="0"/>
                <w:sz w:val="17"/>
              </w:rPr>
              <w:t>The Prospectus refers to “amended and restated bylaws” (not provided). The UA §6(j) checklist covers only the charter.</w:t>
            </w:r>
          </w:p>
        </w:tc>
        <w:tc>
          <w:tcPr>
            <w:tcW w:type="dxa" w:w="3672"/>
          </w:tcPr>
          <w:p>
            <w:pPr>
              <w:spacing w:after="20"/>
            </w:pPr>
            <w:r/>
            <w:r>
              <w:rPr>
                <w:b w:val="0"/>
                <w:i w:val="0"/>
                <w:sz w:val="17"/>
              </w:rPr>
              <w:t>Review the bylaws for consistency (advance notice, board size, special meetings, supermajority bylaw amendment) before the Description is finalized.</w:t>
            </w:r>
          </w:p>
        </w:tc>
      </w:tr>
    </w:tbl>
    <w:p>
      <w:pPr>
        <w:spacing w:after="40"/>
      </w:pPr>
    </w:p>
    <w:p>
      <w:pPr>
        <w:sectPr>
          <w:pgSz w:w="12240" w:h="15840"/>
          <w:pgMar w:top="1296" w:right="1296" w:bottom="1296" w:left="1296" w:header="720" w:footer="720" w:gutter="0"/>
          <w:cols w:space="720"/>
          <w:docGrid w:linePitch="360"/>
        </w:sectPr>
      </w:pPr>
    </w:p>
    <w:p>
      <w:pPr>
        <w:pStyle w:val="Heading1"/>
      </w:pPr>
      <w:r>
        <w:t>IV. IPO Charter Conformity Matrix (UA §6(j) vs. Current Charter vs. Prospectus)</w:t>
      </w:r>
    </w:p>
    <w:tbl>
      <w:tblPr>
        <w:tblStyle w:val="TableGrid"/>
        <w:tblW w:type="auto" w:w="0"/>
        <w:jc w:val="center"/>
        <w:tblLook w:firstColumn="1" w:firstRow="1" w:lastColumn="0" w:lastRow="0" w:noHBand="0" w:noVBand="1" w:val="04A0"/>
      </w:tblPr>
      <w:tblGrid>
        <w:gridCol w:w="2765"/>
        <w:gridCol w:w="2765"/>
        <w:gridCol w:w="2765"/>
        <w:gridCol w:w="2765"/>
        <w:gridCol w:w="2765"/>
      </w:tblGrid>
      <w:tr>
        <w:trPr>
          <w:tblHeader w:val="true"/>
        </w:trPr>
        <w:tc>
          <w:tcPr>
            <w:tcW w:type="dxa" w:w="1944"/>
            <w:shd w:val="clear" w:color="auto" w:fill="1F3A5F"/>
          </w:tcPr>
          <w:p>
            <w:r/>
            <w:r>
              <w:rPr>
                <w:b/>
                <w:color w:val="FFFFFF"/>
                <w:sz w:val="17"/>
              </w:rPr>
              <w:t>UA §6(j) item</w:t>
            </w:r>
          </w:p>
        </w:tc>
        <w:tc>
          <w:tcPr>
            <w:tcW w:type="dxa" w:w="3744"/>
            <w:shd w:val="clear" w:color="auto" w:fill="1F3A5F"/>
          </w:tcPr>
          <w:p>
            <w:r/>
            <w:r>
              <w:rPr>
                <w:b/>
                <w:color w:val="FFFFFF"/>
                <w:sz w:val="17"/>
              </w:rPr>
              <w:t>Current Charter (Fourth A&amp;R)</w:t>
            </w:r>
          </w:p>
        </w:tc>
        <w:tc>
          <w:tcPr>
            <w:tcW w:type="dxa" w:w="2736"/>
            <w:shd w:val="clear" w:color="auto" w:fill="1F3A5F"/>
          </w:tcPr>
          <w:p>
            <w:r/>
            <w:r>
              <w:rPr>
                <w:b/>
                <w:color w:val="FFFFFF"/>
                <w:sz w:val="17"/>
              </w:rPr>
              <w:t>UA requirement</w:t>
            </w:r>
          </w:p>
        </w:tc>
        <w:tc>
          <w:tcPr>
            <w:tcW w:type="dxa" w:w="2736"/>
            <w:shd w:val="clear" w:color="auto" w:fill="1F3A5F"/>
          </w:tcPr>
          <w:p>
            <w:r/>
            <w:r>
              <w:rPr>
                <w:b/>
                <w:color w:val="FFFFFF"/>
                <w:sz w:val="17"/>
              </w:rPr>
              <w:t>Prospectus description</w:t>
            </w:r>
          </w:p>
        </w:tc>
        <w:tc>
          <w:tcPr>
            <w:tcW w:type="dxa" w:w="2664"/>
            <w:shd w:val="clear" w:color="auto" w:fill="1F3A5F"/>
          </w:tcPr>
          <w:p>
            <w:r/>
            <w:r>
              <w:rPr>
                <w:b/>
                <w:color w:val="FFFFFF"/>
                <w:sz w:val="17"/>
              </w:rPr>
              <w:t>Status / action</w:t>
            </w:r>
          </w:p>
        </w:tc>
      </w:tr>
      <w:tr>
        <w:tc>
          <w:tcPr>
            <w:tcW w:type="dxa" w:w="1944"/>
          </w:tcPr>
          <w:p>
            <w:pPr>
              <w:spacing w:after="20"/>
            </w:pPr>
            <w:r/>
            <w:r>
              <w:rPr>
                <w:b w:val="0"/>
                <w:i w:val="0"/>
                <w:sz w:val="17"/>
              </w:rPr>
              <w:t>(i) Authorized capital</w:t>
            </w:r>
          </w:p>
        </w:tc>
        <w:tc>
          <w:tcPr>
            <w:tcW w:type="dxa" w:w="3744"/>
          </w:tcPr>
          <w:p>
            <w:pPr>
              <w:spacing w:after="20"/>
            </w:pPr>
            <w:r/>
            <w:r>
              <w:rPr>
                <w:b w:val="0"/>
                <w:i w:val="0"/>
                <w:sz w:val="17"/>
              </w:rPr>
              <w:t>§4.1: 125,000,000 total; 100,000,000 Common; 25,000,000 Preferred (both $0.001 par)</w:t>
            </w:r>
          </w:p>
        </w:tc>
        <w:tc>
          <w:tcPr>
            <w:tcW w:type="dxa" w:w="2736"/>
          </w:tcPr>
          <w:p>
            <w:pPr>
              <w:spacing w:after="20"/>
            </w:pPr>
            <w:r/>
            <w:r>
              <w:rPr>
                <w:b w:val="0"/>
                <w:i w:val="0"/>
                <w:sz w:val="17"/>
              </w:rPr>
              <w:t>Not fewer than 200,000,000 Common; 10,000,000 blank-check Preferred</w:t>
            </w:r>
          </w:p>
        </w:tc>
        <w:tc>
          <w:tcPr>
            <w:tcW w:type="dxa" w:w="2736"/>
          </w:tcPr>
          <w:p>
            <w:pPr>
              <w:spacing w:after="20"/>
            </w:pPr>
            <w:r/>
            <w:r>
              <w:rPr>
                <w:b w:val="0"/>
                <w:i w:val="0"/>
                <w:sz w:val="17"/>
              </w:rPr>
              <w:t>200,000,000 Common; 10,000,000 Preferred (Capitalization; Description)</w:t>
            </w:r>
          </w:p>
        </w:tc>
        <w:tc>
          <w:tcPr>
            <w:tcW w:type="dxa" w:w="2664"/>
          </w:tcPr>
          <w:p>
            <w:pPr>
              <w:spacing w:after="20"/>
            </w:pPr>
            <w:r/>
            <w:r>
              <w:rPr>
                <w:b w:val="0"/>
                <w:i w:val="0"/>
                <w:sz w:val="17"/>
              </w:rPr>
              <w:t xml:space="preserve">Critical: amend. Also cures F-1 going forward but </w:t>
            </w:r>
            <w:r>
              <w:rPr>
                <w:b/>
                <w:i w:val="0"/>
                <w:sz w:val="17"/>
              </w:rPr>
              <w:t>not</w:t>
            </w:r>
            <w:r>
              <w:rPr>
                <w:b w:val="0"/>
                <w:i w:val="0"/>
                <w:sz w:val="17"/>
              </w:rPr>
              <w:t xml:space="preserve"> past over-issuance</w:t>
            </w:r>
          </w:p>
        </w:tc>
      </w:tr>
      <w:tr>
        <w:tc>
          <w:tcPr>
            <w:tcW w:type="dxa" w:w="1944"/>
          </w:tcPr>
          <w:p>
            <w:pPr>
              <w:spacing w:after="20"/>
            </w:pPr>
            <w:r/>
            <w:r>
              <w:rPr>
                <w:b w:val="0"/>
                <w:i w:val="0"/>
                <w:sz w:val="17"/>
              </w:rPr>
              <w:t>(ii) Eliminate Series A/B/C</w:t>
            </w:r>
          </w:p>
        </w:tc>
        <w:tc>
          <w:tcPr>
            <w:tcW w:type="dxa" w:w="3744"/>
          </w:tcPr>
          <w:p>
            <w:pPr>
              <w:spacing w:after="20"/>
            </w:pPr>
            <w:r/>
            <w:r>
              <w:rPr>
                <w:b w:val="0"/>
                <w:i w:val="0"/>
                <w:sz w:val="17"/>
              </w:rPr>
              <w:t>§§4.4–4.7: three series with liquidation preferences, participation (Series C 3x cap), weighted-average (A/B) and full-ratchet (C) anti-dilution, Series C redemption, protective provisions, designee directors</w:t>
            </w:r>
          </w:p>
        </w:tc>
        <w:tc>
          <w:tcPr>
            <w:tcW w:type="dxa" w:w="2736"/>
          </w:tcPr>
          <w:p>
            <w:pPr>
              <w:spacing w:after="20"/>
            </w:pPr>
            <w:r/>
            <w:r>
              <w:rPr>
                <w:b w:val="0"/>
                <w:i w:val="0"/>
                <w:sz w:val="17"/>
              </w:rPr>
              <w:t>Eliminate all series rights; no preferred outstanding at filing</w:t>
            </w:r>
          </w:p>
        </w:tc>
        <w:tc>
          <w:tcPr>
            <w:tcW w:type="dxa" w:w="2736"/>
          </w:tcPr>
          <w:p>
            <w:pPr>
              <w:spacing w:after="20"/>
            </w:pPr>
            <w:r/>
            <w:r>
              <w:rPr>
                <w:b w:val="0"/>
                <w:i w:val="0"/>
                <w:sz w:val="17"/>
              </w:rPr>
              <w:t>Series converted and designations eliminated; no preferred outstanding</w:t>
            </w:r>
          </w:p>
        </w:tc>
        <w:tc>
          <w:tcPr>
            <w:tcW w:type="dxa" w:w="2664"/>
          </w:tcPr>
          <w:p>
            <w:pPr>
              <w:spacing w:after="20"/>
            </w:pPr>
            <w:r/>
            <w:r>
              <w:rPr>
                <w:b w:val="0"/>
                <w:i w:val="0"/>
                <w:sz w:val="17"/>
              </w:rPr>
              <w:t>Critical: delete §§4.4–4.7; sequence after conversion (F-10, F-20)</w:t>
            </w:r>
          </w:p>
        </w:tc>
      </w:tr>
      <w:tr>
        <w:tc>
          <w:tcPr>
            <w:tcW w:type="dxa" w:w="1944"/>
          </w:tcPr>
          <w:p>
            <w:pPr>
              <w:spacing w:after="20"/>
            </w:pPr>
            <w:r/>
            <w:r>
              <w:rPr>
                <w:b w:val="0"/>
                <w:i w:val="0"/>
                <w:sz w:val="17"/>
              </w:rPr>
              <w:t>(iii) Classified board</w:t>
            </w:r>
          </w:p>
        </w:tc>
        <w:tc>
          <w:tcPr>
            <w:tcW w:type="dxa" w:w="3744"/>
          </w:tcPr>
          <w:p>
            <w:pPr>
              <w:spacing w:after="20"/>
            </w:pPr>
            <w:r/>
            <w:r>
              <w:rPr>
                <w:b w:val="0"/>
                <w:i w:val="0"/>
                <w:sz w:val="17"/>
              </w:rPr>
              <w:t>§5.3: all directors elected annually</w:t>
            </w:r>
          </w:p>
        </w:tc>
        <w:tc>
          <w:tcPr>
            <w:tcW w:type="dxa" w:w="2736"/>
          </w:tcPr>
          <w:p>
            <w:pPr>
              <w:spacing w:after="20"/>
            </w:pPr>
            <w:r/>
            <w:r>
              <w:rPr>
                <w:b w:val="0"/>
                <w:i w:val="0"/>
                <w:sz w:val="17"/>
              </w:rPr>
              <w:t>Three classes, staggered three-year terms</w:t>
            </w:r>
          </w:p>
        </w:tc>
        <w:tc>
          <w:tcPr>
            <w:tcW w:type="dxa" w:w="2736"/>
          </w:tcPr>
          <w:p>
            <w:pPr>
              <w:spacing w:after="20"/>
            </w:pPr>
            <w:r/>
            <w:r>
              <w:rPr>
                <w:b w:val="0"/>
                <w:i w:val="0"/>
                <w:sz w:val="17"/>
              </w:rPr>
              <w:t>Three classes; Class I/II/III expire at 1st/2nd/3rd annual meetings</w:t>
            </w:r>
          </w:p>
        </w:tc>
        <w:tc>
          <w:tcPr>
            <w:tcW w:type="dxa" w:w="2664"/>
          </w:tcPr>
          <w:p>
            <w:pPr>
              <w:spacing w:after="20"/>
            </w:pPr>
            <w:r/>
            <w:r>
              <w:rPr>
                <w:b w:val="0"/>
                <w:i w:val="0"/>
                <w:sz w:val="17"/>
              </w:rPr>
              <w:t>Critical: add; assign classes (F-23)</w:t>
            </w:r>
          </w:p>
        </w:tc>
      </w:tr>
      <w:tr>
        <w:tc>
          <w:tcPr>
            <w:tcW w:type="dxa" w:w="1944"/>
          </w:tcPr>
          <w:p>
            <w:pPr>
              <w:spacing w:after="20"/>
            </w:pPr>
            <w:r/>
            <w:r>
              <w:rPr>
                <w:b w:val="0"/>
                <w:i w:val="0"/>
                <w:sz w:val="17"/>
              </w:rPr>
              <w:t>(iv) Removal</w:t>
            </w:r>
          </w:p>
        </w:tc>
        <w:tc>
          <w:tcPr>
            <w:tcW w:type="dxa" w:w="3744"/>
          </w:tcPr>
          <w:p>
            <w:pPr>
              <w:spacing w:after="20"/>
            </w:pPr>
            <w:r/>
            <w:r>
              <w:rPr>
                <w:b w:val="0"/>
                <w:i w:val="0"/>
                <w:sz w:val="17"/>
              </w:rPr>
              <w:t>Silent (DGCL §141(k) default: removal with or without cause by majority)</w:t>
            </w:r>
          </w:p>
        </w:tc>
        <w:tc>
          <w:tcPr>
            <w:tcW w:type="dxa" w:w="2736"/>
          </w:tcPr>
          <w:p>
            <w:pPr>
              <w:spacing w:after="20"/>
            </w:pPr>
            <w:r/>
            <w:r>
              <w:rPr>
                <w:b w:val="0"/>
                <w:i w:val="0"/>
                <w:sz w:val="17"/>
              </w:rPr>
              <w:t>Only for cause, 66⅔% of voting power</w:t>
            </w:r>
          </w:p>
        </w:tc>
        <w:tc>
          <w:tcPr>
            <w:tcW w:type="dxa" w:w="2736"/>
          </w:tcPr>
          <w:p>
            <w:pPr>
              <w:spacing w:after="20"/>
            </w:pPr>
            <w:r/>
            <w:r>
              <w:rPr>
                <w:b w:val="0"/>
                <w:i w:val="0"/>
                <w:sz w:val="17"/>
              </w:rPr>
              <w:t>Only for cause, 66⅔%</w:t>
            </w:r>
          </w:p>
        </w:tc>
        <w:tc>
          <w:tcPr>
            <w:tcW w:type="dxa" w:w="2664"/>
          </w:tcPr>
          <w:p>
            <w:pPr>
              <w:spacing w:after="20"/>
            </w:pPr>
            <w:r/>
            <w:r>
              <w:rPr>
                <w:b w:val="0"/>
                <w:i w:val="0"/>
                <w:sz w:val="17"/>
              </w:rPr>
              <w:t>Critical: add</w:t>
            </w:r>
          </w:p>
        </w:tc>
      </w:tr>
      <w:tr>
        <w:tc>
          <w:tcPr>
            <w:tcW w:type="dxa" w:w="1944"/>
          </w:tcPr>
          <w:p>
            <w:pPr>
              <w:spacing w:after="20"/>
            </w:pPr>
            <w:r/>
            <w:r>
              <w:rPr>
                <w:b w:val="0"/>
                <w:i w:val="0"/>
                <w:sz w:val="17"/>
              </w:rPr>
              <w:t>(v) Cumulative voting</w:t>
            </w:r>
          </w:p>
        </w:tc>
        <w:tc>
          <w:tcPr>
            <w:tcW w:type="dxa" w:w="3744"/>
          </w:tcPr>
          <w:p>
            <w:pPr>
              <w:spacing w:after="20"/>
            </w:pPr>
            <w:r/>
            <w:r>
              <w:rPr>
                <w:b w:val="0"/>
                <w:i w:val="0"/>
                <w:sz w:val="17"/>
              </w:rPr>
              <w:t>Silent (no cumulative voting by default under DGCL §214)</w:t>
            </w:r>
          </w:p>
        </w:tc>
        <w:tc>
          <w:tcPr>
            <w:tcW w:type="dxa" w:w="2736"/>
          </w:tcPr>
          <w:p>
            <w:pPr>
              <w:spacing w:after="20"/>
            </w:pPr>
            <w:r/>
            <w:r>
              <w:rPr>
                <w:b w:val="0"/>
                <w:i w:val="0"/>
                <w:sz w:val="17"/>
              </w:rPr>
              <w:t>Express prohibition</w:t>
            </w:r>
          </w:p>
        </w:tc>
        <w:tc>
          <w:tcPr>
            <w:tcW w:type="dxa" w:w="2736"/>
          </w:tcPr>
          <w:p>
            <w:pPr>
              <w:spacing w:after="20"/>
            </w:pPr>
            <w:r/>
            <w:r>
              <w:rPr>
                <w:b w:val="0"/>
                <w:i w:val="0"/>
                <w:sz w:val="17"/>
              </w:rPr>
              <w:t>Express prohibition</w:t>
            </w:r>
          </w:p>
        </w:tc>
        <w:tc>
          <w:tcPr>
            <w:tcW w:type="dxa" w:w="2664"/>
          </w:tcPr>
          <w:p>
            <w:pPr>
              <w:spacing w:after="20"/>
            </w:pPr>
            <w:r/>
            <w:r>
              <w:rPr>
                <w:b w:val="0"/>
                <w:i w:val="0"/>
                <w:sz w:val="17"/>
              </w:rPr>
              <w:t>High: add express clause</w:t>
            </w:r>
          </w:p>
        </w:tc>
      </w:tr>
      <w:tr>
        <w:tc>
          <w:tcPr>
            <w:tcW w:type="dxa" w:w="1944"/>
          </w:tcPr>
          <w:p>
            <w:pPr>
              <w:spacing w:after="20"/>
            </w:pPr>
            <w:r/>
            <w:r>
              <w:rPr>
                <w:b w:val="0"/>
                <w:i w:val="0"/>
                <w:sz w:val="17"/>
              </w:rPr>
              <w:t>(vi) Written consent</w:t>
            </w:r>
          </w:p>
        </w:tc>
        <w:tc>
          <w:tcPr>
            <w:tcW w:type="dxa" w:w="3744"/>
          </w:tcPr>
          <w:p>
            <w:pPr>
              <w:spacing w:after="20"/>
            </w:pPr>
            <w:r/>
            <w:r>
              <w:rPr>
                <w:b w:val="0"/>
                <w:i w:val="0"/>
                <w:sz w:val="17"/>
              </w:rPr>
              <w:t>§6.3: written consent expressly permitted</w:t>
            </w:r>
          </w:p>
        </w:tc>
        <w:tc>
          <w:tcPr>
            <w:tcW w:type="dxa" w:w="2736"/>
          </w:tcPr>
          <w:p>
            <w:pPr>
              <w:spacing w:after="20"/>
            </w:pPr>
            <w:r/>
            <w:r>
              <w:rPr>
                <w:b w:val="0"/>
                <w:i w:val="0"/>
                <w:sz w:val="17"/>
              </w:rPr>
              <w:t>Prohibited from and after closing</w:t>
            </w:r>
          </w:p>
        </w:tc>
        <w:tc>
          <w:tcPr>
            <w:tcW w:type="dxa" w:w="2736"/>
          </w:tcPr>
          <w:p>
            <w:pPr>
              <w:spacing w:after="20"/>
            </w:pPr>
            <w:r/>
            <w:r>
              <w:rPr>
                <w:b w:val="0"/>
                <w:i w:val="0"/>
                <w:sz w:val="17"/>
              </w:rPr>
              <w:t>Prohibited following completion</w:t>
            </w:r>
          </w:p>
        </w:tc>
        <w:tc>
          <w:tcPr>
            <w:tcW w:type="dxa" w:w="2664"/>
          </w:tcPr>
          <w:p>
            <w:pPr>
              <w:spacing w:after="20"/>
            </w:pPr>
            <w:r/>
            <w:r>
              <w:rPr>
                <w:b w:val="0"/>
                <w:i w:val="0"/>
                <w:sz w:val="17"/>
              </w:rPr>
              <w:t>Critical: replace §6.3 (keep until stockholder approvals obtained)</w:t>
            </w:r>
          </w:p>
        </w:tc>
      </w:tr>
      <w:tr>
        <w:tc>
          <w:tcPr>
            <w:tcW w:type="dxa" w:w="1944"/>
          </w:tcPr>
          <w:p>
            <w:pPr>
              <w:spacing w:after="20"/>
            </w:pPr>
            <w:r/>
            <w:r>
              <w:rPr>
                <w:b w:val="0"/>
                <w:i w:val="0"/>
                <w:sz w:val="17"/>
              </w:rPr>
              <w:t>(vii) Exclusive forum / FFP</w:t>
            </w:r>
          </w:p>
        </w:tc>
        <w:tc>
          <w:tcPr>
            <w:tcW w:type="dxa" w:w="3744"/>
          </w:tcPr>
          <w:p>
            <w:pPr>
              <w:spacing w:after="20"/>
            </w:pPr>
            <w:r/>
            <w:r>
              <w:rPr>
                <w:b w:val="0"/>
                <w:i w:val="0"/>
                <w:sz w:val="17"/>
              </w:rPr>
              <w:t>§8.1: Chancery → Superior Court → D. Del.; no federal forum provision</w:t>
            </w:r>
          </w:p>
        </w:tc>
        <w:tc>
          <w:tcPr>
            <w:tcW w:type="dxa" w:w="2736"/>
          </w:tcPr>
          <w:p>
            <w:pPr>
              <w:spacing w:after="20"/>
            </w:pPr>
            <w:r/>
            <w:r>
              <w:rPr>
                <w:b w:val="0"/>
                <w:i w:val="0"/>
                <w:sz w:val="17"/>
              </w:rPr>
              <w:t>Chancery → other DE state court → D. Del.; FFP covering all defendants</w:t>
            </w:r>
          </w:p>
        </w:tc>
        <w:tc>
          <w:tcPr>
            <w:tcW w:type="dxa" w:w="2736"/>
          </w:tcPr>
          <w:p>
            <w:pPr>
              <w:spacing w:after="20"/>
            </w:pPr>
            <w:r/>
            <w:r>
              <w:rPr>
                <w:b w:val="0"/>
                <w:i w:val="0"/>
                <w:sz w:val="17"/>
              </w:rPr>
              <w:t>Chancery → D. Del.; FFP; Exchange Act carve-out</w:t>
            </w:r>
          </w:p>
        </w:tc>
        <w:tc>
          <w:tcPr>
            <w:tcW w:type="dxa" w:w="2664"/>
          </w:tcPr>
          <w:p>
            <w:pPr>
              <w:spacing w:after="20"/>
            </w:pPr>
            <w:r/>
            <w:r>
              <w:rPr>
                <w:b w:val="0"/>
                <w:i w:val="0"/>
                <w:sz w:val="17"/>
              </w:rPr>
              <w:t>High: harmonize (F-14)</w:t>
            </w:r>
          </w:p>
        </w:tc>
      </w:tr>
      <w:tr>
        <w:tc>
          <w:tcPr>
            <w:tcW w:type="dxa" w:w="1944"/>
          </w:tcPr>
          <w:p>
            <w:pPr>
              <w:spacing w:after="20"/>
            </w:pPr>
            <w:r/>
            <w:r>
              <w:rPr>
                <w:b w:val="0"/>
                <w:i w:val="0"/>
                <w:sz w:val="17"/>
              </w:rPr>
              <w:t>(viii) Supermajority amendment</w:t>
            </w:r>
          </w:p>
        </w:tc>
        <w:tc>
          <w:tcPr>
            <w:tcW w:type="dxa" w:w="3744"/>
          </w:tcPr>
          <w:p>
            <w:pPr>
              <w:spacing w:after="20"/>
            </w:pPr>
            <w:r/>
            <w:r>
              <w:rPr>
                <w:b w:val="0"/>
                <w:i w:val="0"/>
                <w:sz w:val="17"/>
              </w:rPr>
              <w:t>Art. X: majority of voting power, plus series votes</w:t>
            </w:r>
          </w:p>
        </w:tc>
        <w:tc>
          <w:tcPr>
            <w:tcW w:type="dxa" w:w="2736"/>
          </w:tcPr>
          <w:p>
            <w:pPr>
              <w:spacing w:after="20"/>
            </w:pPr>
            <w:r/>
            <w:r>
              <w:rPr>
                <w:b w:val="0"/>
                <w:i w:val="0"/>
                <w:sz w:val="17"/>
              </w:rPr>
              <w:t>66⅔% for (iii), (iv), (vi), (vii)</w:t>
            </w:r>
          </w:p>
        </w:tc>
        <w:tc>
          <w:tcPr>
            <w:tcW w:type="dxa" w:w="2736"/>
          </w:tcPr>
          <w:p>
            <w:pPr>
              <w:spacing w:after="20"/>
            </w:pPr>
            <w:r/>
            <w:r>
              <w:rPr>
                <w:b w:val="0"/>
                <w:i w:val="0"/>
                <w:sz w:val="17"/>
              </w:rPr>
              <w:t>66⅔% for the same four; majority for the rest</w:t>
            </w:r>
          </w:p>
        </w:tc>
        <w:tc>
          <w:tcPr>
            <w:tcW w:type="dxa" w:w="2664"/>
          </w:tcPr>
          <w:p>
            <w:pPr>
              <w:spacing w:after="20"/>
            </w:pPr>
            <w:r/>
            <w:r>
              <w:rPr>
                <w:b w:val="0"/>
                <w:i w:val="0"/>
                <w:sz w:val="17"/>
              </w:rPr>
              <w:t>Critical: add</w:t>
            </w:r>
          </w:p>
        </w:tc>
      </w:tr>
      <w:tr>
        <w:tc>
          <w:tcPr>
            <w:tcW w:type="dxa" w:w="1944"/>
          </w:tcPr>
          <w:p>
            <w:pPr>
              <w:spacing w:after="20"/>
            </w:pPr>
            <w:r/>
            <w:r>
              <w:rPr>
                <w:b w:val="0"/>
                <w:i w:val="0"/>
                <w:sz w:val="17"/>
              </w:rPr>
              <w:t>(ix) DGCL §203</w:t>
            </w:r>
          </w:p>
        </w:tc>
        <w:tc>
          <w:tcPr>
            <w:tcW w:type="dxa" w:w="3744"/>
          </w:tcPr>
          <w:p>
            <w:pPr>
              <w:spacing w:after="20"/>
            </w:pPr>
            <w:r/>
            <w:r>
              <w:rPr>
                <w:b w:val="0"/>
                <w:i w:val="0"/>
                <w:sz w:val="17"/>
              </w:rPr>
              <w:t>Art. IX: expressly opts out</w:t>
            </w:r>
          </w:p>
        </w:tc>
        <w:tc>
          <w:tcPr>
            <w:tcW w:type="dxa" w:w="2736"/>
          </w:tcPr>
          <w:p>
            <w:pPr>
              <w:spacing w:after="20"/>
            </w:pPr>
            <w:r/>
            <w:r>
              <w:rPr>
                <w:b w:val="0"/>
                <w:i w:val="0"/>
                <w:sz w:val="17"/>
              </w:rPr>
              <w:t>Governed by §203; no opt-out</w:t>
            </w:r>
          </w:p>
        </w:tc>
        <w:tc>
          <w:tcPr>
            <w:tcW w:type="dxa" w:w="2736"/>
          </w:tcPr>
          <w:p>
            <w:pPr>
              <w:spacing w:after="20"/>
            </w:pPr>
            <w:r/>
            <w:r>
              <w:rPr>
                <w:b w:val="0"/>
                <w:i w:val="0"/>
                <w:sz w:val="17"/>
              </w:rPr>
              <w:t>Will be subject to §203</w:t>
            </w:r>
          </w:p>
        </w:tc>
        <w:tc>
          <w:tcPr>
            <w:tcW w:type="dxa" w:w="2664"/>
          </w:tcPr>
          <w:p>
            <w:pPr>
              <w:spacing w:after="20"/>
            </w:pPr>
            <w:r/>
            <w:r>
              <w:rPr>
                <w:b w:val="0"/>
                <w:i w:val="0"/>
                <w:sz w:val="17"/>
              </w:rPr>
              <w:t>Critical: delete Art. IX (F-24)</w:t>
            </w:r>
          </w:p>
        </w:tc>
      </w:tr>
      <w:tr>
        <w:tc>
          <w:tcPr>
            <w:tcW w:type="dxa" w:w="1944"/>
          </w:tcPr>
          <w:p>
            <w:pPr>
              <w:spacing w:after="20"/>
            </w:pPr>
            <w:r/>
            <w:r>
              <w:rPr>
                <w:b w:val="0"/>
                <w:i w:val="0"/>
                <w:sz w:val="17"/>
              </w:rPr>
              <w:t>(x) No anti-dilution / preferential rights</w:t>
            </w:r>
          </w:p>
        </w:tc>
        <w:tc>
          <w:tcPr>
            <w:tcW w:type="dxa" w:w="3744"/>
          </w:tcPr>
          <w:p>
            <w:pPr>
              <w:spacing w:after="20"/>
            </w:pPr>
            <w:r/>
            <w:r>
              <w:rPr>
                <w:b w:val="0"/>
                <w:i w:val="0"/>
                <w:sz w:val="17"/>
              </w:rPr>
              <w:t>§4.2.4: Common has no preemptive rights; preferred has anti-dilution and participation</w:t>
            </w:r>
          </w:p>
        </w:tc>
        <w:tc>
          <w:tcPr>
            <w:tcW w:type="dxa" w:w="2736"/>
          </w:tcPr>
          <w:p>
            <w:pPr>
              <w:spacing w:after="20"/>
            </w:pPr>
            <w:r/>
            <w:r>
              <w:rPr>
                <w:b w:val="0"/>
                <w:i w:val="0"/>
                <w:sz w:val="17"/>
              </w:rPr>
              <w:t>None for any holder</w:t>
            </w:r>
          </w:p>
        </w:tc>
        <w:tc>
          <w:tcPr>
            <w:tcW w:type="dxa" w:w="2736"/>
          </w:tcPr>
          <w:p>
            <w:pPr>
              <w:spacing w:after="20"/>
            </w:pPr>
            <w:r/>
            <w:r>
              <w:rPr>
                <w:b w:val="0"/>
                <w:i w:val="0"/>
                <w:sz w:val="17"/>
              </w:rPr>
              <w:t>Common has no preemptive or conversion rights; no redemption</w:t>
            </w:r>
          </w:p>
        </w:tc>
        <w:tc>
          <w:tcPr>
            <w:tcW w:type="dxa" w:w="2664"/>
          </w:tcPr>
          <w:p>
            <w:pPr>
              <w:spacing w:after="20"/>
            </w:pPr>
            <w:r/>
            <w:r>
              <w:rPr>
                <w:b w:val="0"/>
                <w:i w:val="0"/>
                <w:sz w:val="17"/>
              </w:rPr>
              <w:t>Consistent once (ii) is effected</w:t>
            </w:r>
          </w:p>
        </w:tc>
      </w:tr>
      <w:tr>
        <w:tc>
          <w:tcPr>
            <w:tcW w:type="dxa" w:w="1944"/>
          </w:tcPr>
          <w:p>
            <w:pPr>
              <w:spacing w:after="20"/>
            </w:pPr>
            <w:r/>
            <w:r>
              <w:rPr>
                <w:b w:val="0"/>
                <w:i w:val="0"/>
                <w:sz w:val="17"/>
              </w:rPr>
              <w:t>Not in §6(j): special meetings</w:t>
            </w:r>
          </w:p>
        </w:tc>
        <w:tc>
          <w:tcPr>
            <w:tcW w:type="dxa" w:w="3744"/>
          </w:tcPr>
          <w:p>
            <w:pPr>
              <w:spacing w:after="20"/>
            </w:pPr>
            <w:r/>
            <w:r>
              <w:rPr>
                <w:b w:val="0"/>
                <w:i w:val="0"/>
                <w:sz w:val="17"/>
              </w:rPr>
              <w:t>§6.2: 25% holders may call</w:t>
            </w:r>
          </w:p>
        </w:tc>
        <w:tc>
          <w:tcPr>
            <w:tcW w:type="dxa" w:w="2736"/>
          </w:tcPr>
          <w:p>
            <w:pPr>
              <w:spacing w:after="20"/>
            </w:pPr>
            <w:r/>
            <w:r>
              <w:rPr>
                <w:b w:val="0"/>
                <w:i w:val="0"/>
                <w:sz w:val="17"/>
              </w:rPr>
              <w:t>Silent</w:t>
            </w:r>
          </w:p>
        </w:tc>
        <w:tc>
          <w:tcPr>
            <w:tcW w:type="dxa" w:w="2736"/>
          </w:tcPr>
          <w:p>
            <w:pPr>
              <w:spacing w:after="20"/>
            </w:pPr>
            <w:r/>
            <w:r>
              <w:rPr>
                <w:b w:val="0"/>
                <w:i w:val="0"/>
                <w:sz w:val="17"/>
              </w:rPr>
              <w:t>Silent</w:t>
            </w:r>
          </w:p>
        </w:tc>
        <w:tc>
          <w:tcPr>
            <w:tcW w:type="dxa" w:w="2664"/>
          </w:tcPr>
          <w:p>
            <w:pPr>
              <w:spacing w:after="20"/>
            </w:pPr>
            <w:r/>
            <w:r>
              <w:rPr>
                <w:b w:val="0"/>
                <w:i w:val="0"/>
                <w:sz w:val="17"/>
              </w:rPr>
              <w:t>Medium: decide and disclose (F-21)</w:t>
            </w:r>
          </w:p>
        </w:tc>
      </w:tr>
      <w:tr>
        <w:tc>
          <w:tcPr>
            <w:tcW w:type="dxa" w:w="1944"/>
          </w:tcPr>
          <w:p>
            <w:pPr>
              <w:spacing w:after="20"/>
            </w:pPr>
            <w:r/>
            <w:r>
              <w:rPr>
                <w:b w:val="0"/>
                <w:i w:val="0"/>
                <w:sz w:val="17"/>
              </w:rPr>
              <w:t>Not in §6(j): exculpation / indemnification</w:t>
            </w:r>
          </w:p>
        </w:tc>
        <w:tc>
          <w:tcPr>
            <w:tcW w:type="dxa" w:w="3744"/>
          </w:tcPr>
          <w:p>
            <w:pPr>
              <w:spacing w:after="20"/>
            </w:pPr>
            <w:r/>
            <w:r>
              <w:rPr>
                <w:b w:val="0"/>
                <w:i w:val="0"/>
                <w:sz w:val="17"/>
              </w:rPr>
              <w:t>§7.1 director and officer exculpation; §7.2 indemnification and advancement</w:t>
            </w:r>
          </w:p>
        </w:tc>
        <w:tc>
          <w:tcPr>
            <w:tcW w:type="dxa" w:w="2736"/>
          </w:tcPr>
          <w:p>
            <w:pPr>
              <w:spacing w:after="20"/>
            </w:pPr>
            <w:r/>
            <w:r>
              <w:rPr>
                <w:b w:val="0"/>
                <w:i w:val="0"/>
                <w:sz w:val="17"/>
              </w:rPr>
              <w:t>Silent</w:t>
            </w:r>
          </w:p>
        </w:tc>
        <w:tc>
          <w:tcPr>
            <w:tcW w:type="dxa" w:w="2736"/>
          </w:tcPr>
          <w:p>
            <w:pPr>
              <w:spacing w:after="20"/>
            </w:pPr>
            <w:r/>
            <w:r>
              <w:rPr>
                <w:b w:val="0"/>
                <w:i w:val="0"/>
                <w:sz w:val="17"/>
              </w:rPr>
              <w:t>Silent</w:t>
            </w:r>
          </w:p>
        </w:tc>
        <w:tc>
          <w:tcPr>
            <w:tcW w:type="dxa" w:w="2664"/>
          </w:tcPr>
          <w:p>
            <w:pPr>
              <w:spacing w:after="20"/>
            </w:pPr>
            <w:r/>
            <w:r>
              <w:rPr>
                <w:b w:val="0"/>
                <w:i w:val="0"/>
                <w:sz w:val="17"/>
              </w:rPr>
              <w:t>Medium: disclose (F-22)</w:t>
            </w:r>
          </w:p>
        </w:tc>
      </w:tr>
      <w:tr>
        <w:tc>
          <w:tcPr>
            <w:tcW w:type="dxa" w:w="1944"/>
          </w:tcPr>
          <w:p>
            <w:pPr>
              <w:spacing w:after="20"/>
            </w:pPr>
            <w:r/>
            <w:r>
              <w:rPr>
                <w:b w:val="0"/>
                <w:i w:val="0"/>
                <w:sz w:val="17"/>
              </w:rPr>
              <w:t>Not in §6(j): board size / vacancies</w:t>
            </w:r>
          </w:p>
        </w:tc>
        <w:tc>
          <w:tcPr>
            <w:tcW w:type="dxa" w:w="3744"/>
          </w:tcPr>
          <w:p>
            <w:pPr>
              <w:spacing w:after="20"/>
            </w:pPr>
            <w:r/>
            <w:r>
              <w:rPr>
                <w:b w:val="0"/>
                <w:i w:val="0"/>
                <w:sz w:val="17"/>
              </w:rPr>
              <w:t>§5.2: 3–11, fixed by board; §5.4: vacancies filled by the board</w:t>
            </w:r>
          </w:p>
        </w:tc>
        <w:tc>
          <w:tcPr>
            <w:tcW w:type="dxa" w:w="2736"/>
          </w:tcPr>
          <w:p>
            <w:pPr>
              <w:spacing w:after="20"/>
            </w:pPr>
            <w:r/>
            <w:r>
              <w:rPr>
                <w:b w:val="0"/>
                <w:i w:val="0"/>
                <w:sz w:val="17"/>
              </w:rPr>
              <w:t>Silent</w:t>
            </w:r>
          </w:p>
        </w:tc>
        <w:tc>
          <w:tcPr>
            <w:tcW w:type="dxa" w:w="2736"/>
          </w:tcPr>
          <w:p>
            <w:pPr>
              <w:spacing w:after="20"/>
            </w:pPr>
            <w:r/>
            <w:r>
              <w:rPr>
                <w:b w:val="0"/>
                <w:i w:val="0"/>
                <w:sz w:val="17"/>
              </w:rPr>
              <w:t>3–11 directors; seven currently</w:t>
            </w:r>
          </w:p>
        </w:tc>
        <w:tc>
          <w:tcPr>
            <w:tcW w:type="dxa" w:w="2664"/>
          </w:tcPr>
          <w:p>
            <w:pPr>
              <w:spacing w:after="20"/>
            </w:pPr>
            <w:r/>
            <w:r>
              <w:rPr>
                <w:b w:val="0"/>
                <w:i w:val="0"/>
                <w:sz w:val="17"/>
              </w:rPr>
              <w:t>Consistent (vacancy provision not described; consider adding)</w:t>
            </w:r>
          </w:p>
        </w:tc>
      </w:tr>
    </w:tbl>
    <w:p>
      <w:pPr>
        <w:spacing w:after="40"/>
      </w:pPr>
    </w:p>
    <w:p>
      <w:pPr>
        <w:pStyle w:val="Heading1"/>
      </w:pPr>
      <w:r>
        <w:t>V. Key Terms Reconciliation</w:t>
      </w:r>
    </w:p>
    <w:tbl>
      <w:tblPr>
        <w:tblStyle w:val="TableGrid"/>
        <w:tblW w:type="auto" w:w="0"/>
        <w:jc w:val="center"/>
        <w:tblLook w:firstColumn="1" w:firstRow="1" w:lastColumn="0" w:lastRow="0" w:noHBand="0" w:noVBand="1" w:val="04A0"/>
      </w:tblPr>
      <w:tblGrid>
        <w:gridCol w:w="2765"/>
        <w:gridCol w:w="2765"/>
        <w:gridCol w:w="2765"/>
        <w:gridCol w:w="2765"/>
        <w:gridCol w:w="2765"/>
      </w:tblGrid>
      <w:tr>
        <w:trPr>
          <w:tblHeader w:val="true"/>
        </w:trPr>
        <w:tc>
          <w:tcPr>
            <w:tcW w:type="dxa" w:w="2088"/>
            <w:shd w:val="clear" w:color="auto" w:fill="1F3A5F"/>
          </w:tcPr>
          <w:p>
            <w:r/>
            <w:r>
              <w:rPr>
                <w:b/>
                <w:color w:val="FFFFFF"/>
                <w:sz w:val="17"/>
              </w:rPr>
              <w:t>Term</w:t>
            </w:r>
          </w:p>
        </w:tc>
        <w:tc>
          <w:tcPr>
            <w:tcW w:type="dxa" w:w="3168"/>
            <w:shd w:val="clear" w:color="auto" w:fill="1F3A5F"/>
          </w:tcPr>
          <w:p>
            <w:r/>
            <w:r>
              <w:rPr>
                <w:b/>
                <w:color w:val="FFFFFF"/>
                <w:sz w:val="17"/>
              </w:rPr>
              <w:t>Charter</w:t>
            </w:r>
          </w:p>
        </w:tc>
        <w:tc>
          <w:tcPr>
            <w:tcW w:type="dxa" w:w="3600"/>
            <w:shd w:val="clear" w:color="auto" w:fill="1F3A5F"/>
          </w:tcPr>
          <w:p>
            <w:r/>
            <w:r>
              <w:rPr>
                <w:b/>
                <w:color w:val="FFFFFF"/>
                <w:sz w:val="17"/>
              </w:rPr>
              <w:t>Underwriting Agreement</w:t>
            </w:r>
          </w:p>
        </w:tc>
        <w:tc>
          <w:tcPr>
            <w:tcW w:type="dxa" w:w="3168"/>
            <w:shd w:val="clear" w:color="auto" w:fill="1F3A5F"/>
          </w:tcPr>
          <w:p>
            <w:r/>
            <w:r>
              <w:rPr>
                <w:b/>
                <w:color w:val="FFFFFF"/>
                <w:sz w:val="17"/>
              </w:rPr>
              <w:t>Prospectus</w:t>
            </w:r>
          </w:p>
        </w:tc>
        <w:tc>
          <w:tcPr>
            <w:tcW w:type="dxa" w:w="1800"/>
            <w:shd w:val="clear" w:color="auto" w:fill="1F3A5F"/>
          </w:tcPr>
          <w:p>
            <w:r/>
            <w:r>
              <w:rPr>
                <w:b/>
                <w:color w:val="FFFFFF"/>
                <w:sz w:val="17"/>
              </w:rPr>
              <w:t>Status</w:t>
            </w:r>
          </w:p>
        </w:tc>
      </w:tr>
      <w:tr>
        <w:tc>
          <w:tcPr>
            <w:tcW w:type="dxa" w:w="2088"/>
          </w:tcPr>
          <w:p>
            <w:pPr>
              <w:spacing w:after="20"/>
            </w:pPr>
            <w:r/>
            <w:r>
              <w:rPr>
                <w:b w:val="0"/>
                <w:i w:val="0"/>
                <w:sz w:val="17"/>
              </w:rPr>
              <w:t>Firm shares</w:t>
            </w:r>
          </w:p>
        </w:tc>
        <w:tc>
          <w:tcPr>
            <w:tcW w:type="dxa" w:w="3168"/>
          </w:tcPr>
          <w:p>
            <w:pPr>
              <w:spacing w:after="20"/>
            </w:pPr>
            <w:r/>
            <w:r>
              <w:rPr>
                <w:b w:val="0"/>
                <w:i w:val="0"/>
                <w:sz w:val="17"/>
              </w:rPr>
              <w:t>—</w:t>
            </w:r>
          </w:p>
        </w:tc>
        <w:tc>
          <w:tcPr>
            <w:tcW w:type="dxa" w:w="3600"/>
          </w:tcPr>
          <w:p>
            <w:pPr>
              <w:spacing w:after="20"/>
            </w:pPr>
            <w:r/>
            <w:r>
              <w:rPr>
                <w:b w:val="0"/>
                <w:i w:val="0"/>
                <w:sz w:val="17"/>
              </w:rPr>
              <w:t>11,500,000 (8,500,000 Company; 3,000,000 Selling Stockholders) (§§1, 2(a))</w:t>
            </w:r>
          </w:p>
        </w:tc>
        <w:tc>
          <w:tcPr>
            <w:tcW w:type="dxa" w:w="3168"/>
          </w:tcPr>
          <w:p>
            <w:pPr>
              <w:spacing w:after="20"/>
            </w:pPr>
            <w:r/>
            <w:r>
              <w:rPr>
                <w:b w:val="0"/>
                <w:i w:val="0"/>
                <w:sz w:val="17"/>
              </w:rPr>
              <w:t>11,500,000 (8,500,000 / 3,000,000)</w:t>
            </w:r>
          </w:p>
        </w:tc>
        <w:tc>
          <w:tcPr>
            <w:tcW w:type="dxa" w:w="1800"/>
            <w:shd w:val="clear" w:color="auto" w:fill="D9EAD3"/>
          </w:tcPr>
          <w:p>
            <w:pPr>
              <w:spacing w:after="20"/>
            </w:pPr>
            <w:r/>
            <w:r>
              <w:rPr>
                <w:b w:val="0"/>
                <w:i w:val="0"/>
                <w:sz w:val="17"/>
              </w:rPr>
              <w:t>Consistent</w:t>
            </w:r>
          </w:p>
        </w:tc>
      </w:tr>
      <w:tr>
        <w:tc>
          <w:tcPr>
            <w:tcW w:type="dxa" w:w="2088"/>
          </w:tcPr>
          <w:p>
            <w:pPr>
              <w:spacing w:after="20"/>
            </w:pPr>
            <w:r/>
            <w:r>
              <w:rPr>
                <w:b w:val="0"/>
                <w:i w:val="0"/>
                <w:sz w:val="17"/>
              </w:rPr>
              <w:t>Over-allotment</w:t>
            </w:r>
          </w:p>
        </w:tc>
        <w:tc>
          <w:tcPr>
            <w:tcW w:type="dxa" w:w="3168"/>
          </w:tcPr>
          <w:p>
            <w:pPr>
              <w:spacing w:after="20"/>
            </w:pPr>
            <w:r/>
            <w:r>
              <w:rPr>
                <w:b w:val="0"/>
                <w:i w:val="0"/>
                <w:sz w:val="17"/>
              </w:rPr>
              <w:t>—</w:t>
            </w:r>
          </w:p>
        </w:tc>
        <w:tc>
          <w:tcPr>
            <w:tcW w:type="dxa" w:w="3600"/>
          </w:tcPr>
          <w:p>
            <w:pPr>
              <w:spacing w:after="20"/>
            </w:pPr>
            <w:r/>
            <w:r>
              <w:rPr>
                <w:b w:val="0"/>
                <w:i w:val="0"/>
                <w:sz w:val="17"/>
              </w:rPr>
              <w:t>1,725,000 (15% of Firm), Company only</w:t>
            </w:r>
          </w:p>
        </w:tc>
        <w:tc>
          <w:tcPr>
            <w:tcW w:type="dxa" w:w="3168"/>
          </w:tcPr>
          <w:p>
            <w:pPr>
              <w:spacing w:after="20"/>
            </w:pPr>
            <w:r/>
            <w:r>
              <w:rPr>
                <w:b w:val="0"/>
                <w:i w:val="0"/>
                <w:sz w:val="17"/>
              </w:rPr>
              <w:t>1,500,000, Company only</w:t>
            </w:r>
          </w:p>
        </w:tc>
        <w:tc>
          <w:tcPr>
            <w:tcW w:type="dxa" w:w="1800"/>
            <w:shd w:val="clear" w:color="auto" w:fill="F4B6B6"/>
          </w:tcPr>
          <w:p>
            <w:pPr>
              <w:spacing w:after="20"/>
            </w:pPr>
            <w:r/>
            <w:r>
              <w:rPr>
                <w:b w:val="0"/>
                <w:i w:val="0"/>
                <w:sz w:val="17"/>
              </w:rPr>
              <w:t>Critical (F-2)</w:t>
            </w:r>
          </w:p>
        </w:tc>
      </w:tr>
      <w:tr>
        <w:tc>
          <w:tcPr>
            <w:tcW w:type="dxa" w:w="2088"/>
          </w:tcPr>
          <w:p>
            <w:pPr>
              <w:spacing w:after="20"/>
            </w:pPr>
            <w:r/>
            <w:r>
              <w:rPr>
                <w:b w:val="0"/>
                <w:i w:val="0"/>
                <w:sz w:val="17"/>
              </w:rPr>
              <w:t>Price range / midpoint</w:t>
            </w:r>
          </w:p>
        </w:tc>
        <w:tc>
          <w:tcPr>
            <w:tcW w:type="dxa" w:w="3168"/>
          </w:tcPr>
          <w:p>
            <w:pPr>
              <w:spacing w:after="20"/>
            </w:pPr>
            <w:r/>
            <w:r>
              <w:rPr>
                <w:b w:val="0"/>
                <w:i w:val="0"/>
                <w:sz w:val="17"/>
              </w:rPr>
              <w:t>Qualified IPO ≥$10.00/share and ≥$50M gross (§4.4(d))</w:t>
            </w:r>
          </w:p>
        </w:tc>
        <w:tc>
          <w:tcPr>
            <w:tcW w:type="dxa" w:w="3600"/>
          </w:tcPr>
          <w:p>
            <w:pPr>
              <w:spacing w:after="20"/>
            </w:pPr>
            <w:r/>
            <w:r>
              <w:rPr>
                <w:b w:val="0"/>
                <w:i w:val="0"/>
                <w:sz w:val="17"/>
              </w:rPr>
              <w:t>$18.00–$20.00; midpoint $19.00</w:t>
            </w:r>
          </w:p>
        </w:tc>
        <w:tc>
          <w:tcPr>
            <w:tcW w:type="dxa" w:w="3168"/>
          </w:tcPr>
          <w:p>
            <w:pPr>
              <w:spacing w:after="20"/>
            </w:pPr>
            <w:r/>
            <w:r>
              <w:rPr>
                <w:b w:val="0"/>
                <w:i w:val="0"/>
                <w:sz w:val="17"/>
              </w:rPr>
              <w:t>$18.00–$20.00; $19.00</w:t>
            </w:r>
          </w:p>
        </w:tc>
        <w:tc>
          <w:tcPr>
            <w:tcW w:type="dxa" w:w="1800"/>
            <w:shd w:val="clear" w:color="auto" w:fill="D9EAD3"/>
          </w:tcPr>
          <w:p>
            <w:pPr>
              <w:spacing w:after="20"/>
            </w:pPr>
            <w:r/>
            <w:r>
              <w:rPr>
                <w:b w:val="0"/>
                <w:i w:val="0"/>
                <w:sz w:val="17"/>
              </w:rPr>
              <w:t>Consistent; QIPO thresholds met</w:t>
            </w:r>
          </w:p>
        </w:tc>
      </w:tr>
      <w:tr>
        <w:tc>
          <w:tcPr>
            <w:tcW w:type="dxa" w:w="2088"/>
          </w:tcPr>
          <w:p>
            <w:pPr>
              <w:spacing w:after="20"/>
            </w:pPr>
            <w:r/>
            <w:r>
              <w:rPr>
                <w:b w:val="0"/>
                <w:i w:val="0"/>
                <w:sz w:val="17"/>
              </w:rPr>
              <w:t>Underwriting discount</w:t>
            </w:r>
          </w:p>
        </w:tc>
        <w:tc>
          <w:tcPr>
            <w:tcW w:type="dxa" w:w="3168"/>
          </w:tcPr>
          <w:p>
            <w:pPr>
              <w:spacing w:after="20"/>
            </w:pPr>
            <w:r/>
            <w:r>
              <w:rPr>
                <w:b w:val="0"/>
                <w:i w:val="0"/>
                <w:sz w:val="17"/>
              </w:rPr>
              <w:t>—</w:t>
            </w:r>
          </w:p>
        </w:tc>
        <w:tc>
          <w:tcPr>
            <w:tcW w:type="dxa" w:w="3600"/>
          </w:tcPr>
          <w:p>
            <w:pPr>
              <w:spacing w:after="20"/>
            </w:pPr>
            <w:r/>
            <w:r>
              <w:rPr>
                <w:b w:val="0"/>
                <w:i w:val="0"/>
                <w:sz w:val="17"/>
              </w:rPr>
              <w:t>6.5% ($1.235 at midpoint)</w:t>
            </w:r>
          </w:p>
        </w:tc>
        <w:tc>
          <w:tcPr>
            <w:tcW w:type="dxa" w:w="3168"/>
          </w:tcPr>
          <w:p>
            <w:pPr>
              <w:spacing w:after="20"/>
            </w:pPr>
            <w:r/>
            <w:r>
              <w:rPr>
                <w:b w:val="0"/>
                <w:i w:val="0"/>
                <w:sz w:val="17"/>
              </w:rPr>
              <w:t>6.5%; $1.235</w:t>
            </w:r>
          </w:p>
        </w:tc>
        <w:tc>
          <w:tcPr>
            <w:tcW w:type="dxa" w:w="1800"/>
            <w:shd w:val="clear" w:color="auto" w:fill="D9EAD3"/>
          </w:tcPr>
          <w:p>
            <w:pPr>
              <w:spacing w:after="20"/>
            </w:pPr>
            <w:r/>
            <w:r>
              <w:rPr>
                <w:b w:val="0"/>
                <w:i w:val="0"/>
                <w:sz w:val="17"/>
              </w:rPr>
              <w:t>Consistent</w:t>
            </w:r>
          </w:p>
        </w:tc>
      </w:tr>
      <w:tr>
        <w:tc>
          <w:tcPr>
            <w:tcW w:type="dxa" w:w="2088"/>
          </w:tcPr>
          <w:p>
            <w:pPr>
              <w:spacing w:after="20"/>
            </w:pPr>
            <w:r/>
            <w:r>
              <w:rPr>
                <w:b w:val="0"/>
                <w:i w:val="0"/>
                <w:sz w:val="17"/>
              </w:rPr>
              <w:t>Company proceeds (pre-expenses)</w:t>
            </w:r>
          </w:p>
        </w:tc>
        <w:tc>
          <w:tcPr>
            <w:tcW w:type="dxa" w:w="3168"/>
          </w:tcPr>
          <w:p>
            <w:pPr>
              <w:spacing w:after="20"/>
            </w:pPr>
            <w:r/>
            <w:r>
              <w:rPr>
                <w:b w:val="0"/>
                <w:i w:val="0"/>
                <w:sz w:val="17"/>
              </w:rPr>
              <w:t>—</w:t>
            </w:r>
          </w:p>
        </w:tc>
        <w:tc>
          <w:tcPr>
            <w:tcW w:type="dxa" w:w="3600"/>
          </w:tcPr>
          <w:p>
            <w:pPr>
              <w:spacing w:after="20"/>
            </w:pPr>
            <w:r/>
            <w:r>
              <w:rPr>
                <w:b w:val="0"/>
                <w:i w:val="0"/>
                <w:sz w:val="17"/>
              </w:rPr>
              <w:t>$151,002,500 (before other expenses)</w:t>
            </w:r>
          </w:p>
        </w:tc>
        <w:tc>
          <w:tcPr>
            <w:tcW w:type="dxa" w:w="3168"/>
          </w:tcPr>
          <w:p>
            <w:pPr>
              <w:spacing w:after="20"/>
            </w:pPr>
            <w:r/>
            <w:r>
              <w:rPr>
                <w:b w:val="0"/>
                <w:i w:val="0"/>
                <w:sz w:val="17"/>
              </w:rPr>
              <w:t>$151,002,500 (“before expenses” on cover; “after expenses” in UoP/Cap)</w:t>
            </w:r>
          </w:p>
        </w:tc>
        <w:tc>
          <w:tcPr>
            <w:tcW w:type="dxa" w:w="1800"/>
            <w:shd w:val="clear" w:color="auto" w:fill="F9D9A8"/>
          </w:tcPr>
          <w:p>
            <w:pPr>
              <w:spacing w:after="20"/>
            </w:pPr>
            <w:r/>
            <w:r>
              <w:rPr>
                <w:b w:val="0"/>
                <w:i w:val="0"/>
                <w:sz w:val="17"/>
              </w:rPr>
              <w:t>High (F-8)</w:t>
            </w:r>
          </w:p>
        </w:tc>
      </w:tr>
      <w:tr>
        <w:tc>
          <w:tcPr>
            <w:tcW w:type="dxa" w:w="2088"/>
          </w:tcPr>
          <w:p>
            <w:pPr>
              <w:spacing w:after="20"/>
            </w:pPr>
            <w:r/>
            <w:r>
              <w:rPr>
                <w:b w:val="0"/>
                <w:i w:val="0"/>
                <w:sz w:val="17"/>
              </w:rPr>
              <w:t>Selling stockholder proceeds</w:t>
            </w:r>
          </w:p>
        </w:tc>
        <w:tc>
          <w:tcPr>
            <w:tcW w:type="dxa" w:w="3168"/>
          </w:tcPr>
          <w:p>
            <w:pPr>
              <w:spacing w:after="20"/>
            </w:pPr>
            <w:r/>
            <w:r>
              <w:rPr>
                <w:b w:val="0"/>
                <w:i w:val="0"/>
                <w:sz w:val="17"/>
              </w:rPr>
              <w:t>—</w:t>
            </w:r>
          </w:p>
        </w:tc>
        <w:tc>
          <w:tcPr>
            <w:tcW w:type="dxa" w:w="3600"/>
          </w:tcPr>
          <w:p>
            <w:pPr>
              <w:spacing w:after="20"/>
            </w:pPr>
            <w:r/>
            <w:r>
              <w:rPr>
                <w:b w:val="0"/>
                <w:i w:val="0"/>
                <w:sz w:val="17"/>
              </w:rPr>
              <w:t>3,000,000 × $17.765</w:t>
            </w:r>
          </w:p>
        </w:tc>
        <w:tc>
          <w:tcPr>
            <w:tcW w:type="dxa" w:w="3168"/>
          </w:tcPr>
          <w:p>
            <w:pPr>
              <w:spacing w:after="20"/>
            </w:pPr>
            <w:r/>
            <w:r>
              <w:rPr>
                <w:b w:val="0"/>
                <w:i w:val="0"/>
                <w:sz w:val="17"/>
              </w:rPr>
              <w:t>$53,295,000</w:t>
            </w:r>
          </w:p>
        </w:tc>
        <w:tc>
          <w:tcPr>
            <w:tcW w:type="dxa" w:w="1800"/>
            <w:shd w:val="clear" w:color="auto" w:fill="D9EAD3"/>
          </w:tcPr>
          <w:p>
            <w:pPr>
              <w:spacing w:after="20"/>
            </w:pPr>
            <w:r/>
            <w:r>
              <w:rPr>
                <w:b w:val="0"/>
                <w:i w:val="0"/>
                <w:sz w:val="17"/>
              </w:rPr>
              <w:t>Consistent</w:t>
            </w:r>
          </w:p>
        </w:tc>
      </w:tr>
      <w:tr>
        <w:tc>
          <w:tcPr>
            <w:tcW w:type="dxa" w:w="2088"/>
          </w:tcPr>
          <w:p>
            <w:pPr>
              <w:spacing w:after="20"/>
            </w:pPr>
            <w:r/>
            <w:r>
              <w:rPr>
                <w:b w:val="0"/>
                <w:i w:val="0"/>
                <w:sz w:val="17"/>
              </w:rPr>
              <w:t>Authorized capital (pre-IPO)</w:t>
            </w:r>
          </w:p>
        </w:tc>
        <w:tc>
          <w:tcPr>
            <w:tcW w:type="dxa" w:w="3168"/>
          </w:tcPr>
          <w:p>
            <w:pPr>
              <w:spacing w:after="20"/>
            </w:pPr>
            <w:r/>
            <w:r>
              <w:rPr>
                <w:b w:val="0"/>
                <w:i w:val="0"/>
                <w:sz w:val="17"/>
              </w:rPr>
              <w:t>100,000,000 Common / 25,000,000 Preferred</w:t>
            </w:r>
          </w:p>
        </w:tc>
        <w:tc>
          <w:tcPr>
            <w:tcW w:type="dxa" w:w="3600"/>
          </w:tcPr>
          <w:p>
            <w:pPr>
              <w:spacing w:after="20"/>
            </w:pPr>
            <w:r/>
            <w:r>
              <w:rPr>
                <w:b w:val="0"/>
                <w:i w:val="0"/>
                <w:sz w:val="17"/>
              </w:rPr>
              <w:t>Same (§3(b))</w:t>
            </w:r>
          </w:p>
        </w:tc>
        <w:tc>
          <w:tcPr>
            <w:tcW w:type="dxa" w:w="3168"/>
          </w:tcPr>
          <w:p>
            <w:pPr>
              <w:spacing w:after="20"/>
            </w:pPr>
            <w:r/>
            <w:r>
              <w:rPr>
                <w:b w:val="0"/>
                <w:i w:val="0"/>
                <w:sz w:val="17"/>
              </w:rPr>
              <w:t>Not stated</w:t>
            </w:r>
          </w:p>
        </w:tc>
        <w:tc>
          <w:tcPr>
            <w:tcW w:type="dxa" w:w="1800"/>
            <w:shd w:val="clear" w:color="auto" w:fill="D9EAD3"/>
          </w:tcPr>
          <w:p>
            <w:pPr>
              <w:spacing w:after="20"/>
            </w:pPr>
            <w:r/>
            <w:r>
              <w:rPr>
                <w:b w:val="0"/>
                <w:i w:val="0"/>
                <w:sz w:val="17"/>
              </w:rPr>
              <w:t>Consistent; but see F-1</w:t>
            </w:r>
          </w:p>
        </w:tc>
      </w:tr>
      <w:tr>
        <w:tc>
          <w:tcPr>
            <w:tcW w:type="dxa" w:w="2088"/>
          </w:tcPr>
          <w:p>
            <w:pPr>
              <w:spacing w:after="20"/>
            </w:pPr>
            <w:r/>
            <w:r>
              <w:rPr>
                <w:b w:val="0"/>
                <w:i w:val="0"/>
                <w:sz w:val="17"/>
              </w:rPr>
              <w:t>Preferred outstanding</w:t>
            </w:r>
          </w:p>
        </w:tc>
        <w:tc>
          <w:tcPr>
            <w:tcW w:type="dxa" w:w="3168"/>
          </w:tcPr>
          <w:p>
            <w:pPr>
              <w:spacing w:after="20"/>
            </w:pPr>
            <w:r/>
            <w:r>
              <w:rPr>
                <w:b w:val="0"/>
                <w:i w:val="0"/>
                <w:sz w:val="17"/>
              </w:rPr>
              <w:t>8,200,000 / 11,650,000 / 6,800,000 = 26,650,000 vs. 25,000,000 authorized</w:t>
            </w:r>
          </w:p>
        </w:tc>
        <w:tc>
          <w:tcPr>
            <w:tcW w:type="dxa" w:w="3600"/>
          </w:tcPr>
          <w:p>
            <w:pPr>
              <w:spacing w:after="20"/>
            </w:pPr>
            <w:r/>
            <w:r>
              <w:rPr>
                <w:b w:val="0"/>
                <w:i w:val="0"/>
                <w:sz w:val="17"/>
              </w:rPr>
              <w:t>Same series counts</w:t>
            </w:r>
          </w:p>
        </w:tc>
        <w:tc>
          <w:tcPr>
            <w:tcW w:type="dxa" w:w="3168"/>
          </w:tcPr>
          <w:p>
            <w:pPr>
              <w:spacing w:after="20"/>
            </w:pPr>
            <w:r/>
            <w:r>
              <w:rPr>
                <w:b w:val="0"/>
                <w:i w:val="0"/>
                <w:sz w:val="17"/>
              </w:rPr>
              <w:t>Same; converts to 26,650,000 common</w:t>
            </w:r>
          </w:p>
        </w:tc>
        <w:tc>
          <w:tcPr>
            <w:tcW w:type="dxa" w:w="1800"/>
            <w:shd w:val="clear" w:color="auto" w:fill="F4B6B6"/>
          </w:tcPr>
          <w:p>
            <w:pPr>
              <w:spacing w:after="20"/>
            </w:pPr>
            <w:r/>
            <w:r>
              <w:rPr>
                <w:b w:val="0"/>
                <w:i w:val="0"/>
                <w:sz w:val="17"/>
              </w:rPr>
              <w:t>Critical (F-1)</w:t>
            </w:r>
          </w:p>
        </w:tc>
      </w:tr>
      <w:tr>
        <w:tc>
          <w:tcPr>
            <w:tcW w:type="dxa" w:w="2088"/>
          </w:tcPr>
          <w:p>
            <w:pPr>
              <w:spacing w:after="20"/>
            </w:pPr>
            <w:r/>
            <w:r>
              <w:rPr>
                <w:b w:val="0"/>
                <w:i w:val="0"/>
                <w:sz w:val="17"/>
              </w:rPr>
              <w:t>Conversion ratio</w:t>
            </w:r>
          </w:p>
        </w:tc>
        <w:tc>
          <w:tcPr>
            <w:tcW w:type="dxa" w:w="3168"/>
          </w:tcPr>
          <w:p>
            <w:pPr>
              <w:spacing w:after="20"/>
            </w:pPr>
            <w:r/>
            <w:r>
              <w:rPr>
                <w:b w:val="0"/>
                <w:i w:val="0"/>
                <w:sz w:val="17"/>
              </w:rPr>
              <w:t>1:1 each series</w:t>
            </w:r>
          </w:p>
        </w:tc>
        <w:tc>
          <w:tcPr>
            <w:tcW w:type="dxa" w:w="3600"/>
          </w:tcPr>
          <w:p>
            <w:pPr>
              <w:spacing w:after="20"/>
            </w:pPr>
            <w:r/>
            <w:r>
              <w:rPr>
                <w:b w:val="0"/>
                <w:i w:val="0"/>
                <w:sz w:val="17"/>
              </w:rPr>
              <w:t>Implied 1:1</w:t>
            </w:r>
          </w:p>
        </w:tc>
        <w:tc>
          <w:tcPr>
            <w:tcW w:type="dxa" w:w="3168"/>
          </w:tcPr>
          <w:p>
            <w:pPr>
              <w:spacing w:after="20"/>
            </w:pPr>
            <w:r/>
            <w:r>
              <w:rPr>
                <w:b w:val="0"/>
                <w:i w:val="0"/>
                <w:sz w:val="17"/>
              </w:rPr>
              <w:t>1:1 (26,650,000)</w:t>
            </w:r>
          </w:p>
        </w:tc>
        <w:tc>
          <w:tcPr>
            <w:tcW w:type="dxa" w:w="1800"/>
            <w:shd w:val="clear" w:color="auto" w:fill="D9EAD3"/>
          </w:tcPr>
          <w:p>
            <w:pPr>
              <w:spacing w:after="20"/>
            </w:pPr>
            <w:r/>
            <w:r>
              <w:rPr>
                <w:b w:val="0"/>
                <w:i w:val="0"/>
                <w:sz w:val="17"/>
              </w:rPr>
              <w:t>Consistent (subject to F-29)</w:t>
            </w:r>
          </w:p>
        </w:tc>
      </w:tr>
      <w:tr>
        <w:tc>
          <w:tcPr>
            <w:tcW w:type="dxa" w:w="2088"/>
          </w:tcPr>
          <w:p>
            <w:pPr>
              <w:spacing w:after="20"/>
            </w:pPr>
            <w:r/>
            <w:r>
              <w:rPr>
                <w:b w:val="0"/>
                <w:i w:val="0"/>
                <w:sz w:val="17"/>
              </w:rPr>
              <w:t>Pre-offering outstanding</w:t>
            </w:r>
          </w:p>
        </w:tc>
        <w:tc>
          <w:tcPr>
            <w:tcW w:type="dxa" w:w="3168"/>
          </w:tcPr>
          <w:p>
            <w:pPr>
              <w:spacing w:after="20"/>
            </w:pPr>
            <w:r/>
            <w:r>
              <w:rPr>
                <w:b w:val="0"/>
                <w:i w:val="0"/>
                <w:sz w:val="17"/>
              </w:rPr>
              <w:t>—</w:t>
            </w:r>
          </w:p>
        </w:tc>
        <w:tc>
          <w:tcPr>
            <w:tcW w:type="dxa" w:w="3600"/>
          </w:tcPr>
          <w:p>
            <w:pPr>
              <w:spacing w:after="20"/>
            </w:pPr>
            <w:r/>
            <w:r>
              <w:rPr>
                <w:b w:val="0"/>
                <w:i w:val="0"/>
                <w:sz w:val="17"/>
              </w:rPr>
              <w:t>42,350,000 incl. 3,200,000 award shares; founders 12,500,000</w:t>
            </w:r>
          </w:p>
        </w:tc>
        <w:tc>
          <w:tcPr>
            <w:tcW w:type="dxa" w:w="3168"/>
          </w:tcPr>
          <w:p>
            <w:pPr>
              <w:spacing w:after="20"/>
            </w:pPr>
            <w:r/>
            <w:r>
              <w:rPr>
                <w:b w:val="0"/>
                <w:i w:val="0"/>
                <w:sz w:val="17"/>
              </w:rPr>
              <w:t>42,350,000 = 15,700,000 common + 26,650,000; awards excluded</w:t>
            </w:r>
          </w:p>
        </w:tc>
        <w:tc>
          <w:tcPr>
            <w:tcW w:type="dxa" w:w="1800"/>
            <w:shd w:val="clear" w:color="auto" w:fill="F4B6B6"/>
          </w:tcPr>
          <w:p>
            <w:pPr>
              <w:spacing w:after="20"/>
            </w:pPr>
            <w:r/>
            <w:r>
              <w:rPr>
                <w:b w:val="0"/>
                <w:i w:val="0"/>
                <w:sz w:val="17"/>
              </w:rPr>
              <w:t>Critical (F-3)</w:t>
            </w:r>
          </w:p>
        </w:tc>
      </w:tr>
      <w:tr>
        <w:tc>
          <w:tcPr>
            <w:tcW w:type="dxa" w:w="2088"/>
          </w:tcPr>
          <w:p>
            <w:pPr>
              <w:spacing w:after="20"/>
            </w:pPr>
            <w:r/>
            <w:r>
              <w:rPr>
                <w:b w:val="0"/>
                <w:i w:val="0"/>
                <w:sz w:val="17"/>
              </w:rPr>
              <w:t>Post-offering outstanding</w:t>
            </w:r>
          </w:p>
        </w:tc>
        <w:tc>
          <w:tcPr>
            <w:tcW w:type="dxa" w:w="3168"/>
          </w:tcPr>
          <w:p>
            <w:pPr>
              <w:spacing w:after="20"/>
            </w:pPr>
            <w:r/>
            <w:r>
              <w:rPr>
                <w:b w:val="0"/>
                <w:i w:val="0"/>
                <w:sz w:val="17"/>
              </w:rPr>
              <w:t>—</w:t>
            </w:r>
          </w:p>
        </w:tc>
        <w:tc>
          <w:tcPr>
            <w:tcW w:type="dxa" w:w="3600"/>
          </w:tcPr>
          <w:p>
            <w:pPr>
              <w:spacing w:after="20"/>
            </w:pPr>
            <w:r/>
            <w:r>
              <w:rPr>
                <w:b w:val="0"/>
                <w:i w:val="0"/>
                <w:sz w:val="17"/>
              </w:rPr>
              <w:t>50,850,000</w:t>
            </w:r>
          </w:p>
        </w:tc>
        <w:tc>
          <w:tcPr>
            <w:tcW w:type="dxa" w:w="3168"/>
          </w:tcPr>
          <w:p>
            <w:pPr>
              <w:spacing w:after="20"/>
            </w:pPr>
            <w:r/>
            <w:r>
              <w:rPr>
                <w:b w:val="0"/>
                <w:i w:val="0"/>
                <w:sz w:val="17"/>
              </w:rPr>
              <w:t>50,850,000</w:t>
            </w:r>
          </w:p>
        </w:tc>
        <w:tc>
          <w:tcPr>
            <w:tcW w:type="dxa" w:w="1800"/>
          </w:tcPr>
          <w:p>
            <w:pPr>
              <w:spacing w:after="20"/>
            </w:pPr>
            <w:r/>
            <w:r>
              <w:rPr>
                <w:b w:val="0"/>
                <w:i w:val="0"/>
                <w:sz w:val="17"/>
              </w:rPr>
              <w:t>Numerically consistent; basis differs (F-3)</w:t>
            </w:r>
          </w:p>
        </w:tc>
      </w:tr>
      <w:tr>
        <w:tc>
          <w:tcPr>
            <w:tcW w:type="dxa" w:w="2088"/>
          </w:tcPr>
          <w:p>
            <w:pPr>
              <w:spacing w:after="20"/>
            </w:pPr>
            <w:r/>
            <w:r>
              <w:rPr>
                <w:b w:val="0"/>
                <w:i w:val="0"/>
                <w:sz w:val="17"/>
              </w:rPr>
              <w:t>Options/RSUs</w:t>
            </w:r>
          </w:p>
        </w:tc>
        <w:tc>
          <w:tcPr>
            <w:tcW w:type="dxa" w:w="3168"/>
          </w:tcPr>
          <w:p>
            <w:pPr>
              <w:spacing w:after="20"/>
            </w:pPr>
            <w:r/>
            <w:r>
              <w:rPr>
                <w:b w:val="0"/>
                <w:i w:val="0"/>
                <w:sz w:val="17"/>
              </w:rPr>
              <w:t>—</w:t>
            </w:r>
          </w:p>
        </w:tc>
        <w:tc>
          <w:tcPr>
            <w:tcW w:type="dxa" w:w="3600"/>
          </w:tcPr>
          <w:p>
            <w:pPr>
              <w:spacing w:after="20"/>
            </w:pPr>
            <w:r/>
            <w:r>
              <w:rPr>
                <w:b w:val="0"/>
                <w:i w:val="0"/>
                <w:sz w:val="17"/>
              </w:rPr>
              <w:t>3,200,000</w:t>
            </w:r>
          </w:p>
        </w:tc>
        <w:tc>
          <w:tcPr>
            <w:tcW w:type="dxa" w:w="3168"/>
          </w:tcPr>
          <w:p>
            <w:pPr>
              <w:spacing w:after="20"/>
            </w:pPr>
            <w:r/>
            <w:r>
              <w:rPr>
                <w:b w:val="0"/>
                <w:i w:val="0"/>
                <w:sz w:val="17"/>
              </w:rPr>
              <w:t>3,200,000</w:t>
            </w:r>
          </w:p>
        </w:tc>
        <w:tc>
          <w:tcPr>
            <w:tcW w:type="dxa" w:w="1800"/>
            <w:shd w:val="clear" w:color="auto" w:fill="D9EAD3"/>
          </w:tcPr>
          <w:p>
            <w:pPr>
              <w:spacing w:after="20"/>
            </w:pPr>
            <w:r/>
            <w:r>
              <w:rPr>
                <w:b w:val="0"/>
                <w:i w:val="0"/>
                <w:sz w:val="17"/>
              </w:rPr>
              <w:t>Consistent</w:t>
            </w:r>
          </w:p>
        </w:tc>
      </w:tr>
      <w:tr>
        <w:tc>
          <w:tcPr>
            <w:tcW w:type="dxa" w:w="2088"/>
          </w:tcPr>
          <w:p>
            <w:pPr>
              <w:spacing w:after="20"/>
            </w:pPr>
            <w:r/>
            <w:r>
              <w:rPr>
                <w:b w:val="0"/>
                <w:i w:val="0"/>
                <w:sz w:val="17"/>
              </w:rPr>
              <w:t>2024 Equity Incentive Plan</w:t>
            </w:r>
          </w:p>
        </w:tc>
        <w:tc>
          <w:tcPr>
            <w:tcW w:type="dxa" w:w="3168"/>
          </w:tcPr>
          <w:p>
            <w:pPr>
              <w:spacing w:after="20"/>
            </w:pPr>
            <w:r/>
            <w:r>
              <w:rPr>
                <w:b w:val="0"/>
                <w:i w:val="0"/>
                <w:sz w:val="17"/>
              </w:rPr>
              <w:t>—</w:t>
            </w:r>
          </w:p>
        </w:tc>
        <w:tc>
          <w:tcPr>
            <w:tcW w:type="dxa" w:w="3600"/>
          </w:tcPr>
          <w:p>
            <w:pPr>
              <w:spacing w:after="20"/>
            </w:pPr>
            <w:r/>
            <w:r>
              <w:rPr>
                <w:b w:val="0"/>
                <w:i w:val="0"/>
                <w:sz w:val="17"/>
              </w:rPr>
              <w:t>5,080,000; adopted Nov. 15, 2024; 4% evergreen × 10 years</w:t>
            </w:r>
          </w:p>
        </w:tc>
        <w:tc>
          <w:tcPr>
            <w:tcW w:type="dxa" w:w="3168"/>
          </w:tcPr>
          <w:p>
            <w:pPr>
              <w:spacing w:after="20"/>
            </w:pPr>
            <w:r/>
            <w:r>
              <w:rPr>
                <w:b w:val="0"/>
                <w:i w:val="0"/>
                <w:sz w:val="17"/>
              </w:rPr>
              <w:t>5,080,000; Nov. 15, 2024; 4% evergreen × 10 years</w:t>
            </w:r>
          </w:p>
        </w:tc>
        <w:tc>
          <w:tcPr>
            <w:tcW w:type="dxa" w:w="1800"/>
          </w:tcPr>
          <w:p>
            <w:pPr>
              <w:spacing w:after="20"/>
            </w:pPr>
            <w:r/>
            <w:r>
              <w:rPr>
                <w:b w:val="0"/>
                <w:i w:val="0"/>
                <w:sz w:val="17"/>
              </w:rPr>
              <w:t>Measurement date inconsistent (F-19)</w:t>
            </w:r>
          </w:p>
        </w:tc>
      </w:tr>
      <w:tr>
        <w:tc>
          <w:tcPr>
            <w:tcW w:type="dxa" w:w="2088"/>
          </w:tcPr>
          <w:p>
            <w:pPr>
              <w:spacing w:after="20"/>
            </w:pPr>
            <w:r/>
            <w:r>
              <w:rPr>
                <w:b w:val="0"/>
                <w:i w:val="0"/>
                <w:sz w:val="17"/>
              </w:rPr>
              <w:t>Lock-up term</w:t>
            </w:r>
          </w:p>
        </w:tc>
        <w:tc>
          <w:tcPr>
            <w:tcW w:type="dxa" w:w="3168"/>
          </w:tcPr>
          <w:p>
            <w:pPr>
              <w:spacing w:after="20"/>
            </w:pPr>
            <w:r/>
            <w:r>
              <w:rPr>
                <w:b w:val="0"/>
                <w:i w:val="0"/>
                <w:sz w:val="17"/>
              </w:rPr>
              <w:t>—</w:t>
            </w:r>
          </w:p>
        </w:tc>
        <w:tc>
          <w:tcPr>
            <w:tcW w:type="dxa" w:w="3600"/>
          </w:tcPr>
          <w:p>
            <w:pPr>
              <w:spacing w:after="20"/>
            </w:pPr>
            <w:r/>
            <w:r>
              <w:rPr>
                <w:b w:val="0"/>
                <w:i w:val="0"/>
                <w:sz w:val="17"/>
              </w:rPr>
              <w:t>180 days after final Prospectus (§§1, 5(i), 6(i)); Exhibit C: 180 days after UA date</w:t>
            </w:r>
          </w:p>
        </w:tc>
        <w:tc>
          <w:tcPr>
            <w:tcW w:type="dxa" w:w="3168"/>
          </w:tcPr>
          <w:p>
            <w:pPr>
              <w:spacing w:after="20"/>
            </w:pPr>
            <w:r/>
            <w:r>
              <w:rPr>
                <w:b w:val="0"/>
                <w:i w:val="0"/>
                <w:sz w:val="17"/>
              </w:rPr>
              <w:t>180 days from date of prospectus</w:t>
            </w:r>
          </w:p>
        </w:tc>
        <w:tc>
          <w:tcPr>
            <w:tcW w:type="dxa" w:w="1800"/>
            <w:shd w:val="clear" w:color="auto" w:fill="F4B6B6"/>
          </w:tcPr>
          <w:p>
            <w:pPr>
              <w:spacing w:after="20"/>
            </w:pPr>
            <w:r/>
            <w:r>
              <w:rPr>
                <w:b w:val="0"/>
                <w:i w:val="0"/>
                <w:sz w:val="17"/>
              </w:rPr>
              <w:t>Critical (F-7)</w:t>
            </w:r>
          </w:p>
        </w:tc>
      </w:tr>
      <w:tr>
        <w:tc>
          <w:tcPr>
            <w:tcW w:type="dxa" w:w="2088"/>
          </w:tcPr>
          <w:p>
            <w:pPr>
              <w:spacing w:after="20"/>
            </w:pPr>
            <w:r/>
            <w:r>
              <w:rPr>
                <w:b w:val="0"/>
                <w:i w:val="0"/>
                <w:sz w:val="17"/>
              </w:rPr>
              <w:t>Option period</w:t>
            </w:r>
          </w:p>
        </w:tc>
        <w:tc>
          <w:tcPr>
            <w:tcW w:type="dxa" w:w="3168"/>
          </w:tcPr>
          <w:p>
            <w:pPr>
              <w:spacing w:after="20"/>
            </w:pPr>
            <w:r/>
            <w:r>
              <w:rPr>
                <w:b w:val="0"/>
                <w:i w:val="0"/>
                <w:sz w:val="17"/>
              </w:rPr>
              <w:t>—</w:t>
            </w:r>
          </w:p>
        </w:tc>
        <w:tc>
          <w:tcPr>
            <w:tcW w:type="dxa" w:w="3600"/>
          </w:tcPr>
          <w:p>
            <w:pPr>
              <w:spacing w:after="20"/>
            </w:pPr>
            <w:r/>
            <w:r>
              <w:rPr>
                <w:b w:val="0"/>
                <w:i w:val="0"/>
                <w:sz w:val="17"/>
              </w:rPr>
              <w:t>30 days from Prospectus</w:t>
            </w:r>
          </w:p>
        </w:tc>
        <w:tc>
          <w:tcPr>
            <w:tcW w:type="dxa" w:w="3168"/>
          </w:tcPr>
          <w:p>
            <w:pPr>
              <w:spacing w:after="20"/>
            </w:pPr>
            <w:r/>
            <w:r>
              <w:rPr>
                <w:b w:val="0"/>
                <w:i w:val="0"/>
                <w:sz w:val="17"/>
              </w:rPr>
              <w:t>30 days</w:t>
            </w:r>
          </w:p>
        </w:tc>
        <w:tc>
          <w:tcPr>
            <w:tcW w:type="dxa" w:w="1800"/>
            <w:shd w:val="clear" w:color="auto" w:fill="D9EAD3"/>
          </w:tcPr>
          <w:p>
            <w:pPr>
              <w:spacing w:after="20"/>
            </w:pPr>
            <w:r/>
            <w:r>
              <w:rPr>
                <w:b w:val="0"/>
                <w:i w:val="0"/>
                <w:sz w:val="17"/>
              </w:rPr>
              <w:t>Consistent</w:t>
            </w:r>
          </w:p>
        </w:tc>
      </w:tr>
      <w:tr>
        <w:tc>
          <w:tcPr>
            <w:tcW w:type="dxa" w:w="2088"/>
          </w:tcPr>
          <w:p>
            <w:pPr>
              <w:spacing w:after="20"/>
            </w:pPr>
            <w:r/>
            <w:r>
              <w:rPr>
                <w:b w:val="0"/>
                <w:i w:val="0"/>
                <w:sz w:val="17"/>
              </w:rPr>
              <w:t>Settlement</w:t>
            </w:r>
          </w:p>
        </w:tc>
        <w:tc>
          <w:tcPr>
            <w:tcW w:type="dxa" w:w="3168"/>
          </w:tcPr>
          <w:p>
            <w:pPr>
              <w:spacing w:after="20"/>
            </w:pPr>
            <w:r/>
            <w:r>
              <w:rPr>
                <w:b w:val="0"/>
                <w:i w:val="0"/>
                <w:sz w:val="17"/>
              </w:rPr>
              <w:t>—</w:t>
            </w:r>
          </w:p>
        </w:tc>
        <w:tc>
          <w:tcPr>
            <w:tcW w:type="dxa" w:w="3600"/>
          </w:tcPr>
          <w:p>
            <w:pPr>
              <w:spacing w:after="20"/>
            </w:pPr>
            <w:r/>
            <w:r>
              <w:rPr>
                <w:b w:val="0"/>
                <w:i w:val="0"/>
                <w:sz w:val="17"/>
              </w:rPr>
              <w:t>T+3; Closing Jan. 17, 2025</w:t>
            </w:r>
          </w:p>
        </w:tc>
        <w:tc>
          <w:tcPr>
            <w:tcW w:type="dxa" w:w="3168"/>
          </w:tcPr>
          <w:p>
            <w:pPr>
              <w:spacing w:after="20"/>
            </w:pPr>
            <w:r/>
            <w:r>
              <w:rPr>
                <w:b w:val="0"/>
                <w:i w:val="0"/>
                <w:sz w:val="17"/>
              </w:rPr>
              <w:t>Not disclosed</w:t>
            </w:r>
          </w:p>
        </w:tc>
        <w:tc>
          <w:tcPr>
            <w:tcW w:type="dxa" w:w="1800"/>
            <w:shd w:val="clear" w:color="auto" w:fill="F9D9A8"/>
          </w:tcPr>
          <w:p>
            <w:pPr>
              <w:spacing w:after="20"/>
            </w:pPr>
            <w:r/>
            <w:r>
              <w:rPr>
                <w:b w:val="0"/>
                <w:i w:val="0"/>
                <w:sz w:val="17"/>
              </w:rPr>
              <w:t>High (F-15)</w:t>
            </w:r>
          </w:p>
        </w:tc>
      </w:tr>
      <w:tr>
        <w:tc>
          <w:tcPr>
            <w:tcW w:type="dxa" w:w="2088"/>
          </w:tcPr>
          <w:p>
            <w:pPr>
              <w:spacing w:after="20"/>
            </w:pPr>
            <w:r/>
            <w:r>
              <w:rPr>
                <w:b w:val="0"/>
                <w:i w:val="0"/>
                <w:sz w:val="17"/>
              </w:rPr>
              <w:t>Exchange / ticker</w:t>
            </w:r>
          </w:p>
        </w:tc>
        <w:tc>
          <w:tcPr>
            <w:tcW w:type="dxa" w:w="3168"/>
          </w:tcPr>
          <w:p>
            <w:pPr>
              <w:spacing w:after="20"/>
            </w:pPr>
            <w:r/>
            <w:r>
              <w:rPr>
                <w:b w:val="0"/>
                <w:i w:val="0"/>
                <w:sz w:val="17"/>
              </w:rPr>
              <w:t>—</w:t>
            </w:r>
          </w:p>
        </w:tc>
        <w:tc>
          <w:tcPr>
            <w:tcW w:type="dxa" w:w="3600"/>
          </w:tcPr>
          <w:p>
            <w:pPr>
              <w:spacing w:after="20"/>
            </w:pPr>
            <w:r/>
            <w:r>
              <w:rPr>
                <w:b w:val="0"/>
                <w:i w:val="0"/>
                <w:sz w:val="17"/>
              </w:rPr>
              <w:t>Nasdaq Global Select; “ATBM”; approved</w:t>
            </w:r>
          </w:p>
        </w:tc>
        <w:tc>
          <w:tcPr>
            <w:tcW w:type="dxa" w:w="3168"/>
          </w:tcPr>
          <w:p>
            <w:pPr>
              <w:spacing w:after="20"/>
            </w:pPr>
            <w:r/>
            <w:r>
              <w:rPr>
                <w:b w:val="0"/>
                <w:i w:val="0"/>
                <w:sz w:val="17"/>
              </w:rPr>
              <w:t>Nasdaq Global Select; “ATBM”; applied</w:t>
            </w:r>
          </w:p>
        </w:tc>
        <w:tc>
          <w:tcPr>
            <w:tcW w:type="dxa" w:w="1800"/>
          </w:tcPr>
          <w:p>
            <w:pPr>
              <w:spacing w:after="20"/>
            </w:pPr>
            <w:r/>
            <w:r>
              <w:rPr>
                <w:b w:val="0"/>
                <w:i w:val="0"/>
                <w:sz w:val="17"/>
              </w:rPr>
              <w:t>Timing only (F-27)</w:t>
            </w:r>
          </w:p>
        </w:tc>
      </w:tr>
      <w:tr>
        <w:tc>
          <w:tcPr>
            <w:tcW w:type="dxa" w:w="2088"/>
          </w:tcPr>
          <w:p>
            <w:pPr>
              <w:spacing w:after="20"/>
            </w:pPr>
            <w:r/>
            <w:r>
              <w:rPr>
                <w:b w:val="0"/>
                <w:i w:val="0"/>
                <w:sz w:val="17"/>
              </w:rPr>
              <w:t>Incorporation / registered agent</w:t>
            </w:r>
          </w:p>
        </w:tc>
        <w:tc>
          <w:tcPr>
            <w:tcW w:type="dxa" w:w="3168"/>
          </w:tcPr>
          <w:p>
            <w:pPr>
              <w:spacing w:after="20"/>
            </w:pPr>
            <w:r/>
            <w:r>
              <w:rPr>
                <w:b w:val="0"/>
                <w:i w:val="0"/>
                <w:sz w:val="17"/>
              </w:rPr>
              <w:t>DE, Mar. 14, 2017; Continental Corporate Services, 818 West Street, Wilmington DE 19801; File No. 6347821</w:t>
            </w:r>
          </w:p>
        </w:tc>
        <w:tc>
          <w:tcPr>
            <w:tcW w:type="dxa" w:w="3600"/>
          </w:tcPr>
          <w:p>
            <w:pPr>
              <w:spacing w:after="20"/>
            </w:pPr>
            <w:r/>
            <w:r>
              <w:rPr>
                <w:b w:val="0"/>
                <w:i w:val="0"/>
                <w:sz w:val="17"/>
              </w:rPr>
              <w:t>Same (§3(a))</w:t>
            </w:r>
          </w:p>
        </w:tc>
        <w:tc>
          <w:tcPr>
            <w:tcW w:type="dxa" w:w="3168"/>
          </w:tcPr>
          <w:p>
            <w:pPr>
              <w:spacing w:after="20"/>
            </w:pPr>
            <w:r/>
            <w:r>
              <w:rPr>
                <w:b w:val="0"/>
                <w:i w:val="0"/>
                <w:sz w:val="17"/>
              </w:rPr>
              <w:t>DE, Mar. 14, 2017</w:t>
            </w:r>
          </w:p>
        </w:tc>
        <w:tc>
          <w:tcPr>
            <w:tcW w:type="dxa" w:w="1800"/>
            <w:shd w:val="clear" w:color="auto" w:fill="D9EAD3"/>
          </w:tcPr>
          <w:p>
            <w:pPr>
              <w:spacing w:after="20"/>
            </w:pPr>
            <w:r/>
            <w:r>
              <w:rPr>
                <w:b w:val="0"/>
                <w:i w:val="0"/>
                <w:sz w:val="17"/>
              </w:rPr>
              <w:t>Consistent</w:t>
            </w:r>
          </w:p>
        </w:tc>
      </w:tr>
      <w:tr>
        <w:tc>
          <w:tcPr>
            <w:tcW w:type="dxa" w:w="2088"/>
          </w:tcPr>
          <w:p>
            <w:pPr>
              <w:spacing w:after="20"/>
            </w:pPr>
            <w:r/>
            <w:r>
              <w:rPr>
                <w:b w:val="0"/>
                <w:i w:val="0"/>
                <w:sz w:val="17"/>
              </w:rPr>
              <w:t>Principal office</w:t>
            </w:r>
          </w:p>
        </w:tc>
        <w:tc>
          <w:tcPr>
            <w:tcW w:type="dxa" w:w="3168"/>
          </w:tcPr>
          <w:p>
            <w:pPr>
              <w:spacing w:after="20"/>
            </w:pPr>
            <w:r/>
            <w:r>
              <w:rPr>
                <w:b w:val="0"/>
                <w:i w:val="0"/>
                <w:sz w:val="17"/>
              </w:rPr>
              <w:t>—</w:t>
            </w:r>
          </w:p>
        </w:tc>
        <w:tc>
          <w:tcPr>
            <w:tcW w:type="dxa" w:w="3600"/>
          </w:tcPr>
          <w:p>
            <w:pPr>
              <w:spacing w:after="20"/>
            </w:pPr>
            <w:r/>
            <w:r>
              <w:rPr>
                <w:b w:val="0"/>
                <w:i w:val="0"/>
                <w:sz w:val="17"/>
              </w:rPr>
              <w:t>2480 Ridgeline Drive, Suite 300, Durham, NC 27709</w:t>
            </w:r>
          </w:p>
        </w:tc>
        <w:tc>
          <w:tcPr>
            <w:tcW w:type="dxa" w:w="3168"/>
          </w:tcPr>
          <w:p>
            <w:pPr>
              <w:spacing w:after="20"/>
            </w:pPr>
            <w:r/>
            <w:r>
              <w:rPr>
                <w:b w:val="0"/>
                <w:i w:val="0"/>
                <w:sz w:val="17"/>
              </w:rPr>
              <w:t>Same</w:t>
            </w:r>
          </w:p>
        </w:tc>
        <w:tc>
          <w:tcPr>
            <w:tcW w:type="dxa" w:w="1800"/>
            <w:shd w:val="clear" w:color="auto" w:fill="D9EAD3"/>
          </w:tcPr>
          <w:p>
            <w:pPr>
              <w:spacing w:after="20"/>
            </w:pPr>
            <w:r/>
            <w:r>
              <w:rPr>
                <w:b w:val="0"/>
                <w:i w:val="0"/>
                <w:sz w:val="17"/>
              </w:rPr>
              <w:t>Consistent</w:t>
            </w:r>
          </w:p>
        </w:tc>
      </w:tr>
      <w:tr>
        <w:tc>
          <w:tcPr>
            <w:tcW w:type="dxa" w:w="2088"/>
          </w:tcPr>
          <w:p>
            <w:pPr>
              <w:spacing w:after="20"/>
            </w:pPr>
            <w:r/>
            <w:r>
              <w:rPr>
                <w:b w:val="0"/>
                <w:i w:val="0"/>
                <w:sz w:val="17"/>
              </w:rPr>
              <w:t>Syndicate</w:t>
            </w:r>
          </w:p>
        </w:tc>
        <w:tc>
          <w:tcPr>
            <w:tcW w:type="dxa" w:w="3168"/>
          </w:tcPr>
          <w:p>
            <w:pPr>
              <w:spacing w:after="20"/>
            </w:pPr>
            <w:r/>
            <w:r>
              <w:rPr>
                <w:b w:val="0"/>
                <w:i w:val="0"/>
                <w:sz w:val="17"/>
              </w:rPr>
              <w:t>—</w:t>
            </w:r>
          </w:p>
        </w:tc>
        <w:tc>
          <w:tcPr>
            <w:tcW w:type="dxa" w:w="3600"/>
          </w:tcPr>
          <w:p>
            <w:pPr>
              <w:spacing w:after="20"/>
            </w:pPr>
            <w:r/>
            <w:r>
              <w:rPr>
                <w:b w:val="0"/>
                <w:i w:val="0"/>
                <w:sz w:val="17"/>
              </w:rPr>
              <w:t>Stonebridge (Rep./Lead), Pelham, Lanyard (Co-Managers); 65/20/15</w:t>
            </w:r>
          </w:p>
        </w:tc>
        <w:tc>
          <w:tcPr>
            <w:tcW w:type="dxa" w:w="3168"/>
          </w:tcPr>
          <w:p>
            <w:pPr>
              <w:spacing w:after="20"/>
            </w:pPr>
            <w:r/>
            <w:r>
              <w:rPr>
                <w:b w:val="0"/>
                <w:i w:val="0"/>
                <w:sz w:val="17"/>
              </w:rPr>
              <w:t>Same roles; allocations [●]</w:t>
            </w:r>
          </w:p>
        </w:tc>
        <w:tc>
          <w:tcPr>
            <w:tcW w:type="dxa" w:w="1800"/>
            <w:shd w:val="clear" w:color="auto" w:fill="D9EAD3"/>
          </w:tcPr>
          <w:p>
            <w:pPr>
              <w:spacing w:after="20"/>
            </w:pPr>
            <w:r/>
            <w:r>
              <w:rPr>
                <w:b w:val="0"/>
                <w:i w:val="0"/>
                <w:sz w:val="17"/>
              </w:rPr>
              <w:t>Low (F-32)</w:t>
            </w:r>
          </w:p>
        </w:tc>
      </w:tr>
      <w:tr>
        <w:tc>
          <w:tcPr>
            <w:tcW w:type="dxa" w:w="2088"/>
          </w:tcPr>
          <w:p>
            <w:pPr>
              <w:spacing w:after="20"/>
            </w:pPr>
            <w:r/>
            <w:r>
              <w:rPr>
                <w:b w:val="0"/>
                <w:i w:val="0"/>
                <w:sz w:val="17"/>
              </w:rPr>
              <w:t>Advisors</w:t>
            </w:r>
          </w:p>
        </w:tc>
        <w:tc>
          <w:tcPr>
            <w:tcW w:type="dxa" w:w="3168"/>
          </w:tcPr>
          <w:p>
            <w:pPr>
              <w:spacing w:after="20"/>
            </w:pPr>
            <w:r/>
            <w:r>
              <w:rPr>
                <w:b w:val="0"/>
                <w:i w:val="0"/>
                <w:sz w:val="17"/>
              </w:rPr>
              <w:t>—</w:t>
            </w:r>
          </w:p>
        </w:tc>
        <w:tc>
          <w:tcPr>
            <w:tcW w:type="dxa" w:w="3600"/>
          </w:tcPr>
          <w:p>
            <w:pPr>
              <w:spacing w:after="20"/>
            </w:pPr>
            <w:r/>
            <w:r>
              <w:rPr>
                <w:b w:val="0"/>
                <w:i w:val="0"/>
                <w:sz w:val="17"/>
              </w:rPr>
              <w:t>Hargrove Whitfield (Co.); Calloway Reeves &amp; Thornton (UWs); Bridger &amp; Callahan (tax); Pennington Frost (auditor); Clearfield (TA)</w:t>
            </w:r>
          </w:p>
        </w:tc>
        <w:tc>
          <w:tcPr>
            <w:tcW w:type="dxa" w:w="3168"/>
          </w:tcPr>
          <w:p>
            <w:pPr>
              <w:spacing w:after="20"/>
            </w:pPr>
            <w:r/>
            <w:r>
              <w:rPr>
                <w:b w:val="0"/>
                <w:i w:val="0"/>
                <w:sz w:val="17"/>
              </w:rPr>
              <w:t>Same</w:t>
            </w:r>
          </w:p>
        </w:tc>
        <w:tc>
          <w:tcPr>
            <w:tcW w:type="dxa" w:w="1800"/>
            <w:shd w:val="clear" w:color="auto" w:fill="D9EAD3"/>
          </w:tcPr>
          <w:p>
            <w:pPr>
              <w:spacing w:after="20"/>
            </w:pPr>
            <w:r/>
            <w:r>
              <w:rPr>
                <w:b w:val="0"/>
                <w:i w:val="0"/>
                <w:sz w:val="17"/>
              </w:rPr>
              <w:t>Consistent (placement of tax counsel, F-34)</w:t>
            </w:r>
          </w:p>
        </w:tc>
      </w:tr>
      <w:tr>
        <w:tc>
          <w:tcPr>
            <w:tcW w:type="dxa" w:w="2088"/>
          </w:tcPr>
          <w:p>
            <w:pPr>
              <w:spacing w:after="20"/>
            </w:pPr>
            <w:r/>
            <w:r>
              <w:rPr>
                <w:b w:val="0"/>
                <w:i w:val="0"/>
                <w:sz w:val="17"/>
              </w:rPr>
              <w:t>Directors / officers</w:t>
            </w:r>
          </w:p>
        </w:tc>
        <w:tc>
          <w:tcPr>
            <w:tcW w:type="dxa" w:w="3168"/>
          </w:tcPr>
          <w:p>
            <w:pPr>
              <w:spacing w:after="20"/>
            </w:pPr>
            <w:r/>
            <w:r>
              <w:rPr>
                <w:b w:val="0"/>
                <w:i w:val="0"/>
                <w:sz w:val="17"/>
              </w:rPr>
              <w:t>Signed by D. Kowalski, GC &amp; Secretary</w:t>
            </w:r>
          </w:p>
        </w:tc>
        <w:tc>
          <w:tcPr>
            <w:tcW w:type="dxa" w:w="3600"/>
          </w:tcPr>
          <w:p>
            <w:pPr>
              <w:spacing w:after="20"/>
            </w:pPr>
            <w:r/>
            <w:r>
              <w:rPr>
                <w:b w:val="0"/>
                <w:i w:val="0"/>
                <w:sz w:val="17"/>
              </w:rPr>
              <w:t>Lock-up list: Nagarajan, Marchetti, Ellingham, Kowalski + 5 outside directors</w:t>
            </w:r>
          </w:p>
        </w:tc>
        <w:tc>
          <w:tcPr>
            <w:tcW w:type="dxa" w:w="3168"/>
          </w:tcPr>
          <w:p>
            <w:pPr>
              <w:spacing w:after="20"/>
            </w:pPr>
            <w:r/>
            <w:r>
              <w:rPr>
                <w:b w:val="0"/>
                <w:i w:val="0"/>
                <w:sz w:val="17"/>
              </w:rPr>
              <w:t>Seven directors (same names); same officers</w:t>
            </w:r>
          </w:p>
        </w:tc>
        <w:tc>
          <w:tcPr>
            <w:tcW w:type="dxa" w:w="1800"/>
            <w:shd w:val="clear" w:color="auto" w:fill="D9EAD3"/>
          </w:tcPr>
          <w:p>
            <w:pPr>
              <w:spacing w:after="20"/>
            </w:pPr>
            <w:r/>
            <w:r>
              <w:rPr>
                <w:b w:val="0"/>
                <w:i w:val="0"/>
                <w:sz w:val="17"/>
              </w:rPr>
              <w:t>Consistent</w:t>
            </w:r>
          </w:p>
        </w:tc>
      </w:tr>
      <w:tr>
        <w:tc>
          <w:tcPr>
            <w:tcW w:type="dxa" w:w="2088"/>
          </w:tcPr>
          <w:p>
            <w:pPr>
              <w:spacing w:after="20"/>
            </w:pPr>
            <w:r/>
            <w:r>
              <w:rPr>
                <w:b w:val="0"/>
                <w:i w:val="0"/>
                <w:sz w:val="17"/>
              </w:rPr>
              <w:t>Series C full ratchet at IPO</w:t>
            </w:r>
          </w:p>
        </w:tc>
        <w:tc>
          <w:tcPr>
            <w:tcW w:type="dxa" w:w="3168"/>
          </w:tcPr>
          <w:p>
            <w:pPr>
              <w:spacing w:after="20"/>
            </w:pPr>
            <w:r/>
            <w:r>
              <w:rPr>
                <w:b w:val="0"/>
                <w:i w:val="0"/>
                <w:sz w:val="17"/>
              </w:rPr>
              <w:t>Triggered by issuances below Series C Conversion Price ($8.75 implied)</w:t>
            </w:r>
          </w:p>
        </w:tc>
        <w:tc>
          <w:tcPr>
            <w:tcW w:type="dxa" w:w="3600"/>
          </w:tcPr>
          <w:p>
            <w:pPr>
              <w:spacing w:after="20"/>
            </w:pPr>
            <w:r/>
            <w:r>
              <w:rPr>
                <w:b w:val="0"/>
                <w:i w:val="0"/>
                <w:sz w:val="17"/>
              </w:rPr>
              <w:t>Eliminated by IPO Charter</w:t>
            </w:r>
          </w:p>
        </w:tc>
        <w:tc>
          <w:tcPr>
            <w:tcW w:type="dxa" w:w="3168"/>
          </w:tcPr>
          <w:p>
            <w:pPr>
              <w:spacing w:after="20"/>
            </w:pPr>
            <w:r/>
            <w:r>
              <w:rPr>
                <w:b w:val="0"/>
                <w:i w:val="0"/>
                <w:sz w:val="17"/>
              </w:rPr>
              <w:t>Not discussed</w:t>
            </w:r>
          </w:p>
        </w:tc>
        <w:tc>
          <w:tcPr>
            <w:tcW w:type="dxa" w:w="1800"/>
          </w:tcPr>
          <w:p>
            <w:pPr>
              <w:spacing w:after="20"/>
            </w:pPr>
            <w:r/>
            <w:r>
              <w:rPr>
                <w:b w:val="0"/>
                <w:i w:val="0"/>
                <w:sz w:val="17"/>
              </w:rPr>
              <w:t>Not triggered (IPO range above $8.75); confirm no prior triggers</w:t>
            </w:r>
          </w:p>
        </w:tc>
      </w:tr>
    </w:tbl>
    <w:p>
      <w:pPr>
        <w:spacing w:after="40"/>
      </w:pPr>
    </w:p>
    <w:p>
      <w:pPr>
        <w:pStyle w:val="Heading1"/>
      </w:pPr>
      <w:r>
        <w:t>VI. Arithmetic Recomputation (Prospectus, $19.00 midpoint)</w:t>
      </w:r>
    </w:p>
    <w:tbl>
      <w:tblPr>
        <w:tblStyle w:val="TableGrid"/>
        <w:tblW w:type="auto" w:w="0"/>
        <w:jc w:val="center"/>
        <w:tblLook w:firstColumn="1" w:firstRow="1" w:lastColumn="0" w:lastRow="0" w:noHBand="0" w:noVBand="1" w:val="04A0"/>
      </w:tblPr>
      <w:tblGrid>
        <w:gridCol w:w="2765"/>
        <w:gridCol w:w="2765"/>
        <w:gridCol w:w="2765"/>
        <w:gridCol w:w="2765"/>
        <w:gridCol w:w="2765"/>
      </w:tblGrid>
      <w:tr>
        <w:trPr>
          <w:tblHeader w:val="true"/>
        </w:trPr>
        <w:tc>
          <w:tcPr>
            <w:tcW w:type="dxa" w:w="3456"/>
            <w:shd w:val="clear" w:color="auto" w:fill="1F3A5F"/>
          </w:tcPr>
          <w:p>
            <w:r/>
            <w:r>
              <w:rPr>
                <w:b/>
                <w:color w:val="FFFFFF"/>
                <w:sz w:val="17"/>
              </w:rPr>
              <w:t>Item</w:t>
            </w:r>
          </w:p>
        </w:tc>
        <w:tc>
          <w:tcPr>
            <w:tcW w:type="dxa" w:w="3312"/>
            <w:shd w:val="clear" w:color="auto" w:fill="1F3A5F"/>
          </w:tcPr>
          <w:p>
            <w:r/>
            <w:r>
              <w:rPr>
                <w:b/>
                <w:color w:val="FFFFFF"/>
                <w:sz w:val="17"/>
              </w:rPr>
              <w:t>As stated</w:t>
            </w:r>
          </w:p>
        </w:tc>
        <w:tc>
          <w:tcPr>
            <w:tcW w:type="dxa" w:w="3744"/>
            <w:shd w:val="clear" w:color="auto" w:fill="1F3A5F"/>
          </w:tcPr>
          <w:p>
            <w:r/>
            <w:r>
              <w:rPr>
                <w:b/>
                <w:color w:val="FFFFFF"/>
                <w:sz w:val="17"/>
              </w:rPr>
              <w:t>Recomputed / correct</w:t>
            </w:r>
          </w:p>
        </w:tc>
        <w:tc>
          <w:tcPr>
            <w:tcW w:type="dxa" w:w="2304"/>
            <w:shd w:val="clear" w:color="auto" w:fill="1F3A5F"/>
          </w:tcPr>
          <w:p>
            <w:r/>
            <w:r>
              <w:rPr>
                <w:b/>
                <w:color w:val="FFFFFF"/>
                <w:sz w:val="17"/>
              </w:rPr>
              <w:t>Difference</w:t>
            </w:r>
          </w:p>
        </w:tc>
        <w:tc>
          <w:tcPr>
            <w:tcW w:type="dxa" w:w="1008"/>
            <w:shd w:val="clear" w:color="auto" w:fill="1F3A5F"/>
          </w:tcPr>
          <w:p>
            <w:r/>
            <w:r>
              <w:rPr>
                <w:b/>
                <w:color w:val="FFFFFF"/>
                <w:sz w:val="17"/>
              </w:rPr>
              <w:t>Ref.</w:t>
            </w:r>
          </w:p>
        </w:tc>
      </w:tr>
      <w:tr>
        <w:tc>
          <w:tcPr>
            <w:tcW w:type="dxa" w:w="3456"/>
          </w:tcPr>
          <w:p>
            <w:pPr>
              <w:spacing w:after="20"/>
            </w:pPr>
            <w:r/>
            <w:r>
              <w:rPr>
                <w:b w:val="0"/>
                <w:i w:val="0"/>
                <w:sz w:val="17"/>
              </w:rPr>
              <w:t>Preferred issued vs. authorized</w:t>
            </w:r>
          </w:p>
        </w:tc>
        <w:tc>
          <w:tcPr>
            <w:tcW w:type="dxa" w:w="3312"/>
          </w:tcPr>
          <w:p>
            <w:pPr>
              <w:spacing w:after="20"/>
            </w:pPr>
            <w:r/>
            <w:r>
              <w:rPr>
                <w:b w:val="0"/>
                <w:i w:val="0"/>
                <w:sz w:val="17"/>
              </w:rPr>
              <w:t>26,650,000 designated</w:t>
            </w:r>
          </w:p>
        </w:tc>
        <w:tc>
          <w:tcPr>
            <w:tcW w:type="dxa" w:w="3744"/>
          </w:tcPr>
          <w:p>
            <w:pPr>
              <w:spacing w:after="20"/>
            </w:pPr>
            <w:r/>
            <w:r>
              <w:rPr>
                <w:b w:val="0"/>
                <w:i w:val="0"/>
                <w:sz w:val="17"/>
              </w:rPr>
              <w:t>25,000,000 authorized</w:t>
            </w:r>
          </w:p>
        </w:tc>
        <w:tc>
          <w:tcPr>
            <w:tcW w:type="dxa" w:w="2304"/>
          </w:tcPr>
          <w:p>
            <w:pPr>
              <w:spacing w:after="20"/>
            </w:pPr>
            <w:r/>
            <w:r>
              <w:rPr>
                <w:b w:val="0"/>
                <w:i w:val="0"/>
                <w:sz w:val="17"/>
              </w:rPr>
              <w:t>1,650,000 excess</w:t>
            </w:r>
          </w:p>
        </w:tc>
        <w:tc>
          <w:tcPr>
            <w:tcW w:type="dxa" w:w="1008"/>
          </w:tcPr>
          <w:p>
            <w:pPr>
              <w:spacing w:after="20"/>
            </w:pPr>
            <w:r/>
            <w:r>
              <w:rPr>
                <w:b w:val="0"/>
                <w:i w:val="0"/>
                <w:sz w:val="17"/>
              </w:rPr>
              <w:t>F-1</w:t>
            </w:r>
          </w:p>
        </w:tc>
      </w:tr>
      <w:tr>
        <w:tc>
          <w:tcPr>
            <w:tcW w:type="dxa" w:w="3456"/>
          </w:tcPr>
          <w:p>
            <w:pPr>
              <w:spacing w:after="20"/>
            </w:pPr>
            <w:r/>
            <w:r>
              <w:rPr>
                <w:b w:val="0"/>
                <w:i w:val="0"/>
                <w:sz w:val="17"/>
              </w:rPr>
              <w:t>Full-exercise gross proceeds</w:t>
            </w:r>
          </w:p>
        </w:tc>
        <w:tc>
          <w:tcPr>
            <w:tcW w:type="dxa" w:w="3312"/>
          </w:tcPr>
          <w:p>
            <w:pPr>
              <w:spacing w:after="20"/>
            </w:pPr>
            <w:r/>
            <w:r>
              <w:rPr>
                <w:b w:val="0"/>
                <w:i w:val="0"/>
                <w:sz w:val="17"/>
              </w:rPr>
              <w:t>$247,000,000 (13,000,000 sh.)</w:t>
            </w:r>
          </w:p>
        </w:tc>
        <w:tc>
          <w:tcPr>
            <w:tcW w:type="dxa" w:w="3744"/>
          </w:tcPr>
          <w:p>
            <w:pPr>
              <w:spacing w:after="20"/>
            </w:pPr>
            <w:r/>
            <w:r>
              <w:rPr>
                <w:b w:val="0"/>
                <w:i w:val="0"/>
                <w:sz w:val="17"/>
              </w:rPr>
              <w:t>$251,275,000 (13,225,000 sh.)</w:t>
            </w:r>
          </w:p>
        </w:tc>
        <w:tc>
          <w:tcPr>
            <w:tcW w:type="dxa" w:w="2304"/>
          </w:tcPr>
          <w:p>
            <w:pPr>
              <w:spacing w:after="20"/>
            </w:pPr>
            <w:r/>
            <w:r>
              <w:rPr>
                <w:b w:val="0"/>
                <w:i w:val="0"/>
                <w:sz w:val="17"/>
              </w:rPr>
              <w:t>$4,275,000</w:t>
            </w:r>
          </w:p>
        </w:tc>
        <w:tc>
          <w:tcPr>
            <w:tcW w:type="dxa" w:w="1008"/>
          </w:tcPr>
          <w:p>
            <w:pPr>
              <w:spacing w:after="20"/>
            </w:pPr>
            <w:r/>
            <w:r>
              <w:rPr>
                <w:b w:val="0"/>
                <w:i w:val="0"/>
                <w:sz w:val="17"/>
              </w:rPr>
              <w:t>F-2</w:t>
            </w:r>
          </w:p>
        </w:tc>
      </w:tr>
      <w:tr>
        <w:tc>
          <w:tcPr>
            <w:tcW w:type="dxa" w:w="3456"/>
          </w:tcPr>
          <w:p>
            <w:pPr>
              <w:spacing w:after="20"/>
            </w:pPr>
            <w:r/>
            <w:r>
              <w:rPr>
                <w:b w:val="0"/>
                <w:i w:val="0"/>
                <w:sz w:val="17"/>
              </w:rPr>
              <w:t>Full-exercise discount</w:t>
            </w:r>
          </w:p>
        </w:tc>
        <w:tc>
          <w:tcPr>
            <w:tcW w:type="dxa" w:w="3312"/>
          </w:tcPr>
          <w:p>
            <w:pPr>
              <w:spacing w:after="20"/>
            </w:pPr>
            <w:r/>
            <w:r>
              <w:rPr>
                <w:b w:val="0"/>
                <w:i w:val="0"/>
                <w:sz w:val="17"/>
              </w:rPr>
              <w:t>$16,055,000</w:t>
            </w:r>
          </w:p>
        </w:tc>
        <w:tc>
          <w:tcPr>
            <w:tcW w:type="dxa" w:w="3744"/>
          </w:tcPr>
          <w:p>
            <w:pPr>
              <w:spacing w:after="20"/>
            </w:pPr>
            <w:r/>
            <w:r>
              <w:rPr>
                <w:b w:val="0"/>
                <w:i w:val="0"/>
                <w:sz w:val="17"/>
              </w:rPr>
              <w:t>$16,332,875</w:t>
            </w:r>
          </w:p>
        </w:tc>
        <w:tc>
          <w:tcPr>
            <w:tcW w:type="dxa" w:w="2304"/>
          </w:tcPr>
          <w:p>
            <w:pPr>
              <w:spacing w:after="20"/>
            </w:pPr>
            <w:r/>
            <w:r>
              <w:rPr>
                <w:b w:val="0"/>
                <w:i w:val="0"/>
                <w:sz w:val="17"/>
              </w:rPr>
              <w:t>$277,875</w:t>
            </w:r>
          </w:p>
        </w:tc>
        <w:tc>
          <w:tcPr>
            <w:tcW w:type="dxa" w:w="1008"/>
          </w:tcPr>
          <w:p>
            <w:pPr>
              <w:spacing w:after="20"/>
            </w:pPr>
            <w:r/>
            <w:r>
              <w:rPr>
                <w:b w:val="0"/>
                <w:i w:val="0"/>
                <w:sz w:val="17"/>
              </w:rPr>
              <w:t>F-2</w:t>
            </w:r>
          </w:p>
        </w:tc>
      </w:tr>
      <w:tr>
        <w:tc>
          <w:tcPr>
            <w:tcW w:type="dxa" w:w="3456"/>
          </w:tcPr>
          <w:p>
            <w:pPr>
              <w:spacing w:after="20"/>
            </w:pPr>
            <w:r/>
            <w:r>
              <w:rPr>
                <w:b w:val="0"/>
                <w:i w:val="0"/>
                <w:sz w:val="17"/>
              </w:rPr>
              <w:t>Full-exercise proceeds to Company (pre-expenses)</w:t>
            </w:r>
          </w:p>
        </w:tc>
        <w:tc>
          <w:tcPr>
            <w:tcW w:type="dxa" w:w="3312"/>
          </w:tcPr>
          <w:p>
            <w:pPr>
              <w:spacing w:after="20"/>
            </w:pPr>
            <w:r/>
            <w:r>
              <w:rPr>
                <w:b w:val="0"/>
                <w:i w:val="0"/>
                <w:sz w:val="17"/>
              </w:rPr>
              <w:t>$177,650,000</w:t>
            </w:r>
          </w:p>
        </w:tc>
        <w:tc>
          <w:tcPr>
            <w:tcW w:type="dxa" w:w="3744"/>
          </w:tcPr>
          <w:p>
            <w:pPr>
              <w:spacing w:after="20"/>
            </w:pPr>
            <w:r/>
            <w:r>
              <w:rPr>
                <w:b w:val="0"/>
                <w:i w:val="0"/>
                <w:sz w:val="17"/>
              </w:rPr>
              <w:t>$181,647,125</w:t>
            </w:r>
          </w:p>
        </w:tc>
        <w:tc>
          <w:tcPr>
            <w:tcW w:type="dxa" w:w="2304"/>
          </w:tcPr>
          <w:p>
            <w:pPr>
              <w:spacing w:after="20"/>
            </w:pPr>
            <w:r/>
            <w:r>
              <w:rPr>
                <w:b w:val="0"/>
                <w:i w:val="0"/>
                <w:sz w:val="17"/>
              </w:rPr>
              <w:t>$3,997,125</w:t>
            </w:r>
          </w:p>
        </w:tc>
        <w:tc>
          <w:tcPr>
            <w:tcW w:type="dxa" w:w="1008"/>
          </w:tcPr>
          <w:p>
            <w:pPr>
              <w:spacing w:after="20"/>
            </w:pPr>
            <w:r/>
            <w:r>
              <w:rPr>
                <w:b w:val="0"/>
                <w:i w:val="0"/>
                <w:sz w:val="17"/>
              </w:rPr>
              <w:t>F-2</w:t>
            </w:r>
          </w:p>
        </w:tc>
      </w:tr>
      <w:tr>
        <w:tc>
          <w:tcPr>
            <w:tcW w:type="dxa" w:w="3456"/>
          </w:tcPr>
          <w:p>
            <w:pPr>
              <w:spacing w:after="20"/>
            </w:pPr>
            <w:r/>
            <w:r>
              <w:rPr>
                <w:b w:val="0"/>
                <w:i w:val="0"/>
                <w:sz w:val="17"/>
              </w:rPr>
              <w:t>Pro forma as adjusted APIC</w:t>
            </w:r>
          </w:p>
        </w:tc>
        <w:tc>
          <w:tcPr>
            <w:tcW w:type="dxa" w:w="3312"/>
          </w:tcPr>
          <w:p>
            <w:pPr>
              <w:spacing w:after="20"/>
            </w:pPr>
            <w:r/>
            <w:r>
              <w:rPr>
                <w:b w:val="0"/>
                <w:i w:val="0"/>
                <w:sz w:val="17"/>
              </w:rPr>
              <w:t>$371,185,300</w:t>
            </w:r>
          </w:p>
        </w:tc>
        <w:tc>
          <w:tcPr>
            <w:tcW w:type="dxa" w:w="3744"/>
          </w:tcPr>
          <w:p>
            <w:pPr>
              <w:spacing w:after="20"/>
            </w:pPr>
            <w:r/>
            <w:r>
              <w:rPr>
                <w:b w:val="0"/>
                <w:i w:val="0"/>
                <w:sz w:val="17"/>
              </w:rPr>
              <w:t>$371,227,650</w:t>
            </w:r>
          </w:p>
        </w:tc>
        <w:tc>
          <w:tcPr>
            <w:tcW w:type="dxa" w:w="2304"/>
          </w:tcPr>
          <w:p>
            <w:pPr>
              <w:spacing w:after="20"/>
            </w:pPr>
            <w:r/>
            <w:r>
              <w:rPr>
                <w:b w:val="0"/>
                <w:i w:val="0"/>
                <w:sz w:val="17"/>
              </w:rPr>
              <w:t>$42,350</w:t>
            </w:r>
          </w:p>
        </w:tc>
        <w:tc>
          <w:tcPr>
            <w:tcW w:type="dxa" w:w="1008"/>
          </w:tcPr>
          <w:p>
            <w:pPr>
              <w:spacing w:after="20"/>
            </w:pPr>
            <w:r/>
            <w:r>
              <w:rPr>
                <w:b w:val="0"/>
                <w:i w:val="0"/>
                <w:sz w:val="17"/>
              </w:rPr>
              <w:t>F-8</w:t>
            </w:r>
          </w:p>
        </w:tc>
      </w:tr>
      <w:tr>
        <w:tc>
          <w:tcPr>
            <w:tcW w:type="dxa" w:w="3456"/>
          </w:tcPr>
          <w:p>
            <w:pPr>
              <w:spacing w:after="20"/>
            </w:pPr>
            <w:r/>
            <w:r>
              <w:rPr>
                <w:b w:val="0"/>
                <w:i w:val="0"/>
                <w:sz w:val="17"/>
              </w:rPr>
              <w:t>Pro forma as adjusted equity (pre-expenses)</w:t>
            </w:r>
          </w:p>
        </w:tc>
        <w:tc>
          <w:tcPr>
            <w:tcW w:type="dxa" w:w="3312"/>
          </w:tcPr>
          <w:p>
            <w:pPr>
              <w:spacing w:after="20"/>
            </w:pPr>
            <w:r/>
            <w:r>
              <w:rPr>
                <w:b w:val="0"/>
                <w:i w:val="0"/>
                <w:sz w:val="17"/>
              </w:rPr>
              <w:t>$260,386,150</w:t>
            </w:r>
          </w:p>
        </w:tc>
        <w:tc>
          <w:tcPr>
            <w:tcW w:type="dxa" w:w="3744"/>
          </w:tcPr>
          <w:p>
            <w:pPr>
              <w:spacing w:after="20"/>
            </w:pPr>
            <w:r/>
            <w:r>
              <w:rPr>
                <w:b w:val="0"/>
                <w:i w:val="0"/>
                <w:sz w:val="17"/>
              </w:rPr>
              <w:t>$260,428,500</w:t>
            </w:r>
          </w:p>
        </w:tc>
        <w:tc>
          <w:tcPr>
            <w:tcW w:type="dxa" w:w="2304"/>
          </w:tcPr>
          <w:p>
            <w:pPr>
              <w:spacing w:after="20"/>
            </w:pPr>
            <w:r/>
            <w:r>
              <w:rPr>
                <w:b w:val="0"/>
                <w:i w:val="0"/>
                <w:sz w:val="17"/>
              </w:rPr>
              <w:t>$42,350</w:t>
            </w:r>
          </w:p>
        </w:tc>
        <w:tc>
          <w:tcPr>
            <w:tcW w:type="dxa" w:w="1008"/>
          </w:tcPr>
          <w:p>
            <w:pPr>
              <w:spacing w:after="20"/>
            </w:pPr>
            <w:r/>
            <w:r>
              <w:rPr>
                <w:b w:val="0"/>
                <w:i w:val="0"/>
                <w:sz w:val="17"/>
              </w:rPr>
              <w:t>F-8</w:t>
            </w:r>
          </w:p>
        </w:tc>
      </w:tr>
      <w:tr>
        <w:tc>
          <w:tcPr>
            <w:tcW w:type="dxa" w:w="3456"/>
          </w:tcPr>
          <w:p>
            <w:pPr>
              <w:spacing w:after="20"/>
            </w:pPr>
            <w:r/>
            <w:r>
              <w:rPr>
                <w:b w:val="0"/>
                <w:i w:val="0"/>
                <w:sz w:val="17"/>
              </w:rPr>
              <w:t>Pro forma NTBV</w:t>
            </w:r>
          </w:p>
        </w:tc>
        <w:tc>
          <w:tcPr>
            <w:tcW w:type="dxa" w:w="3312"/>
          </w:tcPr>
          <w:p>
            <w:pPr>
              <w:spacing w:after="20"/>
            </w:pPr>
            <w:r/>
            <w:r>
              <w:rPr>
                <w:b w:val="0"/>
                <w:i w:val="0"/>
                <w:sz w:val="17"/>
              </w:rPr>
              <w:t>$148.2M ($3.50/sh.)</w:t>
            </w:r>
          </w:p>
        </w:tc>
        <w:tc>
          <w:tcPr>
            <w:tcW w:type="dxa" w:w="3744"/>
          </w:tcPr>
          <w:p>
            <w:pPr>
              <w:spacing w:after="20"/>
            </w:pPr>
            <w:r/>
            <w:r>
              <w:rPr>
                <w:b w:val="0"/>
                <w:i w:val="0"/>
                <w:sz w:val="17"/>
              </w:rPr>
              <w:t>≤$109.4M (≤$2.58/sh.)</w:t>
            </w:r>
          </w:p>
        </w:tc>
        <w:tc>
          <w:tcPr>
            <w:tcW w:type="dxa" w:w="2304"/>
          </w:tcPr>
          <w:p>
            <w:pPr>
              <w:spacing w:after="20"/>
            </w:pPr>
            <w:r/>
            <w:r>
              <w:rPr>
                <w:b w:val="0"/>
                <w:i w:val="0"/>
                <w:sz w:val="17"/>
              </w:rPr>
              <w:t>≥$38.8M overstatement</w:t>
            </w:r>
          </w:p>
        </w:tc>
        <w:tc>
          <w:tcPr>
            <w:tcW w:type="dxa" w:w="1008"/>
          </w:tcPr>
          <w:p>
            <w:pPr>
              <w:spacing w:after="20"/>
            </w:pPr>
            <w:r/>
            <w:r>
              <w:rPr>
                <w:b w:val="0"/>
                <w:i w:val="0"/>
                <w:sz w:val="17"/>
              </w:rPr>
              <w:t>F-6</w:t>
            </w:r>
          </w:p>
        </w:tc>
      </w:tr>
      <w:tr>
        <w:tc>
          <w:tcPr>
            <w:tcW w:type="dxa" w:w="3456"/>
          </w:tcPr>
          <w:p>
            <w:pPr>
              <w:spacing w:after="20"/>
            </w:pPr>
            <w:r/>
            <w:r>
              <w:rPr>
                <w:b w:val="0"/>
                <w:i w:val="0"/>
                <w:sz w:val="17"/>
              </w:rPr>
              <w:t>Pro forma as adjusted NTBV</w:t>
            </w:r>
          </w:p>
        </w:tc>
        <w:tc>
          <w:tcPr>
            <w:tcW w:type="dxa" w:w="3312"/>
          </w:tcPr>
          <w:p>
            <w:pPr>
              <w:spacing w:after="20"/>
            </w:pPr>
            <w:r/>
            <w:r>
              <w:rPr>
                <w:b w:val="0"/>
                <w:i w:val="0"/>
                <w:sz w:val="17"/>
              </w:rPr>
              <w:t>$299.2M ($5.88/sh.)</w:t>
            </w:r>
          </w:p>
        </w:tc>
        <w:tc>
          <w:tcPr>
            <w:tcW w:type="dxa" w:w="3744"/>
          </w:tcPr>
          <w:p>
            <w:pPr>
              <w:spacing w:after="20"/>
            </w:pPr>
            <w:r/>
            <w:r>
              <w:rPr>
                <w:b w:val="0"/>
                <w:i w:val="0"/>
                <w:sz w:val="17"/>
              </w:rPr>
              <w:t>≤$260.4M (≤$5.12/sh.) before expenses</w:t>
            </w:r>
          </w:p>
        </w:tc>
        <w:tc>
          <w:tcPr>
            <w:tcW w:type="dxa" w:w="2304"/>
          </w:tcPr>
          <w:p>
            <w:pPr>
              <w:spacing w:after="20"/>
            </w:pPr>
            <w:r/>
            <w:r>
              <w:rPr>
                <w:b w:val="0"/>
                <w:i w:val="0"/>
                <w:sz w:val="17"/>
              </w:rPr>
              <w:t>≥$38.8M</w:t>
            </w:r>
          </w:p>
        </w:tc>
        <w:tc>
          <w:tcPr>
            <w:tcW w:type="dxa" w:w="1008"/>
          </w:tcPr>
          <w:p>
            <w:pPr>
              <w:spacing w:after="20"/>
            </w:pPr>
            <w:r/>
            <w:r>
              <w:rPr>
                <w:b w:val="0"/>
                <w:i w:val="0"/>
                <w:sz w:val="17"/>
              </w:rPr>
              <w:t>F-6</w:t>
            </w:r>
          </w:p>
        </w:tc>
      </w:tr>
      <w:tr>
        <w:tc>
          <w:tcPr>
            <w:tcW w:type="dxa" w:w="3456"/>
          </w:tcPr>
          <w:p>
            <w:pPr>
              <w:spacing w:after="20"/>
            </w:pPr>
            <w:r/>
            <w:r>
              <w:rPr>
                <w:b w:val="0"/>
                <w:i w:val="0"/>
                <w:sz w:val="17"/>
              </w:rPr>
              <w:t>Dilution to new investors</w:t>
            </w:r>
          </w:p>
        </w:tc>
        <w:tc>
          <w:tcPr>
            <w:tcW w:type="dxa" w:w="3312"/>
          </w:tcPr>
          <w:p>
            <w:pPr>
              <w:spacing w:after="20"/>
            </w:pPr>
            <w:r/>
            <w:r>
              <w:rPr>
                <w:b w:val="0"/>
                <w:i w:val="0"/>
                <w:sz w:val="17"/>
              </w:rPr>
              <w:t>$13.12/sh.</w:t>
            </w:r>
          </w:p>
        </w:tc>
        <w:tc>
          <w:tcPr>
            <w:tcW w:type="dxa" w:w="3744"/>
          </w:tcPr>
          <w:p>
            <w:pPr>
              <w:spacing w:after="20"/>
            </w:pPr>
            <w:r/>
            <w:r>
              <w:rPr>
                <w:b w:val="0"/>
                <w:i w:val="0"/>
                <w:sz w:val="17"/>
              </w:rPr>
              <w:t>≥$13.88/sh.</w:t>
            </w:r>
          </w:p>
        </w:tc>
        <w:tc>
          <w:tcPr>
            <w:tcW w:type="dxa" w:w="2304"/>
          </w:tcPr>
          <w:p>
            <w:pPr>
              <w:spacing w:after="20"/>
            </w:pPr>
            <w:r/>
            <w:r>
              <w:rPr>
                <w:b w:val="0"/>
                <w:i w:val="0"/>
                <w:sz w:val="17"/>
              </w:rPr>
              <w:t>≥$0.76/sh. understated</w:t>
            </w:r>
          </w:p>
        </w:tc>
        <w:tc>
          <w:tcPr>
            <w:tcW w:type="dxa" w:w="1008"/>
          </w:tcPr>
          <w:p>
            <w:pPr>
              <w:spacing w:after="20"/>
            </w:pPr>
            <w:r/>
            <w:r>
              <w:rPr>
                <w:b w:val="0"/>
                <w:i w:val="0"/>
                <w:sz w:val="17"/>
              </w:rPr>
              <w:t>F-6</w:t>
            </w:r>
          </w:p>
        </w:tc>
      </w:tr>
      <w:tr>
        <w:tc>
          <w:tcPr>
            <w:tcW w:type="dxa" w:w="3456"/>
          </w:tcPr>
          <w:p>
            <w:pPr>
              <w:spacing w:after="20"/>
            </w:pPr>
            <w:r/>
            <w:r>
              <w:rPr>
                <w:b w:val="0"/>
                <w:i w:val="0"/>
                <w:sz w:val="17"/>
              </w:rPr>
              <w:t>Preferred at Original Issue Price</w:t>
            </w:r>
          </w:p>
        </w:tc>
        <w:tc>
          <w:tcPr>
            <w:tcW w:type="dxa" w:w="3312"/>
          </w:tcPr>
          <w:p>
            <w:pPr>
              <w:spacing w:after="20"/>
            </w:pPr>
            <w:r/>
            <w:r>
              <w:rPr>
                <w:b w:val="0"/>
                <w:i w:val="0"/>
                <w:sz w:val="17"/>
              </w:rPr>
              <w:t>$131,850,000 carrying</w:t>
            </w:r>
          </w:p>
        </w:tc>
        <w:tc>
          <w:tcPr>
            <w:tcW w:type="dxa" w:w="3744"/>
          </w:tcPr>
          <w:p>
            <w:pPr>
              <w:spacing w:after="20"/>
            </w:pPr>
            <w:r/>
            <w:r>
              <w:rPr>
                <w:b w:val="0"/>
                <w:i w:val="0"/>
                <w:sz w:val="17"/>
              </w:rPr>
              <w:t>$121,312,500 at OIP</w:t>
            </w:r>
          </w:p>
        </w:tc>
        <w:tc>
          <w:tcPr>
            <w:tcW w:type="dxa" w:w="2304"/>
          </w:tcPr>
          <w:p>
            <w:pPr>
              <w:spacing w:after="20"/>
            </w:pPr>
            <w:r/>
            <w:r>
              <w:rPr>
                <w:b w:val="0"/>
                <w:i w:val="0"/>
                <w:sz w:val="17"/>
              </w:rPr>
              <w:t>$10,537,500</w:t>
            </w:r>
          </w:p>
        </w:tc>
        <w:tc>
          <w:tcPr>
            <w:tcW w:type="dxa" w:w="1008"/>
          </w:tcPr>
          <w:p>
            <w:pPr>
              <w:spacing w:after="20"/>
            </w:pPr>
            <w:r/>
            <w:r>
              <w:rPr>
                <w:b w:val="0"/>
                <w:i w:val="0"/>
                <w:sz w:val="17"/>
              </w:rPr>
              <w:t>F-9</w:t>
            </w:r>
          </w:p>
        </w:tc>
      </w:tr>
      <w:tr>
        <w:tc>
          <w:tcPr>
            <w:tcW w:type="dxa" w:w="3456"/>
          </w:tcPr>
          <w:p>
            <w:pPr>
              <w:spacing w:after="20"/>
            </w:pPr>
            <w:r/>
            <w:r>
              <w:rPr>
                <w:b w:val="0"/>
                <w:i w:val="0"/>
                <w:sz w:val="17"/>
              </w:rPr>
              <w:t>Net proceeds after expenses</w:t>
            </w:r>
          </w:p>
        </w:tc>
        <w:tc>
          <w:tcPr>
            <w:tcW w:type="dxa" w:w="3312"/>
          </w:tcPr>
          <w:p>
            <w:pPr>
              <w:spacing w:after="20"/>
            </w:pPr>
            <w:r/>
            <w:r>
              <w:rPr>
                <w:b w:val="0"/>
                <w:i w:val="0"/>
                <w:sz w:val="17"/>
              </w:rPr>
              <w:t>$151.0M (stated as net of expenses)</w:t>
            </w:r>
          </w:p>
        </w:tc>
        <w:tc>
          <w:tcPr>
            <w:tcW w:type="dxa" w:w="3744"/>
          </w:tcPr>
          <w:p>
            <w:pPr>
              <w:spacing w:after="20"/>
            </w:pPr>
            <w:r/>
            <w:r>
              <w:rPr>
                <w:b w:val="0"/>
                <w:i w:val="0"/>
                <w:sz w:val="17"/>
              </w:rPr>
              <w:t>$151.0M less expenses [●]</w:t>
            </w:r>
          </w:p>
        </w:tc>
        <w:tc>
          <w:tcPr>
            <w:tcW w:type="dxa" w:w="2304"/>
          </w:tcPr>
          <w:p>
            <w:pPr>
              <w:spacing w:after="20"/>
            </w:pPr>
            <w:r/>
            <w:r>
              <w:rPr>
                <w:b w:val="0"/>
                <w:i w:val="0"/>
                <w:sz w:val="17"/>
              </w:rPr>
              <w:t>Expenses omitted</w:t>
            </w:r>
          </w:p>
        </w:tc>
        <w:tc>
          <w:tcPr>
            <w:tcW w:type="dxa" w:w="1008"/>
          </w:tcPr>
          <w:p>
            <w:pPr>
              <w:spacing w:after="20"/>
            </w:pPr>
            <w:r/>
            <w:r>
              <w:rPr>
                <w:b w:val="0"/>
                <w:i w:val="0"/>
                <w:sz w:val="17"/>
              </w:rPr>
              <w:t>F-8</w:t>
            </w:r>
          </w:p>
        </w:tc>
      </w:tr>
      <w:tr>
        <w:tc>
          <w:tcPr>
            <w:tcW w:type="dxa" w:w="3456"/>
          </w:tcPr>
          <w:p>
            <w:pPr>
              <w:spacing w:after="20"/>
            </w:pPr>
            <w:r/>
            <w:r>
              <w:rPr>
                <w:b w:val="0"/>
                <w:i w:val="0"/>
                <w:sz w:val="17"/>
              </w:rPr>
              <w:t>Plan reserve as % post-IPO</w:t>
            </w:r>
          </w:p>
        </w:tc>
        <w:tc>
          <w:tcPr>
            <w:tcW w:type="dxa" w:w="3312"/>
          </w:tcPr>
          <w:p>
            <w:pPr>
              <w:spacing w:after="20"/>
            </w:pPr>
            <w:r/>
            <w:r>
              <w:rPr>
                <w:b w:val="0"/>
                <w:i w:val="0"/>
                <w:sz w:val="17"/>
              </w:rPr>
              <w:t>~10%</w:t>
            </w:r>
          </w:p>
        </w:tc>
        <w:tc>
          <w:tcPr>
            <w:tcW w:type="dxa" w:w="3744"/>
          </w:tcPr>
          <w:p>
            <w:pPr>
              <w:spacing w:after="20"/>
            </w:pPr>
            <w:r/>
            <w:r>
              <w:rPr>
                <w:b w:val="0"/>
                <w:i w:val="0"/>
                <w:sz w:val="17"/>
              </w:rPr>
              <w:t>5,080,000 / 50,850,000 = 9.99%</w:t>
            </w:r>
          </w:p>
        </w:tc>
        <w:tc>
          <w:tcPr>
            <w:tcW w:type="dxa" w:w="2304"/>
          </w:tcPr>
          <w:p>
            <w:pPr>
              <w:spacing w:after="20"/>
            </w:pPr>
            <w:r/>
            <w:r>
              <w:rPr>
                <w:b w:val="0"/>
                <w:i w:val="0"/>
                <w:sz w:val="17"/>
              </w:rPr>
              <w:t>—</w:t>
            </w:r>
          </w:p>
        </w:tc>
        <w:tc>
          <w:tcPr>
            <w:tcW w:type="dxa" w:w="1008"/>
          </w:tcPr>
          <w:p>
            <w:pPr>
              <w:spacing w:after="20"/>
            </w:pPr>
            <w:r/>
            <w:r>
              <w:rPr>
                <w:b w:val="0"/>
                <w:i w:val="0"/>
                <w:sz w:val="17"/>
              </w:rPr>
              <w:t>Consistent</w:t>
            </w:r>
          </w:p>
        </w:tc>
      </w:tr>
      <w:tr>
        <w:tc>
          <w:tcPr>
            <w:tcW w:type="dxa" w:w="3456"/>
          </w:tcPr>
          <w:p>
            <w:pPr>
              <w:spacing w:after="20"/>
            </w:pPr>
            <w:r/>
            <w:r>
              <w:rPr>
                <w:b w:val="0"/>
                <w:i w:val="0"/>
                <w:sz w:val="17"/>
              </w:rPr>
              <w:t>Cover / Underwriting tables (no option)</w:t>
            </w:r>
          </w:p>
        </w:tc>
        <w:tc>
          <w:tcPr>
            <w:tcW w:type="dxa" w:w="3312"/>
          </w:tcPr>
          <w:p>
            <w:pPr>
              <w:spacing w:after="20"/>
            </w:pPr>
            <w:r/>
            <w:r>
              <w:rPr>
                <w:b w:val="0"/>
                <w:i w:val="0"/>
                <w:sz w:val="17"/>
              </w:rPr>
              <w:t>$218.5M / $14,202,500 / $151,002,500 / $53,295,000</w:t>
            </w:r>
          </w:p>
        </w:tc>
        <w:tc>
          <w:tcPr>
            <w:tcW w:type="dxa" w:w="3744"/>
          </w:tcPr>
          <w:p>
            <w:pPr>
              <w:spacing w:after="20"/>
            </w:pPr>
            <w:r/>
            <w:r>
              <w:rPr>
                <w:b w:val="0"/>
                <w:i w:val="0"/>
                <w:sz w:val="17"/>
              </w:rPr>
              <w:t>Recomputed identically</w:t>
            </w:r>
          </w:p>
        </w:tc>
        <w:tc>
          <w:tcPr>
            <w:tcW w:type="dxa" w:w="2304"/>
          </w:tcPr>
          <w:p>
            <w:pPr>
              <w:spacing w:after="20"/>
            </w:pPr>
            <w:r/>
            <w:r>
              <w:rPr>
                <w:b w:val="0"/>
                <w:i w:val="0"/>
                <w:sz w:val="17"/>
              </w:rPr>
              <w:t>—</w:t>
            </w:r>
          </w:p>
        </w:tc>
        <w:tc>
          <w:tcPr>
            <w:tcW w:type="dxa" w:w="1008"/>
          </w:tcPr>
          <w:p>
            <w:pPr>
              <w:spacing w:after="20"/>
            </w:pPr>
            <w:r/>
            <w:r>
              <w:rPr>
                <w:b w:val="0"/>
                <w:i w:val="0"/>
                <w:sz w:val="17"/>
              </w:rPr>
              <w:t>Consistent</w:t>
            </w:r>
          </w:p>
        </w:tc>
      </w:tr>
    </w:tbl>
    <w:p>
      <w:pPr>
        <w:spacing w:after="40"/>
      </w:pPr>
    </w:p>
    <w:p>
      <w:pPr>
        <w:pStyle w:val="Heading1"/>
      </w:pPr>
      <w:r>
        <w:t>VII. Recommended Next Steps (Pre-Pricing Checklist)</w:t>
      </w:r>
    </w:p>
    <w:p>
      <w:pPr>
        <w:pStyle w:val="ListNumber"/>
        <w:spacing w:after="60"/>
      </w:pPr>
      <w:r>
        <w:rPr>
          <w:b w:val="0"/>
          <w:i w:val="0"/>
        </w:rPr>
        <w:t>Resolve the preferred over-designation (F-1): run issuance-history diligence and, if needed, a DGCL §204 ratification and certificate of validation before the price-range amendment.</w:t>
      </w:r>
    </w:p>
    <w:p>
      <w:pPr>
        <w:pStyle w:val="ListNumber"/>
        <w:spacing w:after="60"/>
      </w:pPr>
      <w:r>
        <w:rPr>
          <w:b w:val="0"/>
          <w:i w:val="0"/>
        </w:rPr>
        <w:t>Draft the Fifth A&amp;R Certificate of Incorporation implementing UA §6(j)(i)–(x), plus decisions on special meetings and class assignments. Attach it as UA Exhibit A and file it as an S-1 exhibit (F-4, F-5, F-20 to F-24).</w:t>
      </w:r>
    </w:p>
    <w:p>
      <w:pPr>
        <w:pStyle w:val="ListNumber"/>
        <w:spacing w:after="60"/>
      </w:pPr>
      <w:r>
        <w:rPr>
          <w:b w:val="0"/>
          <w:i w:val="0"/>
        </w:rPr>
        <w:t>Obtain board resolutions, stockholder consent (Art. X), and Series A (majority), Series B (majority) and Series C (60%) consents approving the IPO Charter and electing conversion effective immediately prior to closing. Fix the closing-morning sequence (F-10, F-11).</w:t>
      </w:r>
    </w:p>
    <w:p>
      <w:pPr>
        <w:pStyle w:val="ListNumber"/>
        <w:spacing w:after="60"/>
      </w:pPr>
      <w:r>
        <w:rPr>
          <w:b w:val="0"/>
          <w:i w:val="0"/>
        </w:rPr>
        <w:t>Reconcile the cap table with the transfer agent. Redraft UA §3(b) (F-3).</w:t>
      </w:r>
    </w:p>
    <w:p>
      <w:pPr>
        <w:pStyle w:val="ListNumber"/>
        <w:spacing w:after="60"/>
      </w:pPr>
      <w:r>
        <w:rPr>
          <w:b w:val="0"/>
          <w:i w:val="0"/>
        </w:rPr>
        <w:t>Conform the over-allotment option (F-2) and rebuild the Use of Proceeds, Capitalization and Dilution sections with the auditors (F-6, F-8, F-9).</w:t>
      </w:r>
    </w:p>
    <w:p>
      <w:pPr>
        <w:pStyle w:val="ListNumber"/>
        <w:spacing w:after="60"/>
      </w:pPr>
      <w:r>
        <w:rPr>
          <w:b w:val="0"/>
          <w:i w:val="0"/>
        </w:rPr>
        <w:t>Fix the Exhibit C lock-up term and exceptions, and conform the Prospectus lock-up disclosure and party coverage (F-7, F-12, F-13).</w:t>
      </w:r>
    </w:p>
    <w:p>
      <w:pPr>
        <w:pStyle w:val="ListNumber"/>
        <w:spacing w:after="60"/>
      </w:pPr>
      <w:r>
        <w:rPr>
          <w:b w:val="0"/>
          <w:i w:val="0"/>
        </w:rPr>
        <w:t>Harmonize the exclusive forum language (F-14). Add T+3 delivery disclosure or move to T+1 (F-15). Re-date the UA to pricing (F-16).</w:t>
      </w:r>
    </w:p>
    <w:p>
      <w:pPr>
        <w:pStyle w:val="ListNumber"/>
        <w:spacing w:after="60"/>
      </w:pPr>
      <w:r>
        <w:rPr>
          <w:b w:val="0"/>
          <w:i w:val="0"/>
        </w:rPr>
        <w:t>Add the Principal and Selling Stockholders, Related Person Transactions, and Limitation of Liability/Indemnification sections (F-17, F-22).</w:t>
      </w:r>
    </w:p>
    <w:p>
      <w:pPr>
        <w:pStyle w:val="ListNumber"/>
        <w:spacing w:after="60"/>
      </w:pPr>
      <w:r>
        <w:rPr>
          <w:b w:val="0"/>
          <w:i w:val="0"/>
        </w:rPr>
        <w:t>Clear the Medium and Low items before printing the final Prospectus. Extend the comfort letter tick-and-tie to all figures in Part VI.</w:t>
      </w:r>
    </w:p>
    <w:p>
      <w:pPr>
        <w:spacing w:after="120"/>
      </w:pPr>
    </w:p>
    <w:p>
      <w:pPr>
        <w:spacing w:after="120"/>
      </w:pPr>
      <w:r>
        <w:rPr>
          <w:b w:val="0"/>
          <w:i/>
          <w:sz w:val="17"/>
        </w:rPr>
        <w:t>This report is based solely on the three documents identified in Part II. It does not reflect review of the bylaws, financial statements, corporate minute books or other diligence materials. Conclusions marked for confirmation should be verified against those materials before reliance.</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