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0"/>
        </w:rPr>
        <w:t>PRIVILEGED &amp; CONFIDENTIAL — ATTORNEY-CLIENT COMMUNICATION / ATTORNEY WORK PRODUCT</w:t>
      </w:r>
    </w:p>
    <w:p>
      <w:pPr>
        <w:spacing w:after="120"/>
        <w:jc w:val="center"/>
      </w:pPr>
      <w:r>
        <w:rPr>
          <w:b w:val="0"/>
          <w:i/>
          <w:sz w:val="18"/>
        </w:rPr>
        <w:t>DRAFT FOR PARTNER REVIEW — NOT FOR DISTRIBUTION OUTSIDE THE A&amp;B WORKING GROUP</w:t>
      </w:r>
    </w:p>
    <w:p>
      <w:pPr>
        <w:spacing w:after="0"/>
        <w:jc w:val="center"/>
      </w:pPr>
      <w:r>
        <w:rPr>
          <w:b/>
          <w:i w:val="0"/>
          <w:sz w:val="26"/>
        </w:rPr>
        <w:t>ASHWORTH &amp; BELLAMY LLP</w:t>
      </w:r>
    </w:p>
    <w:p>
      <w:pPr>
        <w:spacing w:after="120"/>
        <w:jc w:val="center"/>
      </w:pPr>
      <w:r>
        <w:rPr>
          <w:b w:val="0"/>
          <w:i w:val="0"/>
          <w:sz w:val="20"/>
        </w:rPr>
        <w:t>101 Federal Street, 28th Floor, Boston, MA 02110</w:t>
      </w:r>
    </w:p>
    <w:p>
      <w:pPr>
        <w:spacing w:after="120"/>
        <w:jc w:val="center"/>
      </w:pPr>
      <w:r>
        <w:rPr>
          <w:b/>
          <w:i w:val="0"/>
          <w:sz w:val="28"/>
        </w:rPr>
        <w:t>MEMORANDUM</w:t>
      </w:r>
    </w:p>
    <w:tbl>
      <w:tblPr>
        <w:tblW w:type="auto" w:w="0"/>
        <w:tblLook w:firstColumn="1" w:firstRow="1" w:lastColumn="0" w:lastRow="0" w:noHBand="0" w:noVBand="1" w:val="04A0"/>
      </w:tblPr>
      <w:tblGrid>
        <w:gridCol w:w="4680"/>
        <w:gridCol w:w="4680"/>
      </w:tblGrid>
      <w:tr>
        <w:tc>
          <w:tcPr>
            <w:tcW w:type="dxa" w:w="1296"/>
          </w:tcPr>
          <w:p>
            <w:r>
              <w:rPr>
                <w:b/>
              </w:rPr>
              <w:t>TO:</w:t>
            </w:r>
          </w:p>
        </w:tc>
        <w:tc>
          <w:tcPr>
            <w:tcW w:type="dxa" w:w="8064"/>
          </w:tcPr>
          <w:p>
            <w:r>
              <w:t>Marcus Whitfield, Partner</w:t>
            </w:r>
          </w:p>
        </w:tc>
      </w:tr>
      <w:tr>
        <w:tc>
          <w:tcPr>
            <w:tcW w:type="dxa" w:w="1296"/>
          </w:tcPr>
          <w:p>
            <w:r>
              <w:rPr>
                <w:b/>
              </w:rPr>
              <w:t>FROM:</w:t>
            </w:r>
          </w:p>
        </w:tc>
        <w:tc>
          <w:tcPr>
            <w:tcW w:type="dxa" w:w="8064"/>
          </w:tcPr>
          <w:p>
            <w:r>
              <w:t>A&amp;B IPO Working Group (prepared for Jordan Tsao, Associate — DD request list workstream lead)</w:t>
            </w:r>
          </w:p>
        </w:tc>
      </w:tr>
      <w:tr>
        <w:tc>
          <w:tcPr>
            <w:tcW w:type="dxa" w:w="1296"/>
          </w:tcPr>
          <w:p>
            <w:r>
              <w:rPr>
                <w:b/>
              </w:rPr>
              <w:t>CC:</w:t>
            </w:r>
          </w:p>
        </w:tc>
        <w:tc>
          <w:tcPr>
            <w:tcW w:type="dxa" w:w="8064"/>
          </w:tcPr>
          <w:p>
            <w:r>
              <w:t>IPO Working Group File (A&amp;B Matter No. 2024-08817)</w:t>
            </w:r>
          </w:p>
        </w:tc>
      </w:tr>
      <w:tr>
        <w:tc>
          <w:tcPr>
            <w:tcW w:type="dxa" w:w="1296"/>
          </w:tcPr>
          <w:p>
            <w:r>
              <w:rPr>
                <w:b/>
              </w:rPr>
              <w:t>DATE:</w:t>
            </w:r>
          </w:p>
        </w:tc>
        <w:tc>
          <w:tcPr>
            <w:tcW w:type="dxa" w:w="8064"/>
          </w:tcPr>
          <w:p>
            <w:r>
              <w:t>February 5, 2025</w:t>
            </w:r>
          </w:p>
        </w:tc>
      </w:tr>
      <w:tr>
        <w:tc>
          <w:tcPr>
            <w:tcW w:type="dxa" w:w="1296"/>
          </w:tcPr>
          <w:p>
            <w:r>
              <w:rPr>
                <w:b/>
              </w:rPr>
              <w:t>RE:</w:t>
            </w:r>
          </w:p>
        </w:tc>
        <w:tc>
          <w:tcPr>
            <w:tcW w:type="dxa" w:w="8064"/>
          </w:tcPr>
          <w:p>
            <w:r>
              <w:t>Greenfield Therapeutics, Inc. — Proposed IPO — Gap Analysis of Hargrove, Stein &amp; Locke LLP Due Diligence Document Request List (dated February 3, 2025) and Recommended Additions</w:t>
            </w:r>
          </w:p>
        </w:tc>
      </w:tr>
    </w:tbl>
    <w:p>
      <w:pPr>
        <w:spacing w:after="160"/>
      </w:pPr>
      <w:r>
        <w:rPr>
          <w:b w:val="0"/>
          <w:i w:val="0"/>
        </w:rPr>
        <w:t>______________________________________________________________________________________</w:t>
      </w:r>
    </w:p>
    <w:p>
      <w:pPr>
        <w:pStyle w:val="Heading1"/>
      </w:pPr>
      <w:r>
        <w:t>I. Executive Summary</w:t>
      </w:r>
    </w:p>
    <w:p>
      <w:pPr>
        <w:spacing w:after="120"/>
      </w:pPr>
      <w:r>
        <w:rPr>
          <w:b w:val="0"/>
          <w:i w:val="0"/>
        </w:rPr>
        <w:t>You asked us to review the due diligence document request list prepared by Hargrove, Stein &amp; Locke LLP (“HSL”) on behalf of Oakvale Securities LLC (“Oakvale”) (the “Request List”) against what we know about Greenfield Therapeutics, Inc. (the “Company”) from (i) our Corporate Profile Summary memorandum dated February 3, 2025 (the “Profile Memo”), (ii) the capitalization table workbook (cap-table-summary.xlsx, the “Cap Table”), (iii) the IPO Timeline and Workstream Summary dated February 3, 2025 (the “Timeline”), and (iv) the January 10–27, 2025 email chain among Rebecca Tran, Marcus Whitfield and Jordan Tsao regarding the FDA Form 483 at Valcourt Manufacturing Solutions (the “Email Chain”).</w:t>
      </w:r>
    </w:p>
    <w:p>
      <w:pPr>
        <w:spacing w:after="120"/>
      </w:pPr>
      <w:r>
        <w:rPr>
          <w:b w:val="0"/>
          <w:i w:val="0"/>
        </w:rPr>
        <w:t>Bottom line. The Request List is a serviceable generic IPO checklist, but it was not tailored to this Company. Read literally, it would not capture several of the most disclosure-sensitive items in the deal: the Valcourt Form 483, the 2023 partial clinical hold file, the $15 million convertible notes, the OmniLabel joint venture, the Harwell license in full, the Cytos infringement allegation, the Rule 10b5-1 plans, all non-D&amp;O insurance, related-party and D&amp;O questionnaire materials, the Section 382 study, and privacy/cyber/FCPA compliance. Each is a fact the Company already knows about, and most are flagged as open items in our own Profile Memo and Timeline. Because the confidential submission target is February 15, 2025, we recommend raising these gaps with David Nakamura this week and proposing the specific supplemental requests in Appendix A, rather than waiting for HSL to issue supplemental requests after the draft is submitted.</w:t>
      </w:r>
    </w:p>
    <w:p>
      <w:pPr>
        <w:spacing w:after="120"/>
      </w:pPr>
      <w:r>
        <w:rPr>
          <w:b w:val="0"/>
          <w:i w:val="0"/>
        </w:rPr>
        <w:t>Separately, our review of the Company’s own materials surfaced data and characterization problems that should be fixed before production and before the draft S-1 is finalized, most significantly: (1) the option detail in the Cap Table foots to 7,750,000 options against a 6,100,000 stated total and a 7,500,000-share plan reserve; (2) the $16–$19 price range is below the Series C, D and E original issue prices ($20, $32 and $44), so the “automatic” conversion of the preferred must be checked against the charter’s Qualified IPO and price-protection provisions; and (3) GT-4100 is described as a small molecule yet every document (including the Request List) refers to a BLA rather than an NDA.</w:t>
      </w:r>
    </w:p>
    <w:p>
      <w:pPr>
        <w:spacing w:after="120"/>
      </w:pPr>
      <w:r>
        <w:rPr>
          <w:b/>
          <w:i w:val="0"/>
        </w:rPr>
        <w:t>Priority ranking of the gaps (detail in Part III):</w:t>
      </w:r>
    </w:p>
    <w:tbl>
      <w:tblPr>
        <w:tblStyle w:val="TableGrid"/>
        <w:tblW w:type="auto" w:w="0"/>
        <w:jc w:val="center"/>
        <w:tblLook w:firstColumn="1" w:firstRow="1" w:lastColumn="0" w:lastRow="0" w:noHBand="0" w:noVBand="1" w:val="04A0"/>
      </w:tblPr>
      <w:tblGrid>
        <w:gridCol w:w="3120"/>
        <w:gridCol w:w="3120"/>
        <w:gridCol w:w="3120"/>
      </w:tblGrid>
      <w:tr>
        <w:tc>
          <w:tcPr>
            <w:tcW w:type="dxa" w:w="576"/>
            <w:shd w:val="clear" w:color="auto" w:fill="D9D9D9"/>
          </w:tcPr>
          <w:p>
            <w:r/>
            <w:r>
              <w:rPr>
                <w:b/>
                <w:sz w:val="18"/>
              </w:rPr>
              <w:t>#</w:t>
            </w:r>
          </w:p>
        </w:tc>
        <w:tc>
          <w:tcPr>
            <w:tcW w:type="dxa" w:w="7344"/>
            <w:shd w:val="clear" w:color="auto" w:fill="D9D9D9"/>
          </w:tcPr>
          <w:p>
            <w:r/>
            <w:r>
              <w:rPr>
                <w:b/>
                <w:sz w:val="18"/>
              </w:rPr>
              <w:t>Gap / issue</w:t>
            </w:r>
          </w:p>
        </w:tc>
        <w:tc>
          <w:tcPr>
            <w:tcW w:type="dxa" w:w="1440"/>
            <w:shd w:val="clear" w:color="auto" w:fill="D9D9D9"/>
          </w:tcPr>
          <w:p>
            <w:r/>
            <w:r>
              <w:rPr>
                <w:b/>
                <w:sz w:val="18"/>
              </w:rPr>
              <w:t>Priority</w:t>
            </w:r>
          </w:p>
        </w:tc>
      </w:tr>
      <w:tr>
        <w:tc>
          <w:tcPr>
            <w:tcW w:type="dxa" w:w="576"/>
          </w:tcPr>
          <w:p>
            <w:r/>
            <w:r>
              <w:rPr>
                <w:sz w:val="18"/>
              </w:rPr>
              <w:t>A</w:t>
            </w:r>
          </w:p>
        </w:tc>
        <w:tc>
          <w:tcPr>
            <w:tcW w:type="dxa" w:w="7344"/>
          </w:tcPr>
          <w:p>
            <w:r/>
            <w:r>
              <w:rPr>
                <w:sz w:val="18"/>
              </w:rPr>
              <w:t>Regulatory: FDA Form 483, establishment inspection reports and CMO inspection history (Valcourt)</w:t>
            </w:r>
          </w:p>
        </w:tc>
        <w:tc>
          <w:tcPr>
            <w:tcW w:type="dxa" w:w="1440"/>
          </w:tcPr>
          <w:p>
            <w:r/>
            <w:r>
              <w:rPr>
                <w:sz w:val="18"/>
              </w:rPr>
              <w:t>Critical</w:t>
            </w:r>
          </w:p>
        </w:tc>
      </w:tr>
      <w:tr>
        <w:tc>
          <w:tcPr>
            <w:tcW w:type="dxa" w:w="576"/>
          </w:tcPr>
          <w:p>
            <w:r/>
            <w:r>
              <w:rPr>
                <w:sz w:val="18"/>
              </w:rPr>
              <w:t>B</w:t>
            </w:r>
          </w:p>
        </w:tc>
        <w:tc>
          <w:tcPr>
            <w:tcW w:type="dxa" w:w="7344"/>
          </w:tcPr>
          <w:p>
            <w:r/>
            <w:r>
              <w:rPr>
                <w:sz w:val="18"/>
              </w:rPr>
              <w:t>Regulatory: 2023 partial clinical hold file</w:t>
            </w:r>
          </w:p>
        </w:tc>
        <w:tc>
          <w:tcPr>
            <w:tcW w:type="dxa" w:w="1440"/>
          </w:tcPr>
          <w:p>
            <w:r/>
            <w:r>
              <w:rPr>
                <w:sz w:val="18"/>
              </w:rPr>
              <w:t>Critical</w:t>
            </w:r>
          </w:p>
        </w:tc>
      </w:tr>
      <w:tr>
        <w:tc>
          <w:tcPr>
            <w:tcW w:type="dxa" w:w="576"/>
          </w:tcPr>
          <w:p>
            <w:r/>
            <w:r>
              <w:rPr>
                <w:sz w:val="18"/>
              </w:rPr>
              <w:t>C</w:t>
            </w:r>
          </w:p>
        </w:tc>
        <w:tc>
          <w:tcPr>
            <w:tcW w:type="dxa" w:w="7344"/>
          </w:tcPr>
          <w:p>
            <w:r/>
            <w:r>
              <w:rPr>
                <w:sz w:val="18"/>
              </w:rPr>
              <w:t>Regulatory pathway: “BLA” terminology for a small-molecule product</w:t>
            </w:r>
          </w:p>
        </w:tc>
        <w:tc>
          <w:tcPr>
            <w:tcW w:type="dxa" w:w="1440"/>
          </w:tcPr>
          <w:p>
            <w:r/>
            <w:r>
              <w:rPr>
                <w:sz w:val="18"/>
              </w:rPr>
              <w:t>High</w:t>
            </w:r>
          </w:p>
        </w:tc>
      </w:tr>
      <w:tr>
        <w:tc>
          <w:tcPr>
            <w:tcW w:type="dxa" w:w="576"/>
          </w:tcPr>
          <w:p>
            <w:r/>
            <w:r>
              <w:rPr>
                <w:sz w:val="18"/>
              </w:rPr>
              <w:t>D</w:t>
            </w:r>
          </w:p>
        </w:tc>
        <w:tc>
          <w:tcPr>
            <w:tcW w:type="dxa" w:w="7344"/>
          </w:tcPr>
          <w:p>
            <w:r/>
            <w:r>
              <w:rPr>
                <w:sz w:val="18"/>
              </w:rPr>
              <w:t>Convertible promissory notes ($15 million, November 2023)</w:t>
            </w:r>
          </w:p>
        </w:tc>
        <w:tc>
          <w:tcPr>
            <w:tcW w:type="dxa" w:w="1440"/>
          </w:tcPr>
          <w:p>
            <w:r/>
            <w:r>
              <w:rPr>
                <w:sz w:val="18"/>
              </w:rPr>
              <w:t>Critical</w:t>
            </w:r>
          </w:p>
        </w:tc>
      </w:tr>
      <w:tr>
        <w:tc>
          <w:tcPr>
            <w:tcW w:type="dxa" w:w="576"/>
          </w:tcPr>
          <w:p>
            <w:r/>
            <w:r>
              <w:rPr>
                <w:sz w:val="18"/>
              </w:rPr>
              <w:t>E</w:t>
            </w:r>
          </w:p>
        </w:tc>
        <w:tc>
          <w:tcPr>
            <w:tcW w:type="dxa" w:w="7344"/>
          </w:tcPr>
          <w:p>
            <w:r/>
            <w:r>
              <w:rPr>
                <w:sz w:val="18"/>
              </w:rPr>
              <w:t>Capitalization data integrity and preferred-stock conversion mechanics</w:t>
            </w:r>
          </w:p>
        </w:tc>
        <w:tc>
          <w:tcPr>
            <w:tcW w:type="dxa" w:w="1440"/>
          </w:tcPr>
          <w:p>
            <w:r/>
            <w:r>
              <w:rPr>
                <w:sz w:val="18"/>
              </w:rPr>
              <w:t>Critical</w:t>
            </w:r>
          </w:p>
        </w:tc>
      </w:tr>
      <w:tr>
        <w:tc>
          <w:tcPr>
            <w:tcW w:type="dxa" w:w="576"/>
          </w:tcPr>
          <w:p>
            <w:r/>
            <w:r>
              <w:rPr>
                <w:sz w:val="18"/>
              </w:rPr>
              <w:t>F</w:t>
            </w:r>
          </w:p>
        </w:tc>
        <w:tc>
          <w:tcPr>
            <w:tcW w:type="dxa" w:w="7344"/>
          </w:tcPr>
          <w:p>
            <w:r/>
            <w:r>
              <w:rPr>
                <w:sz w:val="18"/>
              </w:rPr>
              <w:t>OmniLabel Diagnostics LLC (35% unconsolidated joint venture) and companion diagnostic</w:t>
            </w:r>
          </w:p>
        </w:tc>
        <w:tc>
          <w:tcPr>
            <w:tcW w:type="dxa" w:w="1440"/>
          </w:tcPr>
          <w:p>
            <w:r/>
            <w:r>
              <w:rPr>
                <w:sz w:val="18"/>
              </w:rPr>
              <w:t>High</w:t>
            </w:r>
          </w:p>
        </w:tc>
      </w:tr>
      <w:tr>
        <w:tc>
          <w:tcPr>
            <w:tcW w:type="dxa" w:w="576"/>
          </w:tcPr>
          <w:p>
            <w:r/>
            <w:r>
              <w:rPr>
                <w:sz w:val="18"/>
              </w:rPr>
              <w:t>G</w:t>
            </w:r>
          </w:p>
        </w:tc>
        <w:tc>
          <w:tcPr>
            <w:tcW w:type="dxa" w:w="7344"/>
          </w:tcPr>
          <w:p>
            <w:r/>
            <w:r>
              <w:rPr>
                <w:sz w:val="18"/>
              </w:rPr>
              <w:t>Harwell University exclusive license (foundational IP)</w:t>
            </w:r>
          </w:p>
        </w:tc>
        <w:tc>
          <w:tcPr>
            <w:tcW w:type="dxa" w:w="1440"/>
          </w:tcPr>
          <w:p>
            <w:r/>
            <w:r>
              <w:rPr>
                <w:sz w:val="18"/>
              </w:rPr>
              <w:t>Critical</w:t>
            </w:r>
          </w:p>
        </w:tc>
      </w:tr>
      <w:tr>
        <w:tc>
          <w:tcPr>
            <w:tcW w:type="dxa" w:w="576"/>
          </w:tcPr>
          <w:p>
            <w:r/>
            <w:r>
              <w:rPr>
                <w:sz w:val="18"/>
              </w:rPr>
              <w:t>H</w:t>
            </w:r>
          </w:p>
        </w:tc>
        <w:tc>
          <w:tcPr>
            <w:tcW w:type="dxa" w:w="7344"/>
          </w:tcPr>
          <w:p>
            <w:r/>
            <w:r>
              <w:rPr>
                <w:sz w:val="18"/>
              </w:rPr>
              <w:t>Third-party IP allegations and freedom-to-operate (Cytos Pharma AG)</w:t>
            </w:r>
          </w:p>
        </w:tc>
        <w:tc>
          <w:tcPr>
            <w:tcW w:type="dxa" w:w="1440"/>
          </w:tcPr>
          <w:p>
            <w:r/>
            <w:r>
              <w:rPr>
                <w:sz w:val="18"/>
              </w:rPr>
              <w:t>High</w:t>
            </w:r>
          </w:p>
        </w:tc>
      </w:tr>
      <w:tr>
        <w:tc>
          <w:tcPr>
            <w:tcW w:type="dxa" w:w="576"/>
          </w:tcPr>
          <w:p>
            <w:r/>
            <w:r>
              <w:rPr>
                <w:sz w:val="18"/>
              </w:rPr>
              <w:t>I</w:t>
            </w:r>
          </w:p>
        </w:tc>
        <w:tc>
          <w:tcPr>
            <w:tcW w:type="dxa" w:w="7344"/>
          </w:tcPr>
          <w:p>
            <w:r/>
            <w:r>
              <w:rPr>
                <w:sz w:val="18"/>
              </w:rPr>
              <w:t>Related-party transactions, D&amp;O questionnaires and underwriter relationships (Hollcroft, Oakvale, founders)</w:t>
            </w:r>
          </w:p>
        </w:tc>
        <w:tc>
          <w:tcPr>
            <w:tcW w:type="dxa" w:w="1440"/>
          </w:tcPr>
          <w:p>
            <w:r/>
            <w:r>
              <w:rPr>
                <w:sz w:val="18"/>
              </w:rPr>
              <w:t>Critical</w:t>
            </w:r>
          </w:p>
        </w:tc>
      </w:tr>
      <w:tr>
        <w:tc>
          <w:tcPr>
            <w:tcW w:type="dxa" w:w="576"/>
          </w:tcPr>
          <w:p>
            <w:r/>
            <w:r>
              <w:rPr>
                <w:sz w:val="18"/>
              </w:rPr>
              <w:t>J</w:t>
            </w:r>
          </w:p>
        </w:tc>
        <w:tc>
          <w:tcPr>
            <w:tcW w:type="dxa" w:w="7344"/>
          </w:tcPr>
          <w:p>
            <w:r/>
            <w:r>
              <w:rPr>
                <w:sz w:val="18"/>
              </w:rPr>
              <w:t>Rule 10b5-1 trading plans and insider-trading compliance</w:t>
            </w:r>
          </w:p>
        </w:tc>
        <w:tc>
          <w:tcPr>
            <w:tcW w:type="dxa" w:w="1440"/>
          </w:tcPr>
          <w:p>
            <w:r/>
            <w:r>
              <w:rPr>
                <w:sz w:val="18"/>
              </w:rPr>
              <w:t>High</w:t>
            </w:r>
          </w:p>
        </w:tc>
      </w:tr>
      <w:tr>
        <w:tc>
          <w:tcPr>
            <w:tcW w:type="dxa" w:w="576"/>
          </w:tcPr>
          <w:p>
            <w:r/>
            <w:r>
              <w:rPr>
                <w:sz w:val="18"/>
              </w:rPr>
              <w:t>K</w:t>
            </w:r>
          </w:p>
        </w:tc>
        <w:tc>
          <w:tcPr>
            <w:tcW w:type="dxa" w:w="7344"/>
          </w:tcPr>
          <w:p>
            <w:r/>
            <w:r>
              <w:rPr>
                <w:sz w:val="18"/>
              </w:rPr>
              <w:t>Insurance (beyond D&amp;O)</w:t>
            </w:r>
          </w:p>
        </w:tc>
        <w:tc>
          <w:tcPr>
            <w:tcW w:type="dxa" w:w="1440"/>
          </w:tcPr>
          <w:p>
            <w:r/>
            <w:r>
              <w:rPr>
                <w:sz w:val="18"/>
              </w:rPr>
              <w:t>High</w:t>
            </w:r>
          </w:p>
        </w:tc>
      </w:tr>
      <w:tr>
        <w:tc>
          <w:tcPr>
            <w:tcW w:type="dxa" w:w="576"/>
          </w:tcPr>
          <w:p>
            <w:r/>
            <w:r>
              <w:rPr>
                <w:sz w:val="18"/>
              </w:rPr>
              <w:t>L</w:t>
            </w:r>
          </w:p>
        </w:tc>
        <w:tc>
          <w:tcPr>
            <w:tcW w:type="dxa" w:w="7344"/>
          </w:tcPr>
          <w:p>
            <w:r/>
            <w:r>
              <w:rPr>
                <w:sz w:val="18"/>
              </w:rPr>
              <w:t>Tax: Section 382, foreign entity and dissolved-subsidiary tax matters</w:t>
            </w:r>
          </w:p>
        </w:tc>
        <w:tc>
          <w:tcPr>
            <w:tcW w:type="dxa" w:w="1440"/>
          </w:tcPr>
          <w:p>
            <w:r/>
            <w:r>
              <w:rPr>
                <w:sz w:val="18"/>
              </w:rPr>
              <w:t>High</w:t>
            </w:r>
          </w:p>
        </w:tc>
      </w:tr>
      <w:tr>
        <w:tc>
          <w:tcPr>
            <w:tcW w:type="dxa" w:w="576"/>
          </w:tcPr>
          <w:p>
            <w:r/>
            <w:r>
              <w:rPr>
                <w:sz w:val="18"/>
              </w:rPr>
              <w:t>M</w:t>
            </w:r>
          </w:p>
        </w:tc>
        <w:tc>
          <w:tcPr>
            <w:tcW w:type="dxa" w:w="7344"/>
          </w:tcPr>
          <w:p>
            <w:r/>
            <w:r>
              <w:rPr>
                <w:sz w:val="18"/>
              </w:rPr>
              <w:t>Data privacy, cybersecurity, anti-corruption and healthcare compliance</w:t>
            </w:r>
          </w:p>
        </w:tc>
        <w:tc>
          <w:tcPr>
            <w:tcW w:type="dxa" w:w="1440"/>
          </w:tcPr>
          <w:p>
            <w:r/>
            <w:r>
              <w:rPr>
                <w:sz w:val="18"/>
              </w:rPr>
              <w:t>High</w:t>
            </w:r>
          </w:p>
        </w:tc>
      </w:tr>
      <w:tr>
        <w:tc>
          <w:tcPr>
            <w:tcW w:type="dxa" w:w="576"/>
          </w:tcPr>
          <w:p>
            <w:r/>
            <w:r>
              <w:rPr>
                <w:sz w:val="18"/>
              </w:rPr>
              <w:t>N</w:t>
            </w:r>
          </w:p>
        </w:tc>
        <w:tc>
          <w:tcPr>
            <w:tcW w:type="dxa" w:w="7344"/>
          </w:tcPr>
          <w:p>
            <w:r/>
            <w:r>
              <w:rPr>
                <w:sz w:val="18"/>
              </w:rPr>
              <w:t>Material contracts: undefined materiality standard and omitted agreements</w:t>
            </w:r>
          </w:p>
        </w:tc>
        <w:tc>
          <w:tcPr>
            <w:tcW w:type="dxa" w:w="1440"/>
          </w:tcPr>
          <w:p>
            <w:r/>
            <w:r>
              <w:rPr>
                <w:sz w:val="18"/>
              </w:rPr>
              <w:t>Medium</w:t>
            </w:r>
          </w:p>
        </w:tc>
      </w:tr>
      <w:tr>
        <w:tc>
          <w:tcPr>
            <w:tcW w:type="dxa" w:w="576"/>
          </w:tcPr>
          <w:p>
            <w:r/>
            <w:r>
              <w:rPr>
                <w:sz w:val="18"/>
              </w:rPr>
              <w:t>O</w:t>
            </w:r>
          </w:p>
        </w:tc>
        <w:tc>
          <w:tcPr>
            <w:tcW w:type="dxa" w:w="7344"/>
          </w:tcPr>
          <w:p>
            <w:r/>
            <w:r>
              <w:rPr>
                <w:sz w:val="18"/>
              </w:rPr>
              <w:t>Financial statements, going concern and auditor matters</w:t>
            </w:r>
          </w:p>
        </w:tc>
        <w:tc>
          <w:tcPr>
            <w:tcW w:type="dxa" w:w="1440"/>
          </w:tcPr>
          <w:p>
            <w:r/>
            <w:r>
              <w:rPr>
                <w:sz w:val="18"/>
              </w:rPr>
              <w:t>Medium</w:t>
            </w:r>
          </w:p>
        </w:tc>
      </w:tr>
    </w:tbl>
    <w:p>
      <w:pPr>
        <w:spacing w:after="40"/>
      </w:pPr>
    </w:p>
    <w:p>
      <w:pPr>
        <w:spacing w:after="120"/>
      </w:pPr>
      <w:r>
        <w:rPr>
          <w:b w:val="0"/>
          <w:i/>
          <w:sz w:val="20"/>
        </w:rPr>
        <w:t>“Critical” means the item bears on S-1 disclosure that must be right at confidential submission or on the underwriters’ Section 11 due diligence defense for a core risk, and should be raised before February 7. “High” items should be added to the Request List now and produced before the management diligence sessions in late February. “Medium” items are clarifications that reduce production risk.</w:t>
      </w:r>
    </w:p>
    <w:p>
      <w:pPr>
        <w:pStyle w:val="Heading1"/>
      </w:pPr>
      <w:r>
        <w:t>II. Scope, Approach and Key Assumptions</w:t>
      </w:r>
    </w:p>
    <w:p>
      <w:pPr>
        <w:pStyle w:val="ListBullet"/>
        <w:spacing w:after="60"/>
      </w:pPr>
      <w:r>
        <w:t>We compared each of the 83 numbered items in Sections I–XIV of the Request List (and its Introductory Instructions) against the facts in the four source documents, and asked for each material fact whether a literal response to the Request List would put the relevant documents in the data room.</w:t>
      </w:r>
    </w:p>
    <w:p>
      <w:pPr>
        <w:pStyle w:val="ListBullet"/>
        <w:spacing w:after="60"/>
      </w:pPr>
      <w:r>
        <w:t>We have not reviewed the underlying agreements, the charter or the stock ledger; several issues below (e.g., the Qualified IPO definitions, the Harwell milestone trigger) require confirmation against those documents.</w:t>
      </w:r>
    </w:p>
    <w:p>
      <w:pPr>
        <w:pStyle w:val="ListBullet"/>
        <w:spacing w:after="60"/>
      </w:pPr>
      <w:r>
        <w:t>Section references to the Request List use HSL’s item numbers. Proposed new items are numbered to slot into HSL’s structure (e.g., “6.4A”), with a new Section XV for related-party matters, so HSL can adopt them without renumbering.</w:t>
      </w:r>
    </w:p>
    <w:p>
      <w:pPr>
        <w:pStyle w:val="ListBullet"/>
        <w:spacing w:after="60"/>
      </w:pPr>
      <w:r>
        <w:t>We act for the Company. Our interest in a more complete Request List is to ensure that the record supporting the S-1 is complete, that the Company is not later accused of withholding material documents, and that the underwriters’ diligence (and their comfort and 10b-5 negative-assurance letters) does not stall on avoidable gaps late in the process. Proposed additions should be shared with HSL only after your review, and privileged materials must be handled as described in Part V.</w:t>
      </w:r>
    </w:p>
    <w:p>
      <w:pPr>
        <w:pStyle w:val="Heading1"/>
      </w:pPr>
      <w:r>
        <w:t>III. Material Gaps and Recommended Additions</w:t>
      </w:r>
    </w:p>
    <w:p>
      <w:pPr>
        <w:pStyle w:val="Heading2"/>
      </w:pPr>
      <w:r>
        <w:t>A. Regulatory: FDA Form 483, establishment inspection reports and CMO inspection history (Valcourt)</w:t>
      </w:r>
    </w:p>
    <w:p>
      <w:pPr>
        <w:spacing w:after="120"/>
      </w:pPr>
      <w:r>
        <w:rPr>
          <w:b/>
        </w:rPr>
        <w:t xml:space="preserve">Priority: </w:t>
      </w:r>
      <w:r>
        <w:t>Critical</w:t>
      </w:r>
    </w:p>
    <w:p>
      <w:pPr>
        <w:spacing w:after="120"/>
      </w:pPr>
      <w:r>
        <w:rPr>
          <w:b/>
        </w:rPr>
        <w:t xml:space="preserve">Sources: </w:t>
      </w:r>
      <w:r>
        <w:rPr>
          <w:i/>
        </w:rPr>
        <w:t>Request List Items 6.4, 6.5, 7.4; Profile Memo §V.D, §VI.B.2; Timeline §3.6; Form 483 email chain (Jan. 10 and Jan. 27, 2025)</w:t>
      </w:r>
    </w:p>
    <w:p>
      <w:pPr>
        <w:spacing w:after="120"/>
      </w:pPr>
      <w:r>
        <w:rPr>
          <w:b/>
        </w:rPr>
        <w:t xml:space="preserve">Relevant facts. </w:t>
      </w:r>
      <w:r/>
    </w:p>
    <w:p>
      <w:pPr>
        <w:pStyle w:val="ListBullet"/>
        <w:spacing w:after="60"/>
      </w:pPr>
      <w:r>
        <w:t>On January 8, 2025, FDA issued a Form 483 with two observations (cleaning validation documentation for shared equipment used in GT-4100 API production; absence of verified hold-time studies for cleaned equipment) at the close of a pre-approval inspection of Valcourt Manufacturing Solutions, the Company’s sole CMO for GT-4100 (Manufacturing and Supply Agreement, January 2022, ~$75 million).</w:t>
      </w:r>
    </w:p>
    <w:p>
      <w:pPr>
        <w:pStyle w:val="ListBullet"/>
        <w:spacing w:after="60"/>
      </w:pPr>
      <w:r>
        <w:t>Valcourt responded on January 22, 2025, committing to revised SOPs, hold-time studies and a full revalidation “within 60 days” (i.e., on or about late March 2025, after the February 15 confidential submission and around the targeted public filing). No Warning Letter has issued; Valcourt’s view that none is expected is its own, unverified prediction.</w:t>
      </w:r>
    </w:p>
    <w:p>
      <w:pPr>
        <w:spacing w:after="120"/>
      </w:pPr>
      <w:r>
        <w:rPr>
          <w:b/>
        </w:rPr>
        <w:t xml:space="preserve">Gap in the Request List. </w:t>
      </w:r>
      <w:r>
        <w:t>Item 6.4 asks only for “FDA correspondence, including any warning letters and complete response letters issued to the Company.” It does not mention Form 483s, establishment inspection reports (EIRs), 483 responses, or FDA close-out/untitled letters, and it is limited to documents issued “to the Company.” Because the 483 was issued to Valcourt, a literal response to 6.4 would not capture it. Item 6.5 (facility registrations) and Item 7.4 (correspondence on investigations or enforcement) also do not reach a third-party CMO’s inspection record.</w:t>
      </w:r>
    </w:p>
    <w:p>
      <w:pPr>
        <w:spacing w:after="120"/>
      </w:pPr>
      <w:r>
        <w:rPr>
          <w:b/>
        </w:rPr>
        <w:t xml:space="preserve">Why it matters. </w:t>
      </w:r>
      <w:r>
        <w:t>A pre-approval inspection with open observations at the sole manufacturer goes directly to the approvability and timing of the GT-4100 marketing application, the use-of-proceeds narrative (~$60 million for submission and launch), and the CMO-reliance risk factor (Reg. S-K Item 105). SEC staff routinely comments on 483s at CMOs. The underwriters cannot establish a Section 11(b)(3) reasonable-investigation defense on this point without the actual 483, the response, any FDA follow-up and the revalidation status. The client (Rebecca Tran) and Marcus Whitfield have each already flagged this gap in writing.</w:t>
      </w:r>
    </w:p>
    <w:p>
      <w:pPr>
        <w:spacing w:after="120"/>
      </w:pPr>
      <w:r>
        <w:rPr>
          <w:b/>
        </w:rPr>
        <w:t>Recommended additions (proposed language for HSL):</w:t>
      </w:r>
      <w:r/>
    </w:p>
    <w:p>
      <w:pPr>
        <w:pStyle w:val="ListBullet2"/>
        <w:spacing w:after="60"/>
      </w:pPr>
      <w:r>
        <w:t>6.4A  All FDA Forms 483 (Inspectional Observations), establishment inspection reports, responses and commitments, FDA close-out, untitled or warning letters, and any regulatory meeting requests relating to inspections of (i) any Company or subsidiary facility and (ii) any facility of a contract manufacturer, API or drug-product supplier, testing laboratory or packager used for GT-4100 or any other product candidate (including Valcourt Manufacturing Solutions), in each case since January 1, 2020.</w:t>
      </w:r>
    </w:p>
    <w:p>
      <w:pPr>
        <w:pStyle w:val="ListBullet2"/>
        <w:spacing w:after="60"/>
      </w:pPr>
      <w:r>
        <w:t>6.4B  All correspondence between the Company and Valcourt concerning the January 8, 2025 Form 483, the January 22, 2025 response, the cleaning-validation remediation and revalidation (including status reports and completion evidence), and any further FDA communications; and an officer’s description of the current status as of each bring-down.</w:t>
      </w:r>
    </w:p>
    <w:p>
      <w:pPr>
        <w:pStyle w:val="ListBullet2"/>
        <w:spacing w:after="60"/>
      </w:pPr>
      <w:r>
        <w:t>6.4C  The Valcourt Manufacturing and Supply Agreement and quality agreement, together with all amendments, notices, audit reports (Company or third-party audits of Valcourt), batch-failure, deviation and supply-interruption records, and any back-up or second-source manufacturing arrangements or plans.</w:t>
      </w:r>
    </w:p>
    <w:p>
      <w:pPr>
        <w:pStyle w:val="ListBullet2"/>
        <w:spacing w:after="60"/>
      </w:pPr>
      <w:r>
        <w:t>6.4D  Any FDA Form 483s, EIRs or warning letters issued to Valcourt in the past five years at any facility that manufactures, or is expected to manufacture, Company product (to the extent available to the Company), and the Company’s CMO qualification files.</w:t>
      </w:r>
    </w:p>
    <w:p>
      <w:pPr>
        <w:pStyle w:val="Heading2"/>
      </w:pPr>
      <w:r>
        <w:t>B. Regulatory: 2023 partial clinical hold file</w:t>
      </w:r>
    </w:p>
    <w:p>
      <w:pPr>
        <w:spacing w:after="120"/>
      </w:pPr>
      <w:r>
        <w:rPr>
          <w:b/>
        </w:rPr>
        <w:t xml:space="preserve">Priority: </w:t>
      </w:r>
      <w:r>
        <w:t>Critical</w:t>
      </w:r>
    </w:p>
    <w:p>
      <w:pPr>
        <w:spacing w:after="120"/>
      </w:pPr>
      <w:r>
        <w:rPr>
          <w:b/>
        </w:rPr>
        <w:t xml:space="preserve">Sources: </w:t>
      </w:r>
      <w:r>
        <w:rPr>
          <w:i/>
        </w:rPr>
        <w:t>Request List Items 6.1–6.4, 6.8; Profile Memo §V.B; Timeline §3.6; email chain</w:t>
      </w:r>
    </w:p>
    <w:p>
      <w:pPr>
        <w:spacing w:after="120"/>
      </w:pPr>
      <w:r>
        <w:rPr>
          <w:b/>
        </w:rPr>
        <w:t xml:space="preserve">Relevant facts. </w:t>
      </w:r>
      <w:r/>
    </w:p>
    <w:p>
      <w:pPr>
        <w:pStyle w:val="ListBullet"/>
        <w:spacing w:after="60"/>
      </w:pPr>
      <w:r>
        <w:t>FDA imposed a partial clinical hold on the GT-4100 IND from March 2023 to June 2023 following a hepatotoxicity signal in four patients; the Company implemented enhanced liver-function monitoring and the hold was lifted in June 2023. The Company has already assembled the hold letter, its response and remediation plan, the monitoring protocol and FDA’s June 2023 release letter.</w:t>
      </w:r>
    </w:p>
    <w:p>
      <w:pPr>
        <w:spacing w:after="120"/>
      </w:pPr>
      <w:r>
        <w:rPr>
          <w:b/>
        </w:rPr>
        <w:t xml:space="preserve">Gap in the Request List. </w:t>
      </w:r>
      <w:r>
        <w:t>The list asks for INDs and amendments (6.1), meeting minutes (6.3), “FDA correspondence, including warning letters and complete response letters” (6.4) and IND safety/SAE reports (6.8). None specifically calls for clinical hold letters, complete responses to a hold, the release letter, or the underlying hepatic safety analyses, and none asks how the hepatotoxicity signal evolved during the Phase 3 trial after the hold was lifted.</w:t>
      </w:r>
    </w:p>
    <w:p>
      <w:pPr>
        <w:spacing w:after="120"/>
      </w:pPr>
      <w:r>
        <w:rPr>
          <w:b/>
        </w:rPr>
        <w:t xml:space="preserve">Why it matters. </w:t>
      </w:r>
      <w:r>
        <w:t>The hold is a material event in the development history and will be a central topic of the management diligence session and the risk factors. Hepatotoxicity is also a classic label and approvability issue (possible REMS, boxed warning or post-marketing requirements). The underwriters need the full record, not only the letters, including the integrated hepatic safety data from Phase 3.</w:t>
      </w:r>
    </w:p>
    <w:p>
      <w:pPr>
        <w:spacing w:after="120"/>
      </w:pPr>
      <w:r>
        <w:rPr>
          <w:b/>
        </w:rPr>
        <w:t>Recommended additions (proposed language for HSL):</w:t>
      </w:r>
      <w:r/>
    </w:p>
    <w:p>
      <w:pPr>
        <w:pStyle w:val="ListBullet2"/>
        <w:spacing w:after="60"/>
      </w:pPr>
      <w:r>
        <w:t>6.9  All documents relating to any clinical hold (full or partial) imposed on any Company IND, including FDA hold letters, the Company’s complete response(s), FDA release letters, revised protocols and informed-consent forms, investigator communications, and any subsequent FDA communications referring to the hold or the hepatic monitoring protocol.</w:t>
      </w:r>
    </w:p>
    <w:p>
      <w:pPr>
        <w:pStyle w:val="ListBullet2"/>
        <w:spacing w:after="60"/>
      </w:pPr>
      <w:r>
        <w:t>6.10  Integrated summaries of hepatic adverse events and other adverse events of special interest across all GT-4100 studies (including post-hold Phase 3 data), DSMB/DMC charters and meeting minutes, and any FDA communications regarding labeling, REMS or post-marketing requirements under discussion.</w:t>
      </w:r>
    </w:p>
    <w:p>
      <w:pPr>
        <w:pStyle w:val="Heading2"/>
      </w:pPr>
      <w:r>
        <w:t>C. Regulatory pathway: “BLA” terminology for a small-molecule product</w:t>
      </w:r>
    </w:p>
    <w:p>
      <w:pPr>
        <w:spacing w:after="120"/>
      </w:pPr>
      <w:r>
        <w:rPr>
          <w:b/>
        </w:rPr>
        <w:t xml:space="preserve">Priority: </w:t>
      </w:r>
      <w:r>
        <w:t>High</w:t>
      </w:r>
    </w:p>
    <w:p>
      <w:pPr>
        <w:spacing w:after="120"/>
      </w:pPr>
      <w:r>
        <w:rPr>
          <w:b/>
        </w:rPr>
        <w:t xml:space="preserve">Sources: </w:t>
      </w:r>
      <w:r>
        <w:rPr>
          <w:i/>
        </w:rPr>
        <w:t>Request List Item 6.6; Profile Memo §I, §V.A, §V.C; Timeline §2.2, §3.6; Harwell license milestone (Profile Memo §IV.B)</w:t>
      </w:r>
    </w:p>
    <w:p>
      <w:pPr>
        <w:spacing w:after="120"/>
      </w:pPr>
      <w:r>
        <w:rPr>
          <w:b/>
        </w:rPr>
        <w:t xml:space="preserve">Relevant facts. </w:t>
      </w:r>
      <w:r/>
    </w:p>
    <w:p>
      <w:pPr>
        <w:pStyle w:val="ListBullet"/>
        <w:spacing w:after="60"/>
      </w:pPr>
      <w:r>
        <w:t>The Company describes GT-4100 as a “novel small-molecule oncology therapeutic,” yet every Company document, and Item 6.6 of the Request List, refers to a Biologics License Application, a “Type B Pre-BLA meeting,” and a “BLA filing” milestone under the Harwell license.</w:t>
      </w:r>
    </w:p>
    <w:p>
      <w:pPr>
        <w:spacing w:after="120"/>
      </w:pPr>
      <w:r>
        <w:rPr>
          <w:b/>
        </w:rPr>
        <w:t xml:space="preserve">Gap in the Request List. </w:t>
      </w:r>
      <w:r>
        <w:t>Item 6.6 asks only for the “regulatory strategy for BLA/MAA filings.” It assumes a pathway that appears inconsistent with the product’s modality.</w:t>
      </w:r>
    </w:p>
    <w:p>
      <w:pPr>
        <w:spacing w:after="120"/>
      </w:pPr>
      <w:r>
        <w:rPr>
          <w:b/>
        </w:rPr>
        <w:t xml:space="preserve">Why it matters. </w:t>
      </w:r>
      <w:r>
        <w:t>Small-molecule drugs are ordinarily approved through a New Drug Application under Section 505(b) of the FD&amp;C Act, while BLAs under Section 351 of the Public Health Service Act are for biologics. The distinction affects the S-1 business section, regulatory risk factors, exclusivity (5-year new chemical entity exclusivity versus 12-year reference-product exclusivity) and Orange Book/patent-listing strategy. It may also matter contractually: if the Harwell $5 million milestone is triggered by “BLA filing,” the defined term must be checked. This is either a Company-wide terminology error that must be corrected before the draft S-1 is submitted, or a fact (e.g., a biologic component) that has not been disclosed to us.</w:t>
      </w:r>
    </w:p>
    <w:p>
      <w:pPr>
        <w:spacing w:after="120"/>
      </w:pPr>
      <w:r>
        <w:rPr>
          <w:b/>
        </w:rPr>
        <w:t>Recommended additions (proposed language for HSL):</w:t>
      </w:r>
      <w:r/>
    </w:p>
    <w:p>
      <w:pPr>
        <w:pStyle w:val="ListBullet2"/>
        <w:spacing w:after="60"/>
      </w:pPr>
      <w:r>
        <w:t>6.6 (revised)  Description of the Company’s regulatory strategy and the statutory pathway for each product candidate (NDA under FD&amp;C Act §505(b)(1) or (b)(2), BLA under PHSA §351, or otherwise), together with expected filing dates, any expedited-program designations (Fast Track, Breakthrough Therapy, Priority Review, Accelerated Approval, Orphan Drug), exclusivity analyses, and the planned EU MAA through GT Research Ireland Ltd.</w:t>
      </w:r>
    </w:p>
    <w:p>
      <w:pPr>
        <w:pStyle w:val="ListBullet2"/>
        <w:spacing w:after="60"/>
      </w:pPr>
      <w:r>
        <w:t>6.11  Complete FDA meeting packages, briefing documents and final minutes for the September 18, 2024 Type B pre-submission meeting and all prior Type A/B/C meetings, and the EMA Scientific Advice request and final advice letter (November 2024).</w:t>
      </w:r>
    </w:p>
    <w:p>
      <w:pPr>
        <w:pStyle w:val="Heading2"/>
      </w:pPr>
      <w:r>
        <w:t>D. Convertible promissory notes ($15 million, November 2023)</w:t>
      </w:r>
    </w:p>
    <w:p>
      <w:pPr>
        <w:spacing w:after="120"/>
      </w:pPr>
      <w:r>
        <w:rPr>
          <w:b/>
        </w:rPr>
        <w:t xml:space="preserve">Priority: </w:t>
      </w:r>
      <w:r>
        <w:t>Critical</w:t>
      </w:r>
    </w:p>
    <w:p>
      <w:pPr>
        <w:spacing w:after="120"/>
      </w:pPr>
      <w:r>
        <w:rPr>
          <w:b/>
        </w:rPr>
        <w:t xml:space="preserve">Sources: </w:t>
      </w:r>
      <w:r>
        <w:rPr>
          <w:i/>
        </w:rPr>
        <w:t>Request List Items 2.1, 2.2, 3.4; Profile Memo §III.C; Cap Table (Summary §IV and Convertible Note Detail tab); Timeline §3.1, §3.4</w:t>
      </w:r>
    </w:p>
    <w:p>
      <w:pPr>
        <w:spacing w:after="120"/>
      </w:pPr>
      <w:r>
        <w:rPr>
          <w:b/>
        </w:rPr>
        <w:t xml:space="preserve">Relevant facts. </w:t>
      </w:r>
      <w:r/>
    </w:p>
    <w:p>
      <w:pPr>
        <w:pStyle w:val="ListBullet"/>
        <w:spacing w:after="60"/>
      </w:pPr>
      <w:r>
        <w:t>Three notes (CN-001 $7.0M; CN-002 $5.0M; CN-003 $3.0M), 4.5% interest, issued November 15, 2023 to three existing investors, mature November 15, 2025, and automatically convert on a “Qualified IPO” at a 20% discount to the IPO price (~1.13 million shares at the $17.50 midpoint, including accrued interest; ~1.04–1.24 million across the range).</w:t>
      </w:r>
    </w:p>
    <w:p>
      <w:pPr>
        <w:spacing w:after="120"/>
      </w:pPr>
      <w:r>
        <w:rPr>
          <w:b/>
        </w:rPr>
        <w:t xml:space="preserve">Gap in the Request List. </w:t>
      </w:r>
      <w:r>
        <w:t>Item 2.1 is framed in terms of “equity securities, warrants, and options”; Item 2.2 covers preferred-stock financing documents only; Item 3.4 asks only for a schedule of indebtedness. None asks for the note purchase agreement, the notes themselves, the “Qualified IPO” definition, conversion mechanics, noteholder identities, consents, subordination or security terms, or the maturity-date consequences if the IPO slips.</w:t>
      </w:r>
    </w:p>
    <w:p>
      <w:pPr>
        <w:spacing w:after="120"/>
      </w:pPr>
      <w:r>
        <w:rPr>
          <w:b/>
        </w:rPr>
        <w:t xml:space="preserve">Why it matters. </w:t>
      </w:r>
      <w:r>
        <w:t>The notes drive the capitalization, dilution and principal-stockholder tables, are Item 701 recent unregistered sales, may be related-person transactions under Item 404 (if any noteholder is a 5% holder, which the Timeline memo says is unconfirmed), and carry a November 2025 maturity that becomes a liquidity issue if the IPO is delayed. The underwriters also need to confirm the IPO, as priced, satisfies the “Qualified IPO” definition (minimum price or proceeds thresholds are common), or else the notes will not auto-convert.</w:t>
      </w:r>
    </w:p>
    <w:p>
      <w:pPr>
        <w:spacing w:after="120"/>
      </w:pPr>
      <w:r>
        <w:rPr>
          <w:b/>
        </w:rPr>
        <w:t>Recommended additions (proposed language for HSL):</w:t>
      </w:r>
      <w:r/>
    </w:p>
    <w:p>
      <w:pPr>
        <w:pStyle w:val="ListBullet2"/>
        <w:spacing w:after="60"/>
      </w:pPr>
      <w:r>
        <w:t>2.11  The note purchase agreement(s), each convertible promissory note, all amendments, waivers, consents and side letters, any security, guaranty or subordination agreements, and a schedule identifying each noteholder (and its affiliation with any director, officer or 5% stockholder), principal, accrued interest and conversion terms.</w:t>
      </w:r>
    </w:p>
    <w:p>
      <w:pPr>
        <w:pStyle w:val="ListBullet2"/>
        <w:spacing w:after="60"/>
      </w:pPr>
      <w:r>
        <w:t>2.12  A calculation, prepared by the Company and reviewed by its auditors, of the shares issuable on conversion at the low, mid and high points of the price range and at the assumed closing date, and an analysis confirming that the Offering will constitute a “Qualified IPO” (or equivalent) under the notes and that no noteholder consent is required.</w:t>
      </w:r>
    </w:p>
    <w:p>
      <w:pPr>
        <w:pStyle w:val="Heading2"/>
      </w:pPr>
      <w:r>
        <w:t>E. Capitalization data integrity and preferred-stock conversion mechanics</w:t>
      </w:r>
    </w:p>
    <w:p>
      <w:pPr>
        <w:spacing w:after="120"/>
      </w:pPr>
      <w:r>
        <w:rPr>
          <w:b/>
        </w:rPr>
        <w:t xml:space="preserve">Priority: </w:t>
      </w:r>
      <w:r>
        <w:t>Critical</w:t>
      </w:r>
    </w:p>
    <w:p>
      <w:pPr>
        <w:spacing w:after="120"/>
      </w:pPr>
      <w:r>
        <w:rPr>
          <w:b/>
        </w:rPr>
        <w:t xml:space="preserve">Sources: </w:t>
      </w:r>
      <w:r>
        <w:rPr>
          <w:i/>
        </w:rPr>
        <w:t>Request List Items 1.1, 2.1, 2.5, 2.8; Cap Table (all tabs); Profile Memo §III; Timeline §1, §3.1, §3.5</w:t>
      </w:r>
    </w:p>
    <w:p>
      <w:pPr>
        <w:spacing w:after="120"/>
      </w:pPr>
      <w:r>
        <w:rPr>
          <w:b/>
        </w:rPr>
        <w:t xml:space="preserve">Relevant facts. </w:t>
      </w:r>
      <w:r/>
    </w:p>
    <w:p>
      <w:pPr>
        <w:pStyle w:val="ListBullet"/>
        <w:spacing w:after="60"/>
      </w:pPr>
      <w:r>
        <w:t>Option schedule versus plan reserve. The grant-level Option Detail tab sums to 7,750,000 options (2,700,000 for OPT-001 to OPT-007; 4,350,000 in the four “all other employees” aggregates; 700,000 for directors and consultants), against stated totals of 6,100,000 granted and a 7,500,000-share 2020 Plan reserve. Vested options likewise foot to ~5,647,917 versus the stated 4,785,417. Either the aggregates are double-counting named grants or the plan is over-granted, which would raise ISO-qualification, plan-amendment, Rule 701 and stockholder-approval issues.</w:t>
      </w:r>
    </w:p>
    <w:p>
      <w:pPr>
        <w:pStyle w:val="ListBullet"/>
        <w:spacing w:after="60"/>
      </w:pPr>
      <w:r>
        <w:t>Preferred original issue prices versus the IPO range. The Cap Table shows Series D at $32.00 and Series E at $44.00 per share; the $16–$19 range is below both, and below Series C ($20.00). Many charters condition automatic conversion on a “Qualified IPO” price threshold or contain IPO ratchets; if so, conversion “per existing charter provisions” is not automatic and a preferred-holder vote or waiver will be needed. The stated pre-money valuations (e.g., Series E $780 million pre-money) also cannot be reconciled with a $44.00 price on the existing share base (~60 million shares as-converted).</w:t>
      </w:r>
    </w:p>
    <w:p>
      <w:pPr>
        <w:pStyle w:val="ListBullet"/>
        <w:spacing w:after="60"/>
      </w:pPr>
      <w:r>
        <w:t>Ownership figures. Hollcroft is described as holding 18.2% of “outstanding common”; its Series D and E preferred total 6,718,750 shares (≈15.8% of the 42.5 million common shares and ≈11.1% of the 60,268,750 as-converted basic shares). The cap table and Profile Memo refer to “Voss” rather than Hollcroft in several places (Henrik Voss is identified in the Timeline as Hollcroft’s managing partner and a director). The Timeline describes 42,500,000 common shares as outstanding “on an as-converted basis,” whereas the Cap Table treats that figure as common only.</w:t>
      </w:r>
    </w:p>
    <w:p>
      <w:pPr>
        <w:pStyle w:val="ListBullet"/>
        <w:spacing w:after="60"/>
      </w:pPr>
      <w:r>
        <w:t>Arithmetic. The cap table states a pre-IPO fully diluted total of “~60,218,750” while its own formula yields 60,268,750; estimated note conversion shares appear as 1,071,429 (Profile Memo, principal only), 1,130,901 (Summary tab) and 1,129,801 (Note Detail tab); and the Note Detail tab contains a duplicated CN-001 row with inconsistent accrued-interest figures (one with a corrupted share count, “527,235convergence”). Accrued interest is computed on 442 days; November 15, 2023 to January 31, 2025 is 443 days.</w:t>
      </w:r>
    </w:p>
    <w:p>
      <w:pPr>
        <w:spacing w:after="120"/>
      </w:pPr>
      <w:r>
        <w:rPr>
          <w:b/>
        </w:rPr>
        <w:t xml:space="preserve">Gap in the Request List. </w:t>
      </w:r>
      <w:r>
        <w:t>Item 2.1 asks only for a current cap table. The list does not ask for the stock ledger, a reconciliation of the cap table to the ledger, board approvals and the charter, the conversion provisions of the certificate of incorporation, anti-dilution or IPO-ratchet analyses, or evidence of Rule 701/Regulation D compliance for prior issuances (Item 701 of Reg. S-K requires three years of unregistered sales).</w:t>
      </w:r>
    </w:p>
    <w:p>
      <w:pPr>
        <w:spacing w:after="120"/>
      </w:pPr>
      <w:r>
        <w:rPr>
          <w:b/>
        </w:rPr>
        <w:t xml:space="preserve">Why it matters. </w:t>
      </w:r>
      <w:r>
        <w:t>The capitalization, dilution, description of capital stock and principal stockholders sections, the Item 701 disclosure and the auditors’ comfort letter all depend on a reconciled cap table. Discrepancies of this magnitude must be resolved before the February 15 submission, and the conversion mechanics must be confirmed before the price range is set.</w:t>
      </w:r>
    </w:p>
    <w:p>
      <w:pPr>
        <w:spacing w:after="120"/>
      </w:pPr>
      <w:r>
        <w:rPr>
          <w:b/>
        </w:rPr>
        <w:t>Recommended additions (proposed language for HSL):</w:t>
      </w:r>
      <w:r/>
    </w:p>
    <w:p>
      <w:pPr>
        <w:pStyle w:val="ListBullet2"/>
        <w:spacing w:after="60"/>
      </w:pPr>
      <w:r>
        <w:t>2.13  The Company’s stock ledger and a reconciliation of the cap table to the ledger, the certificate of incorporation, and board and stockholder approvals for every issuance, including a grant-by-grant reconciliation of all option awards to the 2020 Plan reserve (and evidence of plan amendments, ISO limits and stockholder approvals).</w:t>
      </w:r>
    </w:p>
    <w:p>
      <w:pPr>
        <w:pStyle w:val="ListBullet2"/>
        <w:spacing w:after="60"/>
      </w:pPr>
      <w:r>
        <w:t>2.14  An analysis of the automatic-conversion, “Qualified IPO,” anti-dilution, price-protection and protective provisions of the certificate of incorporation as applied to the expected price range, and copies of any required preferred-stock consents or waivers (or the plan for obtaining them).</w:t>
      </w:r>
    </w:p>
    <w:p>
      <w:pPr>
        <w:pStyle w:val="ListBullet2"/>
        <w:spacing w:after="60"/>
      </w:pPr>
      <w:r>
        <w:t>2.15  Schedule of all issuances of securities in the past three years (including options, notes, warrants and preferred stock) with the exemption relied upon, Form D and blue-sky filings, and Rule 701 compliance (including Rule 701(e) disclosure delivered if the $10 million threshold was exceeded in any 12-month period).</w:t>
      </w:r>
    </w:p>
    <w:p>
      <w:pPr>
        <w:pStyle w:val="ListBullet2"/>
        <w:spacing w:after="60"/>
      </w:pPr>
      <w:r>
        <w:t>2.16  All 409A valuation reports since the 2020 Plan was adopted (not only the last three years), the board materials approving each grant, and any cheap-stock analysis prepared with Thornbury Kapoor in light of the $14.80 (Dec. 15, 2024) valuation versus the $16–$19 range.</w:t>
      </w:r>
    </w:p>
    <w:p>
      <w:pPr>
        <w:pStyle w:val="Heading2"/>
      </w:pPr>
      <w:r>
        <w:t>F. OmniLabel Diagnostics LLC (35% unconsolidated joint venture) and companion diagnostic</w:t>
      </w:r>
    </w:p>
    <w:p>
      <w:pPr>
        <w:spacing w:after="120"/>
      </w:pPr>
      <w:r>
        <w:rPr>
          <w:b/>
        </w:rPr>
        <w:t xml:space="preserve">Priority: </w:t>
      </w:r>
      <w:r>
        <w:t>High</w:t>
      </w:r>
    </w:p>
    <w:p>
      <w:pPr>
        <w:spacing w:after="120"/>
      </w:pPr>
      <w:r>
        <w:rPr>
          <w:b/>
        </w:rPr>
        <w:t xml:space="preserve">Sources: </w:t>
      </w:r>
      <w:r>
        <w:rPr>
          <w:i/>
        </w:rPr>
        <w:t>Request List Items 1.3, 1.4, 8.4; Profile Memo §II.D, §VI.B.3; Cap Table §VII; Timeline §3.1, §3.7</w:t>
      </w:r>
    </w:p>
    <w:p>
      <w:pPr>
        <w:spacing w:after="120"/>
      </w:pPr>
      <w:r>
        <w:rPr>
          <w:b/>
        </w:rPr>
        <w:t xml:space="preserve">Relevant facts. </w:t>
      </w:r>
      <w:r/>
    </w:p>
    <w:p>
      <w:pPr>
        <w:pStyle w:val="ListBullet"/>
        <w:spacing w:after="60"/>
      </w:pPr>
      <w:r>
        <w:t>Greenfield holds 35% of OmniLabel Diagnostics LLC (Delaware), formed January 2023 with university collaborators to develop a companion diagnostic. Under the January 15, 2023 Co-Development and Option Agreement, Greenfield may acquire the remaining 65% for $30 million if the companion diagnostic receives FDA approval.</w:t>
      </w:r>
    </w:p>
    <w:p>
      <w:pPr>
        <w:spacing w:after="120"/>
      </w:pPr>
      <w:r>
        <w:rPr>
          <w:b/>
        </w:rPr>
        <w:t xml:space="preserve">Gap in the Request List. </w:t>
      </w:r>
      <w:r>
        <w:t>Items 1.3–1.6 are limited to “subsidiaries,” and the Introductory Instructions define the Company to include subsidiaries only. Item 8.4 would capture the Co-Development and Option Agreement but not the LLC operating agreement, governance and capital-call terms, financial statements of OmniLabel, or the accounting analysis.</w:t>
      </w:r>
    </w:p>
    <w:p>
      <w:pPr>
        <w:spacing w:after="120"/>
      </w:pPr>
      <w:r>
        <w:rPr>
          <w:b/>
        </w:rPr>
        <w:t xml:space="preserve">Why it matters. </w:t>
      </w:r>
      <w:r>
        <w:t>The $30 million option is a potential cash commitment (relevant to use of proceeds, liquidity and the 12-month runway); the companion diagnostic may be required for GT-4100 labeling and approval timing (FDA CDRH PMA review co-ordinated with the drug review); and the accounting conclusion (equity method under ASC 323 versus VIE consolidation under ASC 810) affects the financial statements and possibly Rule 3-09 of Regulation S-X.</w:t>
      </w:r>
    </w:p>
    <w:p>
      <w:pPr>
        <w:spacing w:after="120"/>
      </w:pPr>
      <w:r>
        <w:rPr>
          <w:b/>
        </w:rPr>
        <w:t>Recommended additions (proposed language for HSL):</w:t>
      </w:r>
      <w:r/>
    </w:p>
    <w:p>
      <w:pPr>
        <w:pStyle w:val="ListBullet2"/>
        <w:spacing w:after="60"/>
      </w:pPr>
      <w:r>
        <w:t>1.11  For each joint venture, partnership, minority equity investment or other entity in which the Company holds any equity interest that is not a wholly-owned subsidiary (including OmniLabel Diagnostics LLC): formation documents, operating or partnership agreement, capital contribution and capital-call records, governance and board/manager minutes, option and buy-sell provisions, financial statements, and the Company’s accounting analysis (equity method, VIE and Rule 3-09 significance tests).</w:t>
      </w:r>
    </w:p>
    <w:p>
      <w:pPr>
        <w:pStyle w:val="ListBullet2"/>
        <w:spacing w:after="60"/>
      </w:pPr>
      <w:r>
        <w:t>6.12  Regulatory strategy, FDA (CDRH) correspondence and development timeline for any companion or complementary diagnostic, including whether approval of GT-4100 is dependent on it.</w:t>
      </w:r>
    </w:p>
    <w:p>
      <w:pPr>
        <w:pStyle w:val="Heading2"/>
      </w:pPr>
      <w:r>
        <w:t>G. Harwell University exclusive license (foundational IP)</w:t>
      </w:r>
    </w:p>
    <w:p>
      <w:pPr>
        <w:spacing w:after="120"/>
      </w:pPr>
      <w:r>
        <w:rPr>
          <w:b/>
        </w:rPr>
        <w:t xml:space="preserve">Priority: </w:t>
      </w:r>
      <w:r>
        <w:t>Critical</w:t>
      </w:r>
    </w:p>
    <w:p>
      <w:pPr>
        <w:spacing w:after="120"/>
      </w:pPr>
      <w:r>
        <w:rPr>
          <w:b/>
        </w:rPr>
        <w:t xml:space="preserve">Sources: </w:t>
      </w:r>
      <w:r>
        <w:rPr>
          <w:i/>
        </w:rPr>
        <w:t>Request List Items 5.1, 5.3, 5.5, 8.1, 8.5; Profile Memo §IV.B, §VI.B.4</w:t>
      </w:r>
    </w:p>
    <w:p>
      <w:pPr>
        <w:spacing w:after="120"/>
      </w:pPr>
      <w:r>
        <w:rPr>
          <w:b/>
        </w:rPr>
        <w:t xml:space="preserve">Relevant facts. </w:t>
      </w:r>
      <w:r/>
    </w:p>
    <w:p>
      <w:pPr>
        <w:pStyle w:val="ListBullet"/>
        <w:spacing w:after="60"/>
      </w:pPr>
      <w:r>
        <w:t>The July 8, 2016 Exclusive License covers the foundational GT-4100 platform within oncology. Milestones: $0.5 million (IND, paid), $2 million (Phase 3 initiation, paid) and $5 million on “BLA filing” (expected Q2 2025); 3.5% royalty; sublicensing only with Harwell’s consent; retained rights and change-of-control provisions not yet confirmed.</w:t>
      </w:r>
    </w:p>
    <w:p>
      <w:pPr>
        <w:spacing w:after="120"/>
      </w:pPr>
      <w:r>
        <w:rPr>
          <w:b/>
        </w:rPr>
        <w:t xml:space="preserve">Gap in the Request List. </w:t>
      </w:r>
      <w:r>
        <w:t>Item 5.1 calls only for a “schedule” of patents, applications and material licenses; Item 8.5 catches change-of-control clauses generally. There is no request for the license itself and its amendments, payment history, diligence obligations, sublicense consents, retained or government rights, or correspondence with Harwell (including any notices of breach).</w:t>
      </w:r>
    </w:p>
    <w:p>
      <w:pPr>
        <w:spacing w:after="120"/>
      </w:pPr>
      <w:r>
        <w:rPr>
          <w:b/>
        </w:rPr>
        <w:t xml:space="preserve">Why it matters. </w:t>
      </w:r>
      <w:r>
        <w:t>The license is the Company’s single most important asset and almost certainly an Item 601(b)(10) exhibit. The $5 million milestone falls due around the time of the submission and should be reflected in use of proceeds and liquidity. If the licensed inventions were federally funded, Bayh-Dole (35 U.S.C. §§ 200–212) imposes a government license, march-in rights and a U.S.-manufacturing preference for exclusive licensees (§ 204), which may interact with the Company’s CMO location. Any IPO-triggered consent or termination right must be cleared before closing.</w:t>
      </w:r>
    </w:p>
    <w:p>
      <w:pPr>
        <w:spacing w:after="120"/>
      </w:pPr>
      <w:r>
        <w:rPr>
          <w:b/>
        </w:rPr>
        <w:t>Recommended additions (proposed language for HSL):</w:t>
      </w:r>
      <w:r/>
    </w:p>
    <w:p>
      <w:pPr>
        <w:pStyle w:val="ListBullet2"/>
        <w:spacing w:after="60"/>
      </w:pPr>
      <w:r>
        <w:t>5.6  The Harwell University Exclusive License Agreement (July 8, 2016) and all amendments, side letters, consents and waivers; evidence of each milestone and other payment made; diligence and reporting obligations and reports delivered; all sublicenses and Harwell consents; and all material correspondence, including any notice of breach, dispute or audit.</w:t>
      </w:r>
    </w:p>
    <w:p>
      <w:pPr>
        <w:pStyle w:val="ListBullet2"/>
        <w:spacing w:after="60"/>
      </w:pPr>
      <w:r>
        <w:t>5.7  For each in-licensed patent family: retained research, publication and other rights of the licensor; any federal funding and resulting government rights (including Bayh-Dole confirmatory licenses, invention reports, march-in and U.S.-manufacturing obligations and any waivers); and any assignment, change-of-control or termination provision that could be triggered by the Offering.</w:t>
      </w:r>
    </w:p>
    <w:p>
      <w:pPr>
        <w:pStyle w:val="Heading2"/>
      </w:pPr>
      <w:r>
        <w:t>H. Third-party IP allegations and freedom-to-operate (Cytos Pharma AG)</w:t>
      </w:r>
    </w:p>
    <w:p>
      <w:pPr>
        <w:spacing w:after="120"/>
      </w:pPr>
      <w:r>
        <w:rPr>
          <w:b/>
        </w:rPr>
        <w:t xml:space="preserve">Priority: </w:t>
      </w:r>
      <w:r>
        <w:t>High</w:t>
      </w:r>
    </w:p>
    <w:p>
      <w:pPr>
        <w:spacing w:after="120"/>
      </w:pPr>
      <w:r>
        <w:rPr>
          <w:b/>
        </w:rPr>
        <w:t xml:space="preserve">Sources: </w:t>
      </w:r>
      <w:r>
        <w:rPr>
          <w:i/>
        </w:rPr>
        <w:t>Request List Items 5.5, 7.1, 7.2; Profile Memo §IV.C, §VII.C; Timeline §3.6</w:t>
      </w:r>
    </w:p>
    <w:p>
      <w:pPr>
        <w:spacing w:after="120"/>
      </w:pPr>
      <w:r>
        <w:rPr>
          <w:b/>
        </w:rPr>
        <w:t xml:space="preserve">Relevant facts. </w:t>
      </w:r>
      <w:r/>
    </w:p>
    <w:p>
      <w:pPr>
        <w:pStyle w:val="ListBullet"/>
        <w:spacing w:after="60"/>
      </w:pPr>
      <w:r>
        <w:t>On August 3, 2024, Cytos Pharma AG alleged that the GT-4100 formulation infringes EP 3,452,118. Bristow IP Group LLP delivered a non-infringement opinion on October 15, 2024. No litigation has been filed and no further correspondence has been received.</w:t>
      </w:r>
    </w:p>
    <w:p>
      <w:pPr>
        <w:spacing w:after="120"/>
      </w:pPr>
      <w:r>
        <w:rPr>
          <w:b/>
        </w:rPr>
        <w:t xml:space="preserve">Gap in the Request List. </w:t>
      </w:r>
      <w:r>
        <w:t>Item 7.1 reaches “pending and threatened litigation,” which a single assertion letter may or may not be read to include, and Item 5.5 is limited to indemnities and covenants not to sue. There is no request for infringement allegations, cease-and-desist letters, invitations to license, FTO, validity or non-infringement opinions, or patent landscape analyses.</w:t>
      </w:r>
    </w:p>
    <w:p>
      <w:pPr>
        <w:spacing w:after="120"/>
      </w:pPr>
      <w:r>
        <w:rPr>
          <w:b/>
        </w:rPr>
        <w:t xml:space="preserve">Why it matters. </w:t>
      </w:r>
      <w:r>
        <w:t>The Cytos allegation targets the lead product formulation and is relevant to the IP risk factors (Item 105) and to underwriter comfort on freedom to operate in the EU. The Company also relies on a trade-secret manufacturing process for the API with no formal trade-secret audit (Profile Memo §IV.D), which is relevant given that the process sits with Valcourt.</w:t>
      </w:r>
    </w:p>
    <w:p>
      <w:pPr>
        <w:spacing w:after="120"/>
      </w:pPr>
      <w:r>
        <w:rPr>
          <w:b/>
        </w:rPr>
        <w:t>Recommended additions (proposed language for HSL):</w:t>
      </w:r>
      <w:r/>
    </w:p>
    <w:p>
      <w:pPr>
        <w:pStyle w:val="ListBullet2"/>
        <w:spacing w:after="60"/>
      </w:pPr>
      <w:r>
        <w:t>5.8  All communications from any third party alleging infringement, misappropriation or invalidity, or offering or demanding a license (including the August 3, 2024 Cytos Pharma AG letter and any response), and all freedom-to-operate, non-infringement, validity or patentability opinions or analyses relating to any product candidate (including the October 15, 2024 Bristow IP Group LLP opinion), to be produced under an appropriate common-interest/non-waiver arrangement (see Part V).</w:t>
      </w:r>
    </w:p>
    <w:p>
      <w:pPr>
        <w:pStyle w:val="ListBullet2"/>
        <w:spacing w:after="60"/>
      </w:pPr>
      <w:r>
        <w:t>5.9  Description of measures used to protect trade secrets (including the GT-4100 API manufacturing process), confidentiality and technology-transfer terms with Valcourt and other vendors, and any known or suspected misappropriation.</w:t>
      </w:r>
    </w:p>
    <w:p>
      <w:pPr>
        <w:pStyle w:val="Heading2"/>
      </w:pPr>
      <w:r>
        <w:t>I. Related-party transactions, D&amp;O questionnaires and underwriter relationships (Hollcroft, Oakvale, founders)</w:t>
      </w:r>
    </w:p>
    <w:p>
      <w:pPr>
        <w:spacing w:after="120"/>
      </w:pPr>
      <w:r>
        <w:rPr>
          <w:b/>
        </w:rPr>
        <w:t xml:space="preserve">Priority: </w:t>
      </w:r>
      <w:r>
        <w:t>Critical</w:t>
      </w:r>
    </w:p>
    <w:p>
      <w:pPr>
        <w:spacing w:after="120"/>
      </w:pPr>
      <w:r>
        <w:rPr>
          <w:b/>
        </w:rPr>
        <w:t xml:space="preserve">Sources: </w:t>
      </w:r>
      <w:r>
        <w:rPr>
          <w:i/>
        </w:rPr>
        <w:t>Request List (no dedicated section; Items 2.3, 8.2, 10.2, 10.8 only tangentially); Profile Memo §III.D, §IX; Cap Table §V; Timeline §3.4</w:t>
      </w:r>
    </w:p>
    <w:p>
      <w:pPr>
        <w:spacing w:after="120"/>
      </w:pPr>
      <w:r>
        <w:rPr>
          <w:b/>
        </w:rPr>
        <w:t xml:space="preserve">Relevant facts. </w:t>
      </w:r>
      <w:r/>
    </w:p>
    <w:p>
      <w:pPr>
        <w:pStyle w:val="ListBullet"/>
        <w:spacing w:after="60"/>
      </w:pPr>
      <w:r>
        <w:t>Hollcroft Capital Partners led the Series D and E rounds, holds two board seats (Henrik Voss, Managing Partner, is a director) and observer rights under the April 15, 2024 Investor Rights Agreement.</w:t>
      </w:r>
    </w:p>
    <w:p>
      <w:pPr>
        <w:pStyle w:val="ListBullet"/>
        <w:spacing w:after="60"/>
      </w:pPr>
      <w:r>
        <w:t>Oakvale Securities, the lead left bookrunner, received 1,200,000 warrants (exercise price $11.50, expiring November 2028; ≈2.0% fully diluted) in November 2023 for an advisory engagement that predates the October 1, 2024 IPO engagement letter.</w:t>
      </w:r>
    </w:p>
    <w:p>
      <w:pPr>
        <w:pStyle w:val="ListBullet"/>
        <w:spacing w:after="60"/>
      </w:pPr>
      <w:r>
        <w:t>The noteholders’ affiliations are unconfirmed. Two directors share surnames with deal counsel (Robert Nakamura, director, and David Nakamura of HSL; Dr. Karen Whitfield, director, and Marcus Whitfield of A&amp;B), and the VP of Quality (Sarah Linden) shares a name with Series A lead Linden Health Ventures. These may be coincidences, but they should be cleared through questionnaires and conflict checks.</w:t>
      </w:r>
    </w:p>
    <w:p>
      <w:pPr>
        <w:spacing w:after="120"/>
      </w:pPr>
      <w:r>
        <w:rPr>
          <w:b/>
        </w:rPr>
        <w:t xml:space="preserve">Gap in the Request List. </w:t>
      </w:r>
      <w:r>
        <w:t>The Request List contains no related-party category and does not request director and officer questionnaires, the related-person transaction policy, side letters with investors, board conflict waivers, or documents relating to Oakvale’s pre-existing advisory engagement and warrants (Item 2.7 asks generically for warrants; Item 8.2 asks for the IPO engagement letter only).</w:t>
      </w:r>
    </w:p>
    <w:p>
      <w:pPr>
        <w:spacing w:after="120"/>
      </w:pPr>
      <w:r>
        <w:rPr>
          <w:b/>
        </w:rPr>
        <w:t xml:space="preserve">Why it matters. </w:t>
      </w:r>
      <w:r>
        <w:t>Item 404 of Reg. S-K requires disclosure of transactions over $120,000 with related persons (directors, officers, 5% holders and immediate family). Hollcroft, founders and possibly noteholders fall within it. Oakvale is not, on these facts, a “related person” under Item 404 (the Profile Memo’s characterization should be corrected): its relationship is instead disclosed under Item 508 of Reg. S-K (material relationships with underwriters) and reviewed under FINRA Rules 5110 (underwriting compensation; securities received within 180 days before the required filing date are presumptively compensation, so the November 2023 warrants likely fall outside that window, but the advisory arrangement must still be described in the FINRA filing) and 5121 (conflicts of interest, triggered at 10% ownership, which should be confirmed including affiliates). Director independence for Nasdaq Rule 5605 purposes depends on the same information.</w:t>
      </w:r>
    </w:p>
    <w:p>
      <w:pPr>
        <w:spacing w:after="120"/>
      </w:pPr>
      <w:r>
        <w:rPr>
          <w:b/>
        </w:rPr>
        <w:t>Recommended additions (proposed language for HSL):</w:t>
      </w:r>
      <w:r/>
    </w:p>
    <w:p>
      <w:pPr>
        <w:pStyle w:val="ListBullet2"/>
        <w:spacing w:after="60"/>
      </w:pPr>
      <w:r>
        <w:t>15.1  Completed D&amp;O questionnaires from each director, director nominee and executive officer, and 5% stockholder questionnaires, together with the Company’s related-person transaction policy and any board conflict-of-interest determinations or waivers.</w:t>
      </w:r>
    </w:p>
    <w:p>
      <w:pPr>
        <w:pStyle w:val="ListBullet2"/>
        <w:spacing w:after="60"/>
      </w:pPr>
      <w:r>
        <w:t>15.2  All agreements and arrangements since January 1, 2022 between the Company and any director, officer, 5% holder (including Hollcroft Capital Partners and its affiliates), noteholder, or immediate family member of any of them, including side letters, management-rights letters, advisory, consulting or monitoring arrangements, loans, indemnification agreements and board-observer rights.</w:t>
      </w:r>
    </w:p>
    <w:p>
      <w:pPr>
        <w:pStyle w:val="ListBullet2"/>
        <w:spacing w:after="60"/>
      </w:pPr>
      <w:r>
        <w:t>15.3  All agreements, invoices, payments and securities issued in connection with Oakvale Securities LLC’s November 2023 advisory engagement (including the warrant agreement and any registration or lock-up provisions), and a schedule of all securities of the Company beneficially owned by Oakvale, its affiliates and associated persons, for purposes of Item 508 and FINRA Rules 5110 and 5121.</w:t>
      </w:r>
    </w:p>
    <w:p>
      <w:pPr>
        <w:pStyle w:val="ListBullet2"/>
        <w:spacing w:after="60"/>
      </w:pPr>
      <w:r>
        <w:t>15.4  Background-check results and any documents relating to investigations, inquiries or proceedings involving any director or officer, including the closed 2022 academic misconduct inquiry involving Dr. Ramanathan (closure letter and related media) and the 2017 Arclion Biosciences settlement with Dr. Xu (settlement agreement and any IP or confidentiality provisions).</w:t>
      </w:r>
    </w:p>
    <w:p>
      <w:pPr>
        <w:pStyle w:val="Heading2"/>
      </w:pPr>
      <w:r>
        <w:t>J. Rule 10b5-1 trading plans and insider-trading compliance</w:t>
      </w:r>
    </w:p>
    <w:p>
      <w:pPr>
        <w:spacing w:after="120"/>
      </w:pPr>
      <w:r>
        <w:rPr>
          <w:b/>
        </w:rPr>
        <w:t xml:space="preserve">Priority: </w:t>
      </w:r>
      <w:r>
        <w:t>High</w:t>
      </w:r>
    </w:p>
    <w:p>
      <w:pPr>
        <w:spacing w:after="120"/>
      </w:pPr>
      <w:r>
        <w:rPr>
          <w:b/>
        </w:rPr>
        <w:t xml:space="preserve">Sources: </w:t>
      </w:r>
      <w:r>
        <w:rPr>
          <w:i/>
        </w:rPr>
        <w:t>Request List Item 13.3 (policies only); Profile Memo §III.F; Timeline §2.1, §3.3</w:t>
      </w:r>
    </w:p>
    <w:p>
      <w:pPr>
        <w:spacing w:after="120"/>
      </w:pPr>
      <w:r>
        <w:rPr>
          <w:b/>
        </w:rPr>
        <w:t xml:space="preserve">Relevant facts. </w:t>
      </w:r>
      <w:r/>
    </w:p>
    <w:p>
      <w:pPr>
        <w:pStyle w:val="ListBullet"/>
        <w:spacing w:after="60"/>
      </w:pPr>
      <w:r>
        <w:t>In December 2024, Dr. Ramanathan, Dr. Xu and Ms. Tran adopted Rule 10b5-1 plans in anticipation of the IPO. Each holds significant vested options (750,000, 600,000 and 337,500 respectively) and is subject to the 180-day lock-up.</w:t>
      </w:r>
    </w:p>
    <w:p>
      <w:pPr>
        <w:spacing w:after="120"/>
      </w:pPr>
      <w:r>
        <w:rPr>
          <w:b/>
        </w:rPr>
        <w:t xml:space="preserve">Gap in the Request List. </w:t>
      </w:r>
      <w:r>
        <w:t>Item 13.3 asks for insider trading policies and codes of conduct but not for the plans, the officer certifications, or any other trading arrangements.</w:t>
      </w:r>
    </w:p>
    <w:p>
      <w:pPr>
        <w:spacing w:after="120"/>
      </w:pPr>
      <w:r>
        <w:rPr>
          <w:b/>
        </w:rPr>
        <w:t xml:space="preserve">Why it matters. </w:t>
      </w:r>
      <w:r>
        <w:t>The plans must be reviewed for the February 2023 amendments to Rule 10b5-1(c)(1): the officer/director cooling-off period (the later of 90 days after adoption or two business days after disclosure of financial results in the Form 10-Q or 10-K for the quarter of adoption, capped at 120 days; the Timeline memo’s description should be corrected), the good-faith certification, and limits on overlapping and single-trade plans. The plans were adopted shortly before the January 2025 Valcourt inspection and while the IPO was in preparation, so the MNPI certification deserves scrutiny. The underwriters also need to confirm the plans are consistent with the lock-up agreements. Note that Form S-1 does not by its terms call for Item 408(a) disclosure (an Exchange Act periodic-report item); disclosure of the plans in the shares-eligible-for-future-sale or lock-up discussion is nonetheless customary, and the Timeline memo’s statement that Item 408(a) mandates S-1 disclosure should be revisited with HSL.</w:t>
      </w:r>
    </w:p>
    <w:p>
      <w:pPr>
        <w:spacing w:after="120"/>
      </w:pPr>
      <w:r>
        <w:rPr>
          <w:b/>
        </w:rPr>
        <w:t>Recommended additions (proposed language for HSL):</w:t>
      </w:r>
      <w:r/>
    </w:p>
    <w:p>
      <w:pPr>
        <w:pStyle w:val="ListBullet2"/>
        <w:spacing w:after="60"/>
      </w:pPr>
      <w:r>
        <w:t>13.4  Copies of each Rule 10b5-1 plan or other trading arrangement adopted, modified or terminated by any director or officer, the certifications delivered under Rule 10b5-1(c)(1)(ii)(B), broker instructions, and the Company’s pre-clearance records; and the current and proposed public-company insider trading policy.</w:t>
      </w:r>
    </w:p>
    <w:p>
      <w:pPr>
        <w:pStyle w:val="Heading2"/>
      </w:pPr>
      <w:r>
        <w:t>K. Insurance (beyond D&amp;O)</w:t>
      </w:r>
    </w:p>
    <w:p>
      <w:pPr>
        <w:spacing w:after="120"/>
      </w:pPr>
      <w:r>
        <w:rPr>
          <w:b/>
        </w:rPr>
        <w:t xml:space="preserve">Priority: </w:t>
      </w:r>
      <w:r>
        <w:t>High</w:t>
      </w:r>
    </w:p>
    <w:p>
      <w:pPr>
        <w:spacing w:after="120"/>
      </w:pPr>
      <w:r>
        <w:rPr>
          <w:b/>
        </w:rPr>
        <w:t xml:space="preserve">Sources: </w:t>
      </w:r>
      <w:r>
        <w:rPr>
          <w:i/>
        </w:rPr>
        <w:t>Request List Items 9.1, 9.2; Profile Memo §VII.A, §VIII; Timeline §3.6</w:t>
      </w:r>
    </w:p>
    <w:p>
      <w:pPr>
        <w:spacing w:after="120"/>
      </w:pPr>
      <w:r>
        <w:rPr>
          <w:b/>
        </w:rPr>
        <w:t xml:space="preserve">Relevant facts. </w:t>
      </w:r>
      <w:r/>
    </w:p>
    <w:p>
      <w:pPr>
        <w:pStyle w:val="ListBullet"/>
        <w:spacing w:after="60"/>
      </w:pPr>
      <w:r>
        <w:t>The Company carries D&amp;O ($20 million, Northgate), EPLI ($5 million, $100,000 retention, Northgate), product/clinical-trial liability, CGL, property and cyber/data-privacy coverage. The Hartwell discrimination claim (exposure $0.75–1.5 million) is an EPLI matter.</w:t>
      </w:r>
    </w:p>
    <w:p>
      <w:pPr>
        <w:spacing w:after="120"/>
      </w:pPr>
      <w:r>
        <w:rPr>
          <w:b/>
        </w:rPr>
        <w:t xml:space="preserve">Gap in the Request List. </w:t>
      </w:r>
      <w:r>
        <w:t>Section IX asks only for D&amp;O policies and D&amp;O claims. EPLI, clinical-trial/product liability, cyber and other policies, and claims under them, are not requested.</w:t>
      </w:r>
    </w:p>
    <w:p>
      <w:pPr>
        <w:spacing w:after="120"/>
      </w:pPr>
      <w:r>
        <w:rPr>
          <w:b/>
        </w:rPr>
        <w:t xml:space="preserve">Why it matters. </w:t>
      </w:r>
      <w:r>
        <w:t>Insurance adequacy is relevant to the Hartwell legal-proceedings disclosure, to clinical-trial and launch-related product liability risk factors, and to the cyber risk factor. Underwriters also customarily review the public-company D&amp;O program (including Side A coverage and the run-off of the private-company policy) bound for the IPO.</w:t>
      </w:r>
    </w:p>
    <w:p>
      <w:pPr>
        <w:spacing w:after="120"/>
      </w:pPr>
      <w:r>
        <w:rPr>
          <w:b/>
        </w:rPr>
        <w:t>Recommended additions (proposed language for HSL):</w:t>
      </w:r>
      <w:r/>
    </w:p>
    <w:p>
      <w:pPr>
        <w:pStyle w:val="ListBullet2"/>
        <w:spacing w:after="60"/>
      </w:pPr>
      <w:r>
        <w:t>9.1 (revised)  All insurance policies currently in effect (D&amp;O, EPLI, clinical-trial and product liability, general liability, property, cyber/privacy, fiduciary, crime, and any foreign or local policies of GT Research Ireland Ltd.), with binders and proposals for the post-IPO D&amp;O program and run-off.</w:t>
      </w:r>
    </w:p>
    <w:p>
      <w:pPr>
        <w:pStyle w:val="ListBullet2"/>
        <w:spacing w:after="60"/>
      </w:pPr>
      <w:r>
        <w:t>9.2 (revised)  Loss runs and a schedule of all claims, notices of circumstances and reservation-of-rights letters under any policy for the past five years, including the tender of the Hartwell matter to the EPLI carrier and the carrier’s coverage position.</w:t>
      </w:r>
    </w:p>
    <w:p>
      <w:pPr>
        <w:pStyle w:val="Heading2"/>
      </w:pPr>
      <w:r>
        <w:t>L. Tax: Section 382, foreign entity and dissolved-subsidiary tax matters</w:t>
      </w:r>
    </w:p>
    <w:p>
      <w:pPr>
        <w:spacing w:after="120"/>
      </w:pPr>
      <w:r>
        <w:rPr>
          <w:b/>
        </w:rPr>
        <w:t xml:space="preserve">Priority: </w:t>
      </w:r>
      <w:r>
        <w:t>High</w:t>
      </w:r>
    </w:p>
    <w:p>
      <w:pPr>
        <w:spacing w:after="120"/>
      </w:pPr>
      <w:r>
        <w:rPr>
          <w:b/>
        </w:rPr>
        <w:t xml:space="preserve">Sources: </w:t>
      </w:r>
      <w:r>
        <w:rPr>
          <w:i/>
        </w:rPr>
        <w:t>Request List Items 4.1–4.5, 1.3–1.5; Profile Memo §II.C, §X; Timeline §3.5, §3.7</w:t>
      </w:r>
    </w:p>
    <w:p>
      <w:pPr>
        <w:spacing w:after="120"/>
      </w:pPr>
      <w:r>
        <w:rPr>
          <w:b/>
        </w:rPr>
        <w:t xml:space="preserve">Relevant facts. </w:t>
      </w:r>
      <w:r/>
    </w:p>
    <w:p>
      <w:pPr>
        <w:pStyle w:val="ListBullet"/>
        <w:spacing w:after="60"/>
      </w:pPr>
      <w:r>
        <w:t>Federal NOLs are ~$210 million. Thornbury Kapoor’s Section 382 study (as of Sept. 30, 2024) found one ownership change at the Series D (August 2021) with an annual limitation of ~$16.8 million; the IPO could cause a second change. R&amp;D credits are ~$18.5 million federal and ~$4.2 million Massachusetts.</w:t>
      </w:r>
    </w:p>
    <w:p>
      <w:pPr>
        <w:pStyle w:val="ListBullet"/>
        <w:spacing w:after="60"/>
      </w:pPr>
      <w:r>
        <w:t>GT West Coast Labs, Inc. (California) was formed and dissolved in 2019 (dissolution completed December 20, 2019); neither the California certificate of dissolution nor Franchise Tax Board clearance has been confirmed. GT Research Ireland Ltd. has 12 employees and conducts EU operations; Greenfield Therapeutics Securities Corp. is a Massachusetts securities corporation.</w:t>
      </w:r>
    </w:p>
    <w:p>
      <w:pPr>
        <w:spacing w:after="120"/>
      </w:pPr>
      <w:r>
        <w:rPr>
          <w:b/>
        </w:rPr>
        <w:t xml:space="preserve">Gap in the Request List. </w:t>
      </w:r>
      <w:r>
        <w:t>Item 4.2 asks only for an NOL schedule; there is no request for the Section 382 study, workpapers, or the IPO update. Item 4.1 is limited to federal and state returns, omitting Irish returns, transfer-pricing documentation and intercompany agreements. Section I requests documents only for current subsidiaries; dissolved entities are not covered.</w:t>
      </w:r>
    </w:p>
    <w:p>
      <w:pPr>
        <w:spacing w:after="120"/>
      </w:pPr>
      <w:r>
        <w:rPr>
          <w:b/>
        </w:rPr>
        <w:t xml:space="preserve">Why it matters. </w:t>
      </w:r>
      <w:r>
        <w:t>The deferred-tax and NOL disclosures, the “our ability to use our NOLs may be limited” risk factor, and comfort-letter procedures turn on the Section 382 analysis. Intercompany arrangements with the Irish subsidiary raise transfer-pricing and permanent-establishment questions. An incomplete California dissolution can leave franchise-tax liability or a suspended entity.</w:t>
      </w:r>
    </w:p>
    <w:p>
      <w:pPr>
        <w:spacing w:after="120"/>
      </w:pPr>
      <w:r>
        <w:rPr>
          <w:b/>
        </w:rPr>
        <w:t>Recommended additions (proposed language for HSL):</w:t>
      </w:r>
      <w:r/>
    </w:p>
    <w:p>
      <w:pPr>
        <w:pStyle w:val="ListBullet2"/>
        <w:spacing w:after="60"/>
      </w:pPr>
      <w:r>
        <w:t>4.6  The Section 382 ownership-change study and workpapers (as of September 30, 2024), any update, and an analysis of whether the Offering (alone or combined with the note and preferred conversions) is expected to cause a second ownership change; and the March 2024 R&amp;D tax credit study.</w:t>
      </w:r>
    </w:p>
    <w:p>
      <w:pPr>
        <w:pStyle w:val="ListBullet2"/>
        <w:spacing w:after="60"/>
      </w:pPr>
      <w:r>
        <w:t>4.7  Tax returns, transfer-pricing documentation, intercompany services, cost-sharing or licensing agreements, and any foreign tax rulings or audits for GT Research Ireland Ltd.; and confirmation of Massachusetts security-corporation classification and compliance for Greenfield Therapeutics Securities Corp.</w:t>
      </w:r>
    </w:p>
    <w:p>
      <w:pPr>
        <w:pStyle w:val="ListBullet2"/>
        <w:spacing w:after="60"/>
      </w:pPr>
      <w:r>
        <w:t>1.12  For each former subsidiary or entity merged, dissolved or divested since inception (including GT West Coast Labs, Inc.): formation and dissolution documents, the filed California certificate of dissolution, Franchise Tax Board tax-clearance or final-return confirmation, an explanation of the entity’s purpose and any assets, liabilities or employees, and confirmation that no residual obligations remain.</w:t>
      </w:r>
    </w:p>
    <w:p>
      <w:pPr>
        <w:pStyle w:val="Heading2"/>
      </w:pPr>
      <w:r>
        <w:t>M. Data privacy, cybersecurity, anti-corruption and healthcare compliance</w:t>
      </w:r>
    </w:p>
    <w:p>
      <w:pPr>
        <w:spacing w:after="120"/>
      </w:pPr>
      <w:r>
        <w:rPr>
          <w:b/>
        </w:rPr>
        <w:t xml:space="preserve">Priority: </w:t>
      </w:r>
      <w:r>
        <w:t>High</w:t>
      </w:r>
    </w:p>
    <w:p>
      <w:pPr>
        <w:spacing w:after="120"/>
      </w:pPr>
      <w:r>
        <w:rPr>
          <w:b/>
        </w:rPr>
        <w:t xml:space="preserve">Sources: </w:t>
      </w:r>
      <w:r>
        <w:rPr>
          <w:i/>
        </w:rPr>
        <w:t>Request List Sections XIII and XIV (no specific items); Profile Memo §II.B, §XIII; Timeline (none)</w:t>
      </w:r>
    </w:p>
    <w:p>
      <w:pPr>
        <w:spacing w:after="120"/>
      </w:pPr>
      <w:r>
        <w:rPr>
          <w:b/>
        </w:rPr>
        <w:t xml:space="preserve">Relevant facts. </w:t>
      </w:r>
      <w:r/>
    </w:p>
    <w:p>
      <w:pPr>
        <w:pStyle w:val="ListBullet"/>
        <w:spacing w:after="60"/>
      </w:pPr>
      <w:r>
        <w:t>The Phase 3 trial ran at 38 sites in the U.S., EU and Australia; the Company handles PHI (HIPAA) and EU personal data through GT Research Ireland Ltd. (GDPR, cross-border transfers). Clinical sites include government-run hospitals, creating foreign-official touchpoints (FCPA). The Company has a newly hired 16-person commercial/market-access team preparing for launch.</w:t>
      </w:r>
    </w:p>
    <w:p>
      <w:pPr>
        <w:spacing w:after="120"/>
      </w:pPr>
      <w:r>
        <w:rPr>
          <w:b/>
        </w:rPr>
        <w:t xml:space="preserve">Gap in the Request List. </w:t>
      </w:r>
      <w:r>
        <w:t>The Request List contains no requests on privacy, data protection, cybersecurity, anti-corruption, sanctions/export controls, or U.S. healthcare fraud-and-abuse compliance. Item 13.3 is limited to codes of conduct and insider trading policies.</w:t>
      </w:r>
    </w:p>
    <w:p>
      <w:pPr>
        <w:spacing w:after="120"/>
      </w:pPr>
      <w:r>
        <w:rPr>
          <w:b/>
        </w:rPr>
        <w:t xml:space="preserve">Why it matters. </w:t>
      </w:r>
      <w:r>
        <w:t>These are standard diligence categories for an international clinical-stage biopharma and recurring areas of SEC comment. Cybersecurity risk management and governance (Item 106 of Reg. S-K) will be required in the first Form 10-K and inform the S-1 risk factor; GDPR enforcement and data-transfer mechanics affect the trial data supporting the EU filing; and pre-launch commercial activities implicate the Anti-Kickback Statute, the Physician Payments Sunshine Act and off-label promotion rules.</w:t>
      </w:r>
    </w:p>
    <w:p>
      <w:pPr>
        <w:spacing w:after="120"/>
      </w:pPr>
      <w:r>
        <w:rPr>
          <w:b/>
        </w:rPr>
        <w:t>Recommended additions (proposed language for HSL):</w:t>
      </w:r>
      <w:r/>
    </w:p>
    <w:p>
      <w:pPr>
        <w:pStyle w:val="ListBullet2"/>
        <w:spacing w:after="60"/>
      </w:pPr>
      <w:r>
        <w:t>13.5  Privacy and data-protection policies, HIPAA documentation, GDPR records of processing, data-processing agreements with CROs and sites, data-protection impact assessments, cross-border transfer mechanisms (SCCs/EU-U.S. Data Privacy Framework), and any data breach, regulator inquiry or data-subject complaint.</w:t>
      </w:r>
    </w:p>
    <w:p>
      <w:pPr>
        <w:pStyle w:val="ListBullet2"/>
        <w:spacing w:after="60"/>
      </w:pPr>
      <w:r>
        <w:t>13.6  Cybersecurity policies, incident-response plan, third-party assessments or penetration tests, and a description of any cybersecurity incident in the past three years and its assessment.</w:t>
      </w:r>
    </w:p>
    <w:p>
      <w:pPr>
        <w:pStyle w:val="ListBullet2"/>
        <w:spacing w:after="60"/>
      </w:pPr>
      <w:r>
        <w:t>13.7  FCPA/anti-corruption, sanctions and export-control policies, training records, due diligence on intermediaries and clinical-site payments involving government-owned institutions, and any internal investigation or hotline report.</w:t>
      </w:r>
    </w:p>
    <w:p>
      <w:pPr>
        <w:pStyle w:val="ListBullet2"/>
        <w:spacing w:after="60"/>
      </w:pPr>
      <w:r>
        <w:t>13.8  Healthcare compliance program documents for pre-commercial and launch activities (Anti-Kickback Statute, Sunshine Act/Open Payments readiness, promotional review, expanded-access and patient-support programs).</w:t>
      </w:r>
    </w:p>
    <w:p>
      <w:pPr>
        <w:pStyle w:val="Heading2"/>
      </w:pPr>
      <w:r>
        <w:t>N. Material contracts: undefined materiality standard and omitted agreements</w:t>
      </w:r>
    </w:p>
    <w:p>
      <w:pPr>
        <w:spacing w:after="120"/>
      </w:pPr>
      <w:r>
        <w:rPr>
          <w:b/>
        </w:rPr>
        <w:t xml:space="preserve">Priority: </w:t>
      </w:r>
      <w:r>
        <w:t>Medium</w:t>
      </w:r>
    </w:p>
    <w:p>
      <w:pPr>
        <w:spacing w:after="120"/>
      </w:pPr>
      <w:r>
        <w:rPr>
          <w:b/>
        </w:rPr>
        <w:t xml:space="preserve">Sources: </w:t>
      </w:r>
      <w:r>
        <w:rPr>
          <w:i/>
        </w:rPr>
        <w:t>Request List Items 8.1–8.8, 14.4; Profile Memo §VI.A; Timeline §3.2</w:t>
      </w:r>
    </w:p>
    <w:p>
      <w:pPr>
        <w:spacing w:after="120"/>
      </w:pPr>
      <w:r>
        <w:rPr>
          <w:b/>
        </w:rPr>
        <w:t xml:space="preserve">Relevant facts. </w:t>
      </w:r>
      <w:r/>
    </w:p>
    <w:p>
      <w:pPr>
        <w:pStyle w:val="ListBullet"/>
        <w:spacing w:after="60"/>
      </w:pPr>
      <w:r>
        <w:t>The Company’s contracts range from routine vendor agreements to agreements over $75 million. A&amp;B has adopted a working framework tied to Item 601(b)(10) plus a $500,000 aggregate-consideration screen. Key agreements: Harwell license; Valcourt MSA (~$75 million); Pinnacle CRO agreement (~$48 million, April 2020); OmniLabel Co-Development and Option Agreement; Biomed Realty lease ($2.22 million annually, 10 years from February 1, 2020, with a right of first refusal on Suite 310); Investor Rights Agreement; Oakvale engagement letter.</w:t>
      </w:r>
    </w:p>
    <w:p>
      <w:pPr>
        <w:spacing w:after="120"/>
      </w:pPr>
      <w:r>
        <w:rPr>
          <w:b/>
        </w:rPr>
        <w:t xml:space="preserve">Gap in the Request List. </w:t>
      </w:r>
      <w:r>
        <w:t>Item 8.1 requests “all material contracts” with no objective threshold; the Introductory Instructions define “material” circularly. The agreement titles also vary across Company documents (Valcourt “Manufacturing and Supply Agreement” vs. “Manufacturing Services Agreement”; Pinnacle “Clinical Trial Agreement” vs. “Master Services Agreement”), which should be reconciled for the exhibit index. Items 8.3 and 11.2 duplicate each other, and Item 14.4 asks the Company for the agreement among underwriters, which is an underwriter document.</w:t>
      </w:r>
    </w:p>
    <w:p>
      <w:pPr>
        <w:spacing w:after="120"/>
      </w:pPr>
      <w:r>
        <w:rPr>
          <w:b/>
        </w:rPr>
        <w:t xml:space="preserve">Why it matters. </w:t>
      </w:r>
      <w:r>
        <w:t>An undefined standard invites inconsistent production and gaps in the exhibit list. An objective standard tied to Item 601(b)(10) (including contracts with related persons, contracts on which the business is substantially dependent, and IP licenses) plus a dollar screen gives both sides a defensible record. Contracts that will be filed as exhibits must also be reviewed for confidential-treatment redactions under Item 601(b)(10)(iv).</w:t>
      </w:r>
    </w:p>
    <w:p>
      <w:pPr>
        <w:spacing w:after="120"/>
      </w:pPr>
      <w:r>
        <w:rPr>
          <w:b/>
        </w:rPr>
        <w:t>Recommended additions (proposed language for HSL):</w:t>
      </w:r>
      <w:r/>
    </w:p>
    <w:p>
      <w:pPr>
        <w:pStyle w:val="ListBullet2"/>
        <w:spacing w:after="60"/>
      </w:pPr>
      <w:r>
        <w:t>8.1 (revised)  All contracts (i) required to be filed under Item 601(b)(10) of Reg. S-K, (ii) involving aggregate payments to or by the Company in excess of $500,000 over their term, (iii) with any related person, (iv) under which the Company licenses in or out any intellectual property (other than off-the-shelf software), or (v) with any CRO, CMO, supplier or clinical site that is sole-source or material to GT-4100, in each case with all amendments, side letters, waivers and material notices.</w:t>
      </w:r>
    </w:p>
    <w:p>
      <w:pPr>
        <w:pStyle w:val="ListBullet2"/>
        <w:spacing w:after="60"/>
      </w:pPr>
      <w:r>
        <w:t>8.9  Any agreement or document granting rights that may be triggered by, or require consent or notice in connection with, the Offering (including under the Harwell license, the OmniLabel agreements, the Valcourt MSA, the Pinnacle agreement, the Investor Rights Agreement and the Biomed lease), and evidence of any consents obtained.</w:t>
      </w:r>
    </w:p>
    <w:p>
      <w:pPr>
        <w:pStyle w:val="Heading2"/>
      </w:pPr>
      <w:r>
        <w:t>O. Financial statements, going concern and auditor matters</w:t>
      </w:r>
    </w:p>
    <w:p>
      <w:pPr>
        <w:spacing w:after="120"/>
      </w:pPr>
      <w:r>
        <w:rPr>
          <w:b/>
        </w:rPr>
        <w:t xml:space="preserve">Priority: </w:t>
      </w:r>
      <w:r>
        <w:t>Medium</w:t>
      </w:r>
    </w:p>
    <w:p>
      <w:pPr>
        <w:spacing w:after="120"/>
      </w:pPr>
      <w:r>
        <w:rPr>
          <w:b/>
        </w:rPr>
        <w:t xml:space="preserve">Sources: </w:t>
      </w:r>
      <w:r>
        <w:rPr>
          <w:i/>
        </w:rPr>
        <w:t>Request List Items 3.1–3.8; Profile Memo §I, §III.A; Timeline §3.5</w:t>
      </w:r>
    </w:p>
    <w:p>
      <w:pPr>
        <w:spacing w:after="120"/>
      </w:pPr>
      <w:r>
        <w:rPr>
          <w:b/>
        </w:rPr>
        <w:t xml:space="preserve">Relevant facts. </w:t>
      </w:r>
      <w:r/>
    </w:p>
    <w:p>
      <w:pPr>
        <w:pStyle w:val="ListBullet"/>
        <w:spacing w:after="60"/>
      </w:pPr>
      <w:r>
        <w:t>Cash was ~$112 million against a ~$9.2 million monthly burn (≈12 months of runway), before the $5 million Harwell milestone and any $30 million OmniLabel option exercise. The FY 2024 audit is targeted for mid-February 2025, immediately before the February 15 submission.</w:t>
      </w:r>
    </w:p>
    <w:p>
      <w:pPr>
        <w:spacing w:after="120"/>
      </w:pPr>
      <w:r>
        <w:rPr>
          <w:b/>
        </w:rPr>
        <w:t xml:space="preserve">Gap in the Request List. </w:t>
      </w:r>
      <w:r>
        <w:t>The list does not request management’s going-concern assessment, any auditor communications regarding a going-concern paragraph, internal-control deficiency or material-weakness communications (Item 3.3 is limited to management letters), the auditor independence confirmation, or legal letters delivered to the auditors. Item 3.1 also assumes three audited years although, as a pre-revenue company, Greenfield should qualify as an emerging growth company and may present two.</w:t>
      </w:r>
    </w:p>
    <w:p>
      <w:pPr>
        <w:spacing w:after="120"/>
      </w:pPr>
      <w:r>
        <w:rPr>
          <w:b/>
        </w:rPr>
        <w:t xml:space="preserve">Why it matters. </w:t>
      </w:r>
      <w:r>
        <w:t>With roughly 12 months of runway, a going-concern evaluation under ASC 205-40 is likely to be live and would drive a prominent risk factor and possibly an explanatory paragraph in the audit report. Legal letters and ASC 450 analyses tie into the Hartwell and Cytos disclosures. The comfort-letter scope must be agreed early given the compressed timeline.</w:t>
      </w:r>
    </w:p>
    <w:p>
      <w:pPr>
        <w:spacing w:after="120"/>
      </w:pPr>
      <w:r>
        <w:rPr>
          <w:b/>
        </w:rPr>
        <w:t>Recommended additions (proposed language for HSL):</w:t>
      </w:r>
      <w:r/>
    </w:p>
    <w:p>
      <w:pPr>
        <w:pStyle w:val="ListBullet2"/>
        <w:spacing w:after="60"/>
      </w:pPr>
      <w:r>
        <w:t>3.9  Management’s going-concern assessment and supporting cash-flow forecasts, and all auditor communications on going concern, internal control deficiencies or material weaknesses, critical audit matters and auditor independence (including PCAOB Rule 3526 communications).</w:t>
      </w:r>
    </w:p>
    <w:p>
      <w:pPr>
        <w:pStyle w:val="ListBullet2"/>
        <w:spacing w:after="60"/>
      </w:pPr>
      <w:r>
        <w:t>3.10  Audit inquiry (legal) letters and responses for the last three fiscal years, ASC 450 loss-contingency analyses (including for the Hartwell and Cytos matters), and the Company’s emerging growth company and smaller reporting company status analyses.</w:t>
      </w:r>
    </w:p>
    <w:p>
      <w:pPr>
        <w:pStyle w:val="Heading1"/>
      </w:pPr>
      <w:r>
        <w:t>IV. Other Drafting and Technical Points on the Request List</w:t>
      </w:r>
    </w:p>
    <w:p>
      <w:pPr>
        <w:pStyle w:val="ListBullet"/>
        <w:spacing w:after="60"/>
      </w:pPr>
      <w:r>
        <w:t>Definition of “Company.” The Introductory Instructions define “Company” and “subsidiary” to include direct and indirect subsidiaries only. Recommend expanding the definition to include predecessors, former and dissolved subsidiaries, joint ventures and minority-owned entities (OmniLabel), and — for regulatory, quality and manufacturing items — the Company’s CROs, CMOs and other agents acting on its behalf, to the extent documents are in the Company’s possession, custody or control.</w:t>
      </w:r>
    </w:p>
    <w:p>
      <w:pPr>
        <w:pStyle w:val="ListBullet"/>
        <w:spacing w:after="60"/>
      </w:pPr>
      <w:r>
        <w:t>Look-back periods and as-of dates. Many items have no look-back period (e.g., 6.4, 7.1, 7.4, 12.3), while others use inconsistent periods (three years in 2.8, 8.8 and 9.2; two years in 14.2). Recommend a uniform default (since inception for corporate, capitalization, regulatory and IP items; five years for litigation, insurance claims and compliance; three years otherwise) and a requirement that schedules be stated as of a specified date and brought down before pricing and closing.</w:t>
      </w:r>
    </w:p>
    <w:p>
      <w:pPr>
        <w:pStyle w:val="ListBullet"/>
        <w:spacing w:after="60"/>
      </w:pPr>
      <w:r>
        <w:t>Item 8.2 (bolded in HSL’s draft). The item asks the Company for Oakvale’s own engagement letter and appears to carry stray bold formatting, suggesting it may have been added late. It should be broadened to cover the November 2023 advisory engagement and warrants (see Issue I) and the formatting corrected.</w:t>
      </w:r>
    </w:p>
    <w:p>
      <w:pPr>
        <w:pStyle w:val="ListBullet"/>
        <w:spacing w:after="60"/>
      </w:pPr>
      <w:r>
        <w:t>Item 14.4 asks the Company for “agreements among underwriters,” which are underwriter-side documents not in the Company’s possession; recommend deleting that clause or redirecting it to Oakvale.</w:t>
      </w:r>
    </w:p>
    <w:p>
      <w:pPr>
        <w:pStyle w:val="ListBullet"/>
        <w:spacing w:after="60"/>
      </w:pPr>
      <w:r>
        <w:t>Duplicative items. Items 8.3 and 11.2 (real property leases) and Items 6.7 and 8.1 (CRO agreements) overlap; Item 11.2’s cross-reference solves the first, and a similar cross-reference should be added for CRO and CMO agreements.</w:t>
      </w:r>
    </w:p>
    <w:p>
      <w:pPr>
        <w:pStyle w:val="ListBullet"/>
        <w:spacing w:after="60"/>
      </w:pPr>
      <w:r>
        <w:t>Item 1.5 (good standing within 30 days). Irish companies do not receive a U.S.-style good-standing certificate; recommend allowing a Companies Registration Office extract and annual-return confirmation for GT Research Ireland Ltd. Massachusetts good standing should be obtained for Greenfield Therapeutics Securities Corp.</w:t>
      </w:r>
    </w:p>
    <w:p>
      <w:pPr>
        <w:pStyle w:val="ListBullet"/>
        <w:spacing w:after="60"/>
      </w:pPr>
      <w:r>
        <w:t>Item 3.1 (three years audited). As a pre-revenue issuer the Company should qualify as an emerging growth company and may present two years of audited financial statements in the IPO registration statement; the item should read “for the fiscal years required to be included in the Registration Statement,” and the scaled executive-compensation disclosure available to EGCs should be reflected in Item 10.7 (three named executive officers, two years).</w:t>
      </w:r>
    </w:p>
    <w:p>
      <w:pPr>
        <w:pStyle w:val="ListBullet"/>
        <w:spacing w:after="60"/>
      </w:pPr>
      <w:r>
        <w:t>Item 2.9 (lock-up forms). Should also request the list of proposed lock-up parties (officers, directors and holders of 1% or more, per the Profile Memo), and confirm coverage of the converting noteholders, Oakvale as warrant holder, and the interaction with the 10b5-1 plans.</w:t>
      </w:r>
    </w:p>
    <w:p>
      <w:pPr>
        <w:pStyle w:val="ListBullet"/>
        <w:spacing w:after="60"/>
      </w:pPr>
      <w:r>
        <w:t>Item 6.2 (clinical trial summaries). Should expressly include clinical study reports, statistical analysis plans, the Phase 2 primary endpoint (overall response rate, per the Timeline) and Phase 3 topline data presentations used with investors, so that S-1 efficacy statements can be tied to source documents.</w:t>
      </w:r>
    </w:p>
    <w:p>
      <w:pPr>
        <w:pStyle w:val="ListBullet"/>
        <w:spacing w:after="60"/>
      </w:pPr>
      <w:r>
        <w:t>Section X (employees). Should add a request for documents relating to the Irish workforce (12 employees) and the newly hired 16-person commercial team, and for all employee and consultant invention-assignment agreements (Item 5.3 covers IP assignments generally; confirm it reaches Dr. Xu’s pre-2019 work given the Arclion settlement).</w:t>
      </w:r>
    </w:p>
    <w:p>
      <w:pPr>
        <w:pStyle w:val="ListBullet"/>
        <w:spacing w:after="60"/>
      </w:pPr>
      <w:r>
        <w:t>Section XIII (compliance). Should add Nasdaq governance materials: board and committee charters, independence determinations, and the audit committee financial expert analysis, all of which are Timeline workstreams (§3.7) but absent from the Request List.</w:t>
      </w:r>
    </w:p>
    <w:p>
      <w:pPr>
        <w:pStyle w:val="ListBullet"/>
        <w:spacing w:after="60"/>
      </w:pPr>
      <w:r>
        <w:t>Priority tranche. Given the February 15 target, recommend asking HSL to designate a first-priority tranche (corporate, capitalization, regulatory/clinical hold/Form 483, Harwell license, notes, material contracts, litigation) for production by February 10, with the remainder before the late-February management sessions.</w:t>
      </w:r>
    </w:p>
    <w:p>
      <w:pPr>
        <w:pStyle w:val="Heading1"/>
      </w:pPr>
      <w:r>
        <w:t>V. Company-Side Clean-Up, Privilege and Production Considerations</w:t>
      </w:r>
    </w:p>
    <w:p>
      <w:pPr>
        <w:pStyle w:val="Heading2"/>
      </w:pPr>
      <w:r>
        <w:t>A. Corrections needed in the Company’s own materials before production</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D9D9D9"/>
          </w:tcPr>
          <w:p>
            <w:r/>
            <w:r>
              <w:rPr>
                <w:b/>
                <w:sz w:val="18"/>
              </w:rPr>
              <w:t>Area</w:t>
            </w:r>
          </w:p>
        </w:tc>
        <w:tc>
          <w:tcPr>
            <w:tcW w:type="dxa" w:w="4608"/>
            <w:shd w:val="clear" w:color="auto" w:fill="D9D9D9"/>
          </w:tcPr>
          <w:p>
            <w:r/>
            <w:r>
              <w:rPr>
                <w:b/>
                <w:sz w:val="18"/>
              </w:rPr>
              <w:t>Issue observed</w:t>
            </w:r>
          </w:p>
        </w:tc>
        <w:tc>
          <w:tcPr>
            <w:tcW w:type="dxa" w:w="3024"/>
            <w:shd w:val="clear" w:color="auto" w:fill="D9D9D9"/>
          </w:tcPr>
          <w:p>
            <w:r/>
            <w:r>
              <w:rPr>
                <w:b/>
                <w:sz w:val="18"/>
              </w:rPr>
              <w:t>Action</w:t>
            </w:r>
          </w:p>
        </w:tc>
      </w:tr>
      <w:tr>
        <w:tc>
          <w:tcPr>
            <w:tcW w:type="dxa" w:w="1728"/>
          </w:tcPr>
          <w:p>
            <w:r/>
            <w:r>
              <w:rPr>
                <w:sz w:val="18"/>
              </w:rPr>
              <w:t>Option schedule</w:t>
            </w:r>
          </w:p>
        </w:tc>
        <w:tc>
          <w:tcPr>
            <w:tcW w:type="dxa" w:w="4608"/>
          </w:tcPr>
          <w:p>
            <w:r/>
            <w:r>
              <w:rPr>
                <w:sz w:val="18"/>
              </w:rPr>
              <w:t>Option Detail grants foot to 7,750,000 (vs. 6,100,000 stated; 7,500,000 plan reserve); vested foots to ~5,647,917 (vs. 4,785,417). CFO vesting note (“~40.6 months post-cliff”) is inconsistent with a September 2022 cliff.</w:t>
            </w:r>
          </w:p>
        </w:tc>
        <w:tc>
          <w:tcPr>
            <w:tcW w:type="dxa" w:w="3024"/>
          </w:tcPr>
          <w:p>
            <w:r/>
            <w:r>
              <w:rPr>
                <w:sz w:val="18"/>
              </w:rPr>
              <w:t>Reconcile grant-by-grant to the ledger and board approvals; determine whether any grants exceed the reserve.</w:t>
            </w:r>
          </w:p>
        </w:tc>
      </w:tr>
      <w:tr>
        <w:tc>
          <w:tcPr>
            <w:tcW w:type="dxa" w:w="1728"/>
          </w:tcPr>
          <w:p>
            <w:r/>
            <w:r>
              <w:rPr>
                <w:sz w:val="18"/>
              </w:rPr>
              <w:t>Preferred conversion</w:t>
            </w:r>
          </w:p>
        </w:tc>
        <w:tc>
          <w:tcPr>
            <w:tcW w:type="dxa" w:w="4608"/>
          </w:tcPr>
          <w:p>
            <w:r/>
            <w:r>
              <w:rPr>
                <w:sz w:val="18"/>
              </w:rPr>
              <w:t>Series C/D/E OIPs of $20/$32/$44 exceed the $16–$19 range; pre-money valuations in the Profile Memo do not reconcile to OIPs and share counts.</w:t>
            </w:r>
          </w:p>
        </w:tc>
        <w:tc>
          <w:tcPr>
            <w:tcW w:type="dxa" w:w="3024"/>
          </w:tcPr>
          <w:p>
            <w:r/>
            <w:r>
              <w:rPr>
                <w:sz w:val="18"/>
              </w:rPr>
              <w:t>Confirm charter Qualified IPO thresholds, ratchets and required consents; correct valuation figures.</w:t>
            </w:r>
          </w:p>
        </w:tc>
      </w:tr>
      <w:tr>
        <w:tc>
          <w:tcPr>
            <w:tcW w:type="dxa" w:w="1728"/>
          </w:tcPr>
          <w:p>
            <w:r/>
            <w:r>
              <w:rPr>
                <w:sz w:val="18"/>
              </w:rPr>
              <w:t>Hollcroft / “Voss”</w:t>
            </w:r>
          </w:p>
        </w:tc>
        <w:tc>
          <w:tcPr>
            <w:tcW w:type="dxa" w:w="4608"/>
          </w:tcPr>
          <w:p>
            <w:r/>
            <w:r>
              <w:rPr>
                <w:sz w:val="18"/>
              </w:rPr>
              <w:t>Cap Table and Profile Memo refer to “Voss” in place of Hollcroft; 18.2% of “outstanding common” does not reconcile to 6,718,750 preferred shares.</w:t>
            </w:r>
          </w:p>
        </w:tc>
        <w:tc>
          <w:tcPr>
            <w:tcW w:type="dxa" w:w="3024"/>
          </w:tcPr>
          <w:p>
            <w:r/>
            <w:r>
              <w:rPr>
                <w:sz w:val="18"/>
              </w:rPr>
              <w:t>Correct references; compute beneficial ownership under Rule 13d-3 for the principal stockholders table.</w:t>
            </w:r>
          </w:p>
        </w:tc>
      </w:tr>
      <w:tr>
        <w:tc>
          <w:tcPr>
            <w:tcW w:type="dxa" w:w="1728"/>
          </w:tcPr>
          <w:p>
            <w:r/>
            <w:r>
              <w:rPr>
                <w:sz w:val="18"/>
              </w:rPr>
              <w:t>Convertible notes</w:t>
            </w:r>
          </w:p>
        </w:tc>
        <w:tc>
          <w:tcPr>
            <w:tcW w:type="dxa" w:w="4608"/>
          </w:tcPr>
          <w:p>
            <w:r/>
            <w:r>
              <w:rPr>
                <w:sz w:val="18"/>
              </w:rPr>
              <w:t>Duplicate CN-001 row (one corrupted); conversion shares variously 1,071,429 / 1,130,901 / 1,129,801; 442 vs. 443 days of interest.</w:t>
            </w:r>
          </w:p>
        </w:tc>
        <w:tc>
          <w:tcPr>
            <w:tcW w:type="dxa" w:w="3024"/>
          </w:tcPr>
          <w:p>
            <w:r/>
            <w:r>
              <w:rPr>
                <w:sz w:val="18"/>
              </w:rPr>
              <w:t>Rebuild Note Detail tab; align all documents to one calculation.</w:t>
            </w:r>
          </w:p>
        </w:tc>
      </w:tr>
      <w:tr>
        <w:tc>
          <w:tcPr>
            <w:tcW w:type="dxa" w:w="1728"/>
          </w:tcPr>
          <w:p>
            <w:r/>
            <w:r>
              <w:rPr>
                <w:sz w:val="18"/>
              </w:rPr>
              <w:t>Fully diluted total</w:t>
            </w:r>
          </w:p>
        </w:tc>
        <w:tc>
          <w:tcPr>
            <w:tcW w:type="dxa" w:w="4608"/>
          </w:tcPr>
          <w:p>
            <w:r/>
            <w:r>
              <w:rPr>
                <w:sz w:val="18"/>
              </w:rPr>
              <w:t>“~60,218,750” stated vs. 60,268,750 computed.</w:t>
            </w:r>
          </w:p>
        </w:tc>
        <w:tc>
          <w:tcPr>
            <w:tcW w:type="dxa" w:w="3024"/>
          </w:tcPr>
          <w:p>
            <w:r/>
            <w:r>
              <w:rPr>
                <w:sz w:val="18"/>
              </w:rPr>
              <w:t>Correct.</w:t>
            </w:r>
          </w:p>
        </w:tc>
      </w:tr>
      <w:tr>
        <w:tc>
          <w:tcPr>
            <w:tcW w:type="dxa" w:w="1728"/>
          </w:tcPr>
          <w:p>
            <w:r/>
            <w:r>
              <w:rPr>
                <w:sz w:val="18"/>
              </w:rPr>
              <w:t>Common share basis</w:t>
            </w:r>
          </w:p>
        </w:tc>
        <w:tc>
          <w:tcPr>
            <w:tcW w:type="dxa" w:w="4608"/>
          </w:tcPr>
          <w:p>
            <w:r/>
            <w:r>
              <w:rPr>
                <w:sz w:val="18"/>
              </w:rPr>
              <w:t>Timeline states 42,500,000 common shares outstanding “on an as-converted basis”; Cap Table treats it as common only.</w:t>
            </w:r>
          </w:p>
        </w:tc>
        <w:tc>
          <w:tcPr>
            <w:tcW w:type="dxa" w:w="3024"/>
          </w:tcPr>
          <w:p>
            <w:r/>
            <w:r>
              <w:rPr>
                <w:sz w:val="18"/>
              </w:rPr>
              <w:t>Correct the Timeline capitalization note.</w:t>
            </w:r>
          </w:p>
        </w:tc>
      </w:tr>
      <w:tr>
        <w:tc>
          <w:tcPr>
            <w:tcW w:type="dxa" w:w="1728"/>
          </w:tcPr>
          <w:p>
            <w:r/>
            <w:r>
              <w:rPr>
                <w:sz w:val="18"/>
              </w:rPr>
              <w:t>Regulatory pathway</w:t>
            </w:r>
          </w:p>
        </w:tc>
        <w:tc>
          <w:tcPr>
            <w:tcW w:type="dxa" w:w="4608"/>
          </w:tcPr>
          <w:p>
            <w:r/>
            <w:r>
              <w:rPr>
                <w:sz w:val="18"/>
              </w:rPr>
              <w:t>“BLA” used for a small-molecule product throughout.</w:t>
            </w:r>
          </w:p>
        </w:tc>
        <w:tc>
          <w:tcPr>
            <w:tcW w:type="dxa" w:w="3024"/>
          </w:tcPr>
          <w:p>
            <w:r/>
            <w:r>
              <w:rPr>
                <w:sz w:val="18"/>
              </w:rPr>
              <w:t>Confirm pathway with regulatory counsel; conform all documents and the Harwell milestone analysis.</w:t>
            </w:r>
          </w:p>
        </w:tc>
      </w:tr>
      <w:tr>
        <w:tc>
          <w:tcPr>
            <w:tcW w:type="dxa" w:w="1728"/>
          </w:tcPr>
          <w:p>
            <w:r/>
            <w:r>
              <w:rPr>
                <w:sz w:val="18"/>
              </w:rPr>
              <w:t>Agreement titles</w:t>
            </w:r>
          </w:p>
        </w:tc>
        <w:tc>
          <w:tcPr>
            <w:tcW w:type="dxa" w:w="4608"/>
          </w:tcPr>
          <w:p>
            <w:r/>
            <w:r>
              <w:rPr>
                <w:sz w:val="18"/>
              </w:rPr>
              <w:t>Valcourt and Pinnacle agreements are titled differently across documents.</w:t>
            </w:r>
          </w:p>
        </w:tc>
        <w:tc>
          <w:tcPr>
            <w:tcW w:type="dxa" w:w="3024"/>
          </w:tcPr>
          <w:p>
            <w:r/>
            <w:r>
              <w:rPr>
                <w:sz w:val="18"/>
              </w:rPr>
              <w:t>Use the executed titles for the exhibit index.</w:t>
            </w:r>
          </w:p>
        </w:tc>
      </w:tr>
      <w:tr>
        <w:tc>
          <w:tcPr>
            <w:tcW w:type="dxa" w:w="1728"/>
          </w:tcPr>
          <w:p>
            <w:r/>
            <w:r>
              <w:rPr>
                <w:sz w:val="18"/>
              </w:rPr>
              <w:t>Oakvale characterization</w:t>
            </w:r>
          </w:p>
        </w:tc>
        <w:tc>
          <w:tcPr>
            <w:tcW w:type="dxa" w:w="4608"/>
          </w:tcPr>
          <w:p>
            <w:r/>
            <w:r>
              <w:rPr>
                <w:sz w:val="18"/>
              </w:rPr>
              <w:t>Profile Memo treats Oakvale as an Item 404 related party.</w:t>
            </w:r>
          </w:p>
        </w:tc>
        <w:tc>
          <w:tcPr>
            <w:tcW w:type="dxa" w:w="3024"/>
          </w:tcPr>
          <w:p>
            <w:r/>
            <w:r>
              <w:rPr>
                <w:sz w:val="18"/>
              </w:rPr>
              <w:t>Re-frame as Item 508 / FINRA 5110 and 5121 analysis unless Oakvale is a 5% holder.</w:t>
            </w:r>
          </w:p>
        </w:tc>
      </w:tr>
      <w:tr>
        <w:tc>
          <w:tcPr>
            <w:tcW w:type="dxa" w:w="1728"/>
          </w:tcPr>
          <w:p>
            <w:r/>
            <w:r>
              <w:rPr>
                <w:sz w:val="18"/>
              </w:rPr>
              <w:t>10b5-1 description</w:t>
            </w:r>
          </w:p>
        </w:tc>
        <w:tc>
          <w:tcPr>
            <w:tcW w:type="dxa" w:w="4608"/>
          </w:tcPr>
          <w:p>
            <w:r/>
            <w:r>
              <w:rPr>
                <w:sz w:val="18"/>
              </w:rPr>
              <w:t>Timeline describes the cooling-off trigger as the filing of the next 10-Q/10-K and states Item 408(a) mandates S-1 disclosure.</w:t>
            </w:r>
          </w:p>
        </w:tc>
        <w:tc>
          <w:tcPr>
            <w:tcW w:type="dxa" w:w="3024"/>
          </w:tcPr>
          <w:p>
            <w:r/>
            <w:r>
              <w:rPr>
                <w:sz w:val="18"/>
              </w:rPr>
              <w:t>Correct to the rule text (two business days after disclosure of results; 120-day cap) and revisit the S-1 disclosure basis.</w:t>
            </w:r>
          </w:p>
        </w:tc>
      </w:tr>
    </w:tbl>
    <w:p>
      <w:pPr>
        <w:spacing w:after="40"/>
      </w:pPr>
    </w:p>
    <w:p>
      <w:pPr>
        <w:pStyle w:val="Heading2"/>
      </w:pPr>
      <w:r>
        <w:t>B. Privilege and production protocol</w:t>
      </w:r>
    </w:p>
    <w:p>
      <w:pPr>
        <w:pStyle w:val="ListBullet"/>
        <w:spacing w:after="60"/>
      </w:pPr>
      <w:r>
        <w:t>Email Chain and internal communications. Ms. Tran’s January 27 email indicates the regulatory team has packaged the Form 483, Valcourt’s response and “all related internal communications” for upload. Communications with A&amp;B (including the Email Chain) are privileged and should not be uploaded; internal business communications should be reviewed before production. Withheld items should be logged as the Request List’s Introductory Instructions require.</w:t>
      </w:r>
    </w:p>
    <w:p>
      <w:pPr>
        <w:pStyle w:val="ListBullet"/>
        <w:spacing w:after="60"/>
      </w:pPr>
      <w:r>
        <w:t>Bristow non-infringement opinion. Producing the opinion to underwriters and their counsel risks waiver. Before production, put in place a common-interest and non-waiver agreement with HSL (and Oakvale), consider counsel-only access in a restricted VDR folder, or offer an oral briefing by Bristow IP Group LLP in lieu of the written opinion.</w:t>
      </w:r>
    </w:p>
    <w:p>
      <w:pPr>
        <w:pStyle w:val="ListBullet"/>
        <w:spacing w:after="60"/>
      </w:pPr>
      <w:r>
        <w:t>Valcourt documents. Production of Valcourt’s 483 response and audit materials may be restricted by confidentiality provisions of the Manufacturing and Supply Agreement; confirm and, if needed, obtain Valcourt’s consent. Per Mr. Whitfield’s January 10 advice, confirm the scope of Valcourt’s contractual notice and cooperation obligations and paper any informal cooperation by side letter.</w:t>
      </w:r>
    </w:p>
    <w:p>
      <w:pPr>
        <w:pStyle w:val="ListBullet"/>
        <w:spacing w:after="60"/>
      </w:pPr>
      <w:r>
        <w:t>Risk-factor framing. Ms. Tran’s note about not being “so heavy on the cautionary language” should be balanced against the need for specific, non-generic disclosure of the 483 and the clinical hold; the full regulatory record requested above will be reviewed by the underwriters against the draft language, so the documents and the disclosure must tell the same story.</w:t>
      </w:r>
    </w:p>
    <w:p>
      <w:pPr>
        <w:pStyle w:val="Heading1"/>
      </w:pPr>
      <w:r>
        <w:t>VI. Recommended Next Steps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color="auto" w:fill="D9D9D9"/>
          </w:tcPr>
          <w:p>
            <w:r/>
            <w:r>
              <w:rPr>
                <w:b/>
                <w:sz w:val="18"/>
              </w:rPr>
              <w:t>Timing</w:t>
            </w:r>
          </w:p>
        </w:tc>
        <w:tc>
          <w:tcPr>
            <w:tcW w:type="dxa" w:w="6048"/>
            <w:shd w:val="clear" w:color="auto" w:fill="D9D9D9"/>
          </w:tcPr>
          <w:p>
            <w:r/>
            <w:r>
              <w:rPr>
                <w:b/>
                <w:sz w:val="18"/>
              </w:rPr>
              <w:t>Action</w:t>
            </w:r>
          </w:p>
        </w:tc>
        <w:tc>
          <w:tcPr>
            <w:tcW w:type="dxa" w:w="1872"/>
            <w:shd w:val="clear" w:color="auto" w:fill="D9D9D9"/>
          </w:tcPr>
          <w:p>
            <w:r/>
            <w:r>
              <w:rPr>
                <w:b/>
                <w:sz w:val="18"/>
              </w:rPr>
              <w:t>Responsible</w:t>
            </w:r>
          </w:p>
        </w:tc>
      </w:tr>
      <w:tr>
        <w:tc>
          <w:tcPr>
            <w:tcW w:type="dxa" w:w="1440"/>
          </w:tcPr>
          <w:p>
            <w:r/>
            <w:r>
              <w:rPr>
                <w:sz w:val="18"/>
              </w:rPr>
              <w:t>Feb. 5–6</w:t>
            </w:r>
          </w:p>
        </w:tc>
        <w:tc>
          <w:tcPr>
            <w:tcW w:type="dxa" w:w="6048"/>
          </w:tcPr>
          <w:p>
            <w:r/>
            <w:r>
              <w:rPr>
                <w:sz w:val="18"/>
              </w:rPr>
              <w:t>Partner review of this memo; finalize Appendix A supplemental requests.</w:t>
            </w:r>
          </w:p>
        </w:tc>
        <w:tc>
          <w:tcPr>
            <w:tcW w:type="dxa" w:w="1872"/>
          </w:tcPr>
          <w:p>
            <w:r/>
            <w:r>
              <w:rPr>
                <w:sz w:val="18"/>
              </w:rPr>
              <w:t>M. Whitfield / J. Tsao</w:t>
            </w:r>
          </w:p>
        </w:tc>
      </w:tr>
      <w:tr>
        <w:tc>
          <w:tcPr>
            <w:tcW w:type="dxa" w:w="1440"/>
          </w:tcPr>
          <w:p>
            <w:r/>
            <w:r>
              <w:rPr>
                <w:sz w:val="18"/>
              </w:rPr>
              <w:t>Feb. 6–7</w:t>
            </w:r>
          </w:p>
        </w:tc>
        <w:tc>
          <w:tcPr>
            <w:tcW w:type="dxa" w:w="6048"/>
          </w:tcPr>
          <w:p>
            <w:r/>
            <w:r>
              <w:rPr>
                <w:sz w:val="18"/>
              </w:rPr>
              <w:t>Send Appendix A to David Nakamura (HSL) with a request to adopt the additions and the priority tranche; raise at the first-week-of-February working group call as Ms. Tran requested.</w:t>
            </w:r>
          </w:p>
        </w:tc>
        <w:tc>
          <w:tcPr>
            <w:tcW w:type="dxa" w:w="1872"/>
          </w:tcPr>
          <w:p>
            <w:r/>
            <w:r>
              <w:rPr>
                <w:sz w:val="18"/>
              </w:rPr>
              <w:t>M. Whitfield</w:t>
            </w:r>
          </w:p>
        </w:tc>
      </w:tr>
      <w:tr>
        <w:tc>
          <w:tcPr>
            <w:tcW w:type="dxa" w:w="1440"/>
          </w:tcPr>
          <w:p>
            <w:r/>
            <w:r>
              <w:rPr>
                <w:sz w:val="18"/>
              </w:rPr>
              <w:t>Feb. 7</w:t>
            </w:r>
          </w:p>
        </w:tc>
        <w:tc>
          <w:tcPr>
            <w:tcW w:type="dxa" w:w="6048"/>
          </w:tcPr>
          <w:p>
            <w:r/>
            <w:r>
              <w:rPr>
                <w:sz w:val="18"/>
              </w:rPr>
              <w:t>Circulate D&amp;O and RPT questionnaires (Timeline item 3); include questions addressing the name overlaps and noteholder affiliations noted in Issue I.</w:t>
            </w:r>
          </w:p>
        </w:tc>
        <w:tc>
          <w:tcPr>
            <w:tcW w:type="dxa" w:w="1872"/>
          </w:tcPr>
          <w:p>
            <w:r/>
            <w:r>
              <w:rPr>
                <w:sz w:val="18"/>
              </w:rPr>
              <w:t>J. Tsao</w:t>
            </w:r>
          </w:p>
        </w:tc>
      </w:tr>
      <w:tr>
        <w:tc>
          <w:tcPr>
            <w:tcW w:type="dxa" w:w="1440"/>
          </w:tcPr>
          <w:p>
            <w:r/>
            <w:r>
              <w:rPr>
                <w:sz w:val="18"/>
              </w:rPr>
              <w:t>Feb. 7–10</w:t>
            </w:r>
          </w:p>
        </w:tc>
        <w:tc>
          <w:tcPr>
            <w:tcW w:type="dxa" w:w="6048"/>
          </w:tcPr>
          <w:p>
            <w:r/>
            <w:r>
              <w:rPr>
                <w:sz w:val="18"/>
              </w:rPr>
              <w:t>Cap table reconciliation with Ms. Tran and Thornbury Kapoor; charter conversion analysis; note “Qualified IPO” analysis.</w:t>
            </w:r>
          </w:p>
        </w:tc>
        <w:tc>
          <w:tcPr>
            <w:tcW w:type="dxa" w:w="1872"/>
          </w:tcPr>
          <w:p>
            <w:r/>
            <w:r>
              <w:rPr>
                <w:sz w:val="18"/>
              </w:rPr>
              <w:t>A&amp;B / Company / TK</w:t>
            </w:r>
          </w:p>
        </w:tc>
      </w:tr>
      <w:tr>
        <w:tc>
          <w:tcPr>
            <w:tcW w:type="dxa" w:w="1440"/>
          </w:tcPr>
          <w:p>
            <w:r/>
            <w:r>
              <w:rPr>
                <w:sz w:val="18"/>
              </w:rPr>
              <w:t>Feb. 7–10</w:t>
            </w:r>
          </w:p>
        </w:tc>
        <w:tc>
          <w:tcPr>
            <w:tcW w:type="dxa" w:w="6048"/>
          </w:tcPr>
          <w:p>
            <w:r/>
            <w:r>
              <w:rPr>
                <w:sz w:val="18"/>
              </w:rPr>
              <w:t>Confirm NDA vs. BLA pathway with Company regulatory team; conform drafting.</w:t>
            </w:r>
          </w:p>
        </w:tc>
        <w:tc>
          <w:tcPr>
            <w:tcW w:type="dxa" w:w="1872"/>
          </w:tcPr>
          <w:p>
            <w:r/>
            <w:r>
              <w:rPr>
                <w:sz w:val="18"/>
              </w:rPr>
              <w:t>J. Tsao / D. Chen (VP Reg.)</w:t>
            </w:r>
          </w:p>
        </w:tc>
      </w:tr>
      <w:tr>
        <w:tc>
          <w:tcPr>
            <w:tcW w:type="dxa" w:w="1440"/>
          </w:tcPr>
          <w:p>
            <w:r/>
            <w:r>
              <w:rPr>
                <w:sz w:val="18"/>
              </w:rPr>
              <w:t>Feb. 10</w:t>
            </w:r>
          </w:p>
        </w:tc>
        <w:tc>
          <w:tcPr>
            <w:tcW w:type="dxa" w:w="6048"/>
          </w:tcPr>
          <w:p>
            <w:r/>
            <w:r>
              <w:rPr>
                <w:sz w:val="18"/>
              </w:rPr>
              <w:t>Upload priority tranche (Form 483 package, clinical hold file, Harwell license, notes, Valcourt MSA, 10b5-1 plans) after privilege review; execute common-interest agreement before any opinion is produced.</w:t>
            </w:r>
          </w:p>
        </w:tc>
        <w:tc>
          <w:tcPr>
            <w:tcW w:type="dxa" w:w="1872"/>
          </w:tcPr>
          <w:p>
            <w:r/>
            <w:r>
              <w:rPr>
                <w:sz w:val="18"/>
              </w:rPr>
              <w:t>Company / J. Tsao</w:t>
            </w:r>
          </w:p>
        </w:tc>
      </w:tr>
      <w:tr>
        <w:tc>
          <w:tcPr>
            <w:tcW w:type="dxa" w:w="1440"/>
          </w:tcPr>
          <w:p>
            <w:r/>
            <w:r>
              <w:rPr>
                <w:sz w:val="18"/>
              </w:rPr>
              <w:t>Before Feb. 15</w:t>
            </w:r>
          </w:p>
        </w:tc>
        <w:tc>
          <w:tcPr>
            <w:tcW w:type="dxa" w:w="6048"/>
          </w:tcPr>
          <w:p>
            <w:r/>
            <w:r>
              <w:rPr>
                <w:sz w:val="18"/>
              </w:rPr>
              <w:t>Complete 10b5-1 plan review; confirm status of Valcourt revalidation for the draft risk factor.</w:t>
            </w:r>
          </w:p>
        </w:tc>
        <w:tc>
          <w:tcPr>
            <w:tcW w:type="dxa" w:w="1872"/>
          </w:tcPr>
          <w:p>
            <w:r/>
            <w:r>
              <w:rPr>
                <w:sz w:val="18"/>
              </w:rPr>
              <w:t>M. Whitfield</w:t>
            </w:r>
          </w:p>
        </w:tc>
      </w:tr>
      <w:tr>
        <w:tc>
          <w:tcPr>
            <w:tcW w:type="dxa" w:w="1440"/>
          </w:tcPr>
          <w:p>
            <w:r/>
            <w:r>
              <w:rPr>
                <w:sz w:val="18"/>
              </w:rPr>
              <w:t>Late Feb.</w:t>
            </w:r>
          </w:p>
        </w:tc>
        <w:tc>
          <w:tcPr>
            <w:tcW w:type="dxa" w:w="6048"/>
          </w:tcPr>
          <w:p>
            <w:r/>
            <w:r>
              <w:rPr>
                <w:sz w:val="18"/>
              </w:rPr>
              <w:t>Bring-down of regulatory status (FDA response to Valcourt; revalidation completion) for management diligence sessions.</w:t>
            </w:r>
          </w:p>
        </w:tc>
        <w:tc>
          <w:tcPr>
            <w:tcW w:type="dxa" w:w="1872"/>
          </w:tcPr>
          <w:p>
            <w:r/>
            <w:r>
              <w:rPr>
                <w:sz w:val="18"/>
              </w:rPr>
              <w:t>Company / A&amp;B</w:t>
            </w:r>
          </w:p>
        </w:tc>
      </w:tr>
    </w:tbl>
    <w:p>
      <w:pPr>
        <w:spacing w:after="40"/>
      </w:pPr>
    </w:p>
    <w:p>
      <w:r>
        <w:br w:type="page"/>
      </w:r>
    </w:p>
    <w:p>
      <w:pPr>
        <w:pStyle w:val="Heading1"/>
      </w:pPr>
      <w:r>
        <w:t>Appendix A — Consolidated Proposed Supplemental Requests (for transmission to HSL)</w:t>
      </w:r>
    </w:p>
    <w:p>
      <w:pPr>
        <w:spacing w:after="120"/>
      </w:pPr>
      <w:r>
        <w:rPr>
          <w:b w:val="0"/>
          <w:i/>
          <w:sz w:val="20"/>
        </w:rPr>
        <w:t>The following items are proposed as additions to, or replacements of, items in the Request List. Bracketed issue letters cross-refer to Part III.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val="clear" w:color="auto" w:fill="D9D9D9"/>
          </w:tcPr>
          <w:p>
            <w:r/>
            <w:r>
              <w:rPr>
                <w:b/>
                <w:sz w:val="17"/>
              </w:rPr>
              <w:t>Item</w:t>
            </w:r>
          </w:p>
        </w:tc>
        <w:tc>
          <w:tcPr>
            <w:tcW w:type="dxa" w:w="6624"/>
            <w:shd w:val="clear" w:color="auto" w:fill="D9D9D9"/>
          </w:tcPr>
          <w:p>
            <w:r/>
            <w:r>
              <w:rPr>
                <w:b/>
                <w:sz w:val="17"/>
              </w:rPr>
              <w:t>Proposed request</w:t>
            </w:r>
          </w:p>
        </w:tc>
        <w:tc>
          <w:tcPr>
            <w:tcW w:type="dxa" w:w="720"/>
            <w:shd w:val="clear" w:color="auto" w:fill="D9D9D9"/>
          </w:tcPr>
          <w:p>
            <w:r/>
            <w:r>
              <w:rPr>
                <w:b/>
                <w:sz w:val="17"/>
              </w:rPr>
              <w:t>Issue</w:t>
            </w:r>
          </w:p>
        </w:tc>
        <w:tc>
          <w:tcPr>
            <w:tcW w:type="dxa" w:w="1008"/>
            <w:shd w:val="clear" w:color="auto" w:fill="D9D9D9"/>
          </w:tcPr>
          <w:p>
            <w:r/>
            <w:r>
              <w:rPr>
                <w:b/>
                <w:sz w:val="17"/>
              </w:rPr>
              <w:t>Priority</w:t>
            </w:r>
          </w:p>
        </w:tc>
      </w:tr>
      <w:tr>
        <w:tc>
          <w:tcPr>
            <w:tcW w:type="dxa" w:w="1152"/>
          </w:tcPr>
          <w:p>
            <w:r/>
            <w:r>
              <w:rPr>
                <w:sz w:val="17"/>
              </w:rPr>
              <w:t>6.4A</w:t>
            </w:r>
          </w:p>
        </w:tc>
        <w:tc>
          <w:tcPr>
            <w:tcW w:type="dxa" w:w="6624"/>
          </w:tcPr>
          <w:p>
            <w:r/>
            <w:r>
              <w:rPr>
                <w:sz w:val="17"/>
              </w:rPr>
              <w:t>All FDA Forms 483 (Inspectional Observations), establishment inspection reports, responses and commitments, FDA close-out, untitled or warning letters, and any regulatory meeting requests relating to inspections of (i) any Company or subsidiary facility and (ii) any facility of a contract manufacturer, API or drug-product supplier, testing laboratory or packager used for GT-4100 or any other product candidate (including Valcourt Manufacturing Solutions), in each case since January 1, 2020.</w:t>
            </w:r>
          </w:p>
        </w:tc>
        <w:tc>
          <w:tcPr>
            <w:tcW w:type="dxa" w:w="720"/>
          </w:tcPr>
          <w:p>
            <w:r/>
            <w:r>
              <w:rPr>
                <w:sz w:val="17"/>
              </w:rPr>
              <w:t>A</w:t>
            </w:r>
          </w:p>
        </w:tc>
        <w:tc>
          <w:tcPr>
            <w:tcW w:type="dxa" w:w="1008"/>
          </w:tcPr>
          <w:p>
            <w:r/>
            <w:r>
              <w:rPr>
                <w:sz w:val="17"/>
              </w:rPr>
              <w:t>Critical</w:t>
            </w:r>
          </w:p>
        </w:tc>
      </w:tr>
      <w:tr>
        <w:tc>
          <w:tcPr>
            <w:tcW w:type="dxa" w:w="1152"/>
          </w:tcPr>
          <w:p>
            <w:r/>
            <w:r>
              <w:rPr>
                <w:sz w:val="17"/>
              </w:rPr>
              <w:t>6.4B</w:t>
            </w:r>
          </w:p>
        </w:tc>
        <w:tc>
          <w:tcPr>
            <w:tcW w:type="dxa" w:w="6624"/>
          </w:tcPr>
          <w:p>
            <w:r/>
            <w:r>
              <w:rPr>
                <w:sz w:val="17"/>
              </w:rPr>
              <w:t>All correspondence between the Company and Valcourt concerning the January 8, 2025 Form 483, the January 22, 2025 response, the cleaning-validation remediation and revalidation (including status reports and completion evidence), and any further FDA communications; and an officer’s description of the current status as of each bring-down.</w:t>
            </w:r>
          </w:p>
        </w:tc>
        <w:tc>
          <w:tcPr>
            <w:tcW w:type="dxa" w:w="720"/>
          </w:tcPr>
          <w:p>
            <w:r/>
            <w:r>
              <w:rPr>
                <w:sz w:val="17"/>
              </w:rPr>
              <w:t>A</w:t>
            </w:r>
          </w:p>
        </w:tc>
        <w:tc>
          <w:tcPr>
            <w:tcW w:type="dxa" w:w="1008"/>
          </w:tcPr>
          <w:p>
            <w:r/>
            <w:r>
              <w:rPr>
                <w:sz w:val="17"/>
              </w:rPr>
              <w:t>Critical</w:t>
            </w:r>
          </w:p>
        </w:tc>
      </w:tr>
      <w:tr>
        <w:tc>
          <w:tcPr>
            <w:tcW w:type="dxa" w:w="1152"/>
          </w:tcPr>
          <w:p>
            <w:r/>
            <w:r>
              <w:rPr>
                <w:sz w:val="17"/>
              </w:rPr>
              <w:t>6.4C</w:t>
            </w:r>
          </w:p>
        </w:tc>
        <w:tc>
          <w:tcPr>
            <w:tcW w:type="dxa" w:w="6624"/>
          </w:tcPr>
          <w:p>
            <w:r/>
            <w:r>
              <w:rPr>
                <w:sz w:val="17"/>
              </w:rPr>
              <w:t>The Valcourt Manufacturing and Supply Agreement and quality agreement, together with all amendments, notices, audit reports (Company or third-party audits of Valcourt), batch-failure, deviation and supply-interruption records, and any back-up or second-source manufacturing arrangements or plans.</w:t>
            </w:r>
          </w:p>
        </w:tc>
        <w:tc>
          <w:tcPr>
            <w:tcW w:type="dxa" w:w="720"/>
          </w:tcPr>
          <w:p>
            <w:r/>
            <w:r>
              <w:rPr>
                <w:sz w:val="17"/>
              </w:rPr>
              <w:t>A</w:t>
            </w:r>
          </w:p>
        </w:tc>
        <w:tc>
          <w:tcPr>
            <w:tcW w:type="dxa" w:w="1008"/>
          </w:tcPr>
          <w:p>
            <w:r/>
            <w:r>
              <w:rPr>
                <w:sz w:val="17"/>
              </w:rPr>
              <w:t>Critical</w:t>
            </w:r>
          </w:p>
        </w:tc>
      </w:tr>
      <w:tr>
        <w:tc>
          <w:tcPr>
            <w:tcW w:type="dxa" w:w="1152"/>
          </w:tcPr>
          <w:p>
            <w:r/>
            <w:r>
              <w:rPr>
                <w:sz w:val="17"/>
              </w:rPr>
              <w:t>6.4D</w:t>
            </w:r>
          </w:p>
        </w:tc>
        <w:tc>
          <w:tcPr>
            <w:tcW w:type="dxa" w:w="6624"/>
          </w:tcPr>
          <w:p>
            <w:r/>
            <w:r>
              <w:rPr>
                <w:sz w:val="17"/>
              </w:rPr>
              <w:t>Any FDA Form 483s, EIRs or warning letters issued to Valcourt in the past five years at any facility that manufactures, or is expected to manufacture, Company product (to the extent available to the Company), and the Company’s CMO qualification files.</w:t>
            </w:r>
          </w:p>
        </w:tc>
        <w:tc>
          <w:tcPr>
            <w:tcW w:type="dxa" w:w="720"/>
          </w:tcPr>
          <w:p>
            <w:r/>
            <w:r>
              <w:rPr>
                <w:sz w:val="17"/>
              </w:rPr>
              <w:t>A</w:t>
            </w:r>
          </w:p>
        </w:tc>
        <w:tc>
          <w:tcPr>
            <w:tcW w:type="dxa" w:w="1008"/>
          </w:tcPr>
          <w:p>
            <w:r/>
            <w:r>
              <w:rPr>
                <w:sz w:val="17"/>
              </w:rPr>
              <w:t>Critical</w:t>
            </w:r>
          </w:p>
        </w:tc>
      </w:tr>
      <w:tr>
        <w:tc>
          <w:tcPr>
            <w:tcW w:type="dxa" w:w="1152"/>
          </w:tcPr>
          <w:p>
            <w:r/>
            <w:r>
              <w:rPr>
                <w:sz w:val="17"/>
              </w:rPr>
              <w:t>6.9</w:t>
            </w:r>
          </w:p>
        </w:tc>
        <w:tc>
          <w:tcPr>
            <w:tcW w:type="dxa" w:w="6624"/>
          </w:tcPr>
          <w:p>
            <w:r/>
            <w:r>
              <w:rPr>
                <w:sz w:val="17"/>
              </w:rPr>
              <w:t>All documents relating to any clinical hold (full or partial) imposed on any Company IND, including FDA hold letters, the Company’s complete response(s), FDA release letters, revised protocols and informed-consent forms, investigator communications, and any subsequent FDA communications referring to the hold or the hepatic monitoring protocol.</w:t>
            </w:r>
          </w:p>
        </w:tc>
        <w:tc>
          <w:tcPr>
            <w:tcW w:type="dxa" w:w="720"/>
          </w:tcPr>
          <w:p>
            <w:r/>
            <w:r>
              <w:rPr>
                <w:sz w:val="17"/>
              </w:rPr>
              <w:t>B</w:t>
            </w:r>
          </w:p>
        </w:tc>
        <w:tc>
          <w:tcPr>
            <w:tcW w:type="dxa" w:w="1008"/>
          </w:tcPr>
          <w:p>
            <w:r/>
            <w:r>
              <w:rPr>
                <w:sz w:val="17"/>
              </w:rPr>
              <w:t>Critical</w:t>
            </w:r>
          </w:p>
        </w:tc>
      </w:tr>
      <w:tr>
        <w:tc>
          <w:tcPr>
            <w:tcW w:type="dxa" w:w="1152"/>
          </w:tcPr>
          <w:p>
            <w:r/>
            <w:r>
              <w:rPr>
                <w:sz w:val="17"/>
              </w:rPr>
              <w:t>6.10</w:t>
            </w:r>
          </w:p>
        </w:tc>
        <w:tc>
          <w:tcPr>
            <w:tcW w:type="dxa" w:w="6624"/>
          </w:tcPr>
          <w:p>
            <w:r/>
            <w:r>
              <w:rPr>
                <w:sz w:val="17"/>
              </w:rPr>
              <w:t>Integrated summaries of hepatic adverse events and other adverse events of special interest across all GT-4100 studies (including post-hold Phase 3 data), DSMB/DMC charters and meeting minutes, and any FDA communications regarding labeling, REMS or post-marketing requirements under discussion.</w:t>
            </w:r>
          </w:p>
        </w:tc>
        <w:tc>
          <w:tcPr>
            <w:tcW w:type="dxa" w:w="720"/>
          </w:tcPr>
          <w:p>
            <w:r/>
            <w:r>
              <w:rPr>
                <w:sz w:val="17"/>
              </w:rPr>
              <w:t>B</w:t>
            </w:r>
          </w:p>
        </w:tc>
        <w:tc>
          <w:tcPr>
            <w:tcW w:type="dxa" w:w="1008"/>
          </w:tcPr>
          <w:p>
            <w:r/>
            <w:r>
              <w:rPr>
                <w:sz w:val="17"/>
              </w:rPr>
              <w:t>Critical</w:t>
            </w:r>
          </w:p>
        </w:tc>
      </w:tr>
      <w:tr>
        <w:tc>
          <w:tcPr>
            <w:tcW w:type="dxa" w:w="1152"/>
          </w:tcPr>
          <w:p>
            <w:r/>
            <w:r>
              <w:rPr>
                <w:sz w:val="17"/>
              </w:rPr>
              <w:t>6.6 (revised)</w:t>
            </w:r>
          </w:p>
        </w:tc>
        <w:tc>
          <w:tcPr>
            <w:tcW w:type="dxa" w:w="6624"/>
          </w:tcPr>
          <w:p>
            <w:r/>
            <w:r>
              <w:rPr>
                <w:sz w:val="17"/>
              </w:rPr>
              <w:t>Description of the Company’s regulatory strategy and the statutory pathway for each product candidate (NDA under FD&amp;C Act §505(b)(1) or (b)(2), BLA under PHSA §351, or otherwise), together with expected filing dates, any expedited-program designations (Fast Track, Breakthrough Therapy, Priority Review, Accelerated Approval, Orphan Drug), exclusivity analyses, and the planned EU MAA through GT Research Ireland Ltd.</w:t>
            </w:r>
          </w:p>
        </w:tc>
        <w:tc>
          <w:tcPr>
            <w:tcW w:type="dxa" w:w="720"/>
          </w:tcPr>
          <w:p>
            <w:r/>
            <w:r>
              <w:rPr>
                <w:sz w:val="17"/>
              </w:rPr>
              <w:t>C</w:t>
            </w:r>
          </w:p>
        </w:tc>
        <w:tc>
          <w:tcPr>
            <w:tcW w:type="dxa" w:w="1008"/>
          </w:tcPr>
          <w:p>
            <w:r/>
            <w:r>
              <w:rPr>
                <w:sz w:val="17"/>
              </w:rPr>
              <w:t>High</w:t>
            </w:r>
          </w:p>
        </w:tc>
      </w:tr>
      <w:tr>
        <w:tc>
          <w:tcPr>
            <w:tcW w:type="dxa" w:w="1152"/>
          </w:tcPr>
          <w:p>
            <w:r/>
            <w:r>
              <w:rPr>
                <w:sz w:val="17"/>
              </w:rPr>
              <w:t>6.11</w:t>
            </w:r>
          </w:p>
        </w:tc>
        <w:tc>
          <w:tcPr>
            <w:tcW w:type="dxa" w:w="6624"/>
          </w:tcPr>
          <w:p>
            <w:r/>
            <w:r>
              <w:rPr>
                <w:sz w:val="17"/>
              </w:rPr>
              <w:t>Complete FDA meeting packages, briefing documents and final minutes for the September 18, 2024 Type B pre-submission meeting and all prior Type A/B/C meetings, and the EMA Scientific Advice request and final advice letter (November 2024).</w:t>
            </w:r>
          </w:p>
        </w:tc>
        <w:tc>
          <w:tcPr>
            <w:tcW w:type="dxa" w:w="720"/>
          </w:tcPr>
          <w:p>
            <w:r/>
            <w:r>
              <w:rPr>
                <w:sz w:val="17"/>
              </w:rPr>
              <w:t>C</w:t>
            </w:r>
          </w:p>
        </w:tc>
        <w:tc>
          <w:tcPr>
            <w:tcW w:type="dxa" w:w="1008"/>
          </w:tcPr>
          <w:p>
            <w:r/>
            <w:r>
              <w:rPr>
                <w:sz w:val="17"/>
              </w:rPr>
              <w:t>High</w:t>
            </w:r>
          </w:p>
        </w:tc>
      </w:tr>
      <w:tr>
        <w:tc>
          <w:tcPr>
            <w:tcW w:type="dxa" w:w="1152"/>
          </w:tcPr>
          <w:p>
            <w:r/>
            <w:r>
              <w:rPr>
                <w:sz w:val="17"/>
              </w:rPr>
              <w:t>2.11</w:t>
            </w:r>
          </w:p>
        </w:tc>
        <w:tc>
          <w:tcPr>
            <w:tcW w:type="dxa" w:w="6624"/>
          </w:tcPr>
          <w:p>
            <w:r/>
            <w:r>
              <w:rPr>
                <w:sz w:val="17"/>
              </w:rPr>
              <w:t>The note purchase agreement(s), each convertible promissory note, all amendments, waivers, consents and side letters, any security, guaranty or subordination agreements, and a schedule identifying each noteholder (and its affiliation with any director, officer or 5% stockholder), principal, accrued interest and conversion terms.</w:t>
            </w:r>
          </w:p>
        </w:tc>
        <w:tc>
          <w:tcPr>
            <w:tcW w:type="dxa" w:w="720"/>
          </w:tcPr>
          <w:p>
            <w:r/>
            <w:r>
              <w:rPr>
                <w:sz w:val="17"/>
              </w:rPr>
              <w:t>D</w:t>
            </w:r>
          </w:p>
        </w:tc>
        <w:tc>
          <w:tcPr>
            <w:tcW w:type="dxa" w:w="1008"/>
          </w:tcPr>
          <w:p>
            <w:r/>
            <w:r>
              <w:rPr>
                <w:sz w:val="17"/>
              </w:rPr>
              <w:t>Critical</w:t>
            </w:r>
          </w:p>
        </w:tc>
      </w:tr>
      <w:tr>
        <w:tc>
          <w:tcPr>
            <w:tcW w:type="dxa" w:w="1152"/>
          </w:tcPr>
          <w:p>
            <w:r/>
            <w:r>
              <w:rPr>
                <w:sz w:val="17"/>
              </w:rPr>
              <w:t>2.12</w:t>
            </w:r>
          </w:p>
        </w:tc>
        <w:tc>
          <w:tcPr>
            <w:tcW w:type="dxa" w:w="6624"/>
          </w:tcPr>
          <w:p>
            <w:r/>
            <w:r>
              <w:rPr>
                <w:sz w:val="17"/>
              </w:rPr>
              <w:t>A calculation, prepared by the Company and reviewed by its auditors, of the shares issuable on conversion at the low, mid and high points of the price range and at the assumed closing date, and an analysis confirming that the Offering will constitute a “Qualified IPO” (or equivalent) under the notes and that no noteholder consent is required.</w:t>
            </w:r>
          </w:p>
        </w:tc>
        <w:tc>
          <w:tcPr>
            <w:tcW w:type="dxa" w:w="720"/>
          </w:tcPr>
          <w:p>
            <w:r/>
            <w:r>
              <w:rPr>
                <w:sz w:val="17"/>
              </w:rPr>
              <w:t>D</w:t>
            </w:r>
          </w:p>
        </w:tc>
        <w:tc>
          <w:tcPr>
            <w:tcW w:type="dxa" w:w="1008"/>
          </w:tcPr>
          <w:p>
            <w:r/>
            <w:r>
              <w:rPr>
                <w:sz w:val="17"/>
              </w:rPr>
              <w:t>Critical</w:t>
            </w:r>
          </w:p>
        </w:tc>
      </w:tr>
      <w:tr>
        <w:tc>
          <w:tcPr>
            <w:tcW w:type="dxa" w:w="1152"/>
          </w:tcPr>
          <w:p>
            <w:r/>
            <w:r>
              <w:rPr>
                <w:sz w:val="17"/>
              </w:rPr>
              <w:t>2.13</w:t>
            </w:r>
          </w:p>
        </w:tc>
        <w:tc>
          <w:tcPr>
            <w:tcW w:type="dxa" w:w="6624"/>
          </w:tcPr>
          <w:p>
            <w:r/>
            <w:r>
              <w:rPr>
                <w:sz w:val="17"/>
              </w:rPr>
              <w:t>The Company’s stock ledger and a reconciliation of the cap table to the ledger, the certificate of incorporation, and board and stockholder approvals for every issuance, including a grant-by-grant reconciliation of all option awards to the 2020 Plan reserve (and evidence of plan amendments, ISO limits and stockholder approvals).</w:t>
            </w:r>
          </w:p>
        </w:tc>
        <w:tc>
          <w:tcPr>
            <w:tcW w:type="dxa" w:w="720"/>
          </w:tcPr>
          <w:p>
            <w:r/>
            <w:r>
              <w:rPr>
                <w:sz w:val="17"/>
              </w:rPr>
              <w:t>E</w:t>
            </w:r>
          </w:p>
        </w:tc>
        <w:tc>
          <w:tcPr>
            <w:tcW w:type="dxa" w:w="1008"/>
          </w:tcPr>
          <w:p>
            <w:r/>
            <w:r>
              <w:rPr>
                <w:sz w:val="17"/>
              </w:rPr>
              <w:t>Critical</w:t>
            </w:r>
          </w:p>
        </w:tc>
      </w:tr>
      <w:tr>
        <w:tc>
          <w:tcPr>
            <w:tcW w:type="dxa" w:w="1152"/>
          </w:tcPr>
          <w:p>
            <w:r/>
            <w:r>
              <w:rPr>
                <w:sz w:val="17"/>
              </w:rPr>
              <w:t>2.14</w:t>
            </w:r>
          </w:p>
        </w:tc>
        <w:tc>
          <w:tcPr>
            <w:tcW w:type="dxa" w:w="6624"/>
          </w:tcPr>
          <w:p>
            <w:r/>
            <w:r>
              <w:rPr>
                <w:sz w:val="17"/>
              </w:rPr>
              <w:t>An analysis of the automatic-conversion, “Qualified IPO,” anti-dilution, price-protection and protective provisions of the certificate of incorporation as applied to the expected price range, and copies of any required preferred-stock consents or waivers (or the plan for obtaining them).</w:t>
            </w:r>
          </w:p>
        </w:tc>
        <w:tc>
          <w:tcPr>
            <w:tcW w:type="dxa" w:w="720"/>
          </w:tcPr>
          <w:p>
            <w:r/>
            <w:r>
              <w:rPr>
                <w:sz w:val="17"/>
              </w:rPr>
              <w:t>E</w:t>
            </w:r>
          </w:p>
        </w:tc>
        <w:tc>
          <w:tcPr>
            <w:tcW w:type="dxa" w:w="1008"/>
          </w:tcPr>
          <w:p>
            <w:r/>
            <w:r>
              <w:rPr>
                <w:sz w:val="17"/>
              </w:rPr>
              <w:t>Critical</w:t>
            </w:r>
          </w:p>
        </w:tc>
      </w:tr>
      <w:tr>
        <w:tc>
          <w:tcPr>
            <w:tcW w:type="dxa" w:w="1152"/>
          </w:tcPr>
          <w:p>
            <w:r/>
            <w:r>
              <w:rPr>
                <w:sz w:val="17"/>
              </w:rPr>
              <w:t>2.15</w:t>
            </w:r>
          </w:p>
        </w:tc>
        <w:tc>
          <w:tcPr>
            <w:tcW w:type="dxa" w:w="6624"/>
          </w:tcPr>
          <w:p>
            <w:r/>
            <w:r>
              <w:rPr>
                <w:sz w:val="17"/>
              </w:rPr>
              <w:t>Schedule of all issuances of securities in the past three years (including options, notes, warrants and preferred stock) with the exemption relied upon, Form D and blue-sky filings, and Rule 701 compliance (including Rule 701(e) disclosure delivered if the $10 million threshold was exceeded in any 12-month period).</w:t>
            </w:r>
          </w:p>
        </w:tc>
        <w:tc>
          <w:tcPr>
            <w:tcW w:type="dxa" w:w="720"/>
          </w:tcPr>
          <w:p>
            <w:r/>
            <w:r>
              <w:rPr>
                <w:sz w:val="17"/>
              </w:rPr>
              <w:t>E</w:t>
            </w:r>
          </w:p>
        </w:tc>
        <w:tc>
          <w:tcPr>
            <w:tcW w:type="dxa" w:w="1008"/>
          </w:tcPr>
          <w:p>
            <w:r/>
            <w:r>
              <w:rPr>
                <w:sz w:val="17"/>
              </w:rPr>
              <w:t>Critical</w:t>
            </w:r>
          </w:p>
        </w:tc>
      </w:tr>
      <w:tr>
        <w:tc>
          <w:tcPr>
            <w:tcW w:type="dxa" w:w="1152"/>
          </w:tcPr>
          <w:p>
            <w:r/>
            <w:r>
              <w:rPr>
                <w:sz w:val="17"/>
              </w:rPr>
              <w:t>2.16</w:t>
            </w:r>
          </w:p>
        </w:tc>
        <w:tc>
          <w:tcPr>
            <w:tcW w:type="dxa" w:w="6624"/>
          </w:tcPr>
          <w:p>
            <w:r/>
            <w:r>
              <w:rPr>
                <w:sz w:val="17"/>
              </w:rPr>
              <w:t>All 409A valuation reports since the 2020 Plan was adopted (not only the last three years), the board materials approving each grant, and any cheap-stock analysis prepared with Thornbury Kapoor in light of the $14.80 (Dec. 15, 2024) valuation versus the $16–$19 range.</w:t>
            </w:r>
          </w:p>
        </w:tc>
        <w:tc>
          <w:tcPr>
            <w:tcW w:type="dxa" w:w="720"/>
          </w:tcPr>
          <w:p>
            <w:r/>
            <w:r>
              <w:rPr>
                <w:sz w:val="17"/>
              </w:rPr>
              <w:t>E</w:t>
            </w:r>
          </w:p>
        </w:tc>
        <w:tc>
          <w:tcPr>
            <w:tcW w:type="dxa" w:w="1008"/>
          </w:tcPr>
          <w:p>
            <w:r/>
            <w:r>
              <w:rPr>
                <w:sz w:val="17"/>
              </w:rPr>
              <w:t>Critical</w:t>
            </w:r>
          </w:p>
        </w:tc>
      </w:tr>
      <w:tr>
        <w:tc>
          <w:tcPr>
            <w:tcW w:type="dxa" w:w="1152"/>
          </w:tcPr>
          <w:p>
            <w:r/>
            <w:r>
              <w:rPr>
                <w:sz w:val="17"/>
              </w:rPr>
              <w:t>1.11</w:t>
            </w:r>
          </w:p>
        </w:tc>
        <w:tc>
          <w:tcPr>
            <w:tcW w:type="dxa" w:w="6624"/>
          </w:tcPr>
          <w:p>
            <w:r/>
            <w:r>
              <w:rPr>
                <w:sz w:val="17"/>
              </w:rPr>
              <w:t>For each joint venture, partnership, minority equity investment or other entity in which the Company holds any equity interest that is not a wholly-owned subsidiary (including OmniLabel Diagnostics LLC): formation documents, operating or partnership agreement, capital contribution and capital-call records, governance and board/manager minutes, option and buy-sell provisions, financial statements, and the Company’s accounting analysis (equity method, VIE and Rule 3-09 significance tests).</w:t>
            </w:r>
          </w:p>
        </w:tc>
        <w:tc>
          <w:tcPr>
            <w:tcW w:type="dxa" w:w="720"/>
          </w:tcPr>
          <w:p>
            <w:r/>
            <w:r>
              <w:rPr>
                <w:sz w:val="17"/>
              </w:rPr>
              <w:t>F</w:t>
            </w:r>
          </w:p>
        </w:tc>
        <w:tc>
          <w:tcPr>
            <w:tcW w:type="dxa" w:w="1008"/>
          </w:tcPr>
          <w:p>
            <w:r/>
            <w:r>
              <w:rPr>
                <w:sz w:val="17"/>
              </w:rPr>
              <w:t>High</w:t>
            </w:r>
          </w:p>
        </w:tc>
      </w:tr>
      <w:tr>
        <w:tc>
          <w:tcPr>
            <w:tcW w:type="dxa" w:w="1152"/>
          </w:tcPr>
          <w:p>
            <w:r/>
            <w:r>
              <w:rPr>
                <w:sz w:val="17"/>
              </w:rPr>
              <w:t>6.12</w:t>
            </w:r>
          </w:p>
        </w:tc>
        <w:tc>
          <w:tcPr>
            <w:tcW w:type="dxa" w:w="6624"/>
          </w:tcPr>
          <w:p>
            <w:r/>
            <w:r>
              <w:rPr>
                <w:sz w:val="17"/>
              </w:rPr>
              <w:t>Regulatory strategy, FDA (CDRH) correspondence and development timeline for any companion or complementary diagnostic, including whether approval of GT-4100 is dependent on it.</w:t>
            </w:r>
          </w:p>
        </w:tc>
        <w:tc>
          <w:tcPr>
            <w:tcW w:type="dxa" w:w="720"/>
          </w:tcPr>
          <w:p>
            <w:r/>
            <w:r>
              <w:rPr>
                <w:sz w:val="17"/>
              </w:rPr>
              <w:t>F</w:t>
            </w:r>
          </w:p>
        </w:tc>
        <w:tc>
          <w:tcPr>
            <w:tcW w:type="dxa" w:w="1008"/>
          </w:tcPr>
          <w:p>
            <w:r/>
            <w:r>
              <w:rPr>
                <w:sz w:val="17"/>
              </w:rPr>
              <w:t>High</w:t>
            </w:r>
          </w:p>
        </w:tc>
      </w:tr>
      <w:tr>
        <w:tc>
          <w:tcPr>
            <w:tcW w:type="dxa" w:w="1152"/>
          </w:tcPr>
          <w:p>
            <w:r/>
            <w:r>
              <w:rPr>
                <w:sz w:val="17"/>
              </w:rPr>
              <w:t>5.6</w:t>
            </w:r>
          </w:p>
        </w:tc>
        <w:tc>
          <w:tcPr>
            <w:tcW w:type="dxa" w:w="6624"/>
          </w:tcPr>
          <w:p>
            <w:r/>
            <w:r>
              <w:rPr>
                <w:sz w:val="17"/>
              </w:rPr>
              <w:t>The Harwell University Exclusive License Agreement (July 8, 2016) and all amendments, side letters, consents and waivers; evidence of each milestone and other payment made; diligence and reporting obligations and reports delivered; all sublicenses and Harwell consents; and all material correspondence, including any notice of breach, dispute or audit.</w:t>
            </w:r>
          </w:p>
        </w:tc>
        <w:tc>
          <w:tcPr>
            <w:tcW w:type="dxa" w:w="720"/>
          </w:tcPr>
          <w:p>
            <w:r/>
            <w:r>
              <w:rPr>
                <w:sz w:val="17"/>
              </w:rPr>
              <w:t>G</w:t>
            </w:r>
          </w:p>
        </w:tc>
        <w:tc>
          <w:tcPr>
            <w:tcW w:type="dxa" w:w="1008"/>
          </w:tcPr>
          <w:p>
            <w:r/>
            <w:r>
              <w:rPr>
                <w:sz w:val="17"/>
              </w:rPr>
              <w:t>Critical</w:t>
            </w:r>
          </w:p>
        </w:tc>
      </w:tr>
      <w:tr>
        <w:tc>
          <w:tcPr>
            <w:tcW w:type="dxa" w:w="1152"/>
          </w:tcPr>
          <w:p>
            <w:r/>
            <w:r>
              <w:rPr>
                <w:sz w:val="17"/>
              </w:rPr>
              <w:t>5.7</w:t>
            </w:r>
          </w:p>
        </w:tc>
        <w:tc>
          <w:tcPr>
            <w:tcW w:type="dxa" w:w="6624"/>
          </w:tcPr>
          <w:p>
            <w:r/>
            <w:r>
              <w:rPr>
                <w:sz w:val="17"/>
              </w:rPr>
              <w:t>For each in-licensed patent family: retained research, publication and other rights of the licensor; any federal funding and resulting government rights (including Bayh-Dole confirmatory licenses, invention reports, march-in and U.S.-manufacturing obligations and any waivers); and any assignment, change-of-control or termination provision that could be triggered by the Offering.</w:t>
            </w:r>
          </w:p>
        </w:tc>
        <w:tc>
          <w:tcPr>
            <w:tcW w:type="dxa" w:w="720"/>
          </w:tcPr>
          <w:p>
            <w:r/>
            <w:r>
              <w:rPr>
                <w:sz w:val="17"/>
              </w:rPr>
              <w:t>G</w:t>
            </w:r>
          </w:p>
        </w:tc>
        <w:tc>
          <w:tcPr>
            <w:tcW w:type="dxa" w:w="1008"/>
          </w:tcPr>
          <w:p>
            <w:r/>
            <w:r>
              <w:rPr>
                <w:sz w:val="17"/>
              </w:rPr>
              <w:t>Critical</w:t>
            </w:r>
          </w:p>
        </w:tc>
      </w:tr>
      <w:tr>
        <w:tc>
          <w:tcPr>
            <w:tcW w:type="dxa" w:w="1152"/>
          </w:tcPr>
          <w:p>
            <w:r/>
            <w:r>
              <w:rPr>
                <w:sz w:val="17"/>
              </w:rPr>
              <w:t>5.8</w:t>
            </w:r>
          </w:p>
        </w:tc>
        <w:tc>
          <w:tcPr>
            <w:tcW w:type="dxa" w:w="6624"/>
          </w:tcPr>
          <w:p>
            <w:r/>
            <w:r>
              <w:rPr>
                <w:sz w:val="17"/>
              </w:rPr>
              <w:t>All communications from any third party alleging infringement, misappropriation or invalidity, or offering or demanding a license (including the August 3, 2024 Cytos Pharma AG letter and any response), and all freedom-to-operate, non-infringement, validity or patentability opinions or analyses relating to any product candidate (including the October 15, 2024 Bristow IP Group LLP opinion), to be produced under an appropriate common-interest/non-waiver arrangement (see Part V).</w:t>
            </w:r>
          </w:p>
        </w:tc>
        <w:tc>
          <w:tcPr>
            <w:tcW w:type="dxa" w:w="720"/>
          </w:tcPr>
          <w:p>
            <w:r/>
            <w:r>
              <w:rPr>
                <w:sz w:val="17"/>
              </w:rPr>
              <w:t>H</w:t>
            </w:r>
          </w:p>
        </w:tc>
        <w:tc>
          <w:tcPr>
            <w:tcW w:type="dxa" w:w="1008"/>
          </w:tcPr>
          <w:p>
            <w:r/>
            <w:r>
              <w:rPr>
                <w:sz w:val="17"/>
              </w:rPr>
              <w:t>High</w:t>
            </w:r>
          </w:p>
        </w:tc>
      </w:tr>
      <w:tr>
        <w:tc>
          <w:tcPr>
            <w:tcW w:type="dxa" w:w="1152"/>
          </w:tcPr>
          <w:p>
            <w:r/>
            <w:r>
              <w:rPr>
                <w:sz w:val="17"/>
              </w:rPr>
              <w:t>5.9</w:t>
            </w:r>
          </w:p>
        </w:tc>
        <w:tc>
          <w:tcPr>
            <w:tcW w:type="dxa" w:w="6624"/>
          </w:tcPr>
          <w:p>
            <w:r/>
            <w:r>
              <w:rPr>
                <w:sz w:val="17"/>
              </w:rPr>
              <w:t>Description of measures used to protect trade secrets (including the GT-4100 API manufacturing process), confidentiality and technology-transfer terms with Valcourt and other vendors, and any known or suspected misappropriation.</w:t>
            </w:r>
          </w:p>
        </w:tc>
        <w:tc>
          <w:tcPr>
            <w:tcW w:type="dxa" w:w="720"/>
          </w:tcPr>
          <w:p>
            <w:r/>
            <w:r>
              <w:rPr>
                <w:sz w:val="17"/>
              </w:rPr>
              <w:t>H</w:t>
            </w:r>
          </w:p>
        </w:tc>
        <w:tc>
          <w:tcPr>
            <w:tcW w:type="dxa" w:w="1008"/>
          </w:tcPr>
          <w:p>
            <w:r/>
            <w:r>
              <w:rPr>
                <w:sz w:val="17"/>
              </w:rPr>
              <w:t>High</w:t>
            </w:r>
          </w:p>
        </w:tc>
      </w:tr>
      <w:tr>
        <w:tc>
          <w:tcPr>
            <w:tcW w:type="dxa" w:w="1152"/>
          </w:tcPr>
          <w:p>
            <w:r/>
            <w:r>
              <w:rPr>
                <w:sz w:val="17"/>
              </w:rPr>
              <w:t>15.1</w:t>
            </w:r>
          </w:p>
        </w:tc>
        <w:tc>
          <w:tcPr>
            <w:tcW w:type="dxa" w:w="6624"/>
          </w:tcPr>
          <w:p>
            <w:r/>
            <w:r>
              <w:rPr>
                <w:sz w:val="17"/>
              </w:rPr>
              <w:t>Completed D&amp;O questionnaires from each director, director nominee and executive officer, and 5% stockholder questionnaires, together with the Company’s related-person transaction policy and any board conflict-of-interest determinations or waivers.</w:t>
            </w:r>
          </w:p>
        </w:tc>
        <w:tc>
          <w:tcPr>
            <w:tcW w:type="dxa" w:w="720"/>
          </w:tcPr>
          <w:p>
            <w:r/>
            <w:r>
              <w:rPr>
                <w:sz w:val="17"/>
              </w:rPr>
              <w:t>I</w:t>
            </w:r>
          </w:p>
        </w:tc>
        <w:tc>
          <w:tcPr>
            <w:tcW w:type="dxa" w:w="1008"/>
          </w:tcPr>
          <w:p>
            <w:r/>
            <w:r>
              <w:rPr>
                <w:sz w:val="17"/>
              </w:rPr>
              <w:t>Critical</w:t>
            </w:r>
          </w:p>
        </w:tc>
      </w:tr>
      <w:tr>
        <w:tc>
          <w:tcPr>
            <w:tcW w:type="dxa" w:w="1152"/>
          </w:tcPr>
          <w:p>
            <w:r/>
            <w:r>
              <w:rPr>
                <w:sz w:val="17"/>
              </w:rPr>
              <w:t>15.2</w:t>
            </w:r>
          </w:p>
        </w:tc>
        <w:tc>
          <w:tcPr>
            <w:tcW w:type="dxa" w:w="6624"/>
          </w:tcPr>
          <w:p>
            <w:r/>
            <w:r>
              <w:rPr>
                <w:sz w:val="17"/>
              </w:rPr>
              <w:t>All agreements and arrangements since January 1, 2022 between the Company and any director, officer, 5% holder (including Hollcroft Capital Partners and its affiliates), noteholder, or immediate family member of any of them, including side letters, management-rights letters, advisory, consulting or monitoring arrangements, loans, indemnification agreements and board-observer rights.</w:t>
            </w:r>
          </w:p>
        </w:tc>
        <w:tc>
          <w:tcPr>
            <w:tcW w:type="dxa" w:w="720"/>
          </w:tcPr>
          <w:p>
            <w:r/>
            <w:r>
              <w:rPr>
                <w:sz w:val="17"/>
              </w:rPr>
              <w:t>I</w:t>
            </w:r>
          </w:p>
        </w:tc>
        <w:tc>
          <w:tcPr>
            <w:tcW w:type="dxa" w:w="1008"/>
          </w:tcPr>
          <w:p>
            <w:r/>
            <w:r>
              <w:rPr>
                <w:sz w:val="17"/>
              </w:rPr>
              <w:t>Critical</w:t>
            </w:r>
          </w:p>
        </w:tc>
      </w:tr>
      <w:tr>
        <w:tc>
          <w:tcPr>
            <w:tcW w:type="dxa" w:w="1152"/>
          </w:tcPr>
          <w:p>
            <w:r/>
            <w:r>
              <w:rPr>
                <w:sz w:val="17"/>
              </w:rPr>
              <w:t>15.3</w:t>
            </w:r>
          </w:p>
        </w:tc>
        <w:tc>
          <w:tcPr>
            <w:tcW w:type="dxa" w:w="6624"/>
          </w:tcPr>
          <w:p>
            <w:r/>
            <w:r>
              <w:rPr>
                <w:sz w:val="17"/>
              </w:rPr>
              <w:t>All agreements, invoices, payments and securities issued in connection with Oakvale Securities LLC’s November 2023 advisory engagement (including the warrant agreement and any registration or lock-up provisions), and a schedule of all securities of the Company beneficially owned by Oakvale, its affiliates and associated persons, for purposes of Item 508 and FINRA Rules 5110 and 5121.</w:t>
            </w:r>
          </w:p>
        </w:tc>
        <w:tc>
          <w:tcPr>
            <w:tcW w:type="dxa" w:w="720"/>
          </w:tcPr>
          <w:p>
            <w:r/>
            <w:r>
              <w:rPr>
                <w:sz w:val="17"/>
              </w:rPr>
              <w:t>I</w:t>
            </w:r>
          </w:p>
        </w:tc>
        <w:tc>
          <w:tcPr>
            <w:tcW w:type="dxa" w:w="1008"/>
          </w:tcPr>
          <w:p>
            <w:r/>
            <w:r>
              <w:rPr>
                <w:sz w:val="17"/>
              </w:rPr>
              <w:t>Critical</w:t>
            </w:r>
          </w:p>
        </w:tc>
      </w:tr>
      <w:tr>
        <w:tc>
          <w:tcPr>
            <w:tcW w:type="dxa" w:w="1152"/>
          </w:tcPr>
          <w:p>
            <w:r/>
            <w:r>
              <w:rPr>
                <w:sz w:val="17"/>
              </w:rPr>
              <w:t>15.4</w:t>
            </w:r>
          </w:p>
        </w:tc>
        <w:tc>
          <w:tcPr>
            <w:tcW w:type="dxa" w:w="6624"/>
          </w:tcPr>
          <w:p>
            <w:r/>
            <w:r>
              <w:rPr>
                <w:sz w:val="17"/>
              </w:rPr>
              <w:t>Background-check results and any documents relating to investigations, inquiries or proceedings involving any director or officer, including the closed 2022 academic misconduct inquiry involving Dr. Ramanathan (closure letter and related media) and the 2017 Arclion Biosciences settlement with Dr. Xu (settlement agreement and any IP or confidentiality provisions).</w:t>
            </w:r>
          </w:p>
        </w:tc>
        <w:tc>
          <w:tcPr>
            <w:tcW w:type="dxa" w:w="720"/>
          </w:tcPr>
          <w:p>
            <w:r/>
            <w:r>
              <w:rPr>
                <w:sz w:val="17"/>
              </w:rPr>
              <w:t>I</w:t>
            </w:r>
          </w:p>
        </w:tc>
        <w:tc>
          <w:tcPr>
            <w:tcW w:type="dxa" w:w="1008"/>
          </w:tcPr>
          <w:p>
            <w:r/>
            <w:r>
              <w:rPr>
                <w:sz w:val="17"/>
              </w:rPr>
              <w:t>Critical</w:t>
            </w:r>
          </w:p>
        </w:tc>
      </w:tr>
      <w:tr>
        <w:tc>
          <w:tcPr>
            <w:tcW w:type="dxa" w:w="1152"/>
          </w:tcPr>
          <w:p>
            <w:r/>
            <w:r>
              <w:rPr>
                <w:sz w:val="17"/>
              </w:rPr>
              <w:t>13.4</w:t>
            </w:r>
          </w:p>
        </w:tc>
        <w:tc>
          <w:tcPr>
            <w:tcW w:type="dxa" w:w="6624"/>
          </w:tcPr>
          <w:p>
            <w:r/>
            <w:r>
              <w:rPr>
                <w:sz w:val="17"/>
              </w:rPr>
              <w:t>Copies of each Rule 10b5-1 plan or other trading arrangement adopted, modified or terminated by any director or officer, the certifications delivered under Rule 10b5-1(c)(1)(ii)(B), broker instructions, and the Company’s pre-clearance records; and the current and proposed public-company insider trading policy.</w:t>
            </w:r>
          </w:p>
        </w:tc>
        <w:tc>
          <w:tcPr>
            <w:tcW w:type="dxa" w:w="720"/>
          </w:tcPr>
          <w:p>
            <w:r/>
            <w:r>
              <w:rPr>
                <w:sz w:val="17"/>
              </w:rPr>
              <w:t>J</w:t>
            </w:r>
          </w:p>
        </w:tc>
        <w:tc>
          <w:tcPr>
            <w:tcW w:type="dxa" w:w="1008"/>
          </w:tcPr>
          <w:p>
            <w:r/>
            <w:r>
              <w:rPr>
                <w:sz w:val="17"/>
              </w:rPr>
              <w:t>High</w:t>
            </w:r>
          </w:p>
        </w:tc>
      </w:tr>
      <w:tr>
        <w:tc>
          <w:tcPr>
            <w:tcW w:type="dxa" w:w="1152"/>
          </w:tcPr>
          <w:p>
            <w:r/>
            <w:r>
              <w:rPr>
                <w:sz w:val="17"/>
              </w:rPr>
              <w:t>9.1 (revised)</w:t>
            </w:r>
          </w:p>
        </w:tc>
        <w:tc>
          <w:tcPr>
            <w:tcW w:type="dxa" w:w="6624"/>
          </w:tcPr>
          <w:p>
            <w:r/>
            <w:r>
              <w:rPr>
                <w:sz w:val="17"/>
              </w:rPr>
              <w:t>All insurance policies currently in effect (D&amp;O, EPLI, clinical-trial and product liability, general liability, property, cyber/privacy, fiduciary, crime, and any foreign or local policies of GT Research Ireland Ltd.), with binders and proposals for the post-IPO D&amp;O program and run-off.</w:t>
            </w:r>
          </w:p>
        </w:tc>
        <w:tc>
          <w:tcPr>
            <w:tcW w:type="dxa" w:w="720"/>
          </w:tcPr>
          <w:p>
            <w:r/>
            <w:r>
              <w:rPr>
                <w:sz w:val="17"/>
              </w:rPr>
              <w:t>K</w:t>
            </w:r>
          </w:p>
        </w:tc>
        <w:tc>
          <w:tcPr>
            <w:tcW w:type="dxa" w:w="1008"/>
          </w:tcPr>
          <w:p>
            <w:r/>
            <w:r>
              <w:rPr>
                <w:sz w:val="17"/>
              </w:rPr>
              <w:t>High</w:t>
            </w:r>
          </w:p>
        </w:tc>
      </w:tr>
      <w:tr>
        <w:tc>
          <w:tcPr>
            <w:tcW w:type="dxa" w:w="1152"/>
          </w:tcPr>
          <w:p>
            <w:r/>
            <w:r>
              <w:rPr>
                <w:sz w:val="17"/>
              </w:rPr>
              <w:t>9.2 (revised)</w:t>
            </w:r>
          </w:p>
        </w:tc>
        <w:tc>
          <w:tcPr>
            <w:tcW w:type="dxa" w:w="6624"/>
          </w:tcPr>
          <w:p>
            <w:r/>
            <w:r>
              <w:rPr>
                <w:sz w:val="17"/>
              </w:rPr>
              <w:t>Loss runs and a schedule of all claims, notices of circumstances and reservation-of-rights letters under any policy for the past five years, including the tender of the Hartwell matter to the EPLI carrier and the carrier’s coverage position.</w:t>
            </w:r>
          </w:p>
        </w:tc>
        <w:tc>
          <w:tcPr>
            <w:tcW w:type="dxa" w:w="720"/>
          </w:tcPr>
          <w:p>
            <w:r/>
            <w:r>
              <w:rPr>
                <w:sz w:val="17"/>
              </w:rPr>
              <w:t>K</w:t>
            </w:r>
          </w:p>
        </w:tc>
        <w:tc>
          <w:tcPr>
            <w:tcW w:type="dxa" w:w="1008"/>
          </w:tcPr>
          <w:p>
            <w:r/>
            <w:r>
              <w:rPr>
                <w:sz w:val="17"/>
              </w:rPr>
              <w:t>High</w:t>
            </w:r>
          </w:p>
        </w:tc>
      </w:tr>
      <w:tr>
        <w:tc>
          <w:tcPr>
            <w:tcW w:type="dxa" w:w="1152"/>
          </w:tcPr>
          <w:p>
            <w:r/>
            <w:r>
              <w:rPr>
                <w:sz w:val="17"/>
              </w:rPr>
              <w:t>4.6</w:t>
            </w:r>
          </w:p>
        </w:tc>
        <w:tc>
          <w:tcPr>
            <w:tcW w:type="dxa" w:w="6624"/>
          </w:tcPr>
          <w:p>
            <w:r/>
            <w:r>
              <w:rPr>
                <w:sz w:val="17"/>
              </w:rPr>
              <w:t>The Section 382 ownership-change study and workpapers (as of September 30, 2024), any update, and an analysis of whether the Offering (alone or combined with the note and preferred conversions) is expected to cause a second ownership change; and the March 2024 R&amp;D tax credit study.</w:t>
            </w:r>
          </w:p>
        </w:tc>
        <w:tc>
          <w:tcPr>
            <w:tcW w:type="dxa" w:w="720"/>
          </w:tcPr>
          <w:p>
            <w:r/>
            <w:r>
              <w:rPr>
                <w:sz w:val="17"/>
              </w:rPr>
              <w:t>L</w:t>
            </w:r>
          </w:p>
        </w:tc>
        <w:tc>
          <w:tcPr>
            <w:tcW w:type="dxa" w:w="1008"/>
          </w:tcPr>
          <w:p>
            <w:r/>
            <w:r>
              <w:rPr>
                <w:sz w:val="17"/>
              </w:rPr>
              <w:t>High</w:t>
            </w:r>
          </w:p>
        </w:tc>
      </w:tr>
      <w:tr>
        <w:tc>
          <w:tcPr>
            <w:tcW w:type="dxa" w:w="1152"/>
          </w:tcPr>
          <w:p>
            <w:r/>
            <w:r>
              <w:rPr>
                <w:sz w:val="17"/>
              </w:rPr>
              <w:t>4.7</w:t>
            </w:r>
          </w:p>
        </w:tc>
        <w:tc>
          <w:tcPr>
            <w:tcW w:type="dxa" w:w="6624"/>
          </w:tcPr>
          <w:p>
            <w:r/>
            <w:r>
              <w:rPr>
                <w:sz w:val="17"/>
              </w:rPr>
              <w:t>Tax returns, transfer-pricing documentation, intercompany services, cost-sharing or licensing agreements, and any foreign tax rulings or audits for GT Research Ireland Ltd.; and confirmation of Massachusetts security-corporation classification and compliance for Greenfield Therapeutics Securities Corp.</w:t>
            </w:r>
          </w:p>
        </w:tc>
        <w:tc>
          <w:tcPr>
            <w:tcW w:type="dxa" w:w="720"/>
          </w:tcPr>
          <w:p>
            <w:r/>
            <w:r>
              <w:rPr>
                <w:sz w:val="17"/>
              </w:rPr>
              <w:t>L</w:t>
            </w:r>
          </w:p>
        </w:tc>
        <w:tc>
          <w:tcPr>
            <w:tcW w:type="dxa" w:w="1008"/>
          </w:tcPr>
          <w:p>
            <w:r/>
            <w:r>
              <w:rPr>
                <w:sz w:val="17"/>
              </w:rPr>
              <w:t>High</w:t>
            </w:r>
          </w:p>
        </w:tc>
      </w:tr>
      <w:tr>
        <w:tc>
          <w:tcPr>
            <w:tcW w:type="dxa" w:w="1152"/>
          </w:tcPr>
          <w:p>
            <w:r/>
            <w:r>
              <w:rPr>
                <w:sz w:val="17"/>
              </w:rPr>
              <w:t>1.12</w:t>
            </w:r>
          </w:p>
        </w:tc>
        <w:tc>
          <w:tcPr>
            <w:tcW w:type="dxa" w:w="6624"/>
          </w:tcPr>
          <w:p>
            <w:r/>
            <w:r>
              <w:rPr>
                <w:sz w:val="17"/>
              </w:rPr>
              <w:t>For each former subsidiary or entity merged, dissolved or divested since inception (including GT West Coast Labs, Inc.): formation and dissolution documents, the filed California certificate of dissolution, Franchise Tax Board tax-clearance or final-return confirmation, an explanation of the entity’s purpose and any assets, liabilities or employees, and confirmation that no residual obligations remain.</w:t>
            </w:r>
          </w:p>
        </w:tc>
        <w:tc>
          <w:tcPr>
            <w:tcW w:type="dxa" w:w="720"/>
          </w:tcPr>
          <w:p>
            <w:r/>
            <w:r>
              <w:rPr>
                <w:sz w:val="17"/>
              </w:rPr>
              <w:t>L</w:t>
            </w:r>
          </w:p>
        </w:tc>
        <w:tc>
          <w:tcPr>
            <w:tcW w:type="dxa" w:w="1008"/>
          </w:tcPr>
          <w:p>
            <w:r/>
            <w:r>
              <w:rPr>
                <w:sz w:val="17"/>
              </w:rPr>
              <w:t>High</w:t>
            </w:r>
          </w:p>
        </w:tc>
      </w:tr>
      <w:tr>
        <w:tc>
          <w:tcPr>
            <w:tcW w:type="dxa" w:w="1152"/>
          </w:tcPr>
          <w:p>
            <w:r/>
            <w:r>
              <w:rPr>
                <w:sz w:val="17"/>
              </w:rPr>
              <w:t>13.5</w:t>
            </w:r>
          </w:p>
        </w:tc>
        <w:tc>
          <w:tcPr>
            <w:tcW w:type="dxa" w:w="6624"/>
          </w:tcPr>
          <w:p>
            <w:r/>
            <w:r>
              <w:rPr>
                <w:sz w:val="17"/>
              </w:rPr>
              <w:t>Privacy and data-protection policies, HIPAA documentation, GDPR records of processing, data-processing agreements with CROs and sites, data-protection impact assessments, cross-border transfer mechanisms (SCCs/EU-U.S. Data Privacy Framework), and any data breach, regulator inquiry or data-subject complaint.</w:t>
            </w:r>
          </w:p>
        </w:tc>
        <w:tc>
          <w:tcPr>
            <w:tcW w:type="dxa" w:w="720"/>
          </w:tcPr>
          <w:p>
            <w:r/>
            <w:r>
              <w:rPr>
                <w:sz w:val="17"/>
              </w:rPr>
              <w:t>M</w:t>
            </w:r>
          </w:p>
        </w:tc>
        <w:tc>
          <w:tcPr>
            <w:tcW w:type="dxa" w:w="1008"/>
          </w:tcPr>
          <w:p>
            <w:r/>
            <w:r>
              <w:rPr>
                <w:sz w:val="17"/>
              </w:rPr>
              <w:t>High</w:t>
            </w:r>
          </w:p>
        </w:tc>
      </w:tr>
      <w:tr>
        <w:tc>
          <w:tcPr>
            <w:tcW w:type="dxa" w:w="1152"/>
          </w:tcPr>
          <w:p>
            <w:r/>
            <w:r>
              <w:rPr>
                <w:sz w:val="17"/>
              </w:rPr>
              <w:t>13.6</w:t>
            </w:r>
          </w:p>
        </w:tc>
        <w:tc>
          <w:tcPr>
            <w:tcW w:type="dxa" w:w="6624"/>
          </w:tcPr>
          <w:p>
            <w:r/>
            <w:r>
              <w:rPr>
                <w:sz w:val="17"/>
              </w:rPr>
              <w:t>Cybersecurity policies, incident-response plan, third-party assessments or penetration tests, and a description of any cybersecurity incident in the past three years and its assessment.</w:t>
            </w:r>
          </w:p>
        </w:tc>
        <w:tc>
          <w:tcPr>
            <w:tcW w:type="dxa" w:w="720"/>
          </w:tcPr>
          <w:p>
            <w:r/>
            <w:r>
              <w:rPr>
                <w:sz w:val="17"/>
              </w:rPr>
              <w:t>M</w:t>
            </w:r>
          </w:p>
        </w:tc>
        <w:tc>
          <w:tcPr>
            <w:tcW w:type="dxa" w:w="1008"/>
          </w:tcPr>
          <w:p>
            <w:r/>
            <w:r>
              <w:rPr>
                <w:sz w:val="17"/>
              </w:rPr>
              <w:t>High</w:t>
            </w:r>
          </w:p>
        </w:tc>
      </w:tr>
      <w:tr>
        <w:tc>
          <w:tcPr>
            <w:tcW w:type="dxa" w:w="1152"/>
          </w:tcPr>
          <w:p>
            <w:r/>
            <w:r>
              <w:rPr>
                <w:sz w:val="17"/>
              </w:rPr>
              <w:t>13.7</w:t>
            </w:r>
          </w:p>
        </w:tc>
        <w:tc>
          <w:tcPr>
            <w:tcW w:type="dxa" w:w="6624"/>
          </w:tcPr>
          <w:p>
            <w:r/>
            <w:r>
              <w:rPr>
                <w:sz w:val="17"/>
              </w:rPr>
              <w:t>FCPA/anti-corruption, sanctions and export-control policies, training records, due diligence on intermediaries and clinical-site payments involving government-owned institutions, and any internal investigation or hotline report.</w:t>
            </w:r>
          </w:p>
        </w:tc>
        <w:tc>
          <w:tcPr>
            <w:tcW w:type="dxa" w:w="720"/>
          </w:tcPr>
          <w:p>
            <w:r/>
            <w:r>
              <w:rPr>
                <w:sz w:val="17"/>
              </w:rPr>
              <w:t>M</w:t>
            </w:r>
          </w:p>
        </w:tc>
        <w:tc>
          <w:tcPr>
            <w:tcW w:type="dxa" w:w="1008"/>
          </w:tcPr>
          <w:p>
            <w:r/>
            <w:r>
              <w:rPr>
                <w:sz w:val="17"/>
              </w:rPr>
              <w:t>High</w:t>
            </w:r>
          </w:p>
        </w:tc>
      </w:tr>
      <w:tr>
        <w:tc>
          <w:tcPr>
            <w:tcW w:type="dxa" w:w="1152"/>
          </w:tcPr>
          <w:p>
            <w:r/>
            <w:r>
              <w:rPr>
                <w:sz w:val="17"/>
              </w:rPr>
              <w:t>13.8</w:t>
            </w:r>
          </w:p>
        </w:tc>
        <w:tc>
          <w:tcPr>
            <w:tcW w:type="dxa" w:w="6624"/>
          </w:tcPr>
          <w:p>
            <w:r/>
            <w:r>
              <w:rPr>
                <w:sz w:val="17"/>
              </w:rPr>
              <w:t>Healthcare compliance program documents for pre-commercial and launch activities (Anti-Kickback Statute, Sunshine Act/Open Payments readiness, promotional review, expanded-access and patient-support programs).</w:t>
            </w:r>
          </w:p>
        </w:tc>
        <w:tc>
          <w:tcPr>
            <w:tcW w:type="dxa" w:w="720"/>
          </w:tcPr>
          <w:p>
            <w:r/>
            <w:r>
              <w:rPr>
                <w:sz w:val="17"/>
              </w:rPr>
              <w:t>M</w:t>
            </w:r>
          </w:p>
        </w:tc>
        <w:tc>
          <w:tcPr>
            <w:tcW w:type="dxa" w:w="1008"/>
          </w:tcPr>
          <w:p>
            <w:r/>
            <w:r>
              <w:rPr>
                <w:sz w:val="17"/>
              </w:rPr>
              <w:t>High</w:t>
            </w:r>
          </w:p>
        </w:tc>
      </w:tr>
      <w:tr>
        <w:tc>
          <w:tcPr>
            <w:tcW w:type="dxa" w:w="1152"/>
          </w:tcPr>
          <w:p>
            <w:r/>
            <w:r>
              <w:rPr>
                <w:sz w:val="17"/>
              </w:rPr>
              <w:t>8.1 (revised)</w:t>
            </w:r>
          </w:p>
        </w:tc>
        <w:tc>
          <w:tcPr>
            <w:tcW w:type="dxa" w:w="6624"/>
          </w:tcPr>
          <w:p>
            <w:r/>
            <w:r>
              <w:rPr>
                <w:sz w:val="17"/>
              </w:rPr>
              <w:t>All contracts (i) required to be filed under Item 601(b)(10) of Reg. S-K, (ii) involving aggregate payments to or by the Company in excess of $500,000 over their term, (iii) with any related person, (iv) under which the Company licenses in or out any intellectual property (other than off-the-shelf software), or (v) with any CRO, CMO, supplier or clinical site that is sole-source or material to GT-4100, in each case with all amendments, side letters, waivers and material notices.</w:t>
            </w:r>
          </w:p>
        </w:tc>
        <w:tc>
          <w:tcPr>
            <w:tcW w:type="dxa" w:w="720"/>
          </w:tcPr>
          <w:p>
            <w:r/>
            <w:r>
              <w:rPr>
                <w:sz w:val="17"/>
              </w:rPr>
              <w:t>N</w:t>
            </w:r>
          </w:p>
        </w:tc>
        <w:tc>
          <w:tcPr>
            <w:tcW w:type="dxa" w:w="1008"/>
          </w:tcPr>
          <w:p>
            <w:r/>
            <w:r>
              <w:rPr>
                <w:sz w:val="17"/>
              </w:rPr>
              <w:t>Medium</w:t>
            </w:r>
          </w:p>
        </w:tc>
      </w:tr>
      <w:tr>
        <w:tc>
          <w:tcPr>
            <w:tcW w:type="dxa" w:w="1152"/>
          </w:tcPr>
          <w:p>
            <w:r/>
            <w:r>
              <w:rPr>
                <w:sz w:val="17"/>
              </w:rPr>
              <w:t>8.9</w:t>
            </w:r>
          </w:p>
        </w:tc>
        <w:tc>
          <w:tcPr>
            <w:tcW w:type="dxa" w:w="6624"/>
          </w:tcPr>
          <w:p>
            <w:r/>
            <w:r>
              <w:rPr>
                <w:sz w:val="17"/>
              </w:rPr>
              <w:t>Any agreement or document granting rights that may be triggered by, or require consent or notice in connection with, the Offering (including under the Harwell license, the OmniLabel agreements, the Valcourt MSA, the Pinnacle agreement, the Investor Rights Agreement and the Biomed lease), and evidence of any consents obtained.</w:t>
            </w:r>
          </w:p>
        </w:tc>
        <w:tc>
          <w:tcPr>
            <w:tcW w:type="dxa" w:w="720"/>
          </w:tcPr>
          <w:p>
            <w:r/>
            <w:r>
              <w:rPr>
                <w:sz w:val="17"/>
              </w:rPr>
              <w:t>N</w:t>
            </w:r>
          </w:p>
        </w:tc>
        <w:tc>
          <w:tcPr>
            <w:tcW w:type="dxa" w:w="1008"/>
          </w:tcPr>
          <w:p>
            <w:r/>
            <w:r>
              <w:rPr>
                <w:sz w:val="17"/>
              </w:rPr>
              <w:t>Medium</w:t>
            </w:r>
          </w:p>
        </w:tc>
      </w:tr>
      <w:tr>
        <w:tc>
          <w:tcPr>
            <w:tcW w:type="dxa" w:w="1152"/>
          </w:tcPr>
          <w:p>
            <w:r/>
            <w:r>
              <w:rPr>
                <w:sz w:val="17"/>
              </w:rPr>
              <w:t>3.9</w:t>
            </w:r>
          </w:p>
        </w:tc>
        <w:tc>
          <w:tcPr>
            <w:tcW w:type="dxa" w:w="6624"/>
          </w:tcPr>
          <w:p>
            <w:r/>
            <w:r>
              <w:rPr>
                <w:sz w:val="17"/>
              </w:rPr>
              <w:t>Management’s going-concern assessment and supporting cash-flow forecasts, and all auditor communications on going concern, internal control deficiencies or material weaknesses, critical audit matters and auditor independence (including PCAOB Rule 3526 communications).</w:t>
            </w:r>
          </w:p>
        </w:tc>
        <w:tc>
          <w:tcPr>
            <w:tcW w:type="dxa" w:w="720"/>
          </w:tcPr>
          <w:p>
            <w:r/>
            <w:r>
              <w:rPr>
                <w:sz w:val="17"/>
              </w:rPr>
              <w:t>O</w:t>
            </w:r>
          </w:p>
        </w:tc>
        <w:tc>
          <w:tcPr>
            <w:tcW w:type="dxa" w:w="1008"/>
          </w:tcPr>
          <w:p>
            <w:r/>
            <w:r>
              <w:rPr>
                <w:sz w:val="17"/>
              </w:rPr>
              <w:t>Medium</w:t>
            </w:r>
          </w:p>
        </w:tc>
      </w:tr>
      <w:tr>
        <w:tc>
          <w:tcPr>
            <w:tcW w:type="dxa" w:w="1152"/>
          </w:tcPr>
          <w:p>
            <w:r/>
            <w:r>
              <w:rPr>
                <w:sz w:val="17"/>
              </w:rPr>
              <w:t>3.10</w:t>
            </w:r>
          </w:p>
        </w:tc>
        <w:tc>
          <w:tcPr>
            <w:tcW w:type="dxa" w:w="6624"/>
          </w:tcPr>
          <w:p>
            <w:r/>
            <w:r>
              <w:rPr>
                <w:sz w:val="17"/>
              </w:rPr>
              <w:t>Audit inquiry (legal) letters and responses for the last three fiscal years, ASC 450 loss-contingency analyses (including for the Hartwell and Cytos matters), and the Company’s emerging growth company and smaller reporting company status analyses.</w:t>
            </w:r>
          </w:p>
        </w:tc>
        <w:tc>
          <w:tcPr>
            <w:tcW w:type="dxa" w:w="720"/>
          </w:tcPr>
          <w:p>
            <w:r/>
            <w:r>
              <w:rPr>
                <w:sz w:val="17"/>
              </w:rPr>
              <w:t>O</w:t>
            </w:r>
          </w:p>
        </w:tc>
        <w:tc>
          <w:tcPr>
            <w:tcW w:type="dxa" w:w="1008"/>
          </w:tcPr>
          <w:p>
            <w:r/>
            <w:r>
              <w:rPr>
                <w:sz w:val="17"/>
              </w:rPr>
              <w:t>Medium</w:t>
            </w:r>
          </w:p>
        </w:tc>
      </w:tr>
    </w:tbl>
    <w:p>
      <w:pPr>
        <w:spacing w:after="40"/>
      </w:pPr>
    </w:p>
    <w:p>
      <w:pPr>
        <w:spacing w:after="120"/>
      </w:pPr>
      <w:r>
        <w:rPr>
          <w:b w:val="0"/>
          <w:i/>
          <w:sz w:val="18"/>
        </w:rPr>
        <w:t>This memorandum is based solely on the four documents identified in Part I and has not been verified against the underlying corporate records or agreements. It is a privileged attorney work product prepared for the Company’s IPO working group and should not be forwarded to underwriters or their counsel in this form.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&amp; Confidential — Attorney Work Product   |   Page </w:t>
    </w:r>
    <w:r>
      <w:fldChar w:fldCharType="begin"/>
    </w:r>
    <w:r>
      <w:rPr>
        <w:sz w:val="16"/>
      </w:rP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