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PROJECT LUMEN — CO-DEVELOPMENT AGREEMENT</w:t>
      </w:r>
    </w:p>
    <w:p>
      <w:pPr>
        <w:spacing w:after="40"/>
        <w:jc w:val="center"/>
      </w:pPr>
      <w:r>
        <w:rPr>
          <w:b/>
          <w:i w:val="0"/>
          <w:sz w:val="24"/>
        </w:rPr>
        <w:t>UPDATED ISSUES LIST — COMPANION TO TURN 3 REDLINE (lumen-codev-v3-redline.docx)</w:t>
      </w:r>
    </w:p>
    <w:p>
      <w:pPr>
        <w:spacing w:after="40"/>
        <w:jc w:val="center"/>
      </w:pPr>
      <w:r>
        <w:rPr>
          <w:b w:val="0"/>
          <w:i w:val="0"/>
          <w:sz w:val="20"/>
        </w:rPr>
        <w:t>TerraCore Systems, Inc. (Delaware corporation) / Axial Biometrics, LLC (Virginia limited liability company)</w:t>
      </w:r>
    </w:p>
    <w:p>
      <w:pPr>
        <w:spacing w:after="160"/>
        <w:jc w:val="center"/>
      </w:pPr>
      <w:r>
        <w:rPr>
          <w:b w:val="0"/>
          <w:i/>
          <w:sz w:val="18"/>
        </w:rPr>
        <w:t>Prepared by Whitfield Corr &amp; Loewe LLP (Matter No. WCL-2025-04417) | Draft for partner review April 3, 2025 | For circulation April 4, 2025</w:t>
      </w:r>
    </w:p>
    <w:p>
      <w:pPr>
        <w:spacing w:after="160"/>
      </w:pPr>
      <w:r>
        <w:rPr>
          <w:b w:val="0"/>
          <w:i w:val="0"/>
          <w:sz w:val="18"/>
        </w:rPr>
        <w:t>Distribution (upon circulation): Dana Yun (Kerwick Strauss LLP, counsel to Axial); Priya Chandrasekaran (SVP, Corporate Development, TerraCore); Marcus Ellison (VP, Strategic Partnerships, Axial). Baseline: Turn 2 TerraCore counter-markup (March 21, 2025). Turn 3 changes are shown as tracked changes against Turn 2. Sources: Turn 1 Axial initial draft (March 3, 2025), Turn 2 counter-markup, and the March 14-28, 2025 negotiation correspondence.</w:t>
      </w:r>
    </w:p>
    <w:p>
      <w:pPr>
        <w:spacing w:after="80"/>
      </w:pPr>
      <w:r>
        <w:rPr>
          <w:b/>
          <w:i w:val="0"/>
          <w:sz w:val="24"/>
        </w:rPr>
        <w:t>1. Summary of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048"/>
            <w:shd w:val="clear" w:color="auto" w:fill="385723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RESOLVED POINTS</w:t>
            </w:r>
          </w:p>
        </w:tc>
        <w:tc>
          <w:tcPr>
            <w:tcW w:type="dxa" w:w="3888"/>
            <w:shd w:val="clear" w:color="auto" w:fill="C00000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OPEN POINTS (REQUIRING BUSINESS ESCALATION)</w:t>
            </w:r>
          </w:p>
        </w:tc>
        <w:tc>
          <w:tcPr>
            <w:tcW w:type="dxa" w:w="3888"/>
            <w:shd w:val="clear" w:color="auto" w:fill="BF8F00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PLACEHOLDERS (AWAITING FURTHER INPUT)</w:t>
            </w:r>
          </w:p>
        </w:tc>
      </w:tr>
      <w:tr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 Tiered revenue split: 55% TerraCore / 45% Axial up to and including $20M Cumulative Net Revenue; 50/50 above $20M (§§1.10A, 7.2, 7.3)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2. Exclusivity period of 18 months from the Effective Date, with mutual Schedule 4 carve-outs for pre-existing third-party contracts (§§8.1, 8.2; Schedule 4)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3. Steering Committee composition (4 members, 2 per party), unanimous voting, and deadlock escalation: 15 business days, then CEOs for 10 business days, then expedited CPR mediation (§§5.1, 5.4, 5.5)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4. Confidentiality tail of 4 years after termination/expiration; trade secrets protected indefinitely (§9.3)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5. Governing law (Delaware) and arbitration (JAMS Comprehensive Rules; 3 arbitrators; Washington, D.C. seat) (§§14.1, 14.2)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6. Termination for convenience: after Month 6; 120 days' notice; Break Fee of 20% of Unfunded Commitment (§§1.14A, 11.2)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7. Improvement IP owned by the party whose Background IP was improved; non-exclusive, royalty-bearing license back to the other party (§6.5)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8. Background IP: each party retains its own (unchanged) (§§1.2, 6.1)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9. Cost shares 55/45 ($3,520,000 / $2,880,000); total development budget $6.4M; 10% overrun threshold ($640,000); quarterly reconciliation (§§1.4, 1.11, 4.1-4.4; Exhibit B)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10. Development term of 18 months plus two 6-month extensions by mutual written consent (§§1.6, 3.1, 3.2)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 Foreground IP ownership: two bracketed alternatives (§§1.8, 6.3, 6.4, 6.6, 11.4(b), 11.5)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 xml:space="preserve">   Alternative A (TerraCore): sole TerraCore ownership of the integrated firmware layer, with a perpetual, royalty-free license back to Axial limited to the biometric field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 xml:space="preserve">   Alternative B (Axial): joint ownership, with mutual field-of-use restrictions (TerraCore: embedded industrial computing; Axial: biometric identity verification)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Escalation: Chandrasekaran / Ellison, then, if necessary, Anand / Firth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 Improvement IP license rate: [●]% of Net Revenue attributable to the improvement; needs commercial agreement before execution (§6.5)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2. Exhibit C, Data Privacy &amp; Security Addendum (biometric training data; SOC 2 Type II requirements for shared infrastructure): Axial counsel (Dana Yun) to deliver a draft by April 11, 2025 (§§5.2(h), 15.11; Exhibit C)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3. Schedule 4, pre-existing third-party contracts: blank template attached; each party to populate before execution, no later than 5 business days before signing (§8.2; Schedule 4)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i w:val="0"/>
          <w:sz w:val="24"/>
        </w:rPr>
        <w:t>2. Detailed Issues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504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No.</w:t>
            </w:r>
          </w:p>
        </w:tc>
        <w:tc>
          <w:tcPr>
            <w:tcW w:type="dxa" w:w="1512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Turn 1 (Axial, Mar. 3)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Turn 2 (TerraCore, Mar. 21)</w:t>
            </w:r>
          </w:p>
        </w:tc>
        <w:tc>
          <w:tcPr>
            <w:tcW w:type="dxa" w:w="3960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Turn 3 Treatment</w:t>
            </w:r>
          </w:p>
        </w:tc>
        <w:tc>
          <w:tcPr>
            <w:tcW w:type="dxa" w:w="1224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Turn 3 Section(s)</w:t>
            </w:r>
          </w:p>
        </w:tc>
        <w:tc>
          <w:tcPr>
            <w:tcW w:type="dxa" w:w="1656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Source in Thread</w:t>
            </w:r>
          </w:p>
        </w:tc>
        <w:tc>
          <w:tcPr>
            <w:tcW w:type="dxa" w:w="1080"/>
            <w:shd w:val="clear" w:color="auto" w:fill="1F3864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R-1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Revenue split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50/50 flat split of Net Revenue.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58% TerraCore / 42% Axial flat; no tiers.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Tiered by Cumulative Net Revenue: Tier 1 (up to and including $20,000,000): 55% TerraCore / 45% Axial; Tier 2 (above $20,000,000): 50/50. Tiers apply incrementally. New definition of "Cumulative Net Revenue" (§1.10A) is tied to the §7.3 quarterly reports and audit, and to the quarterly reconciliation cadence (§4.3; Exhibit B §5). Quarterly reports now show Cumulative Net Revenue and the tier allocation.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§§1.10A, 7.2(a)-(c), 7.3(d)-(e)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Ellison Mar. 26; Chandrasekaran Mar. 28; Holt Mar. 27 summary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R-2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Exclusivity period and carve-out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24 months; no carve-outs.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 months; TerraCore-only OEM carve-out (no reciprocal carve-out for Axial).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18 months from the Effective Date. One-sided OEM carve-out deleted. Mutual carve-out for each party's pre-existing third-party contracts listed on Schedule 4 ("Pre-Existing Contracts"), applying equally to both parties. Anti-expansion proviso kept and applied to both parties.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§§8.1, 8.2; Schedule 4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Chandrasekaran Mar. 25; Ellison Mar. 26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R-3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Steering Committee: composition, voting, deadlock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 members (2 per party); unanimous vote; deadlock: 15 business days, then CEOs (meet within 10 business days, resolve within 20), then Article 14.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Majority vote; TerraCore casting vote on Budget Matters; [●] escalation periods.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Unanimous vote restored; casting vote deleted. Three-step Governance Escalation Procedure: (1) Committee, 15 business days; (2) CEOs (Raj Anand / Colleen Firth), 10 business days; (3) expedited, non-binding CPR mediation. Expressly separate and procedurally independent from JAMS arbitration, with cross-references in §§5.5(d) and 14.2. Exhibit A change control restored to unanimous vote.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§§5.2(f), 5.4, 5.5; Exhibit A §5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Ellison Mar. 24; Chandrasekaran Mar. 25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R-4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Confidentiality tail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 years post-termination; no trade secret carve-out.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 years post-termination; expressly no separate trade secret period.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 years after termination or expiration. Trade secrets protected indefinitely for as long as they qualify as trade secrets under applicable law (DTSA; Delaware UTSA). Survival clause conformed.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§§9.3, 11.5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Ellison Mar. 26; Chandrasekaran Mar. 28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R-5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Governing law and arbitration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Virginia law; AAA; Arlington, VA; 1 arbitrator.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Delaware law; JAMS; Wilmington, DE; 3 arbitrators.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Delaware law (unchanged). JAMS Comprehensive Arbitration Rules; seat in Washington, D.C.; 3 arbitrators. Arbitration covers "Contract Disputes" and excludes Steering Committee Deadlocks. New paragraph distinguishes JAMS arbitration from the CPR deadlock mediation.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§§14.1, 14.2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Holt Mar. 27; Chandrasekaran Mar. 28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R-6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Termination for convenience / break fee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Any time; 120 days' notice; no break fee.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Only after Month 9; 120 days' notice; break fee of 25% of remaining cost share.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Either party, after Month 6 of the Development Term; 120 days' notice (Turn 1 baseline retained). Break Fee = 20% x Unfunded Commitment, applied symmetrically. "Unfunded Commitment" = total cost-share obligation (§4.2) minus amounts actually funded as of the effective date of termination. Illustrative drafting note: TerraCore funds $1,760,000 of $3,520,000, so fee = $352,000 (Axial equivalent: $288,000).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§§1.14A, 11.2(a)-(b)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Chandrasekaran Mar. 28 (Holt Mar. 27 summary had listed this as open)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 (per R. Holt instructions)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R-7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Improvement IP ownership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Owned by owner of underlying Background IP; royalty-free license to the other party.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Owned by party whose Background IP was improved; royalty-bearing license at [●]%.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Owned by the party whose Background IP was improved (TC Modules/firmware: TerraCore; AB Algorithms/training datasets: Axial), regardless of which party made the improvement, with an express assignment. Non-exclusive, royalty-bearing license to the non-owning party (rate: see P-1).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§§1.8A, 6.5, 11.4(b-1)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Holt Mar. 27; Chandrasekaran Mar. 28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 (rate is a placeholder)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R-8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Background IP ownership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Each party retains sole ownership.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Unchanged.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Unchanged: TerraCore keeps the TC Modules and associated firmware; Axial keeps the AB Algorithms and related training datasets.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§§1.2, 6.1, 6.2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Ellison Mar. 14; Holt Mar. 27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 (unchanged)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R-9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Cost share, budget, overrun, reconciliation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$6,400,000 budget; Turn 1 text already reflects 55/45 cost share, 10% overrun threshold and quarterly reconciliation.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55% ($3,520,000) / 45% ($2,880,000); 10% overrun threshold ($640,000) needing Steering Committee approval; quarterly reconciliation.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 change from Turn 2. Same figures used in the Unfunded Commitment and Break Fee mechanics.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§§1.4, 1.11, 4.1-4.4; Exhibit B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Chandrasekaran Mar. 21; Holt Mar. 27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 (unchanged)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R-10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Development term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18 months plus two 6-month extensions by mutual written consent.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Unchanged.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Unchanged. Milestone targets are stated as MVP in Q4 2025 and commercial launch in Q2 2026 (§2.2; Exhibit A).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§§1.6, 2.2, 3.1, 3.2; Exhibit A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Ellison Mar. 14 and Mar. 26; Chandrasekaran Mar. 28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RESOLVED (unchanged)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O-1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Foreground IP ownership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Joint ownership (undivided 1/2 interests); broad definition.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Alternative A: sole TerraCore ownership of the integrated firmware layer; perpetual, royalty-free license back to Axial limited to the biometric field; definition narrowed to the firmware layer.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Both alternatives bracketed and labelled. [Alternative A: TerraCore position] and [Alternative B: Axial position: joint ownership; neither party may exploit Foreground IP in the other's primary field (TerraCore: embedded industrial computing; Axial: biometric identity verification) without written consent]. Drafting Note: "Foreground IP ownership remains open. Bracketed for business-level escalation." Conforming brackets in §§1.8, 6.4, 6.6, 11.4(b), 11.5.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§§1.8, 6.3, 6.4, 6.6, 11.4(b), 11.5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Yun Mar. 22; Holt Mar. 27; Chandrasekaran Mar. 28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OPEN: business escalation (Chandrasekaran/Ellison; then Anand/Firth)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P-1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Improvement IP license rate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N/A (royalty-free).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[●]% of Net Revenue attributable to the Improvement IP.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[●]% of Net Revenue attributable to the relevant Improvement IP (defined as the "Improvement IP Royalty Rate"); margin comment flags it as an unresolved placeholder needing commercial agreement before execution.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§6.5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Holt Mar. 27; Chandrasekaran Mar. 28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PLACEHOLDER: business teams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P-2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Exhibit C: Data Privacy &amp; Security Addendum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"To be provided"; finalize within 30 days of the Effective Date.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"To be drafted by Axial"; intended-scope outline; delivery [●] days after the Effective Date.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Placeholder page titled "Data Privacy &amp; Security Addendum"; no substantive privacy language. Drafting note: Axial counsel (Dana Yun, Kerwick Strauss LLP) to deliver draft language by April 11, 2025. Body cross-references (§§5.2(h), 15.11) confirm Exhibit C is the Data Privacy &amp; Security Addendum and will include SOC 2 Type II requirements for shared infrastructure.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§§5.2(h), 15.11; Exhibit C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Holt Mar. 27; Chandrasekaran Mar. 28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PLACEHOLDER: Axial draft due Apr. 11, 2025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P-3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Schedule 4: pre-existing third-party contracts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N/A (no carve-outs).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N/A (TerraCore-only OEM carve-out; no schedule).</w:t>
            </w:r>
          </w:p>
        </w:tc>
        <w:tc>
          <w:tcPr>
            <w:tcW w:type="dxa" w:w="396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Blank Schedule 4 template attached (Part A TerraCore; Part B Axial), adapted from the Schedule 4 spreadsheet template, with completion instructions, certification and signature blocks. Each party to deliver its completed Part no later than 5 business days before execution.</w:t>
            </w:r>
          </w:p>
        </w:tc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§8.2; Schedule 4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Chandrasekaran Mar. 25 and Mar. 28; Ellison Mar. 26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PLACEHOLDER: each party to populate before execution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  <w:sz w:val="18"/>
        </w:rPr>
        <w:t>Housekeeping confirmations: (i) party names and descriptors conformed ("TerraCore Systems, Inc., a Delaware corporation"; "Axial Biometrics, LLC, a Virginia limited liability company"); (ii) notice addresses verified (TerraCore principal office, Wilmington, DE; TerraCore R&amp;D Lab, Austin, TX; Axial principal office, Arlington, VA); Axial's registered agent added in brackets as a copy recipient; (iii) MVP (Q4 2025) and commercial launch (Q2 2026) targets appear in §2.2 and Exhibit A; (iv) stray Turn 2 formatting artifacts cleaned up ("[DELETED]/[ADDED]" heading labels; "###" in the §6.6 heading).</w:t>
      </w:r>
    </w:p>
    <w:p>
      <w:r>
        <w:br w:type="page"/>
      </w:r>
    </w:p>
    <w:p>
      <w:pPr>
        <w:spacing w:after="80"/>
      </w:pPr>
      <w:r>
        <w:rPr>
          <w:b/>
          <w:i w:val="0"/>
          <w:sz w:val="24"/>
        </w:rPr>
        <w:t>3. WCL Internal Review Points for R. Holt (remove this section before circulation)</w:t>
      </w:r>
    </w:p>
    <w:p>
      <w:pPr>
        <w:spacing w:after="80"/>
      </w:pPr>
      <w:r>
        <w:rPr>
          <w:b w:val="0"/>
          <w:i/>
          <w:sz w:val="18"/>
        </w:rPr>
        <w:t>These items are flagged with margin comments in the Turn 3 redline. They are judgment calls or gaps in the thread rather than guesses.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/>
        </w:trPr>
        <w:tc>
          <w:tcPr>
            <w:tcW w:type="dxa" w:w="576"/>
            <w:shd w:val="clear" w:color="auto" w:fill="595959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No.</w:t>
            </w:r>
          </w:p>
        </w:tc>
        <w:tc>
          <w:tcPr>
            <w:tcW w:type="dxa" w:w="1584"/>
            <w:shd w:val="clear" w:color="auto" w:fill="595959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Section</w:t>
            </w:r>
          </w:p>
        </w:tc>
        <w:tc>
          <w:tcPr>
            <w:tcW w:type="dxa" w:w="6624"/>
            <w:shd w:val="clear" w:color="auto" w:fill="595959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Point</w:t>
            </w:r>
          </w:p>
        </w:tc>
        <w:tc>
          <w:tcPr>
            <w:tcW w:type="dxa" w:w="4608"/>
            <w:shd w:val="clear" w:color="auto" w:fill="595959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Proposed Treatment in Turn 3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I-1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§11.2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thread contains no written Axial acceptance of the March 28 convenience-termination/break-fee proposal, and the March 27 Holt summary listed it as open. The thread shows no Axial objection to the 120-day notice period: Ellison's March 14 email flags convenience termination only generally, and Chandrasekaran's March 28 email confirms 120 days.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Drafted as agreed per instructions. Recommend confirming with Dana before or at circulation.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I-2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§§1.14A, 11.2(b)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Timing of the Unfunded Commitment: the instructions say "termination date"; the March 28 email says "termination effective date." Measuring on the notice date would produce a higher fee. Also open: whether the total cost-share obligation includes approved overruns.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Effective date of termination used (consistent with Turn 2); fixed §4.2 amounts used.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I-3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§2.2; Exhibit A; §3.1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Exhibit A month ranges (Phase 3: Months 10-15; Phase 4: Months 16-18) do not match the Q4 2025 MVP / Q2 2026 launch targets for a Q2 2025 Effective Date. §3.1 (Phase 4 may run into an Extension Period) conflicts with Exhibit A.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 change; raise with Axial or the business team.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I-4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§6.5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Chandrasekaran's March 28 email says "improving party owns"; the instructions, Turn 2 and the Holt March 27 email say the owner of the improved Background IP owns.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Drafted per instructions, with an express assignment to the Background IP owner.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I-5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§§6.3, 6.4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Alternative A field: the instructions say "biometric-authentication field"; Turn 2 §6.4 says "biometric identity verification" (which is also Axial's Alternative B primary field). Under Alternative B, the core Lumen product may fall in both parties' primary fields.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Turn 2 wording kept as TerraCore's tabled position; point flagged for the business-level escalation.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I-6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§7.2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Incremental vs. retroactive application of the 50/50 tier is not stated expressly in the thread.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Drafted as incremental (marginal).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I-7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§5.5(c)-(d)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CPR mediation outside date and the status-quo fallback if mediation fails are not covered by the thread.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Both bracketed.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I-8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§8.2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anti-expansion proviso (carried over from Turn 2 and made mutual) and the renewal treatment are not expressly agreed.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Proviso kept; renewal language bracketed.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I-9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§15.11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Exhibit C timing: Turn 2 had post-Effective Date delivery, but the agreed April 11 delivery date is pre-signing.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Bracketed "prior to execution" finalization; Turn 2 intended-scope outline deleted (placeholder only).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I-10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§1.10A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"Financial reconciliation" cross-reference: §4.3 reconciles costs, while revenue reporting and audit are in §7.3.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Cross-referenced both.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I-11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Preamble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EINs do not appear in the recitals in Turn 1 or Turn 2.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Not added; confirm whether they are wanted.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I-12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Schedule 4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 Schedules 1-3 exist, and the template refers to "non-compete" obligations, which the agreement does not contain.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Schedule 4 label retained; wording conformed to Article 8.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I-13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§15.1</w:t>
            </w:r>
          </w:p>
        </w:tc>
        <w:tc>
          <w:tcPr>
            <w:tcW w:type="dxa" w:w="66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Axial's registered agent was not previously a notice party.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Added in brackets for decision.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WCL-2025-04417 — Project Lumen Co-Development Agreement — Updated Issues List (Turn 3)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