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jc w:val="center"/>
      </w:pPr>
      <w:r>
        <w:rPr>
          <w:b/>
          <w:i w:val="0"/>
          <w:sz w:val="28"/>
        </w:rPr>
        <w:t>ALDERMAN &amp; KESSLER LLP</w:t>
      </w:r>
    </w:p>
    <w:p>
      <w:pPr>
        <w:spacing w:after="160"/>
        <w:jc w:val="center"/>
      </w:pPr>
      <w:r>
        <w:rPr>
          <w:b w:val="0"/>
          <w:i w:val="0"/>
          <w:sz w:val="18"/>
        </w:rPr>
        <w:t>525 North Tryon Street, Suite 1800 · Charlotte, North Carolina 28202</w:t>
      </w:r>
    </w:p>
    <w:p>
      <w:pPr>
        <w:spacing w:after="200"/>
        <w:jc w:val="center"/>
      </w:pPr>
      <w:r>
        <w:rPr>
          <w:b/>
          <w:i w:val="0"/>
          <w:sz w:val="18"/>
        </w:rPr>
        <w:t>PRIVILEGED AND CONFIDENTIAL — ATTORNEY-CLIENT COMMUNICATION — ATTORNEY WORK PRODUCT — PREPARED IN ANTICIPATION OF LITIGATION</w:t>
      </w:r>
    </w:p>
    <w:p>
      <w:pPr>
        <w:spacing w:after="160"/>
        <w:jc w:val="center"/>
      </w:pPr>
      <w:r>
        <w:rPr>
          <w:b/>
          <w:i w:val="0"/>
          <w:sz w:val="26"/>
        </w:rPr>
        <w:t>MEMORANDUM</w:t>
      </w:r>
    </w:p>
    <w:tbl>
      <w:tblPr>
        <w:tblW w:type="auto" w:w="0"/>
        <w:tblLook w:firstColumn="1" w:firstRow="1" w:lastColumn="0" w:lastRow="0" w:noHBand="0" w:noVBand="1" w:val="04A0"/>
      </w:tblPr>
      <w:tblGrid>
        <w:gridCol w:w="4680"/>
        <w:gridCol w:w="4680"/>
      </w:tblGrid>
      <w:tr>
        <w:tc>
          <w:tcPr>
            <w:tcW w:type="dxa" w:w="1584"/>
          </w:tcPr>
          <w:p>
            <w:r/>
            <w:r>
              <w:rPr>
                <w:b/>
              </w:rPr>
              <w:t>TO:</w:t>
            </w:r>
          </w:p>
        </w:tc>
        <w:tc>
          <w:tcPr>
            <w:tcW w:type="dxa" w:w="7776"/>
          </w:tcPr>
          <w:p>
            <w:r/>
            <w:r>
              <w:t>Daniel W. Okafor, General Counsel, Vantage Industrial Solutions, Inc.</w:t>
            </w:r>
          </w:p>
        </w:tc>
      </w:tr>
      <w:tr>
        <w:tc>
          <w:tcPr>
            <w:tcW w:type="dxa" w:w="1584"/>
          </w:tcPr>
          <w:p>
            <w:r/>
            <w:r>
              <w:rPr>
                <w:b/>
              </w:rPr>
              <w:t>FROM:</w:t>
            </w:r>
          </w:p>
        </w:tc>
        <w:tc>
          <w:tcPr>
            <w:tcW w:type="dxa" w:w="7776"/>
          </w:tcPr>
          <w:p>
            <w:r/>
            <w:r>
              <w:t>Alderman &amp; Kessler LLP (Rachel M. Kessler), counsel to Vantage</w:t>
            </w:r>
          </w:p>
        </w:tc>
      </w:tr>
      <w:tr>
        <w:tc>
          <w:tcPr>
            <w:tcW w:type="dxa" w:w="1584"/>
          </w:tcPr>
          <w:p>
            <w:r/>
            <w:r>
              <w:rPr>
                <w:b/>
              </w:rPr>
              <w:t>DATE:</w:t>
            </w:r>
          </w:p>
        </w:tc>
        <w:tc>
          <w:tcPr>
            <w:tcW w:type="dxa" w:w="7776"/>
          </w:tcPr>
          <w:p>
            <w:r/>
            <w:r>
              <w:t>May 6, 2025</w:t>
            </w:r>
          </w:p>
        </w:tc>
      </w:tr>
      <w:tr>
        <w:tc>
          <w:tcPr>
            <w:tcW w:type="dxa" w:w="1584"/>
          </w:tcPr>
          <w:p>
            <w:r/>
            <w:r>
              <w:rPr>
                <w:b/>
              </w:rPr>
              <w:t>RE:</w:t>
            </w:r>
          </w:p>
        </w:tc>
        <w:tc>
          <w:tcPr>
            <w:tcW w:type="dxa" w:w="7776"/>
          </w:tcPr>
          <w:p>
            <w:r/>
            <w:r>
              <w:t>In re Industrial Fasteners Antitrust Litigation, No. 1:23-cv-04871 (N.D. Ill.) (Tanaka, J.): Playbook v4.2 Written Assessment, Issues and Risk Memorandum on Kerrigan-Holst's Proposed Joint Defense Agreement (circulated May 2, 2025)</w:t>
            </w:r>
          </w:p>
        </w:tc>
      </w:tr>
      <w:tr>
        <w:tc>
          <w:tcPr>
            <w:tcW w:type="dxa" w:w="1584"/>
          </w:tcPr>
          <w:p>
            <w:r/>
            <w:r>
              <w:rPr>
                <w:b/>
              </w:rPr>
              <w:t>ENCLOSURE:</w:t>
            </w:r>
          </w:p>
        </w:tc>
        <w:tc>
          <w:tcPr>
            <w:tcW w:type="dxa" w:w="7776"/>
          </w:tcPr>
          <w:p>
            <w:r/>
            <w:r>
              <w:t>jda-redline.docx: tracked-changes redline of the proposed JDA with explanatory margin comments (Playbook § 16.2)</w:t>
            </w:r>
          </w:p>
        </w:tc>
      </w:tr>
    </w:tbl>
    <w:p>
      <w:pPr>
        <w:spacing w:after="120"/>
      </w:pPr>
      <w:r>
        <w:rPr>
          <w:b w:val="0"/>
          <w:i w:val="0"/>
        </w:rPr>
        <w:t>_____________________________________________________________________________________</w:t>
      </w:r>
    </w:p>
    <w:p>
      <w:pPr>
        <w:pStyle w:val="Heading1"/>
      </w:pPr>
      <w:r>
        <w:t>I. Executive Summary and Bottom Line</w:t>
      </w:r>
    </w:p>
    <w:p>
      <w:pPr>
        <w:spacing w:after="120"/>
      </w:pPr>
      <w:r>
        <w:rPr>
          <w:b/>
          <w:i w:val="0"/>
        </w:rPr>
        <w:t>Recommendation: do not execute the JDA in its current form. Approve the enclosed redline for circulation to co-defendant counsel, with our internal margin comments removed. Under Playbook § 16.3, nothing may be sent to Kerrigan-Holst or the other defendants until you approve it.</w:t>
      </w:r>
    </w:p>
    <w:p>
      <w:pPr>
        <w:spacing w:after="120"/>
      </w:pPr>
      <w:r>
        <w:rPr>
          <w:b w:val="0"/>
          <w:i w:val="0"/>
        </w:rPr>
        <w:t>We reviewed Pryor Whitfield's draft against every topic in Playbook §§ 3–15, as § 16.1 requires, including topics on which the draft is silent. We also reviewed the May 2, 2025 circulation email, the Consolidated Class Action Complaint in our file, and Judge Tanaka's April 29, 2025 Memorandum Opinion and Order granting class certification. Our principal conclusions:</w:t>
      </w:r>
    </w:p>
    <w:p>
      <w:pPr>
        <w:pStyle w:val="ListBullet"/>
        <w:spacing w:after="60"/>
      </w:pPr>
      <w:r>
        <w:rPr>
          <w:b/>
        </w:rPr>
        <w:t xml:space="preserve">Nine Critical items bar execution. </w:t>
      </w:r>
      <w:r>
        <w:rPr>
          <w:b w:val="0"/>
        </w:rPr>
        <w:t>The draft contains eight Prohibited (never-accept) terms or omissions and fails one further Required standard. Prohibited items have no exception process (§ 2.1(c)) and must be cured as a condition of execution. The nine items are: a 30-day withdrawal notice (§ 7.1); a blanket return-or-destroy obligation with no work-product carve-out (§ 7.2(b)); disclosure of "all material terms" of any settlement (§ 9.2(a)–(e)); 3-year confidentiality survival (§ 8.1); a blanket conflicts waiver with no reservation of inter-party claims (§ 11.1); New York governing law (§ 12.3); no clawback or Rule 502(d) mechanism (silent); no government-investigation carve-out, combined with an obligation to share "all" relevant materials (§§ 2.1, 4.1, silent); and, as the failed Required standard, a 45-calendar-day settlement notice triggered by an intent to "negotiate" (§ 9.2).</w:t>
      </w:r>
    </w:p>
    <w:p>
      <w:pPr>
        <w:pStyle w:val="ListBullet"/>
        <w:spacing w:after="60"/>
      </w:pPr>
      <w:r>
        <w:rPr>
          <w:b/>
        </w:rPr>
        <w:t xml:space="preserve">Six significant Preferred-standard deviations should be negotiated: </w:t>
      </w:r>
      <w:r>
        <w:rPr>
          <w:b w:val="0"/>
        </w:rPr>
        <w:t>Kerrigan-Holst-controlled Steering Committee, with a permanent drafter seat and Vantage last in a single rotating seat (§ 6.1); no objection right for information-sharing requests (Art. IV); binding JAMS arbitration in New York (§ 12.4); 18-month "commercially reasonable efforts" post-settlement witness cooperation (Art. X); no audit right (Art. V); and a fixed-percentage cost split (§ 5.1).</w:t>
      </w:r>
    </w:p>
    <w:p>
      <w:pPr>
        <w:pStyle w:val="ListBullet"/>
        <w:spacing w:after="60"/>
      </w:pPr>
      <w:r>
        <w:rPr>
          <w:b/>
        </w:rPr>
        <w:t xml:space="preserve">Compliant provisions: </w:t>
      </w:r>
      <w:r>
        <w:rPr>
          <w:b w:val="0"/>
        </w:rPr>
        <w:t>the no-admission clause (§ 12.1), the confidentiality legend (§ 3.2), unanimity for amendments (§ 12.6), the unconditional nature of the withdrawal right (apart from its length), and the 10-business-day sharing window (§ 4.1).</w:t>
      </w:r>
    </w:p>
    <w:p>
      <w:pPr>
        <w:pStyle w:val="ListBullet"/>
        <w:spacing w:after="60"/>
      </w:pPr>
      <w:r>
        <w:rPr>
          <w:b/>
        </w:rPr>
        <w:t xml:space="preserve">Our overall assessment of the draft: </w:t>
      </w:r>
      <w:r>
        <w:rPr>
          <w:b w:val="0"/>
        </w:rPr>
        <w:t>Pryor describes the draft as "materially balanced." In practice it concentrates control in Kerrigan-Holst, which has the largest share, is headquartered in Chicago, and has the greatest exposure. It does so through committee control, mandatory information flow, and a settlement regime that would make any early separate resolution by a smaller defendant slow, visible and contestable. The draft also reaches into government investigations without any carve-out. For Vantage, this is the single most consequential defect.</w:t>
      </w:r>
    </w:p>
    <w:p>
      <w:pPr>
        <w:pStyle w:val="ListBullet"/>
        <w:spacing w:after="60"/>
      </w:pPr>
      <w:r>
        <w:rPr>
          <w:b/>
        </w:rPr>
        <w:t xml:space="preserve">Economics are not where Vantage should spend negotiating capital. </w:t>
      </w:r>
      <w:r>
        <w:rPr>
          <w:b w:val="0"/>
        </w:rPr>
        <w:t>The fixed split (Vantage about 16.67%) is below Vantage's objective share on every measure in the record: about 18.0% of the defendants' combined market share, about 17.7% of Class Period sales, and 25% on an equal split. The redline follows the Playbook's damages-based formula after an interim period. We recommend that you authorize us to concede the fixed split in exchange for governance and settlement points (Issue 12).</w:t>
      </w:r>
    </w:p>
    <w:p>
      <w:pPr>
        <w:pStyle w:val="ListBullet"/>
        <w:spacing w:after="60"/>
      </w:pPr>
      <w:r>
        <w:rPr>
          <w:b/>
        </w:rPr>
        <w:t xml:space="preserve">Timing: </w:t>
      </w:r>
      <w:r>
        <w:rPr>
          <w:b w:val="0"/>
        </w:rPr>
        <w:t>Kerrigan-Holst asks for a written response by Friday, May 16 and execution by Friday, May 23, 2025. Given the number of Critical items, execution by May 23 is unlikely without concessions the Playbook does not permit. Meanwhile, the defendants are already coordinating on a Rule 23(f) petition (due Tuesday, May 13, 2025) without a signed JDA. We recommend an immediate interim common-interest letter and the new § 2.4, which memorializes the existing oral arrangement (Issue 23).</w:t>
      </w:r>
    </w:p>
    <w:p>
      <w:pPr>
        <w:pStyle w:val="Heading1"/>
      </w:pPr>
      <w:r>
        <w:t>II. Key Dates and Deadlines</w:t>
      </w:r>
    </w:p>
    <w:tbl>
      <w:tblPr>
        <w:tblStyle w:val="TableGrid"/>
        <w:tblW w:type="auto" w:w="0"/>
        <w:jc w:val="center"/>
        <w:tblLook w:firstColumn="1" w:firstRow="1" w:lastColumn="0" w:lastRow="0" w:noHBand="0" w:noVBand="1" w:val="04A0"/>
      </w:tblPr>
      <w:tblGrid>
        <w:gridCol w:w="2340"/>
        <w:gridCol w:w="2340"/>
        <w:gridCol w:w="2340"/>
        <w:gridCol w:w="2340"/>
      </w:tblGrid>
      <w:tr>
        <w:trPr>
          <w:tblHeader w:val="true"/>
        </w:trPr>
        <w:tc>
          <w:tcPr>
            <w:tcW w:type="dxa" w:w="1512"/>
            <w:shd w:val="clear" w:color="auto" w:fill="1F2A44"/>
          </w:tcPr>
          <w:p>
            <w:r/>
            <w:r>
              <w:rPr>
                <w:b/>
                <w:color w:val="FFFFFF"/>
                <w:sz w:val="17"/>
              </w:rPr>
              <w:t>Date</w:t>
            </w:r>
          </w:p>
        </w:tc>
        <w:tc>
          <w:tcPr>
            <w:tcW w:type="dxa" w:w="2736"/>
            <w:shd w:val="clear" w:color="auto" w:fill="1F2A44"/>
          </w:tcPr>
          <w:p>
            <w:r/>
            <w:r>
              <w:rPr>
                <w:b/>
                <w:color w:val="FFFFFF"/>
                <w:sz w:val="17"/>
              </w:rPr>
              <w:t>Event</w:t>
            </w:r>
          </w:p>
        </w:tc>
        <w:tc>
          <w:tcPr>
            <w:tcW w:type="dxa" w:w="1656"/>
            <w:shd w:val="clear" w:color="auto" w:fill="1F2A44"/>
          </w:tcPr>
          <w:p>
            <w:r/>
            <w:r>
              <w:rPr>
                <w:b/>
                <w:color w:val="FFFFFF"/>
                <w:sz w:val="17"/>
              </w:rPr>
              <w:t>Source</w:t>
            </w:r>
          </w:p>
        </w:tc>
        <w:tc>
          <w:tcPr>
            <w:tcW w:type="dxa" w:w="3456"/>
            <w:shd w:val="clear" w:color="auto" w:fill="1F2A44"/>
          </w:tcPr>
          <w:p>
            <w:r/>
            <w:r>
              <w:rPr>
                <w:b/>
                <w:color w:val="FFFFFF"/>
                <w:sz w:val="17"/>
              </w:rPr>
              <w:t>Implication for Vantage</w:t>
            </w:r>
          </w:p>
        </w:tc>
      </w:tr>
      <w:tr>
        <w:tc>
          <w:tcPr>
            <w:tcW w:type="dxa" w:w="1512"/>
          </w:tcPr>
          <w:p>
            <w:r/>
            <w:r>
              <w:rPr>
                <w:b w:val="0"/>
                <w:sz w:val="17"/>
              </w:rPr>
              <w:t>Mar. 28, 2025</w:t>
            </w:r>
          </w:p>
        </w:tc>
        <w:tc>
          <w:tcPr>
            <w:tcW w:type="dxa" w:w="2736"/>
          </w:tcPr>
          <w:p>
            <w:r/>
            <w:r>
              <w:rPr>
                <w:b w:val="0"/>
                <w:sz w:val="17"/>
              </w:rPr>
              <w:t>Separate defense oppositions to class certification filed, supported by jointly retained expert Dr. Richard Harding</w:t>
            </w:r>
          </w:p>
        </w:tc>
        <w:tc>
          <w:tcPr>
            <w:tcW w:type="dxa" w:w="1656"/>
          </w:tcPr>
          <w:p>
            <w:r/>
            <w:r>
              <w:rPr>
                <w:b w:val="0"/>
                <w:sz w:val="17"/>
              </w:rPr>
              <w:t>Class Cert. Order § II.D</w:t>
            </w:r>
          </w:p>
        </w:tc>
        <w:tc>
          <w:tcPr>
            <w:tcW w:type="dxa" w:w="3456"/>
          </w:tcPr>
          <w:p>
            <w:r/>
            <w:r>
              <w:rPr>
                <w:b w:val="0"/>
                <w:sz w:val="17"/>
              </w:rPr>
              <w:t>Joint defense communications already exist before any written JDA; memorialize them (new § 2.4).</w:t>
            </w:r>
          </w:p>
        </w:tc>
      </w:tr>
      <w:tr>
        <w:tc>
          <w:tcPr>
            <w:tcW w:type="dxa" w:w="1512"/>
          </w:tcPr>
          <w:p>
            <w:r/>
            <w:r>
              <w:rPr>
                <w:b w:val="0"/>
                <w:sz w:val="17"/>
              </w:rPr>
              <w:t>Apr. 22, 2025</w:t>
            </w:r>
          </w:p>
        </w:tc>
        <w:tc>
          <w:tcPr>
            <w:tcW w:type="dxa" w:w="2736"/>
          </w:tcPr>
          <w:p>
            <w:r/>
            <w:r>
              <w:rPr>
                <w:b w:val="0"/>
                <w:sz w:val="17"/>
              </w:rPr>
              <w:t>Class certification hearing</w:t>
            </w:r>
          </w:p>
        </w:tc>
        <w:tc>
          <w:tcPr>
            <w:tcW w:type="dxa" w:w="1656"/>
          </w:tcPr>
          <w:p>
            <w:r/>
            <w:r>
              <w:rPr>
                <w:b w:val="0"/>
                <w:sz w:val="17"/>
              </w:rPr>
              <w:t>Order § I</w:t>
            </w:r>
          </w:p>
        </w:tc>
        <w:tc>
          <w:tcPr>
            <w:tcW w:type="dxa" w:w="3456"/>
          </w:tcPr>
          <w:p>
            <w:r/>
            <w:r>
              <w:rPr>
                <w:b w:val="0"/>
                <w:sz w:val="17"/>
              </w:rPr>
            </w:r>
          </w:p>
        </w:tc>
      </w:tr>
      <w:tr>
        <w:tc>
          <w:tcPr>
            <w:tcW w:type="dxa" w:w="1512"/>
          </w:tcPr>
          <w:p>
            <w:r/>
            <w:r>
              <w:rPr>
                <w:b w:val="0"/>
                <w:sz w:val="17"/>
              </w:rPr>
              <w:t>Apr. 29, 2025 (Tue)</w:t>
            </w:r>
          </w:p>
        </w:tc>
        <w:tc>
          <w:tcPr>
            <w:tcW w:type="dxa" w:w="2736"/>
          </w:tcPr>
          <w:p>
            <w:r/>
            <w:r>
              <w:rPr>
                <w:b w:val="0"/>
                <w:sz w:val="17"/>
              </w:rPr>
              <w:t>Order granting class certification entered; Rule 23(b)(3) class certified</w:t>
            </w:r>
          </w:p>
        </w:tc>
        <w:tc>
          <w:tcPr>
            <w:tcW w:type="dxa" w:w="1656"/>
          </w:tcPr>
          <w:p>
            <w:r/>
            <w:r>
              <w:rPr>
                <w:b w:val="0"/>
                <w:sz w:val="17"/>
              </w:rPr>
              <w:t>Order §§ V–XI</w:t>
            </w:r>
          </w:p>
        </w:tc>
        <w:tc>
          <w:tcPr>
            <w:tcW w:type="dxa" w:w="3456"/>
          </w:tcPr>
          <w:p>
            <w:r/>
            <w:r>
              <w:rPr>
                <w:b w:val="0"/>
                <w:sz w:val="17"/>
              </w:rPr>
              <w:t>Triggers the Rule 23(f) and notice-plan deadlines below. Settlement dynamics typically accelerate after certification.</w:t>
            </w:r>
          </w:p>
        </w:tc>
      </w:tr>
      <w:tr>
        <w:tc>
          <w:tcPr>
            <w:tcW w:type="dxa" w:w="1512"/>
          </w:tcPr>
          <w:p>
            <w:r/>
            <w:r>
              <w:rPr>
                <w:b w:val="0"/>
                <w:sz w:val="17"/>
              </w:rPr>
              <w:t>May 2, 2025 (Fri)</w:t>
            </w:r>
          </w:p>
        </w:tc>
        <w:tc>
          <w:tcPr>
            <w:tcW w:type="dxa" w:w="2736"/>
          </w:tcPr>
          <w:p>
            <w:r/>
            <w:r>
              <w:rPr>
                <w:b w:val="0"/>
                <w:sz w:val="17"/>
              </w:rPr>
              <w:t>Proposed JDA circulated by Pryor Whitfield</w:t>
            </w:r>
          </w:p>
        </w:tc>
        <w:tc>
          <w:tcPr>
            <w:tcW w:type="dxa" w:w="1656"/>
          </w:tcPr>
          <w:p>
            <w:r/>
            <w:r>
              <w:rPr>
                <w:b w:val="0"/>
                <w:sz w:val="17"/>
              </w:rPr>
              <w:t>Email</w:t>
            </w:r>
          </w:p>
        </w:tc>
        <w:tc>
          <w:tcPr>
            <w:tcW w:type="dxa" w:w="3456"/>
          </w:tcPr>
          <w:p>
            <w:r/>
            <w:r>
              <w:rPr>
                <w:b w:val="0"/>
                <w:sz w:val="17"/>
              </w:rPr>
              <w:t>Draft to be treated as confidential among the prospective defense group.</w:t>
            </w:r>
          </w:p>
        </w:tc>
      </w:tr>
      <w:tr>
        <w:tc>
          <w:tcPr>
            <w:tcW w:type="dxa" w:w="1512"/>
          </w:tcPr>
          <w:p>
            <w:r/>
            <w:r>
              <w:rPr>
                <w:b w:val="0"/>
                <w:sz w:val="17"/>
              </w:rPr>
              <w:t>Week of May 12, 2025</w:t>
            </w:r>
          </w:p>
        </w:tc>
        <w:tc>
          <w:tcPr>
            <w:tcW w:type="dxa" w:w="2736"/>
          </w:tcPr>
          <w:p>
            <w:r/>
            <w:r>
              <w:rPr>
                <w:b w:val="0"/>
                <w:sz w:val="17"/>
              </w:rPr>
              <w:t>Proposed call among all defense counsel</w:t>
            </w:r>
          </w:p>
        </w:tc>
        <w:tc>
          <w:tcPr>
            <w:tcW w:type="dxa" w:w="1656"/>
          </w:tcPr>
          <w:p>
            <w:r/>
            <w:r>
              <w:rPr>
                <w:b w:val="0"/>
                <w:sz w:val="17"/>
              </w:rPr>
              <w:t>Email</w:t>
            </w:r>
          </w:p>
        </w:tc>
        <w:tc>
          <w:tcPr>
            <w:tcW w:type="dxa" w:w="3456"/>
          </w:tcPr>
          <w:p>
            <w:r/>
            <w:r>
              <w:rPr>
                <w:b w:val="0"/>
                <w:sz w:val="17"/>
              </w:rPr>
              <w:t>Seek GC approval of positions before the call. If approval is not yet in hand, limit Vantage's participation to a high-level preview of topics (§ 16.3).</w:t>
            </w:r>
          </w:p>
        </w:tc>
      </w:tr>
      <w:tr>
        <w:tc>
          <w:tcPr>
            <w:tcW w:type="dxa" w:w="1512"/>
          </w:tcPr>
          <w:p>
            <w:r/>
            <w:r>
              <w:rPr>
                <w:b w:val="0"/>
                <w:sz w:val="17"/>
              </w:rPr>
              <w:t>May 13, 2025 (Tue)</w:t>
            </w:r>
          </w:p>
        </w:tc>
        <w:tc>
          <w:tcPr>
            <w:tcW w:type="dxa" w:w="2736"/>
          </w:tcPr>
          <w:p>
            <w:r/>
            <w:r>
              <w:rPr>
                <w:b w:val="0"/>
                <w:sz w:val="17"/>
              </w:rPr>
              <w:t>Deadline to petition the Seventh Circuit for permission to appeal under Rule 23(f) (14 days after entry)</w:t>
            </w:r>
          </w:p>
        </w:tc>
        <w:tc>
          <w:tcPr>
            <w:tcW w:type="dxa" w:w="1656"/>
          </w:tcPr>
          <w:p>
            <w:r/>
            <w:r>
              <w:rPr>
                <w:b w:val="0"/>
                <w:sz w:val="17"/>
              </w:rPr>
              <w:t>Order § X; Fed. R. Civ. P. 23(f)</w:t>
            </w:r>
          </w:p>
        </w:tc>
        <w:tc>
          <w:tcPr>
            <w:tcW w:type="dxa" w:w="3456"/>
          </w:tcPr>
          <w:p>
            <w:r/>
            <w:r>
              <w:rPr>
                <w:b w:val="0"/>
                <w:sz w:val="17"/>
              </w:rPr>
              <w:t>Defense coordination on any petition will occur before JDA execution. Put the interim common-interest letter in place now. Vantage must make its own 23(f) decision.</w:t>
            </w:r>
          </w:p>
        </w:tc>
      </w:tr>
      <w:tr>
        <w:tc>
          <w:tcPr>
            <w:tcW w:type="dxa" w:w="1512"/>
          </w:tcPr>
          <w:p>
            <w:r/>
            <w:r>
              <w:rPr>
                <w:b w:val="0"/>
                <w:sz w:val="17"/>
              </w:rPr>
              <w:t>May 16, 2025 (Fri)</w:t>
            </w:r>
          </w:p>
        </w:tc>
        <w:tc>
          <w:tcPr>
            <w:tcW w:type="dxa" w:w="2736"/>
          </w:tcPr>
          <w:p>
            <w:r/>
            <w:r>
              <w:rPr>
                <w:b w:val="0"/>
                <w:sz w:val="17"/>
              </w:rPr>
              <w:t>Requested initial written response (acknowledgment and preliminary concerns)</w:t>
            </w:r>
          </w:p>
        </w:tc>
        <w:tc>
          <w:tcPr>
            <w:tcW w:type="dxa" w:w="1656"/>
          </w:tcPr>
          <w:p>
            <w:r/>
            <w:r>
              <w:rPr>
                <w:b w:val="0"/>
                <w:sz w:val="17"/>
              </w:rPr>
              <w:t>Email</w:t>
            </w:r>
          </w:p>
        </w:tc>
        <w:tc>
          <w:tcPr>
            <w:tcW w:type="dxa" w:w="3456"/>
          </w:tcPr>
          <w:p>
            <w:r/>
            <w:r>
              <w:rPr>
                <w:b w:val="0"/>
                <w:sz w:val="17"/>
              </w:rPr>
              <w:t>Internal target: GC approval of memo and redline by May 12–13. Respond with an acknowledgment, the list of threshold concerns and Schedule A confirmation, and (once approved) the cleaned redline.</w:t>
            </w:r>
          </w:p>
        </w:tc>
      </w:tr>
      <w:tr>
        <w:tc>
          <w:tcPr>
            <w:tcW w:type="dxa" w:w="1512"/>
          </w:tcPr>
          <w:p>
            <w:r/>
            <w:r>
              <w:rPr>
                <w:b w:val="0"/>
                <w:sz w:val="17"/>
              </w:rPr>
              <w:t>May 23, 2025 (Fri)</w:t>
            </w:r>
          </w:p>
        </w:tc>
        <w:tc>
          <w:tcPr>
            <w:tcW w:type="dxa" w:w="2736"/>
          </w:tcPr>
          <w:p>
            <w:r/>
            <w:r>
              <w:rPr>
                <w:b w:val="0"/>
                <w:sz w:val="17"/>
              </w:rPr>
              <w:t>Requested execution and return of counterparts</w:t>
            </w:r>
          </w:p>
        </w:tc>
        <w:tc>
          <w:tcPr>
            <w:tcW w:type="dxa" w:w="1656"/>
          </w:tcPr>
          <w:p>
            <w:r/>
            <w:r>
              <w:rPr>
                <w:b w:val="0"/>
                <w:sz w:val="17"/>
              </w:rPr>
              <w:t>Email; JDA recital</w:t>
            </w:r>
          </w:p>
        </w:tc>
        <w:tc>
          <w:tcPr>
            <w:tcW w:type="dxa" w:w="3456"/>
          </w:tcPr>
          <w:p>
            <w:r/>
            <w:r>
              <w:rPr>
                <w:b w:val="0"/>
                <w:sz w:val="17"/>
              </w:rPr>
              <w:t>Do not execute unless all Critical items are cured. Execution authority rests solely with the GC (§ 16.4).</w:t>
            </w:r>
          </w:p>
        </w:tc>
      </w:tr>
      <w:tr>
        <w:tc>
          <w:tcPr>
            <w:tcW w:type="dxa" w:w="1512"/>
          </w:tcPr>
          <w:p>
            <w:r/>
            <w:r>
              <w:rPr>
                <w:b w:val="0"/>
                <w:sz w:val="17"/>
              </w:rPr>
              <w:t>May 29, 2025 (Thu)</w:t>
            </w:r>
          </w:p>
        </w:tc>
        <w:tc>
          <w:tcPr>
            <w:tcW w:type="dxa" w:w="2736"/>
          </w:tcPr>
          <w:p>
            <w:r/>
            <w:r>
              <w:rPr>
                <w:b w:val="0"/>
                <w:sz w:val="17"/>
              </w:rPr>
              <w:t>Joint proposed class-notice plan due (30 days after entry), including the opt-out deadline</w:t>
            </w:r>
          </w:p>
        </w:tc>
        <w:tc>
          <w:tcPr>
            <w:tcW w:type="dxa" w:w="1656"/>
          </w:tcPr>
          <w:p>
            <w:r/>
            <w:r>
              <w:rPr>
                <w:b w:val="0"/>
                <w:sz w:val="17"/>
              </w:rPr>
              <w:t>Order § IX</w:t>
            </w:r>
          </w:p>
        </w:tc>
        <w:tc>
          <w:tcPr>
            <w:tcW w:type="dxa" w:w="3456"/>
          </w:tcPr>
          <w:p>
            <w:r/>
            <w:r>
              <w:rPr>
                <w:b w:val="0"/>
                <w:sz w:val="17"/>
              </w:rPr>
              <w:t>Opt-outs will produce follow-on actions, which supports broadening "Related Proceeding" (Issue 24) and indefinite survival (Issue 7).</w:t>
            </w:r>
          </w:p>
        </w:tc>
      </w:tr>
      <w:tr>
        <w:tc>
          <w:tcPr>
            <w:tcW w:type="dxa" w:w="1512"/>
          </w:tcPr>
          <w:p>
            <w:r/>
            <w:r>
              <w:rPr>
                <w:b w:val="0"/>
                <w:sz w:val="17"/>
              </w:rPr>
              <w:t>July 2025 (TBD)</w:t>
            </w:r>
          </w:p>
        </w:tc>
        <w:tc>
          <w:tcPr>
            <w:tcW w:type="dxa" w:w="2736"/>
          </w:tcPr>
          <w:p>
            <w:r/>
            <w:r>
              <w:rPr>
                <w:b w:val="0"/>
                <w:sz w:val="17"/>
              </w:rPr>
              <w:t>Anticipated initial document production deadline</w:t>
            </w:r>
          </w:p>
        </w:tc>
        <w:tc>
          <w:tcPr>
            <w:tcW w:type="dxa" w:w="1656"/>
          </w:tcPr>
          <w:p>
            <w:r/>
            <w:r>
              <w:rPr>
                <w:b w:val="0"/>
                <w:sz w:val="17"/>
              </w:rPr>
              <w:t>Email</w:t>
            </w:r>
          </w:p>
        </w:tc>
        <w:tc>
          <w:tcPr>
            <w:tcW w:type="dxa" w:w="3456"/>
          </w:tcPr>
          <w:p>
            <w:r/>
            <w:r>
              <w:rPr>
                <w:b w:val="0"/>
                <w:sz w:val="17"/>
              </w:rPr>
              <w:t>A Rule 502(d) order and clawback must be in place before productions (new § 3.6). Expect pressure for Article IV sharing.</w:t>
            </w:r>
          </w:p>
        </w:tc>
      </w:tr>
      <w:tr>
        <w:tc>
          <w:tcPr>
            <w:tcW w:type="dxa" w:w="1512"/>
          </w:tcPr>
          <w:p>
            <w:r/>
            <w:r>
              <w:rPr>
                <w:b w:val="0"/>
                <w:sz w:val="17"/>
              </w:rPr>
              <w:t>Within 15 business days after execution</w:t>
            </w:r>
          </w:p>
        </w:tc>
        <w:tc>
          <w:tcPr>
            <w:tcW w:type="dxa" w:w="2736"/>
          </w:tcPr>
          <w:p>
            <w:r/>
            <w:r>
              <w:rPr>
                <w:b w:val="0"/>
                <w:sz w:val="17"/>
              </w:rPr>
              <w:t>Joint Rule 502(d) motion (as redlined)</w:t>
            </w:r>
          </w:p>
        </w:tc>
        <w:tc>
          <w:tcPr>
            <w:tcW w:type="dxa" w:w="1656"/>
          </w:tcPr>
          <w:p>
            <w:r/>
            <w:r>
              <w:rPr>
                <w:b w:val="0"/>
                <w:sz w:val="17"/>
              </w:rPr>
              <w:t>Redline § 3.6(a)</w:t>
            </w:r>
          </w:p>
        </w:tc>
        <w:tc>
          <w:tcPr>
            <w:tcW w:type="dxa" w:w="3456"/>
          </w:tcPr>
          <w:p>
            <w:r/>
            <w:r>
              <w:rPr>
                <w:b w:val="0"/>
                <w:sz w:val="17"/>
              </w:rPr>
              <w:t>Begin drafting now.</w:t>
            </w:r>
          </w:p>
        </w:tc>
      </w:tr>
    </w:tbl>
    <w:p>
      <w:pPr>
        <w:spacing w:after="40"/>
      </w:pPr>
    </w:p>
    <w:p>
      <w:pPr>
        <w:pStyle w:val="Heading1"/>
      </w:pPr>
      <w:r>
        <w:t>III. Background and Strategic Context</w:t>
      </w:r>
    </w:p>
    <w:p>
      <w:pPr>
        <w:pStyle w:val="Heading2"/>
      </w:pPr>
      <w:r>
        <w:t>A. Posture of the Litigation</w:t>
      </w:r>
    </w:p>
    <w:p>
      <w:pPr>
        <w:spacing w:after="120"/>
      </w:pPr>
      <w:r>
        <w:rPr>
          <w:b w:val="0"/>
          <w:i w:val="0"/>
        </w:rPr>
        <w:t>The certified class consists of all direct purchasers of industrial fasteners from any Defendant in the United States from January 1, 2018 through December 31, 2022. The claims are Sherman Act § 1 price fixing, bid rigging and customer/territory allocation (Order §§ V–VI). Plaintiffs allege aggregate overcharges exceeding $750 million, which would exceed $2.25 billion if trebled, and their expert, Dr. Vasquez, estimates average overcharges of 12–18% (Order § II.C). Liability is sought jointly and severally (Compl., Prayer). Federal antitrust law provides no right of contribution among co-defendants (Texas Industries, Inc. v. Radcliff Materials, Inc., 451 U.S. 630 (1981)). The practical consequence is that each defendant's ability to settle early, confidentially and on its own terms is its principal tool for managing joint-and-several exposure. Every JDA provision touching settlement, withdrawal or post-settlement obligations must be read with that in mind.</w:t>
      </w:r>
    </w:p>
    <w:p>
      <w:pPr>
        <w:pStyle w:val="Heading2"/>
      </w:pPr>
      <w:r>
        <w:t>B. Relative Positions of the Defendants</w:t>
      </w:r>
    </w:p>
    <w:tbl>
      <w:tblPr>
        <w:tblStyle w:val="TableGrid"/>
        <w:tblW w:type="auto" w:w="0"/>
        <w:jc w:val="center"/>
        <w:tblLook w:firstColumn="1" w:firstRow="1" w:lastColumn="0" w:lastRow="0" w:noHBand="0" w:noVBand="1" w:val="04A0"/>
      </w:tblPr>
      <w:tblGrid>
        <w:gridCol w:w="1337"/>
        <w:gridCol w:w="1337"/>
        <w:gridCol w:w="1337"/>
        <w:gridCol w:w="1337"/>
        <w:gridCol w:w="1337"/>
        <w:gridCol w:w="1337"/>
        <w:gridCol w:w="1337"/>
      </w:tblGrid>
      <w:tr>
        <w:trPr>
          <w:tblHeader w:val="true"/>
        </w:trPr>
        <w:tc>
          <w:tcPr>
            <w:tcW w:type="dxa" w:w="1440"/>
            <w:shd w:val="clear" w:color="auto" w:fill="1F2A44"/>
          </w:tcPr>
          <w:p>
            <w:r/>
            <w:r>
              <w:rPr>
                <w:b/>
                <w:color w:val="FFFFFF"/>
                <w:sz w:val="17"/>
              </w:rPr>
              <w:t>Defendant</w:t>
            </w:r>
          </w:p>
        </w:tc>
        <w:tc>
          <w:tcPr>
            <w:tcW w:type="dxa" w:w="1872"/>
            <w:shd w:val="clear" w:color="auto" w:fill="1F2A44"/>
          </w:tcPr>
          <w:p>
            <w:r/>
            <w:r>
              <w:rPr>
                <w:b/>
                <w:color w:val="FFFFFF"/>
                <w:sz w:val="17"/>
              </w:rPr>
              <w:t>Organized / HQ</w:t>
            </w:r>
          </w:p>
        </w:tc>
        <w:tc>
          <w:tcPr>
            <w:tcW w:type="dxa" w:w="1080"/>
            <w:shd w:val="clear" w:color="auto" w:fill="1F2A44"/>
          </w:tcPr>
          <w:p>
            <w:r/>
            <w:r>
              <w:rPr>
                <w:b/>
                <w:color w:val="FFFFFF"/>
                <w:sz w:val="17"/>
              </w:rPr>
              <w:t>Alleged market share</w:t>
            </w:r>
          </w:p>
        </w:tc>
        <w:tc>
          <w:tcPr>
            <w:tcW w:type="dxa" w:w="1152"/>
            <w:shd w:val="clear" w:color="auto" w:fill="1F2A44"/>
          </w:tcPr>
          <w:p>
            <w:r/>
            <w:r>
              <w:rPr>
                <w:b/>
                <w:color w:val="FFFFFF"/>
                <w:sz w:val="17"/>
              </w:rPr>
              <w:t>Class Period U.S. sales</w:t>
            </w:r>
          </w:p>
        </w:tc>
        <w:tc>
          <w:tcPr>
            <w:tcW w:type="dxa" w:w="1368"/>
            <w:shd w:val="clear" w:color="auto" w:fill="1F2A44"/>
          </w:tcPr>
          <w:p>
            <w:r/>
            <w:r>
              <w:rPr>
                <w:b/>
                <w:color w:val="FFFFFF"/>
                <w:sz w:val="17"/>
              </w:rPr>
              <w:t>Share of defendants' combined market share</w:t>
            </w:r>
          </w:p>
        </w:tc>
        <w:tc>
          <w:tcPr>
            <w:tcW w:type="dxa" w:w="1296"/>
            <w:shd w:val="clear" w:color="auto" w:fill="1F2A44"/>
          </w:tcPr>
          <w:p>
            <w:r/>
            <w:r>
              <w:rPr>
                <w:b/>
                <w:color w:val="FFFFFF"/>
                <w:sz w:val="17"/>
              </w:rPr>
              <w:t>Share of defendants' combined sales</w:t>
            </w:r>
          </w:p>
        </w:tc>
        <w:tc>
          <w:tcPr>
            <w:tcW w:type="dxa" w:w="1152"/>
            <w:shd w:val="clear" w:color="auto" w:fill="1F2A44"/>
          </w:tcPr>
          <w:p>
            <w:r/>
            <w:r>
              <w:rPr>
                <w:b/>
                <w:color w:val="FFFFFF"/>
                <w:sz w:val="17"/>
              </w:rPr>
              <w:t>Proposed JDA cost share</w:t>
            </w:r>
          </w:p>
        </w:tc>
      </w:tr>
      <w:tr>
        <w:tc>
          <w:tcPr>
            <w:tcW w:type="dxa" w:w="1440"/>
          </w:tcPr>
          <w:p>
            <w:r/>
            <w:r>
              <w:rPr>
                <w:b w:val="0"/>
                <w:sz w:val="17"/>
              </w:rPr>
              <w:t>Kerrigan-Holst</w:t>
            </w:r>
          </w:p>
        </w:tc>
        <w:tc>
          <w:tcPr>
            <w:tcW w:type="dxa" w:w="1872"/>
          </w:tcPr>
          <w:p>
            <w:r/>
            <w:r>
              <w:rPr>
                <w:b w:val="0"/>
                <w:sz w:val="17"/>
              </w:rPr>
              <w:t>Delaware LLC / Chicago, IL</w:t>
            </w:r>
          </w:p>
        </w:tc>
        <w:tc>
          <w:tcPr>
            <w:tcW w:type="dxa" w:w="1080"/>
          </w:tcPr>
          <w:p>
            <w:r/>
            <w:r>
              <w:rPr>
                <w:b w:val="0"/>
                <w:sz w:val="17"/>
              </w:rPr>
              <w:t>c. 35%</w:t>
            </w:r>
          </w:p>
        </w:tc>
        <w:tc>
          <w:tcPr>
            <w:tcW w:type="dxa" w:w="1152"/>
          </w:tcPr>
          <w:p>
            <w:r/>
            <w:r>
              <w:rPr>
                <w:b w:val="0"/>
                <w:sz w:val="17"/>
              </w:rPr>
              <w:t>&gt;$2.1B</w:t>
            </w:r>
          </w:p>
        </w:tc>
        <w:tc>
          <w:tcPr>
            <w:tcW w:type="dxa" w:w="1368"/>
          </w:tcPr>
          <w:p>
            <w:r/>
            <w:r>
              <w:rPr>
                <w:b w:val="0"/>
                <w:sz w:val="17"/>
              </w:rPr>
              <w:t>57.4%</w:t>
            </w:r>
          </w:p>
        </w:tc>
        <w:tc>
          <w:tcPr>
            <w:tcW w:type="dxa" w:w="1296"/>
          </w:tcPr>
          <w:p>
            <w:r/>
            <w:r>
              <w:rPr>
                <w:b w:val="0"/>
                <w:sz w:val="17"/>
              </w:rPr>
              <w:t>58.2%*</w:t>
            </w:r>
          </w:p>
        </w:tc>
        <w:tc>
          <w:tcPr>
            <w:tcW w:type="dxa" w:w="1152"/>
          </w:tcPr>
          <w:p>
            <w:r/>
            <w:r>
              <w:rPr>
                <w:b w:val="0"/>
                <w:sz w:val="17"/>
              </w:rPr>
              <w:t>50.0%</w:t>
            </w:r>
          </w:p>
        </w:tc>
      </w:tr>
      <w:tr>
        <w:tc>
          <w:tcPr>
            <w:tcW w:type="dxa" w:w="1440"/>
          </w:tcPr>
          <w:p>
            <w:r/>
            <w:r>
              <w:rPr>
                <w:b w:val="0"/>
                <w:sz w:val="17"/>
              </w:rPr>
              <w:t>Vantage</w:t>
            </w:r>
          </w:p>
        </w:tc>
        <w:tc>
          <w:tcPr>
            <w:tcW w:type="dxa" w:w="1872"/>
          </w:tcPr>
          <w:p>
            <w:r/>
            <w:r>
              <w:rPr>
                <w:b w:val="0"/>
                <w:sz w:val="17"/>
              </w:rPr>
              <w:t>Delaware corp. / Charlotte, NC</w:t>
            </w:r>
          </w:p>
        </w:tc>
        <w:tc>
          <w:tcPr>
            <w:tcW w:type="dxa" w:w="1080"/>
          </w:tcPr>
          <w:p>
            <w:r/>
            <w:r>
              <w:rPr>
                <w:b w:val="0"/>
                <w:sz w:val="17"/>
              </w:rPr>
              <w:t>c. 11%</w:t>
            </w:r>
          </w:p>
        </w:tc>
        <w:tc>
          <w:tcPr>
            <w:tcW w:type="dxa" w:w="1152"/>
          </w:tcPr>
          <w:p>
            <w:r/>
            <w:r>
              <w:rPr>
                <w:b w:val="0"/>
                <w:sz w:val="17"/>
              </w:rPr>
              <w:t>c. $640M</w:t>
            </w:r>
          </w:p>
        </w:tc>
        <w:tc>
          <w:tcPr>
            <w:tcW w:type="dxa" w:w="1368"/>
          </w:tcPr>
          <w:p>
            <w:r/>
            <w:r>
              <w:rPr>
                <w:b w:val="0"/>
                <w:sz w:val="17"/>
              </w:rPr>
              <w:t>18.0%</w:t>
            </w:r>
          </w:p>
        </w:tc>
        <w:tc>
          <w:tcPr>
            <w:tcW w:type="dxa" w:w="1296"/>
          </w:tcPr>
          <w:p>
            <w:r/>
            <w:r>
              <w:rPr>
                <w:b w:val="0"/>
                <w:sz w:val="17"/>
              </w:rPr>
              <w:t>17.7%</w:t>
            </w:r>
          </w:p>
        </w:tc>
        <w:tc>
          <w:tcPr>
            <w:tcW w:type="dxa" w:w="1152"/>
          </w:tcPr>
          <w:p>
            <w:r/>
            <w:r>
              <w:rPr>
                <w:b w:val="0"/>
                <w:sz w:val="17"/>
              </w:rPr>
              <w:t>16.67%</w:t>
            </w:r>
          </w:p>
        </w:tc>
      </w:tr>
      <w:tr>
        <w:tc>
          <w:tcPr>
            <w:tcW w:type="dxa" w:w="1440"/>
          </w:tcPr>
          <w:p>
            <w:r/>
            <w:r>
              <w:rPr>
                <w:b w:val="0"/>
                <w:sz w:val="17"/>
              </w:rPr>
              <w:t>Stonebridge</w:t>
            </w:r>
          </w:p>
        </w:tc>
        <w:tc>
          <w:tcPr>
            <w:tcW w:type="dxa" w:w="1872"/>
          </w:tcPr>
          <w:p>
            <w:r/>
            <w:r>
              <w:rPr>
                <w:b w:val="0"/>
                <w:sz w:val="17"/>
              </w:rPr>
              <w:t>Ohio corp. / Cleveland, OH</w:t>
            </w:r>
          </w:p>
        </w:tc>
        <w:tc>
          <w:tcPr>
            <w:tcW w:type="dxa" w:w="1080"/>
          </w:tcPr>
          <w:p>
            <w:r/>
            <w:r>
              <w:rPr>
                <w:b w:val="0"/>
                <w:sz w:val="17"/>
              </w:rPr>
              <w:t>c. 8%</w:t>
            </w:r>
          </w:p>
        </w:tc>
        <w:tc>
          <w:tcPr>
            <w:tcW w:type="dxa" w:w="1152"/>
          </w:tcPr>
          <w:p>
            <w:r/>
            <w:r>
              <w:rPr>
                <w:b w:val="0"/>
                <w:sz w:val="17"/>
              </w:rPr>
              <w:t>c. $480M</w:t>
            </w:r>
          </w:p>
        </w:tc>
        <w:tc>
          <w:tcPr>
            <w:tcW w:type="dxa" w:w="1368"/>
          </w:tcPr>
          <w:p>
            <w:r/>
            <w:r>
              <w:rPr>
                <w:b w:val="0"/>
                <w:sz w:val="17"/>
              </w:rPr>
              <w:t>13.1%</w:t>
            </w:r>
          </w:p>
        </w:tc>
        <w:tc>
          <w:tcPr>
            <w:tcW w:type="dxa" w:w="1296"/>
          </w:tcPr>
          <w:p>
            <w:r/>
            <w:r>
              <w:rPr>
                <w:b w:val="0"/>
                <w:sz w:val="17"/>
              </w:rPr>
              <w:t>13.3%</w:t>
            </w:r>
          </w:p>
        </w:tc>
        <w:tc>
          <w:tcPr>
            <w:tcW w:type="dxa" w:w="1152"/>
          </w:tcPr>
          <w:p>
            <w:r/>
            <w:r>
              <w:rPr>
                <w:b w:val="0"/>
                <w:sz w:val="17"/>
              </w:rPr>
              <w:t>16.67%</w:t>
            </w:r>
          </w:p>
        </w:tc>
      </w:tr>
      <w:tr>
        <w:tc>
          <w:tcPr>
            <w:tcW w:type="dxa" w:w="1440"/>
          </w:tcPr>
          <w:p>
            <w:r/>
            <w:r>
              <w:rPr>
                <w:b w:val="0"/>
                <w:sz w:val="17"/>
              </w:rPr>
              <w:t>TerraForge</w:t>
            </w:r>
          </w:p>
        </w:tc>
        <w:tc>
          <w:tcPr>
            <w:tcW w:type="dxa" w:w="1872"/>
          </w:tcPr>
          <w:p>
            <w:r/>
            <w:r>
              <w:rPr>
                <w:b w:val="0"/>
                <w:sz w:val="17"/>
              </w:rPr>
              <w:t>Texas corp. / Houston, TX</w:t>
            </w:r>
          </w:p>
        </w:tc>
        <w:tc>
          <w:tcPr>
            <w:tcW w:type="dxa" w:w="1080"/>
          </w:tcPr>
          <w:p>
            <w:r/>
            <w:r>
              <w:rPr>
                <w:b w:val="0"/>
                <w:sz w:val="17"/>
              </w:rPr>
              <w:t>c. 7%</w:t>
            </w:r>
          </w:p>
        </w:tc>
        <w:tc>
          <w:tcPr>
            <w:tcW w:type="dxa" w:w="1152"/>
          </w:tcPr>
          <w:p>
            <w:r/>
            <w:r>
              <w:rPr>
                <w:b w:val="0"/>
                <w:sz w:val="17"/>
              </w:rPr>
              <w:t>c. $390M</w:t>
            </w:r>
          </w:p>
        </w:tc>
        <w:tc>
          <w:tcPr>
            <w:tcW w:type="dxa" w:w="1368"/>
          </w:tcPr>
          <w:p>
            <w:r/>
            <w:r>
              <w:rPr>
                <w:b w:val="0"/>
                <w:sz w:val="17"/>
              </w:rPr>
              <w:t>11.5%</w:t>
            </w:r>
          </w:p>
        </w:tc>
        <w:tc>
          <w:tcPr>
            <w:tcW w:type="dxa" w:w="1296"/>
          </w:tcPr>
          <w:p>
            <w:r/>
            <w:r>
              <w:rPr>
                <w:b w:val="0"/>
                <w:sz w:val="17"/>
              </w:rPr>
              <w:t>10.8%</w:t>
            </w:r>
          </w:p>
        </w:tc>
        <w:tc>
          <w:tcPr>
            <w:tcW w:type="dxa" w:w="1152"/>
          </w:tcPr>
          <w:p>
            <w:r/>
            <w:r>
              <w:rPr>
                <w:b w:val="0"/>
                <w:sz w:val="17"/>
              </w:rPr>
              <w:t>16.67%</w:t>
            </w:r>
          </w:p>
        </w:tc>
      </w:tr>
      <w:tr>
        <w:tc>
          <w:tcPr>
            <w:tcW w:type="dxa" w:w="1440"/>
          </w:tcPr>
          <w:p>
            <w:r/>
            <w:r>
              <w:rPr>
                <w:b w:val="0"/>
                <w:sz w:val="17"/>
              </w:rPr>
              <w:t>Total</w:t>
            </w:r>
          </w:p>
        </w:tc>
        <w:tc>
          <w:tcPr>
            <w:tcW w:type="dxa" w:w="1872"/>
          </w:tcPr>
          <w:p>
            <w:r/>
            <w:r>
              <w:rPr>
                <w:b w:val="0"/>
                <w:sz w:val="17"/>
              </w:rPr>
            </w:r>
          </w:p>
        </w:tc>
        <w:tc>
          <w:tcPr>
            <w:tcW w:type="dxa" w:w="1080"/>
          </w:tcPr>
          <w:p>
            <w:r/>
            <w:r>
              <w:rPr>
                <w:b w:val="0"/>
                <w:sz w:val="17"/>
              </w:rPr>
              <w:t>c. 61%</w:t>
            </w:r>
          </w:p>
        </w:tc>
        <w:tc>
          <w:tcPr>
            <w:tcW w:type="dxa" w:w="1152"/>
          </w:tcPr>
          <w:p>
            <w:r/>
            <w:r>
              <w:rPr>
                <w:b w:val="0"/>
                <w:sz w:val="17"/>
              </w:rPr>
              <w:t>c. $3.61B</w:t>
            </w:r>
          </w:p>
        </w:tc>
        <w:tc>
          <w:tcPr>
            <w:tcW w:type="dxa" w:w="1368"/>
          </w:tcPr>
          <w:p>
            <w:r/>
            <w:r>
              <w:rPr>
                <w:b w:val="0"/>
                <w:sz w:val="17"/>
              </w:rPr>
              <w:t>100%</w:t>
            </w:r>
          </w:p>
        </w:tc>
        <w:tc>
          <w:tcPr>
            <w:tcW w:type="dxa" w:w="1296"/>
          </w:tcPr>
          <w:p>
            <w:r/>
            <w:r>
              <w:rPr>
                <w:b w:val="0"/>
                <w:sz w:val="17"/>
              </w:rPr>
              <w:t>100%</w:t>
            </w:r>
          </w:p>
        </w:tc>
        <w:tc>
          <w:tcPr>
            <w:tcW w:type="dxa" w:w="1152"/>
          </w:tcPr>
          <w:p>
            <w:r/>
            <w:r>
              <w:rPr>
                <w:b w:val="0"/>
                <w:sz w:val="17"/>
              </w:rPr>
              <w:t>100%</w:t>
            </w:r>
          </w:p>
        </w:tc>
      </w:tr>
    </w:tbl>
    <w:p>
      <w:pPr>
        <w:spacing w:after="40"/>
      </w:pPr>
    </w:p>
    <w:p>
      <w:pPr>
        <w:spacing w:after="120"/>
      </w:pPr>
      <w:r>
        <w:rPr>
          <w:b w:val="0"/>
          <w:i/>
          <w:sz w:val="18"/>
        </w:rPr>
        <w:t>Sources: Compl. ¶¶ 11–14, 22; Class Cert. Order § II.B. *Kerrigan-Holst's sales are pleaded as "exceeding" $2.1 billion, so its sales share is a floor. The complaint does not attribute damages to individual defendants, so a damages-based allocation (Playbook § 10.1) cannot yet be computed.</w:t>
      </w:r>
    </w:p>
    <w:p>
      <w:pPr>
        <w:pStyle w:val="Heading2"/>
      </w:pPr>
      <w:r>
        <w:t>C. Parallel Government Exposure</w:t>
      </w:r>
    </w:p>
    <w:p>
      <w:pPr>
        <w:spacing w:after="120"/>
      </w:pPr>
      <w:r>
        <w:rPr>
          <w:b w:val="0"/>
          <w:i w:val="0"/>
        </w:rPr>
        <w:t>The complaint alleges complementary bidding and bid rotation on Department of Defense, GSA, and federally and state-funded transportation procurements (Compl. ¶¶ 28–29). The Order finds record evidence of emails and texts allocating bid opportunities (Order § II.C). Conduct of this kind is typically the subject of DOJ Antitrust Division criminal enforcement. Pryor's email stresses that the JDA is drafted to cover "any related government investigation, whether currently pending or subsequently initiated." We are not aware of any pending investigation, and nothing in this memorandum should be read to suggest otherwise. The point is to preserve Vantage's options. As drafted, the JDA would (i) require sharing of all relevant non-work-product materials, including materials responsive to a government inquiry; (ii) require 45 days' notice to co-defendants, with disclosure of "cooperation provisions" with "any governmental authority," before any resolution of a "Related Proceeding"; and (iii) give a Kerrigan-controlled committee authority over strategy in Related Proceedings. Those provisions would compromise any cooperation or leniency path, including the ACPERA civil-damages benefits available to a qualifying leniency applicant that cooperates with civil plaintiffs. The redline's § 4.5 and conforming changes address this. We recommend presenting the carve-out to the other defendants as a standard, mutual protection, without explaining Vantage's particular reasons.</w:t>
      </w:r>
    </w:p>
    <w:p>
      <w:pPr>
        <w:pStyle w:val="Heading2"/>
      </w:pPr>
      <w:r>
        <w:t>D. Information Exchange Among Competitors</w:t>
      </w:r>
    </w:p>
    <w:p>
      <w:pPr>
        <w:spacing w:after="120"/>
      </w:pPr>
      <w:r>
        <w:rPr>
          <w:b w:val="0"/>
          <w:i w:val="0"/>
        </w:rPr>
        <w:t>The Parties are alleged co-conspirators whose coordination allegedly took place in part at trade-association meetings in Chicago (Compl. ¶ 32; Order § II.C). A JDA that moves "data and databases" among the defendants, and lets business personnel see them, creates avoidable antitrust and evidentiary risk. The redline adds an outside-counsel-and-experts-only protocol (new § 4.6; Issue 22).</w:t>
      </w:r>
    </w:p>
    <w:p>
      <w:pPr>
        <w:pStyle w:val="Heading2"/>
      </w:pPr>
      <w:r>
        <w:t>E. Negotiating Dynamics</w:t>
      </w:r>
    </w:p>
    <w:p>
      <w:pPr>
        <w:pStyle w:val="ListBullet"/>
        <w:spacing w:after="60"/>
      </w:pPr>
      <w:r>
        <w:rPr>
          <w:b w:val="0"/>
        </w:rPr>
        <w:t>Kerrigan-Holst has signalled what it cares about: breadth of scope, prompt information sharing before the July production, its cost "generosity," centralized committee decision-making, and settlement-notice provisions it calls "essential." It has also asked that the parties "avoid protracted negotiation."</w:t>
      </w:r>
    </w:p>
    <w:p>
      <w:pPr>
        <w:pStyle w:val="ListBullet"/>
        <w:spacing w:after="60"/>
      </w:pPr>
      <w:r>
        <w:rPr>
          <w:b w:val="0"/>
        </w:rPr>
        <w:t>Stonebridge and TerraForge are smaller defendants whose interests likely align with Vantage's on committee composition, withdrawal, settlement notice and post-settlement cooperation. Coordinating positions with Gould Ramirez and Pettigrew Shaw before the call during the week of May 12 would add leverage. Any such coordination should take place under the interim common-interest letter, only after GC approval, and without sharing the Playbook (an internal privileged document) or our margin comments.</w:t>
      </w:r>
    </w:p>
    <w:p>
      <w:pPr>
        <w:pStyle w:val="ListBullet"/>
        <w:spacing w:after="60"/>
      </w:pPr>
      <w:r>
        <w:rPr>
          <w:b w:val="0"/>
        </w:rPr>
        <w:t>On cost allocation, the smaller defendants' interests diverge from Vantage's. Both pay more than their objective shares under the fixed split, so they may push for a market-share formula that would raise Vantage's share modestly. Kerrigan-Holst's claim to bear a "disproportionately large share" is not borne out by the record: 50% is below its roughly 57–58% objective share.</w:t>
      </w:r>
    </w:p>
    <w:p>
      <w:pPr>
        <w:pStyle w:val="ListBullet"/>
        <w:spacing w:after="60"/>
      </w:pPr>
      <w:r>
        <w:rPr>
          <w:b w:val="0"/>
        </w:rPr>
        <w:t>Most of the Critical cures are mutual protections that also benefit Kerrigan-Holst: indefinite survival, clawback and 502(d), the government carve-out, Illinois law, and the reservation of claims. They should be presented as standard market terms that strengthen the group's privilege position.</w:t>
      </w:r>
    </w:p>
    <w:p>
      <w:pPr>
        <w:pStyle w:val="Heading2"/>
      </w:pPr>
      <w:r>
        <w:t>F. Record Discrepancies and Open Items</w:t>
      </w:r>
    </w:p>
    <w:p>
      <w:pPr>
        <w:pStyle w:val="ListBullet"/>
        <w:spacing w:after="60"/>
      </w:pPr>
      <w:r>
        <w:rPr>
          <w:b w:val="0"/>
        </w:rPr>
        <w:t>Superseded complaint. The complaint in our file is the September 18, 2023 Consolidated Class Action Complaint. It names Midwest Structural Supply and four other named plaintiffs and lists Garland, Price &amp; Whitford as counsel. The Order instead refers to an operative Consolidated Amended Complaint filed March 4, 2024, appoints Greyfield Manufacturing, Summit Structural Systems and Pacific Ridge Contractors as class representatives, and appoints Hawthorne, Stein &amp; Castellano and Barrett Morrison as class counsel. The Order also dates JPML consolidation to November 9, 2023, after the date of our complaint. We need the operative complaint to confirm the market-share and damages allegations on which the cost-allocation formula depends, and to confirm the definition of "Plaintiffs."</w:t>
      </w:r>
    </w:p>
    <w:p>
      <w:pPr>
        <w:pStyle w:val="ListBullet"/>
        <w:spacing w:after="60"/>
      </w:pPr>
      <w:r>
        <w:rPr>
          <w:b w:val="0"/>
        </w:rPr>
        <w:t>Minor factual variances between the complaint and the Order (for example, the facility locations for Kerrigan-Holst and Vantage) do not affect the JDA analysis.</w:t>
      </w:r>
    </w:p>
    <w:p>
      <w:pPr>
        <w:pStyle w:val="ListBullet"/>
        <w:spacing w:after="60"/>
      </w:pPr>
      <w:r>
        <w:rPr>
          <w:b w:val="0"/>
        </w:rPr>
        <w:t>The JDA recital still describes the class as "purporting to act," although the class was certified three days before circulation. Section 9.2 uses "Plaintiffs" without defining it.</w:t>
      </w:r>
    </w:p>
    <w:p>
      <w:pPr>
        <w:pStyle w:val="ListBullet"/>
        <w:spacing w:after="60"/>
      </w:pPr>
      <w:r>
        <w:rPr>
          <w:b w:val="0"/>
        </w:rPr>
        <w:t>Schedule A lists generic "Managing Partner" and info@ contacts for Stonebridge's and TerraForge's counsel, although Pryor's email is addressed to named partners (Issue 27). Vantage's own listing is accurate.</w:t>
      </w:r>
    </w:p>
    <w:p>
      <w:pPr>
        <w:pStyle w:val="ListBullet"/>
        <w:spacing w:after="60"/>
      </w:pPr>
      <w:r>
        <w:rPr>
          <w:b w:val="0"/>
        </w:rPr>
        <w:t>Playbook version. Under § 1.2, please confirm that Version 4.2 (September 15, 2024) remains the current version.</w:t>
      </w:r>
    </w:p>
    <w:p>
      <w:pPr>
        <w:pStyle w:val="Heading1"/>
      </w:pPr>
      <w:r>
        <w:t>IV. Summary of Issues and Risk Ratings</w:t>
      </w:r>
    </w:p>
    <w:p>
      <w:pPr>
        <w:spacing w:after="120"/>
      </w:pPr>
      <w:r>
        <w:rPr>
          <w:b w:val="0"/>
          <w:i w:val="0"/>
          <w:sz w:val="20"/>
        </w:rPr>
        <w:t>Risk scale: Critical = a Prohibited term, a Prohibited omission or a failed Required standard (execution barred until cured; no exception available for Prohibited items). High = a Preferred deviation or strategic gap with material exposure. Medium = a moderate deviation, negotiable. Low = minor or drafting. Compliant = meets the standard. The order follows Playbook §§ 3–15 (§ 16.1), followed by additional strategic issues. Redline references are to the enclosed jda-redline.docx, where every change carries a margin comment marked REQUIRED, PROHIBITED, PREFERRED, STRATEGIC or DRAFTING (§ 16.2).</w:t>
      </w:r>
    </w:p>
    <w:tbl>
      <w:tblPr>
        <w:tblStyle w:val="TableGrid"/>
        <w:tblW w:type="auto" w:w="0"/>
        <w:jc w:val="center"/>
        <w:tblLook w:firstColumn="1" w:firstRow="1" w:lastColumn="0" w:lastRow="0" w:noHBand="0" w:noVBand="1" w:val="04A0"/>
      </w:tblPr>
      <w:tblGrid>
        <w:gridCol w:w="1560"/>
        <w:gridCol w:w="1560"/>
        <w:gridCol w:w="1560"/>
        <w:gridCol w:w="1560"/>
        <w:gridCol w:w="1560"/>
        <w:gridCol w:w="1560"/>
      </w:tblGrid>
      <w:tr>
        <w:trPr>
          <w:tblHeader w:val="true"/>
        </w:trPr>
        <w:tc>
          <w:tcPr>
            <w:tcW w:type="dxa" w:w="432"/>
            <w:shd w:val="clear" w:color="auto" w:fill="1F2A44"/>
          </w:tcPr>
          <w:p>
            <w:r/>
            <w:r>
              <w:rPr>
                <w:b/>
                <w:color w:val="FFFFFF"/>
                <w:sz w:val="16"/>
              </w:rPr>
              <w:t>#</w:t>
            </w:r>
          </w:p>
        </w:tc>
        <w:tc>
          <w:tcPr>
            <w:tcW w:type="dxa" w:w="1440"/>
            <w:shd w:val="clear" w:color="auto" w:fill="1F2A44"/>
          </w:tcPr>
          <w:p>
            <w:r/>
            <w:r>
              <w:rPr>
                <w:b/>
                <w:color w:val="FFFFFF"/>
                <w:sz w:val="16"/>
              </w:rPr>
              <w:t>JDA §</w:t>
            </w:r>
          </w:p>
        </w:tc>
        <w:tc>
          <w:tcPr>
            <w:tcW w:type="dxa" w:w="2232"/>
            <w:shd w:val="clear" w:color="auto" w:fill="1F2A44"/>
          </w:tcPr>
          <w:p>
            <w:r/>
            <w:r>
              <w:rPr>
                <w:b/>
                <w:color w:val="FFFFFF"/>
                <w:sz w:val="16"/>
              </w:rPr>
              <w:t>Issue</w:t>
            </w:r>
          </w:p>
        </w:tc>
        <w:tc>
          <w:tcPr>
            <w:tcW w:type="dxa" w:w="2088"/>
            <w:shd w:val="clear" w:color="auto" w:fill="1F2A44"/>
          </w:tcPr>
          <w:p>
            <w:r/>
            <w:r>
              <w:rPr>
                <w:b/>
                <w:color w:val="FFFFFF"/>
                <w:sz w:val="16"/>
              </w:rPr>
              <w:t>Playbook § / Tier</w:t>
            </w:r>
          </w:p>
        </w:tc>
        <w:tc>
          <w:tcPr>
            <w:tcW w:type="dxa" w:w="1080"/>
            <w:shd w:val="clear" w:color="auto" w:fill="1F2A44"/>
          </w:tcPr>
          <w:p>
            <w:r/>
            <w:r>
              <w:rPr>
                <w:b/>
                <w:color w:val="FFFFFF"/>
                <w:sz w:val="16"/>
              </w:rPr>
              <w:t>Risk</w:t>
            </w:r>
          </w:p>
        </w:tc>
        <w:tc>
          <w:tcPr>
            <w:tcW w:type="dxa" w:w="2088"/>
            <w:shd w:val="clear" w:color="auto" w:fill="1F2A44"/>
          </w:tcPr>
          <w:p>
            <w:r/>
            <w:r>
              <w:rPr>
                <w:b/>
                <w:color w:val="FFFFFF"/>
                <w:sz w:val="16"/>
              </w:rPr>
              <w:t>Recommended action</w:t>
            </w:r>
          </w:p>
        </w:tc>
      </w:tr>
      <w:tr>
        <w:tc>
          <w:tcPr>
            <w:tcW w:type="dxa" w:w="432"/>
          </w:tcPr>
          <w:p>
            <w:r/>
            <w:r>
              <w:rPr>
                <w:b w:val="0"/>
                <w:sz w:val="16"/>
              </w:rPr>
              <w:t>1</w:t>
            </w:r>
          </w:p>
        </w:tc>
        <w:tc>
          <w:tcPr>
            <w:tcW w:type="dxa" w:w="1440"/>
          </w:tcPr>
          <w:p>
            <w:r/>
            <w:r>
              <w:rPr>
                <w:b w:val="0"/>
                <w:sz w:val="16"/>
              </w:rPr>
              <w:t>§ 7.1; § 7.2 lead-in</w:t>
            </w:r>
          </w:p>
        </w:tc>
        <w:tc>
          <w:tcPr>
            <w:tcW w:type="dxa" w:w="2232"/>
          </w:tcPr>
          <w:p>
            <w:r/>
            <w:r>
              <w:rPr>
                <w:b w:val="0"/>
                <w:sz w:val="16"/>
              </w:rPr>
              <w:t>Withdrawal notice period</w:t>
            </w:r>
          </w:p>
        </w:tc>
        <w:tc>
          <w:tcPr>
            <w:tcW w:type="dxa" w:w="2088"/>
          </w:tcPr>
          <w:p>
            <w:r/>
            <w:r>
              <w:rPr>
                <w:b w:val="0"/>
                <w:sz w:val="16"/>
              </w:rPr>
              <w:t>§ 3 Withdrawal Rights — Required / Prohibited (§ 3.4)</w:t>
            </w:r>
          </w:p>
        </w:tc>
        <w:tc>
          <w:tcPr>
            <w:tcW w:type="dxa" w:w="1080"/>
            <w:shd w:val="clear" w:color="auto" w:fill="F4CCCC"/>
          </w:tcPr>
          <w:p>
            <w:r/>
            <w:r>
              <w:rPr>
                <w:b w:val="0"/>
                <w:sz w:val="16"/>
              </w:rPr>
              <w:t>Critical</w:t>
            </w:r>
          </w:p>
        </w:tc>
        <w:tc>
          <w:tcPr>
            <w:tcW w:type="dxa" w:w="2088"/>
          </w:tcPr>
          <w:p>
            <w:r/>
            <w:r>
              <w:rPr>
                <w:b w:val="0"/>
                <w:sz w:val="16"/>
              </w:rPr>
              <w:t>Reduce to 15 calendar days; confirm unconditional right</w:t>
            </w:r>
          </w:p>
        </w:tc>
      </w:tr>
      <w:tr>
        <w:tc>
          <w:tcPr>
            <w:tcW w:type="dxa" w:w="432"/>
          </w:tcPr>
          <w:p>
            <w:r/>
            <w:r>
              <w:rPr>
                <w:b w:val="0"/>
                <w:sz w:val="16"/>
              </w:rPr>
              <w:t>2</w:t>
            </w:r>
          </w:p>
        </w:tc>
        <w:tc>
          <w:tcPr>
            <w:tcW w:type="dxa" w:w="1440"/>
          </w:tcPr>
          <w:p>
            <w:r/>
            <w:r>
              <w:rPr>
                <w:b w:val="0"/>
                <w:sz w:val="16"/>
              </w:rPr>
              <w:t>§ 7.2(b)</w:t>
            </w:r>
          </w:p>
        </w:tc>
        <w:tc>
          <w:tcPr>
            <w:tcW w:type="dxa" w:w="2232"/>
          </w:tcPr>
          <w:p>
            <w:r/>
            <w:r>
              <w:rPr>
                <w:b w:val="0"/>
                <w:sz w:val="16"/>
              </w:rPr>
              <w:t>Return-or-destroy obligation on withdrawal</w:t>
            </w:r>
          </w:p>
        </w:tc>
        <w:tc>
          <w:tcPr>
            <w:tcW w:type="dxa" w:w="2088"/>
          </w:tcPr>
          <w:p>
            <w:r/>
            <w:r>
              <w:rPr>
                <w:b w:val="0"/>
                <w:sz w:val="16"/>
              </w:rPr>
              <w:t>§ 3 Withdrawal Rights — Required / Prohibited (§ 3.3–3.4)</w:t>
            </w:r>
          </w:p>
        </w:tc>
        <w:tc>
          <w:tcPr>
            <w:tcW w:type="dxa" w:w="1080"/>
            <w:shd w:val="clear" w:color="auto" w:fill="F4CCCC"/>
          </w:tcPr>
          <w:p>
            <w:r/>
            <w:r>
              <w:rPr>
                <w:b w:val="0"/>
                <w:sz w:val="16"/>
              </w:rPr>
              <w:t>Critical</w:t>
            </w:r>
          </w:p>
        </w:tc>
        <w:tc>
          <w:tcPr>
            <w:tcW w:type="dxa" w:w="2088"/>
          </w:tcPr>
          <w:p>
            <w:r/>
            <w:r>
              <w:rPr>
                <w:b w:val="0"/>
                <w:sz w:val="16"/>
              </w:rPr>
              <w:t>Carve out Incorporated Work Product (new § 1.8)</w:t>
            </w:r>
          </w:p>
        </w:tc>
      </w:tr>
      <w:tr>
        <w:tc>
          <w:tcPr>
            <w:tcW w:type="dxa" w:w="432"/>
          </w:tcPr>
          <w:p>
            <w:r/>
            <w:r>
              <w:rPr>
                <w:b w:val="0"/>
                <w:sz w:val="16"/>
              </w:rPr>
              <w:t>3</w:t>
            </w:r>
          </w:p>
        </w:tc>
        <w:tc>
          <w:tcPr>
            <w:tcW w:type="dxa" w:w="1440"/>
          </w:tcPr>
          <w:p>
            <w:r/>
            <w:r>
              <w:rPr>
                <w:b w:val="0"/>
                <w:sz w:val="16"/>
              </w:rPr>
              <w:t>§ 7.2(d)</w:t>
            </w:r>
          </w:p>
        </w:tc>
        <w:tc>
          <w:tcPr>
            <w:tcW w:type="dxa" w:w="2232"/>
          </w:tcPr>
          <w:p>
            <w:r/>
            <w:r>
              <w:rPr>
                <w:b w:val="0"/>
                <w:sz w:val="16"/>
              </w:rPr>
              <w:t>Withdrawing Party's cost tail</w:t>
            </w:r>
          </w:p>
        </w:tc>
        <w:tc>
          <w:tcPr>
            <w:tcW w:type="dxa" w:w="2088"/>
          </w:tcPr>
          <w:p>
            <w:r/>
            <w:r>
              <w:rPr>
                <w:b w:val="0"/>
                <w:sz w:val="16"/>
              </w:rPr>
              <w:t>§ 3 Withdrawal Rights — Preferred (governance)</w:t>
            </w:r>
          </w:p>
        </w:tc>
        <w:tc>
          <w:tcPr>
            <w:tcW w:type="dxa" w:w="1080"/>
            <w:shd w:val="clear" w:color="auto" w:fill="D9EAD3"/>
          </w:tcPr>
          <w:p>
            <w:r/>
            <w:r>
              <w:rPr>
                <w:b w:val="0"/>
                <w:sz w:val="16"/>
              </w:rPr>
              <w:t>Low</w:t>
            </w:r>
          </w:p>
        </w:tc>
        <w:tc>
          <w:tcPr>
            <w:tcW w:type="dxa" w:w="2088"/>
          </w:tcPr>
          <w:p>
            <w:r/>
            <w:r>
              <w:rPr>
                <w:b w:val="0"/>
                <w:sz w:val="16"/>
              </w:rPr>
              <w:t>Limit to costs actually incurred</w:t>
            </w:r>
          </w:p>
        </w:tc>
      </w:tr>
      <w:tr>
        <w:tc>
          <w:tcPr>
            <w:tcW w:type="dxa" w:w="432"/>
          </w:tcPr>
          <w:p>
            <w:r/>
            <w:r>
              <w:rPr>
                <w:b w:val="0"/>
                <w:sz w:val="16"/>
              </w:rPr>
              <w:t>4</w:t>
            </w:r>
          </w:p>
        </w:tc>
        <w:tc>
          <w:tcPr>
            <w:tcW w:type="dxa" w:w="1440"/>
          </w:tcPr>
          <w:p>
            <w:r/>
            <w:r>
              <w:rPr>
                <w:b w:val="0"/>
                <w:sz w:val="16"/>
              </w:rPr>
              <w:t>§ 9.2 (first sentence); § 9.3</w:t>
            </w:r>
          </w:p>
        </w:tc>
        <w:tc>
          <w:tcPr>
            <w:tcW w:type="dxa" w:w="2232"/>
          </w:tcPr>
          <w:p>
            <w:r/>
            <w:r>
              <w:rPr>
                <w:b w:val="0"/>
                <w:sz w:val="16"/>
              </w:rPr>
              <w:t>Settlement-notice timing and trigger</w:t>
            </w:r>
          </w:p>
        </w:tc>
        <w:tc>
          <w:tcPr>
            <w:tcW w:type="dxa" w:w="2088"/>
          </w:tcPr>
          <w:p>
            <w:r/>
            <w:r>
              <w:rPr>
                <w:b w:val="0"/>
                <w:sz w:val="16"/>
              </w:rPr>
              <w:t>§ 4 Settlement Notice — Required (§ 4.1, § 4.3(a))</w:t>
            </w:r>
          </w:p>
        </w:tc>
        <w:tc>
          <w:tcPr>
            <w:tcW w:type="dxa" w:w="1080"/>
            <w:shd w:val="clear" w:color="auto" w:fill="F4CCCC"/>
          </w:tcPr>
          <w:p>
            <w:r/>
            <w:r>
              <w:rPr>
                <w:b w:val="0"/>
                <w:sz w:val="16"/>
              </w:rPr>
              <w:t>Critical</w:t>
            </w:r>
          </w:p>
        </w:tc>
        <w:tc>
          <w:tcPr>
            <w:tcW w:type="dxa" w:w="2088"/>
          </w:tcPr>
          <w:p>
            <w:r/>
            <w:r>
              <w:rPr>
                <w:b w:val="0"/>
                <w:sz w:val="16"/>
              </w:rPr>
              <w:t>10 business days; triggered by a determination to proceed</w:t>
            </w:r>
          </w:p>
        </w:tc>
      </w:tr>
      <w:tr>
        <w:tc>
          <w:tcPr>
            <w:tcW w:type="dxa" w:w="432"/>
          </w:tcPr>
          <w:p>
            <w:r/>
            <w:r>
              <w:rPr>
                <w:b w:val="0"/>
                <w:sz w:val="16"/>
              </w:rPr>
              <w:t>5</w:t>
            </w:r>
          </w:p>
        </w:tc>
        <w:tc>
          <w:tcPr>
            <w:tcW w:type="dxa" w:w="1440"/>
          </w:tcPr>
          <w:p>
            <w:r/>
            <w:r>
              <w:rPr>
                <w:b w:val="0"/>
                <w:sz w:val="16"/>
              </w:rPr>
              <w:t>§ 9.2(a)–(e)</w:t>
            </w:r>
          </w:p>
        </w:tc>
        <w:tc>
          <w:tcPr>
            <w:tcW w:type="dxa" w:w="2232"/>
          </w:tcPr>
          <w:p>
            <w:r/>
            <w:r>
              <w:rPr>
                <w:b w:val="0"/>
                <w:sz w:val="16"/>
              </w:rPr>
              <w:t>Mandatory disclosure of all material settlement terms</w:t>
            </w:r>
          </w:p>
        </w:tc>
        <w:tc>
          <w:tcPr>
            <w:tcW w:type="dxa" w:w="2088"/>
          </w:tcPr>
          <w:p>
            <w:r/>
            <w:r>
              <w:rPr>
                <w:b w:val="0"/>
                <w:sz w:val="16"/>
              </w:rPr>
              <w:t>§ 4 Settlement Notice — Prohibited (§ 4.2, § 4.3(b), § 4.4)</w:t>
            </w:r>
          </w:p>
        </w:tc>
        <w:tc>
          <w:tcPr>
            <w:tcW w:type="dxa" w:w="1080"/>
            <w:shd w:val="clear" w:color="auto" w:fill="F4CCCC"/>
          </w:tcPr>
          <w:p>
            <w:r/>
            <w:r>
              <w:rPr>
                <w:b w:val="0"/>
                <w:sz w:val="16"/>
              </w:rPr>
              <w:t>Critical</w:t>
            </w:r>
          </w:p>
        </w:tc>
        <w:tc>
          <w:tcPr>
            <w:tcW w:type="dxa" w:w="2088"/>
          </w:tcPr>
          <w:p>
            <w:r/>
            <w:r>
              <w:rPr>
                <w:b w:val="0"/>
                <w:sz w:val="16"/>
              </w:rPr>
              <w:t>Existence and general nature only; delete (d)–(e)</w:t>
            </w:r>
          </w:p>
        </w:tc>
      </w:tr>
      <w:tr>
        <w:tc>
          <w:tcPr>
            <w:tcW w:type="dxa" w:w="432"/>
          </w:tcPr>
          <w:p>
            <w:r/>
            <w:r>
              <w:rPr>
                <w:b w:val="0"/>
                <w:sz w:val="16"/>
              </w:rPr>
              <w:t>6</w:t>
            </w:r>
          </w:p>
        </w:tc>
        <w:tc>
          <w:tcPr>
            <w:tcW w:type="dxa" w:w="1440"/>
          </w:tcPr>
          <w:p>
            <w:r/>
            <w:r>
              <w:rPr>
                <w:b w:val="0"/>
                <w:sz w:val="16"/>
              </w:rPr>
              <w:t>§ 9.3</w:t>
            </w:r>
          </w:p>
        </w:tc>
        <w:tc>
          <w:tcPr>
            <w:tcW w:type="dxa" w:w="2232"/>
          </w:tcPr>
          <w:p>
            <w:r/>
            <w:r>
              <w:rPr>
                <w:b w:val="0"/>
                <w:sz w:val="16"/>
              </w:rPr>
              <w:t>Consultation on modifications to settlement terms</w:t>
            </w:r>
          </w:p>
        </w:tc>
        <w:tc>
          <w:tcPr>
            <w:tcW w:type="dxa" w:w="2088"/>
          </w:tcPr>
          <w:p>
            <w:r/>
            <w:r>
              <w:rPr>
                <w:b w:val="0"/>
                <w:sz w:val="16"/>
              </w:rPr>
              <w:t>§ 4 Settlement Notice — Required (§ 4.2 and rationale)</w:t>
            </w:r>
          </w:p>
        </w:tc>
        <w:tc>
          <w:tcPr>
            <w:tcW w:type="dxa" w:w="1080"/>
            <w:shd w:val="clear" w:color="auto" w:fill="FCE5CD"/>
          </w:tcPr>
          <w:p>
            <w:r/>
            <w:r>
              <w:rPr>
                <w:b w:val="0"/>
                <w:sz w:val="16"/>
              </w:rPr>
              <w:t>High</w:t>
            </w:r>
          </w:p>
        </w:tc>
        <w:tc>
          <w:tcPr>
            <w:tcW w:type="dxa" w:w="2088"/>
          </w:tcPr>
          <w:p>
            <w:r/>
            <w:r>
              <w:rPr>
                <w:b w:val="0"/>
                <w:sz w:val="16"/>
              </w:rPr>
              <w:t>Limit consultation to withdrawal logistics</w:t>
            </w:r>
          </w:p>
        </w:tc>
      </w:tr>
      <w:tr>
        <w:tc>
          <w:tcPr>
            <w:tcW w:type="dxa" w:w="432"/>
          </w:tcPr>
          <w:p>
            <w:r/>
            <w:r>
              <w:rPr>
                <w:b w:val="0"/>
                <w:sz w:val="16"/>
              </w:rPr>
              <w:t>7</w:t>
            </w:r>
          </w:p>
        </w:tc>
        <w:tc>
          <w:tcPr>
            <w:tcW w:type="dxa" w:w="1440"/>
          </w:tcPr>
          <w:p>
            <w:r/>
            <w:r>
              <w:rPr>
                <w:b w:val="0"/>
                <w:sz w:val="16"/>
              </w:rPr>
              <w:t>§ 8.1–8.2</w:t>
            </w:r>
          </w:p>
        </w:tc>
        <w:tc>
          <w:tcPr>
            <w:tcW w:type="dxa" w:w="2232"/>
          </w:tcPr>
          <w:p>
            <w:r/>
            <w:r>
              <w:rPr>
                <w:b w:val="0"/>
                <w:sz w:val="16"/>
              </w:rPr>
              <w:t>Confidentiality survival period</w:t>
            </w:r>
          </w:p>
        </w:tc>
        <w:tc>
          <w:tcPr>
            <w:tcW w:type="dxa" w:w="2088"/>
          </w:tcPr>
          <w:p>
            <w:r/>
            <w:r>
              <w:rPr>
                <w:b w:val="0"/>
                <w:sz w:val="16"/>
              </w:rPr>
              <w:t>§ 5 Surviving Obligations — Required / Prohibited (§ 5.3)</w:t>
            </w:r>
          </w:p>
        </w:tc>
        <w:tc>
          <w:tcPr>
            <w:tcW w:type="dxa" w:w="1080"/>
            <w:shd w:val="clear" w:color="auto" w:fill="F4CCCC"/>
          </w:tcPr>
          <w:p>
            <w:r/>
            <w:r>
              <w:rPr>
                <w:b w:val="0"/>
                <w:sz w:val="16"/>
              </w:rPr>
              <w:t>Critical</w:t>
            </w:r>
          </w:p>
        </w:tc>
        <w:tc>
          <w:tcPr>
            <w:tcW w:type="dxa" w:w="2088"/>
          </w:tcPr>
          <w:p>
            <w:r/>
            <w:r>
              <w:rPr>
                <w:b w:val="0"/>
                <w:sz w:val="16"/>
              </w:rPr>
              <w:t>Indefinite survival (fallback: 7 years minimum)</w:t>
            </w:r>
          </w:p>
        </w:tc>
      </w:tr>
      <w:tr>
        <w:tc>
          <w:tcPr>
            <w:tcW w:type="dxa" w:w="432"/>
          </w:tcPr>
          <w:p>
            <w:r/>
            <w:r>
              <w:rPr>
                <w:b w:val="0"/>
                <w:sz w:val="16"/>
              </w:rPr>
              <w:t>8</w:t>
            </w:r>
          </w:p>
        </w:tc>
        <w:tc>
          <w:tcPr>
            <w:tcW w:type="dxa" w:w="1440"/>
          </w:tcPr>
          <w:p>
            <w:r/>
            <w:r>
              <w:rPr>
                <w:b w:val="0"/>
                <w:sz w:val="16"/>
              </w:rPr>
              <w:t>Art. XI (§§ 11.1–11.2)</w:t>
            </w:r>
          </w:p>
        </w:tc>
        <w:tc>
          <w:tcPr>
            <w:tcW w:type="dxa" w:w="2232"/>
          </w:tcPr>
          <w:p>
            <w:r/>
            <w:r>
              <w:rPr>
                <w:b w:val="0"/>
                <w:sz w:val="16"/>
              </w:rPr>
              <w:t>Blanket conflicts waiver without reservation of inter-party claims</w:t>
            </w:r>
          </w:p>
        </w:tc>
        <w:tc>
          <w:tcPr>
            <w:tcW w:type="dxa" w:w="2088"/>
          </w:tcPr>
          <w:p>
            <w:r/>
            <w:r>
              <w:rPr>
                <w:b w:val="0"/>
                <w:sz w:val="16"/>
              </w:rPr>
              <w:t>§ 6 Conflicts Waiver — Required / Prohibited (§ 6.1, § 6.3)</w:t>
            </w:r>
          </w:p>
        </w:tc>
        <w:tc>
          <w:tcPr>
            <w:tcW w:type="dxa" w:w="1080"/>
            <w:shd w:val="clear" w:color="auto" w:fill="F4CCCC"/>
          </w:tcPr>
          <w:p>
            <w:r/>
            <w:r>
              <w:rPr>
                <w:b w:val="0"/>
                <w:sz w:val="16"/>
              </w:rPr>
              <w:t>Critical</w:t>
            </w:r>
          </w:p>
        </w:tc>
        <w:tc>
          <w:tcPr>
            <w:tcW w:type="dxa" w:w="2088"/>
          </w:tcPr>
          <w:p>
            <w:r/>
            <w:r>
              <w:rPr>
                <w:b w:val="0"/>
                <w:sz w:val="16"/>
              </w:rPr>
              <w:t>New §§ 11.3–11.4 reservation of claims; correct "joint representation"</w:t>
            </w:r>
          </w:p>
        </w:tc>
      </w:tr>
      <w:tr>
        <w:tc>
          <w:tcPr>
            <w:tcW w:type="dxa" w:w="432"/>
          </w:tcPr>
          <w:p>
            <w:r/>
            <w:r>
              <w:rPr>
                <w:b w:val="0"/>
                <w:sz w:val="16"/>
              </w:rPr>
              <w:t>9</w:t>
            </w:r>
          </w:p>
        </w:tc>
        <w:tc>
          <w:tcPr>
            <w:tcW w:type="dxa" w:w="1440"/>
          </w:tcPr>
          <w:p>
            <w:r/>
            <w:r>
              <w:rPr>
                <w:b w:val="0"/>
                <w:sz w:val="16"/>
              </w:rPr>
              <w:t>§ 12.3</w:t>
            </w:r>
          </w:p>
        </w:tc>
        <w:tc>
          <w:tcPr>
            <w:tcW w:type="dxa" w:w="2232"/>
          </w:tcPr>
          <w:p>
            <w:r/>
            <w:r>
              <w:rPr>
                <w:b w:val="0"/>
                <w:sz w:val="16"/>
              </w:rPr>
              <w:t>New York governing law</w:t>
            </w:r>
          </w:p>
        </w:tc>
        <w:tc>
          <w:tcPr>
            <w:tcW w:type="dxa" w:w="2088"/>
          </w:tcPr>
          <w:p>
            <w:r/>
            <w:r>
              <w:rPr>
                <w:b w:val="0"/>
                <w:sz w:val="16"/>
              </w:rPr>
              <w:t>§ 7 Governing Law — Required / Prohibited (§ 7.3)</w:t>
            </w:r>
          </w:p>
        </w:tc>
        <w:tc>
          <w:tcPr>
            <w:tcW w:type="dxa" w:w="1080"/>
            <w:shd w:val="clear" w:color="auto" w:fill="F4CCCC"/>
          </w:tcPr>
          <w:p>
            <w:r/>
            <w:r>
              <w:rPr>
                <w:b w:val="0"/>
                <w:sz w:val="16"/>
              </w:rPr>
              <w:t>Critical</w:t>
            </w:r>
          </w:p>
        </w:tc>
        <w:tc>
          <w:tcPr>
            <w:tcW w:type="dxa" w:w="2088"/>
          </w:tcPr>
          <w:p>
            <w:r/>
            <w:r>
              <w:rPr>
                <w:b w:val="0"/>
                <w:sz w:val="16"/>
              </w:rPr>
              <w:t>Illinois law</w:t>
            </w:r>
          </w:p>
        </w:tc>
      </w:tr>
      <w:tr>
        <w:tc>
          <w:tcPr>
            <w:tcW w:type="dxa" w:w="432"/>
          </w:tcPr>
          <w:p>
            <w:r/>
            <w:r>
              <w:rPr>
                <w:b w:val="0"/>
                <w:sz w:val="16"/>
              </w:rPr>
              <w:t>10</w:t>
            </w:r>
          </w:p>
        </w:tc>
        <w:tc>
          <w:tcPr>
            <w:tcW w:type="dxa" w:w="1440"/>
          </w:tcPr>
          <w:p>
            <w:r/>
            <w:r>
              <w:rPr>
                <w:b w:val="0"/>
                <w:sz w:val="16"/>
              </w:rPr>
              <w:t>(absent); new § 3.6</w:t>
            </w:r>
          </w:p>
        </w:tc>
        <w:tc>
          <w:tcPr>
            <w:tcW w:type="dxa" w:w="2232"/>
          </w:tcPr>
          <w:p>
            <w:r/>
            <w:r>
              <w:rPr>
                <w:b w:val="0"/>
                <w:sz w:val="16"/>
              </w:rPr>
              <w:t>No clawback or Rule 502(d) mechanism</w:t>
            </w:r>
          </w:p>
        </w:tc>
        <w:tc>
          <w:tcPr>
            <w:tcW w:type="dxa" w:w="2088"/>
          </w:tcPr>
          <w:p>
            <w:r/>
            <w:r>
              <w:rPr>
                <w:b w:val="0"/>
                <w:sz w:val="16"/>
              </w:rPr>
              <w:t>§ 8 Inadvertent Disclosure / Clawback — Required / Prohibited (§ 8.3)</w:t>
            </w:r>
          </w:p>
        </w:tc>
        <w:tc>
          <w:tcPr>
            <w:tcW w:type="dxa" w:w="1080"/>
            <w:shd w:val="clear" w:color="auto" w:fill="F4CCCC"/>
          </w:tcPr>
          <w:p>
            <w:r/>
            <w:r>
              <w:rPr>
                <w:b w:val="0"/>
                <w:sz w:val="16"/>
              </w:rPr>
              <w:t>Critical</w:t>
            </w:r>
          </w:p>
        </w:tc>
        <w:tc>
          <w:tcPr>
            <w:tcW w:type="dxa" w:w="2088"/>
          </w:tcPr>
          <w:p>
            <w:r/>
            <w:r>
              <w:rPr>
                <w:b w:val="0"/>
                <w:sz w:val="16"/>
              </w:rPr>
              <w:t>New § 3.6: joint 502(d) motion plus four-element clawback</w:t>
            </w:r>
          </w:p>
        </w:tc>
      </w:tr>
      <w:tr>
        <w:tc>
          <w:tcPr>
            <w:tcW w:type="dxa" w:w="432"/>
          </w:tcPr>
          <w:p>
            <w:r/>
            <w:r>
              <w:rPr>
                <w:b w:val="0"/>
                <w:sz w:val="16"/>
              </w:rPr>
              <w:t>11</w:t>
            </w:r>
          </w:p>
        </w:tc>
        <w:tc>
          <w:tcPr>
            <w:tcW w:type="dxa" w:w="1440"/>
          </w:tcPr>
          <w:p>
            <w:r/>
            <w:r>
              <w:rPr>
                <w:b w:val="0"/>
                <w:sz w:val="16"/>
              </w:rPr>
              <w:t>§§ 1.6, 2.1, 4.1, 9.2; new §§ 1.9, 4.5</w:t>
            </w:r>
          </w:p>
        </w:tc>
        <w:tc>
          <w:tcPr>
            <w:tcW w:type="dxa" w:w="2232"/>
          </w:tcPr>
          <w:p>
            <w:r/>
            <w:r>
              <w:rPr>
                <w:b w:val="0"/>
                <w:sz w:val="16"/>
              </w:rPr>
              <w:t>No government-investigation carve-out; unrestricted sharing obligation</w:t>
            </w:r>
          </w:p>
        </w:tc>
        <w:tc>
          <w:tcPr>
            <w:tcW w:type="dxa" w:w="2088"/>
          </w:tcPr>
          <w:p>
            <w:r/>
            <w:r>
              <w:rPr>
                <w:b w:val="0"/>
                <w:sz w:val="16"/>
              </w:rPr>
              <w:t>§ 9 Government-Investigation Carve-Out — Required / Prohibited (§ 9.3)</w:t>
            </w:r>
          </w:p>
        </w:tc>
        <w:tc>
          <w:tcPr>
            <w:tcW w:type="dxa" w:w="1080"/>
            <w:shd w:val="clear" w:color="auto" w:fill="F4CCCC"/>
          </w:tcPr>
          <w:p>
            <w:r/>
            <w:r>
              <w:rPr>
                <w:b w:val="0"/>
                <w:sz w:val="16"/>
              </w:rPr>
              <w:t>Critical</w:t>
            </w:r>
          </w:p>
        </w:tc>
        <w:tc>
          <w:tcPr>
            <w:tcW w:type="dxa" w:w="2088"/>
          </w:tcPr>
          <w:p>
            <w:r/>
            <w:r>
              <w:rPr>
                <w:b w:val="0"/>
                <w:sz w:val="16"/>
              </w:rPr>
              <w:t>New § 4.5 carve-out plus conforming changes</w:t>
            </w:r>
          </w:p>
        </w:tc>
      </w:tr>
      <w:tr>
        <w:tc>
          <w:tcPr>
            <w:tcW w:type="dxa" w:w="432"/>
          </w:tcPr>
          <w:p>
            <w:r/>
            <w:r>
              <w:rPr>
                <w:b w:val="0"/>
                <w:sz w:val="16"/>
              </w:rPr>
              <w:t>12</w:t>
            </w:r>
          </w:p>
        </w:tc>
        <w:tc>
          <w:tcPr>
            <w:tcW w:type="dxa" w:w="1440"/>
          </w:tcPr>
          <w:p>
            <w:r/>
            <w:r>
              <w:rPr>
                <w:b w:val="0"/>
                <w:sz w:val="16"/>
              </w:rPr>
              <w:t>§ 5.1</w:t>
            </w:r>
          </w:p>
        </w:tc>
        <w:tc>
          <w:tcPr>
            <w:tcW w:type="dxa" w:w="2232"/>
          </w:tcPr>
          <w:p>
            <w:r/>
            <w:r>
              <w:rPr>
                <w:b w:val="0"/>
                <w:sz w:val="16"/>
              </w:rPr>
              <w:t>Fixed 50% / 16.67% allocation</w:t>
            </w:r>
          </w:p>
        </w:tc>
        <w:tc>
          <w:tcPr>
            <w:tcW w:type="dxa" w:w="2088"/>
          </w:tcPr>
          <w:p>
            <w:r/>
            <w:r>
              <w:rPr>
                <w:b w:val="0"/>
                <w:sz w:val="16"/>
              </w:rPr>
              <w:t>§ 10 Cost Sharing — Preferred (disfavored, § 10.3)</w:t>
            </w:r>
          </w:p>
        </w:tc>
        <w:tc>
          <w:tcPr>
            <w:tcW w:type="dxa" w:w="1080"/>
            <w:shd w:val="clear" w:color="auto" w:fill="FFF2CC"/>
          </w:tcPr>
          <w:p>
            <w:r/>
            <w:r>
              <w:rPr>
                <w:b w:val="0"/>
                <w:sz w:val="16"/>
              </w:rPr>
              <w:t>Medium</w:t>
            </w:r>
          </w:p>
        </w:tc>
        <w:tc>
          <w:tcPr>
            <w:tcW w:type="dxa" w:w="2088"/>
          </w:tcPr>
          <w:p>
            <w:r/>
            <w:r>
              <w:rPr>
                <w:b w:val="0"/>
                <w:sz w:val="16"/>
              </w:rPr>
              <w:t>Interim split, then damages-based allocation; GC authority to concede</w:t>
            </w:r>
          </w:p>
        </w:tc>
      </w:tr>
      <w:tr>
        <w:tc>
          <w:tcPr>
            <w:tcW w:type="dxa" w:w="432"/>
          </w:tcPr>
          <w:p>
            <w:r/>
            <w:r>
              <w:rPr>
                <w:b w:val="0"/>
                <w:sz w:val="16"/>
              </w:rPr>
              <w:t>13</w:t>
            </w:r>
          </w:p>
        </w:tc>
        <w:tc>
          <w:tcPr>
            <w:tcW w:type="dxa" w:w="1440"/>
          </w:tcPr>
          <w:p>
            <w:r/>
            <w:r>
              <w:rPr>
                <w:b w:val="0"/>
                <w:sz w:val="16"/>
              </w:rPr>
              <w:t>§ 5.2; § 5.1 lead-in; new § 5.4</w:t>
            </w:r>
          </w:p>
        </w:tc>
        <w:tc>
          <w:tcPr>
            <w:tcW w:type="dxa" w:w="2232"/>
          </w:tcPr>
          <w:p>
            <w:r/>
            <w:r>
              <w:rPr>
                <w:b w:val="0"/>
                <w:sz w:val="16"/>
              </w:rPr>
              <w:t>No audit right; cost-approval controls</w:t>
            </w:r>
          </w:p>
        </w:tc>
        <w:tc>
          <w:tcPr>
            <w:tcW w:type="dxa" w:w="2088"/>
          </w:tcPr>
          <w:p>
            <w:r/>
            <w:r>
              <w:rPr>
                <w:b w:val="0"/>
                <w:sz w:val="16"/>
              </w:rPr>
              <w:t>§ 10 Cost Sharing — Preferred (§ 10.4)</w:t>
            </w:r>
          </w:p>
        </w:tc>
        <w:tc>
          <w:tcPr>
            <w:tcW w:type="dxa" w:w="1080"/>
            <w:shd w:val="clear" w:color="auto" w:fill="FFF2CC"/>
          </w:tcPr>
          <w:p>
            <w:r/>
            <w:r>
              <w:rPr>
                <w:b w:val="0"/>
                <w:sz w:val="16"/>
              </w:rPr>
              <w:t>Medium</w:t>
            </w:r>
          </w:p>
        </w:tc>
        <w:tc>
          <w:tcPr>
            <w:tcW w:type="dxa" w:w="2088"/>
          </w:tcPr>
          <w:p>
            <w:r/>
            <w:r>
              <w:rPr>
                <w:b w:val="0"/>
                <w:sz w:val="16"/>
              </w:rPr>
              <w:t>New § 5.4 audit right; approval thresholds</w:t>
            </w:r>
          </w:p>
        </w:tc>
      </w:tr>
      <w:tr>
        <w:tc>
          <w:tcPr>
            <w:tcW w:type="dxa" w:w="432"/>
          </w:tcPr>
          <w:p>
            <w:r/>
            <w:r>
              <w:rPr>
                <w:b w:val="0"/>
                <w:sz w:val="16"/>
              </w:rPr>
              <w:t>14</w:t>
            </w:r>
          </w:p>
        </w:tc>
        <w:tc>
          <w:tcPr>
            <w:tcW w:type="dxa" w:w="1440"/>
          </w:tcPr>
          <w:p>
            <w:r/>
            <w:r>
              <w:rPr>
                <w:b w:val="0"/>
                <w:sz w:val="16"/>
              </w:rPr>
              <w:t>§§ 6.1–6.3; new § 6.5</w:t>
            </w:r>
          </w:p>
        </w:tc>
        <w:tc>
          <w:tcPr>
            <w:tcW w:type="dxa" w:w="2232"/>
          </w:tcPr>
          <w:p>
            <w:r/>
            <w:r>
              <w:rPr>
                <w:b w:val="0"/>
                <w:sz w:val="16"/>
              </w:rPr>
              <w:t>Committee composition, voting and authority</w:t>
            </w:r>
          </w:p>
        </w:tc>
        <w:tc>
          <w:tcPr>
            <w:tcW w:type="dxa" w:w="2088"/>
          </w:tcPr>
          <w:p>
            <w:r/>
            <w:r>
              <w:rPr>
                <w:b w:val="0"/>
                <w:sz w:val="16"/>
              </w:rPr>
              <w:t>§ 11 Steering Committee — Preferred (disfavored structures, § 11.3)</w:t>
            </w:r>
          </w:p>
        </w:tc>
        <w:tc>
          <w:tcPr>
            <w:tcW w:type="dxa" w:w="1080"/>
            <w:shd w:val="clear" w:color="auto" w:fill="FCE5CD"/>
          </w:tcPr>
          <w:p>
            <w:r/>
            <w:r>
              <w:rPr>
                <w:b w:val="0"/>
                <w:sz w:val="16"/>
              </w:rPr>
              <w:t>High</w:t>
            </w:r>
          </w:p>
        </w:tc>
        <w:tc>
          <w:tcPr>
            <w:tcW w:type="dxa" w:w="2088"/>
          </w:tcPr>
          <w:p>
            <w:r/>
            <w:r>
              <w:rPr>
                <w:b w:val="0"/>
                <w:sz w:val="16"/>
              </w:rPr>
              <w:t>Four equal seats; 3-of-4 vote; new § 6.5 limits</w:t>
            </w:r>
          </w:p>
        </w:tc>
      </w:tr>
      <w:tr>
        <w:tc>
          <w:tcPr>
            <w:tcW w:type="dxa" w:w="432"/>
          </w:tcPr>
          <w:p>
            <w:r/>
            <w:r>
              <w:rPr>
                <w:b w:val="0"/>
                <w:sz w:val="16"/>
              </w:rPr>
              <w:t>15</w:t>
            </w:r>
          </w:p>
        </w:tc>
        <w:tc>
          <w:tcPr>
            <w:tcW w:type="dxa" w:w="1440"/>
          </w:tcPr>
          <w:p>
            <w:r/>
            <w:r>
              <w:rPr>
                <w:b w:val="0"/>
                <w:sz w:val="16"/>
              </w:rPr>
              <w:t>§ 12.4; § 12.9</w:t>
            </w:r>
          </w:p>
        </w:tc>
        <w:tc>
          <w:tcPr>
            <w:tcW w:type="dxa" w:w="2232"/>
          </w:tcPr>
          <w:p>
            <w:r/>
            <w:r>
              <w:rPr>
                <w:b w:val="0"/>
                <w:sz w:val="16"/>
              </w:rPr>
              <w:t>Binding JAMS arbitration in New York</w:t>
            </w:r>
          </w:p>
        </w:tc>
        <w:tc>
          <w:tcPr>
            <w:tcW w:type="dxa" w:w="2088"/>
          </w:tcPr>
          <w:p>
            <w:r/>
            <w:r>
              <w:rPr>
                <w:b w:val="0"/>
                <w:sz w:val="16"/>
              </w:rPr>
              <w:t>§ 12 Dispute Resolution — Preferred (disfavored, § 12.3)</w:t>
            </w:r>
          </w:p>
        </w:tc>
        <w:tc>
          <w:tcPr>
            <w:tcW w:type="dxa" w:w="1080"/>
            <w:shd w:val="clear" w:color="auto" w:fill="FCE5CD"/>
          </w:tcPr>
          <w:p>
            <w:r/>
            <w:r>
              <w:rPr>
                <w:b w:val="0"/>
                <w:sz w:val="16"/>
              </w:rPr>
              <w:t>High</w:t>
            </w:r>
          </w:p>
        </w:tc>
        <w:tc>
          <w:tcPr>
            <w:tcW w:type="dxa" w:w="2088"/>
          </w:tcPr>
          <w:p>
            <w:r/>
            <w:r>
              <w:rPr>
                <w:b w:val="0"/>
                <w:sz w:val="16"/>
              </w:rPr>
              <w:t>Mediation in Chicago, then N.D. Ill.; preserve provisional relief</w:t>
            </w:r>
          </w:p>
        </w:tc>
      </w:tr>
      <w:tr>
        <w:tc>
          <w:tcPr>
            <w:tcW w:type="dxa" w:w="432"/>
          </w:tcPr>
          <w:p>
            <w:r/>
            <w:r>
              <w:rPr>
                <w:b w:val="0"/>
                <w:sz w:val="16"/>
              </w:rPr>
              <w:t>16</w:t>
            </w:r>
          </w:p>
        </w:tc>
        <w:tc>
          <w:tcPr>
            <w:tcW w:type="dxa" w:w="1440"/>
          </w:tcPr>
          <w:p>
            <w:r/>
            <w:r>
              <w:rPr>
                <w:b w:val="0"/>
                <w:sz w:val="16"/>
              </w:rPr>
              <w:t>Art. X (§§ 10.1–10.3)</w:t>
            </w:r>
          </w:p>
        </w:tc>
        <w:tc>
          <w:tcPr>
            <w:tcW w:type="dxa" w:w="2232"/>
          </w:tcPr>
          <w:p>
            <w:r/>
            <w:r>
              <w:rPr>
                <w:b w:val="0"/>
                <w:sz w:val="16"/>
              </w:rPr>
              <w:t>Witness and document availability after settlement</w:t>
            </w:r>
          </w:p>
        </w:tc>
        <w:tc>
          <w:tcPr>
            <w:tcW w:type="dxa" w:w="2088"/>
          </w:tcPr>
          <w:p>
            <w:r/>
            <w:r>
              <w:rPr>
                <w:b w:val="0"/>
                <w:sz w:val="16"/>
              </w:rPr>
              <w:t>§ 13 Post-Settlement Cooperation — Preferred (disfavored, § 13.2–13.3)</w:t>
            </w:r>
          </w:p>
        </w:tc>
        <w:tc>
          <w:tcPr>
            <w:tcW w:type="dxa" w:w="1080"/>
            <w:shd w:val="clear" w:color="auto" w:fill="FFF2CC"/>
          </w:tcPr>
          <w:p>
            <w:r/>
            <w:r>
              <w:rPr>
                <w:b w:val="0"/>
                <w:sz w:val="16"/>
              </w:rPr>
              <w:t>Medium</w:t>
            </w:r>
          </w:p>
        </w:tc>
        <w:tc>
          <w:tcPr>
            <w:tcW w:type="dxa" w:w="2088"/>
          </w:tcPr>
          <w:p>
            <w:r/>
            <w:r>
              <w:rPr>
                <w:b w:val="0"/>
                <w:sz w:val="16"/>
              </w:rPr>
              <w:t>Document preservation only</w:t>
            </w:r>
          </w:p>
        </w:tc>
      </w:tr>
      <w:tr>
        <w:tc>
          <w:tcPr>
            <w:tcW w:type="dxa" w:w="432"/>
          </w:tcPr>
          <w:p>
            <w:r/>
            <w:r>
              <w:rPr>
                <w:b w:val="0"/>
                <w:sz w:val="16"/>
              </w:rPr>
              <w:t>17</w:t>
            </w:r>
          </w:p>
        </w:tc>
        <w:tc>
          <w:tcPr>
            <w:tcW w:type="dxa" w:w="1440"/>
          </w:tcPr>
          <w:p>
            <w:r/>
            <w:r>
              <w:rPr>
                <w:b w:val="0"/>
                <w:sz w:val="16"/>
              </w:rPr>
              <w:t>§§ 4.1–4.3; § 3.5; new § 4.4</w:t>
            </w:r>
          </w:p>
        </w:tc>
        <w:tc>
          <w:tcPr>
            <w:tcW w:type="dxa" w:w="2232"/>
          </w:tcPr>
          <w:p>
            <w:r/>
            <w:r>
              <w:rPr>
                <w:b w:val="0"/>
                <w:sz w:val="16"/>
              </w:rPr>
              <w:t>No objection or opt-out right for sharing requests</w:t>
            </w:r>
          </w:p>
        </w:tc>
        <w:tc>
          <w:tcPr>
            <w:tcW w:type="dxa" w:w="2088"/>
          </w:tcPr>
          <w:p>
            <w:r/>
            <w:r>
              <w:rPr>
                <w:b w:val="0"/>
                <w:sz w:val="16"/>
              </w:rPr>
              <w:t>§ 14 Information-Sharing Scope and Objection Rights — Preferred (grounds non-negotiable, § 14.2)</w:t>
            </w:r>
          </w:p>
        </w:tc>
        <w:tc>
          <w:tcPr>
            <w:tcW w:type="dxa" w:w="1080"/>
            <w:shd w:val="clear" w:color="auto" w:fill="FCE5CD"/>
          </w:tcPr>
          <w:p>
            <w:r/>
            <w:r>
              <w:rPr>
                <w:b w:val="0"/>
                <w:sz w:val="16"/>
              </w:rPr>
              <w:t>High</w:t>
            </w:r>
          </w:p>
        </w:tc>
        <w:tc>
          <w:tcPr>
            <w:tcW w:type="dxa" w:w="2088"/>
          </w:tcPr>
          <w:p>
            <w:r/>
            <w:r>
              <w:rPr>
                <w:b w:val="0"/>
                <w:sz w:val="16"/>
              </w:rPr>
              <w:t>New § 4.4 objection right (three grounds; 5 business days)</w:t>
            </w:r>
          </w:p>
        </w:tc>
      </w:tr>
      <w:tr>
        <w:tc>
          <w:tcPr>
            <w:tcW w:type="dxa" w:w="432"/>
          </w:tcPr>
          <w:p>
            <w:r/>
            <w:r>
              <w:rPr>
                <w:b w:val="0"/>
                <w:sz w:val="16"/>
              </w:rPr>
              <w:t>18</w:t>
            </w:r>
          </w:p>
        </w:tc>
        <w:tc>
          <w:tcPr>
            <w:tcW w:type="dxa" w:w="1440"/>
          </w:tcPr>
          <w:p>
            <w:r/>
            <w:r>
              <w:rPr>
                <w:b w:val="0"/>
                <w:sz w:val="16"/>
              </w:rPr>
              <w:t>§ 12.1</w:t>
            </w:r>
          </w:p>
        </w:tc>
        <w:tc>
          <w:tcPr>
            <w:tcW w:type="dxa" w:w="2232"/>
          </w:tcPr>
          <w:p>
            <w:r/>
            <w:r>
              <w:rPr>
                <w:b w:val="0"/>
                <w:sz w:val="16"/>
              </w:rPr>
              <w:t>No-admission clause</w:t>
            </w:r>
          </w:p>
        </w:tc>
        <w:tc>
          <w:tcPr>
            <w:tcW w:type="dxa" w:w="2088"/>
          </w:tcPr>
          <w:p>
            <w:r/>
            <w:r>
              <w:rPr>
                <w:b w:val="0"/>
                <w:sz w:val="16"/>
              </w:rPr>
              <w:t>§ 15.1 No Admission of Liability — Required</w:t>
            </w:r>
          </w:p>
        </w:tc>
        <w:tc>
          <w:tcPr>
            <w:tcW w:type="dxa" w:w="1080"/>
            <w:shd w:val="clear" w:color="auto" w:fill="D9EAD3"/>
          </w:tcPr>
          <w:p>
            <w:r/>
            <w:r>
              <w:rPr>
                <w:b w:val="0"/>
                <w:sz w:val="16"/>
              </w:rPr>
              <w:t>Compliant</w:t>
            </w:r>
          </w:p>
        </w:tc>
        <w:tc>
          <w:tcPr>
            <w:tcW w:type="dxa" w:w="2088"/>
          </w:tcPr>
          <w:p>
            <w:r/>
            <w:r>
              <w:rPr>
                <w:b w:val="0"/>
                <w:sz w:val="16"/>
              </w:rPr>
              <w:t>Clarify scope only</w:t>
            </w:r>
          </w:p>
        </w:tc>
      </w:tr>
      <w:tr>
        <w:tc>
          <w:tcPr>
            <w:tcW w:type="dxa" w:w="432"/>
          </w:tcPr>
          <w:p>
            <w:r/>
            <w:r>
              <w:rPr>
                <w:b w:val="0"/>
                <w:sz w:val="16"/>
              </w:rPr>
              <w:t>19</w:t>
            </w:r>
          </w:p>
        </w:tc>
        <w:tc>
          <w:tcPr>
            <w:tcW w:type="dxa" w:w="1440"/>
          </w:tcPr>
          <w:p>
            <w:r/>
            <w:r>
              <w:rPr>
                <w:b w:val="0"/>
                <w:sz w:val="16"/>
              </w:rPr>
              <w:t>§ 3.2</w:t>
            </w:r>
          </w:p>
        </w:tc>
        <w:tc>
          <w:tcPr>
            <w:tcW w:type="dxa" w:w="2232"/>
          </w:tcPr>
          <w:p>
            <w:r/>
            <w:r>
              <w:rPr>
                <w:b w:val="0"/>
                <w:sz w:val="16"/>
              </w:rPr>
              <w:t>Joint Defense Material legend</w:t>
            </w:r>
          </w:p>
        </w:tc>
        <w:tc>
          <w:tcPr>
            <w:tcW w:type="dxa" w:w="2088"/>
          </w:tcPr>
          <w:p>
            <w:r/>
            <w:r>
              <w:rPr>
                <w:b w:val="0"/>
                <w:sz w:val="16"/>
              </w:rPr>
              <w:t>§ 15.2 Confidentiality Markings — Preferred</w:t>
            </w:r>
          </w:p>
        </w:tc>
        <w:tc>
          <w:tcPr>
            <w:tcW w:type="dxa" w:w="1080"/>
            <w:shd w:val="clear" w:color="auto" w:fill="D9EAD3"/>
          </w:tcPr>
          <w:p>
            <w:r/>
            <w:r>
              <w:rPr>
                <w:b w:val="0"/>
                <w:sz w:val="16"/>
              </w:rPr>
              <w:t>Compliant</w:t>
            </w:r>
          </w:p>
        </w:tc>
        <w:tc>
          <w:tcPr>
            <w:tcW w:type="dxa" w:w="2088"/>
          </w:tcPr>
          <w:p>
            <w:r/>
            <w:r>
              <w:rPr>
                <w:b w:val="0"/>
                <w:sz w:val="16"/>
              </w:rPr>
              <w:t>None (add OCEO designation in § 4.6)</w:t>
            </w:r>
          </w:p>
        </w:tc>
      </w:tr>
      <w:tr>
        <w:tc>
          <w:tcPr>
            <w:tcW w:type="dxa" w:w="432"/>
          </w:tcPr>
          <w:p>
            <w:r/>
            <w:r>
              <w:rPr>
                <w:b w:val="0"/>
                <w:sz w:val="16"/>
              </w:rPr>
              <w:t>20</w:t>
            </w:r>
          </w:p>
        </w:tc>
        <w:tc>
          <w:tcPr>
            <w:tcW w:type="dxa" w:w="1440"/>
          </w:tcPr>
          <w:p>
            <w:r/>
            <w:r>
              <w:rPr>
                <w:b w:val="0"/>
                <w:sz w:val="16"/>
              </w:rPr>
              <w:t>(absent); new § 12.11</w:t>
            </w:r>
          </w:p>
        </w:tc>
        <w:tc>
          <w:tcPr>
            <w:tcW w:type="dxa" w:w="2232"/>
          </w:tcPr>
          <w:p>
            <w:r/>
            <w:r>
              <w:rPr>
                <w:b w:val="0"/>
                <w:sz w:val="16"/>
              </w:rPr>
              <w:t>No limitation of liability</w:t>
            </w:r>
          </w:p>
        </w:tc>
        <w:tc>
          <w:tcPr>
            <w:tcW w:type="dxa" w:w="2088"/>
          </w:tcPr>
          <w:p>
            <w:r/>
            <w:r>
              <w:rPr>
                <w:b w:val="0"/>
                <w:sz w:val="16"/>
              </w:rPr>
              <w:t>§ 15.3 Limitation of Liability — Preferred (optional)</w:t>
            </w:r>
          </w:p>
        </w:tc>
        <w:tc>
          <w:tcPr>
            <w:tcW w:type="dxa" w:w="1080"/>
            <w:shd w:val="clear" w:color="auto" w:fill="D9EAD3"/>
          </w:tcPr>
          <w:p>
            <w:r/>
            <w:r>
              <w:rPr>
                <w:b w:val="0"/>
                <w:sz w:val="16"/>
              </w:rPr>
              <w:t>Low</w:t>
            </w:r>
          </w:p>
        </w:tc>
        <w:tc>
          <w:tcPr>
            <w:tcW w:type="dxa" w:w="2088"/>
          </w:tcPr>
          <w:p>
            <w:r/>
            <w:r>
              <w:rPr>
                <w:b w:val="0"/>
                <w:sz w:val="16"/>
              </w:rPr>
              <w:t>New § 12.11 (optional)</w:t>
            </w:r>
          </w:p>
        </w:tc>
      </w:tr>
      <w:tr>
        <w:tc>
          <w:tcPr>
            <w:tcW w:type="dxa" w:w="432"/>
          </w:tcPr>
          <w:p>
            <w:r/>
            <w:r>
              <w:rPr>
                <w:b w:val="0"/>
                <w:sz w:val="16"/>
              </w:rPr>
              <w:t>21</w:t>
            </w:r>
          </w:p>
        </w:tc>
        <w:tc>
          <w:tcPr>
            <w:tcW w:type="dxa" w:w="1440"/>
          </w:tcPr>
          <w:p>
            <w:r/>
            <w:r>
              <w:rPr>
                <w:b w:val="0"/>
                <w:sz w:val="16"/>
              </w:rPr>
              <w:t>§§ 12.6, 12.10</w:t>
            </w:r>
          </w:p>
        </w:tc>
        <w:tc>
          <w:tcPr>
            <w:tcW w:type="dxa" w:w="2232"/>
          </w:tcPr>
          <w:p>
            <w:r/>
            <w:r>
              <w:rPr>
                <w:b w:val="0"/>
                <w:sz w:val="16"/>
              </w:rPr>
              <w:t>Amendment, waiver and joinder mechanics</w:t>
            </w:r>
          </w:p>
        </w:tc>
        <w:tc>
          <w:tcPr>
            <w:tcW w:type="dxa" w:w="2088"/>
          </w:tcPr>
          <w:p>
            <w:r/>
            <w:r>
              <w:rPr>
                <w:b w:val="0"/>
                <w:sz w:val="16"/>
              </w:rPr>
              <w:t>§ 15.4 Amendment and Waiver — Preferred</w:t>
            </w:r>
          </w:p>
        </w:tc>
        <w:tc>
          <w:tcPr>
            <w:tcW w:type="dxa" w:w="1080"/>
            <w:shd w:val="clear" w:color="auto" w:fill="D9EAD3"/>
          </w:tcPr>
          <w:p>
            <w:r/>
            <w:r>
              <w:rPr>
                <w:b w:val="0"/>
                <w:sz w:val="16"/>
              </w:rPr>
              <w:t>Low</w:t>
            </w:r>
          </w:p>
        </w:tc>
        <w:tc>
          <w:tcPr>
            <w:tcW w:type="dxa" w:w="2088"/>
          </w:tcPr>
          <w:p>
            <w:r/>
            <w:r>
              <w:rPr>
                <w:b w:val="0"/>
                <w:sz w:val="16"/>
              </w:rPr>
              <w:t>Waiver mechanics; joinder form approved by all Parties</w:t>
            </w:r>
          </w:p>
        </w:tc>
      </w:tr>
      <w:tr>
        <w:tc>
          <w:tcPr>
            <w:tcW w:type="dxa" w:w="432"/>
          </w:tcPr>
          <w:p>
            <w:r/>
            <w:r>
              <w:rPr>
                <w:b w:val="0"/>
                <w:sz w:val="16"/>
              </w:rPr>
              <w:t>22</w:t>
            </w:r>
          </w:p>
        </w:tc>
        <w:tc>
          <w:tcPr>
            <w:tcW w:type="dxa" w:w="1440"/>
          </w:tcPr>
          <w:p>
            <w:r/>
            <w:r>
              <w:rPr>
                <w:b w:val="0"/>
                <w:sz w:val="16"/>
              </w:rPr>
              <w:t>§§ 3.3(b), 4.1, 4.3; new §§ 1.10, 4.6</w:t>
            </w:r>
          </w:p>
        </w:tc>
        <w:tc>
          <w:tcPr>
            <w:tcW w:type="dxa" w:w="2232"/>
          </w:tcPr>
          <w:p>
            <w:r/>
            <w:r>
              <w:rPr>
                <w:b w:val="0"/>
                <w:sz w:val="16"/>
              </w:rPr>
              <w:t>Exchange of competitively sensitive information among competitors</w:t>
            </w:r>
          </w:p>
        </w:tc>
        <w:tc>
          <w:tcPr>
            <w:tcW w:type="dxa" w:w="2088"/>
          </w:tcPr>
          <w:p>
            <w:r/>
            <w:r>
              <w:rPr>
                <w:b w:val="0"/>
                <w:sz w:val="16"/>
              </w:rPr>
              <w:t>Additional – Antitrust Risk — Not addressed by Playbook (strategic)</w:t>
            </w:r>
          </w:p>
        </w:tc>
        <w:tc>
          <w:tcPr>
            <w:tcW w:type="dxa" w:w="1080"/>
            <w:shd w:val="clear" w:color="auto" w:fill="FCE5CD"/>
          </w:tcPr>
          <w:p>
            <w:r/>
            <w:r>
              <w:rPr>
                <w:b w:val="0"/>
                <w:sz w:val="16"/>
              </w:rPr>
              <w:t>High</w:t>
            </w:r>
          </w:p>
        </w:tc>
        <w:tc>
          <w:tcPr>
            <w:tcW w:type="dxa" w:w="2088"/>
          </w:tcPr>
          <w:p>
            <w:r/>
            <w:r>
              <w:rPr>
                <w:b w:val="0"/>
                <w:sz w:val="16"/>
              </w:rPr>
              <w:t>New § 4.6; conform § 3.3(b)</w:t>
            </w:r>
          </w:p>
        </w:tc>
      </w:tr>
      <w:tr>
        <w:tc>
          <w:tcPr>
            <w:tcW w:type="dxa" w:w="432"/>
          </w:tcPr>
          <w:p>
            <w:r/>
            <w:r>
              <w:rPr>
                <w:b w:val="0"/>
                <w:sz w:val="16"/>
              </w:rPr>
              <w:t>23</w:t>
            </w:r>
          </w:p>
        </w:tc>
        <w:tc>
          <w:tcPr>
            <w:tcW w:type="dxa" w:w="1440"/>
          </w:tcPr>
          <w:p>
            <w:r/>
            <w:r>
              <w:rPr>
                <w:b w:val="0"/>
                <w:sz w:val="16"/>
              </w:rPr>
              <w:t>(absent); new § 2.4</w:t>
            </w:r>
          </w:p>
        </w:tc>
        <w:tc>
          <w:tcPr>
            <w:tcW w:type="dxa" w:w="2232"/>
          </w:tcPr>
          <w:p>
            <w:r/>
            <w:r>
              <w:rPr>
                <w:b w:val="0"/>
                <w:sz w:val="16"/>
              </w:rPr>
              <w:t>Protection of pre-execution joint defense communications</w:t>
            </w:r>
          </w:p>
        </w:tc>
        <w:tc>
          <w:tcPr>
            <w:tcW w:type="dxa" w:w="2088"/>
          </w:tcPr>
          <w:p>
            <w:r/>
            <w:r>
              <w:rPr>
                <w:b w:val="0"/>
                <w:sz w:val="16"/>
              </w:rPr>
              <w:t>Additional – Privilege — Not addressed by Playbook (strategic)</w:t>
            </w:r>
          </w:p>
        </w:tc>
        <w:tc>
          <w:tcPr>
            <w:tcW w:type="dxa" w:w="1080"/>
            <w:shd w:val="clear" w:color="auto" w:fill="FCE5CD"/>
          </w:tcPr>
          <w:p>
            <w:r/>
            <w:r>
              <w:rPr>
                <w:b w:val="0"/>
                <w:sz w:val="16"/>
              </w:rPr>
              <w:t>High</w:t>
            </w:r>
          </w:p>
        </w:tc>
        <w:tc>
          <w:tcPr>
            <w:tcW w:type="dxa" w:w="2088"/>
          </w:tcPr>
          <w:p>
            <w:r/>
            <w:r>
              <w:rPr>
                <w:b w:val="0"/>
                <w:sz w:val="16"/>
              </w:rPr>
              <w:t>New § 2.4 plus interim common-interest letter</w:t>
            </w:r>
          </w:p>
        </w:tc>
      </w:tr>
      <w:tr>
        <w:tc>
          <w:tcPr>
            <w:tcW w:type="dxa" w:w="432"/>
          </w:tcPr>
          <w:p>
            <w:r/>
            <w:r>
              <w:rPr>
                <w:b w:val="0"/>
                <w:sz w:val="16"/>
              </w:rPr>
              <w:t>24</w:t>
            </w:r>
          </w:p>
        </w:tc>
        <w:tc>
          <w:tcPr>
            <w:tcW w:type="dxa" w:w="1440"/>
          </w:tcPr>
          <w:p>
            <w:r/>
            <w:r>
              <w:rPr>
                <w:b w:val="0"/>
                <w:sz w:val="16"/>
              </w:rPr>
              <w:t>§ 1.6</w:t>
            </w:r>
          </w:p>
        </w:tc>
        <w:tc>
          <w:tcPr>
            <w:tcW w:type="dxa" w:w="2232"/>
          </w:tcPr>
          <w:p>
            <w:r/>
            <w:r>
              <w:rPr>
                <w:b w:val="0"/>
                <w:sz w:val="16"/>
              </w:rPr>
              <w:t>"Related Proceeding" excludes civil follow-on actions</w:t>
            </w:r>
          </w:p>
        </w:tc>
        <w:tc>
          <w:tcPr>
            <w:tcW w:type="dxa" w:w="2088"/>
          </w:tcPr>
          <w:p>
            <w:r/>
            <w:r>
              <w:rPr>
                <w:b w:val="0"/>
                <w:sz w:val="16"/>
              </w:rPr>
              <w:t>Additional – Scope — Not addressed by Playbook (strategic)</w:t>
            </w:r>
          </w:p>
        </w:tc>
        <w:tc>
          <w:tcPr>
            <w:tcW w:type="dxa" w:w="1080"/>
            <w:shd w:val="clear" w:color="auto" w:fill="FFF2CC"/>
          </w:tcPr>
          <w:p>
            <w:r/>
            <w:r>
              <w:rPr>
                <w:b w:val="0"/>
                <w:sz w:val="16"/>
              </w:rPr>
              <w:t>Medium</w:t>
            </w:r>
          </w:p>
        </w:tc>
        <w:tc>
          <w:tcPr>
            <w:tcW w:type="dxa" w:w="2088"/>
          </w:tcPr>
          <w:p>
            <w:r/>
            <w:r>
              <w:rPr>
                <w:b w:val="0"/>
                <w:sz w:val="16"/>
              </w:rPr>
              <w:t>Extend to civil follow-on actions</w:t>
            </w:r>
          </w:p>
        </w:tc>
      </w:tr>
      <w:tr>
        <w:tc>
          <w:tcPr>
            <w:tcW w:type="dxa" w:w="432"/>
          </w:tcPr>
          <w:p>
            <w:r/>
            <w:r>
              <w:rPr>
                <w:b w:val="0"/>
                <w:sz w:val="16"/>
              </w:rPr>
              <w:t>25</w:t>
            </w:r>
          </w:p>
        </w:tc>
        <w:tc>
          <w:tcPr>
            <w:tcW w:type="dxa" w:w="1440"/>
          </w:tcPr>
          <w:p>
            <w:r/>
            <w:r>
              <w:rPr>
                <w:b w:val="0"/>
                <w:sz w:val="16"/>
              </w:rPr>
              <w:t>§§ 1.4, 3.4</w:t>
            </w:r>
          </w:p>
        </w:tc>
        <w:tc>
          <w:tcPr>
            <w:tcW w:type="dxa" w:w="2232"/>
          </w:tcPr>
          <w:p>
            <w:r/>
            <w:r>
              <w:rPr>
                <w:b w:val="0"/>
                <w:sz w:val="16"/>
              </w:rPr>
              <w:t>Joint Defense Material definition and use of own materials</w:t>
            </w:r>
          </w:p>
        </w:tc>
        <w:tc>
          <w:tcPr>
            <w:tcW w:type="dxa" w:w="2088"/>
          </w:tcPr>
          <w:p>
            <w:r/>
            <w:r>
              <w:rPr>
                <w:b w:val="0"/>
                <w:sz w:val="16"/>
              </w:rPr>
              <w:t>Additional – Definitions — Not addressed by Playbook (strategic)</w:t>
            </w:r>
          </w:p>
        </w:tc>
        <w:tc>
          <w:tcPr>
            <w:tcW w:type="dxa" w:w="1080"/>
            <w:shd w:val="clear" w:color="auto" w:fill="FFF2CC"/>
          </w:tcPr>
          <w:p>
            <w:r/>
            <w:r>
              <w:rPr>
                <w:b w:val="0"/>
                <w:sz w:val="16"/>
              </w:rPr>
              <w:t>Medium</w:t>
            </w:r>
          </w:p>
        </w:tc>
        <w:tc>
          <w:tcPr>
            <w:tcW w:type="dxa" w:w="2088"/>
          </w:tcPr>
          <w:p>
            <w:r/>
            <w:r>
              <w:rPr>
                <w:b w:val="0"/>
                <w:sz w:val="16"/>
              </w:rPr>
              <w:t>Standard exclusions; own-materials clause</w:t>
            </w:r>
          </w:p>
        </w:tc>
      </w:tr>
      <w:tr>
        <w:tc>
          <w:tcPr>
            <w:tcW w:type="dxa" w:w="432"/>
          </w:tcPr>
          <w:p>
            <w:r/>
            <w:r>
              <w:rPr>
                <w:b w:val="0"/>
                <w:sz w:val="16"/>
              </w:rPr>
              <w:t>26</w:t>
            </w:r>
          </w:p>
        </w:tc>
        <w:tc>
          <w:tcPr>
            <w:tcW w:type="dxa" w:w="1440"/>
          </w:tcPr>
          <w:p>
            <w:r/>
            <w:r>
              <w:rPr>
                <w:b w:val="0"/>
                <w:sz w:val="16"/>
              </w:rPr>
              <w:t>§ 12.2(c)</w:t>
            </w:r>
          </w:p>
        </w:tc>
        <w:tc>
          <w:tcPr>
            <w:tcW w:type="dxa" w:w="2232"/>
          </w:tcPr>
          <w:p>
            <w:r/>
            <w:r>
              <w:rPr>
                <w:b w:val="0"/>
                <w:sz w:val="16"/>
              </w:rPr>
              <w:t>Email notice effective only on recipient's confirmation</w:t>
            </w:r>
          </w:p>
        </w:tc>
        <w:tc>
          <w:tcPr>
            <w:tcW w:type="dxa" w:w="2088"/>
          </w:tcPr>
          <w:p>
            <w:r/>
            <w:r>
              <w:rPr>
                <w:b w:val="0"/>
                <w:sz w:val="16"/>
              </w:rPr>
              <w:t>Additional – Mechanics — Not addressed by Playbook (strategic)</w:t>
            </w:r>
          </w:p>
        </w:tc>
        <w:tc>
          <w:tcPr>
            <w:tcW w:type="dxa" w:w="1080"/>
            <w:shd w:val="clear" w:color="auto" w:fill="FFF2CC"/>
          </w:tcPr>
          <w:p>
            <w:r/>
            <w:r>
              <w:rPr>
                <w:b w:val="0"/>
                <w:sz w:val="16"/>
              </w:rPr>
              <w:t>Medium</w:t>
            </w:r>
          </w:p>
        </w:tc>
        <w:tc>
          <w:tcPr>
            <w:tcW w:type="dxa" w:w="2088"/>
          </w:tcPr>
          <w:p>
            <w:r/>
            <w:r>
              <w:rPr>
                <w:b w:val="0"/>
                <w:sz w:val="16"/>
              </w:rPr>
              <w:t>Email notice effective on transmission</w:t>
            </w:r>
          </w:p>
        </w:tc>
      </w:tr>
      <w:tr>
        <w:tc>
          <w:tcPr>
            <w:tcW w:type="dxa" w:w="432"/>
          </w:tcPr>
          <w:p>
            <w:r/>
            <w:r>
              <w:rPr>
                <w:b w:val="0"/>
                <w:sz w:val="16"/>
              </w:rPr>
              <w:t>27</w:t>
            </w:r>
          </w:p>
        </w:tc>
        <w:tc>
          <w:tcPr>
            <w:tcW w:type="dxa" w:w="1440"/>
          </w:tcPr>
          <w:p>
            <w:r/>
            <w:r>
              <w:rPr>
                <w:b w:val="0"/>
                <w:sz w:val="16"/>
              </w:rPr>
              <w:t>Schedule A</w:t>
            </w:r>
          </w:p>
        </w:tc>
        <w:tc>
          <w:tcPr>
            <w:tcW w:type="dxa" w:w="2232"/>
          </w:tcPr>
          <w:p>
            <w:r/>
            <w:r>
              <w:rPr>
                <w:b w:val="0"/>
                <w:sz w:val="16"/>
              </w:rPr>
              <w:t>Inaccurate and generic counsel notice details</w:t>
            </w:r>
          </w:p>
        </w:tc>
        <w:tc>
          <w:tcPr>
            <w:tcW w:type="dxa" w:w="2088"/>
          </w:tcPr>
          <w:p>
            <w:r/>
            <w:r>
              <w:rPr>
                <w:b w:val="0"/>
                <w:sz w:val="16"/>
              </w:rPr>
              <w:t>Additional – Schedule A — Administrative (strategic)</w:t>
            </w:r>
          </w:p>
        </w:tc>
        <w:tc>
          <w:tcPr>
            <w:tcW w:type="dxa" w:w="1080"/>
            <w:shd w:val="clear" w:color="auto" w:fill="FFF2CC"/>
          </w:tcPr>
          <w:p>
            <w:r/>
            <w:r>
              <w:rPr>
                <w:b w:val="0"/>
                <w:sz w:val="16"/>
              </w:rPr>
              <w:t>Medium</w:t>
            </w:r>
          </w:p>
        </w:tc>
        <w:tc>
          <w:tcPr>
            <w:tcW w:type="dxa" w:w="2088"/>
          </w:tcPr>
          <w:p>
            <w:r/>
            <w:r>
              <w:rPr>
                <w:b w:val="0"/>
                <w:sz w:val="16"/>
              </w:rPr>
              <w:t>Correct counsel contacts; GC copy</w:t>
            </w:r>
          </w:p>
        </w:tc>
      </w:tr>
      <w:tr>
        <w:tc>
          <w:tcPr>
            <w:tcW w:type="dxa" w:w="432"/>
          </w:tcPr>
          <w:p>
            <w:r/>
            <w:r>
              <w:rPr>
                <w:b w:val="0"/>
                <w:sz w:val="16"/>
              </w:rPr>
              <w:t>28</w:t>
            </w:r>
          </w:p>
        </w:tc>
        <w:tc>
          <w:tcPr>
            <w:tcW w:type="dxa" w:w="1440"/>
          </w:tcPr>
          <w:p>
            <w:r/>
            <w:r>
              <w:rPr>
                <w:b w:val="0"/>
                <w:sz w:val="16"/>
              </w:rPr>
              <w:t>Recitals; §§ 5.1, 9.2, 12.9</w:t>
            </w:r>
          </w:p>
        </w:tc>
        <w:tc>
          <w:tcPr>
            <w:tcW w:type="dxa" w:w="2232"/>
          </w:tcPr>
          <w:p>
            <w:r/>
            <w:r>
              <w:rPr>
                <w:b w:val="0"/>
                <w:sz w:val="16"/>
              </w:rPr>
              <w:t>Stale recital, undefined terms, conforming errors</w:t>
            </w:r>
          </w:p>
        </w:tc>
        <w:tc>
          <w:tcPr>
            <w:tcW w:type="dxa" w:w="2088"/>
          </w:tcPr>
          <w:p>
            <w:r/>
            <w:r>
              <w:rPr>
                <w:b w:val="0"/>
                <w:sz w:val="16"/>
              </w:rPr>
              <w:t>Additional – Drafting — Drafting</w:t>
            </w:r>
          </w:p>
        </w:tc>
        <w:tc>
          <w:tcPr>
            <w:tcW w:type="dxa" w:w="1080"/>
            <w:shd w:val="clear" w:color="auto" w:fill="D9EAD3"/>
          </w:tcPr>
          <w:p>
            <w:r/>
            <w:r>
              <w:rPr>
                <w:b w:val="0"/>
                <w:sz w:val="16"/>
              </w:rPr>
              <w:t>Low</w:t>
            </w:r>
          </w:p>
        </w:tc>
        <w:tc>
          <w:tcPr>
            <w:tcW w:type="dxa" w:w="2088"/>
          </w:tcPr>
          <w:p>
            <w:r/>
            <w:r>
              <w:rPr>
                <w:b w:val="0"/>
                <w:sz w:val="16"/>
              </w:rPr>
              <w:t>Conforming edits</w:t>
            </w:r>
          </w:p>
        </w:tc>
      </w:tr>
    </w:tbl>
    <w:p>
      <w:pPr>
        <w:spacing w:after="40"/>
      </w:pPr>
    </w:p>
    <w:p>
      <w:pPr>
        <w:pStyle w:val="Heading1"/>
      </w:pPr>
      <w:r>
        <w:t>V. Detailed Analysis by Playbook Section</w:t>
      </w:r>
    </w:p>
    <w:p>
      <w:pPr>
        <w:spacing w:after="120"/>
      </w:pPr>
      <w:r>
        <w:rPr>
          <w:b w:val="0"/>
          <w:i w:val="0"/>
          <w:sz w:val="20"/>
        </w:rPr>
        <w:t>Each entry sets out the proposed language, the applicable Playbook standard and tier, the nature and risk of the deviation, our recommended position (as reflected in the redline), the permissible fallback, and strategic notes and deadlines.</w:t>
      </w:r>
    </w:p>
    <w:p>
      <w:pPr>
        <w:pStyle w:val="Heading2"/>
      </w:pPr>
      <w:r>
        <w:t>§ 3 Withdrawal Rights</w:t>
      </w:r>
    </w:p>
    <w:p>
      <w:pPr>
        <w:pStyle w:val="Heading3"/>
      </w:pPr>
      <w:r>
        <w:t>Issue 1 — Withdrawal notice period (§ 7.1; § 7.2 lead-in) — Risk: Critical</w:t>
      </w:r>
    </w:p>
    <w:tbl>
      <w:tblPr>
        <w:tblStyle w:val="TableGrid"/>
        <w:tblW w:type="auto" w:w="0"/>
        <w:tblLook w:firstColumn="1" w:firstRow="1" w:lastColumn="0" w:lastRow="0" w:noHBand="0" w:noVBand="1" w:val="04A0"/>
      </w:tblPr>
      <w:tblGrid>
        <w:gridCol w:w="4680"/>
        <w:gridCol w:w="4680"/>
      </w:tblGrid>
      <w:tr>
        <w:tc>
          <w:tcPr>
            <w:tcW w:type="dxa" w:w="2088"/>
            <w:shd w:val="clear" w:color="auto" w:fill="E8EDF5"/>
          </w:tcPr>
          <w:p>
            <w:r/>
            <w:r>
              <w:rPr>
                <w:b/>
                <w:sz w:val="18"/>
              </w:rPr>
              <w:t>Draft provision</w:t>
            </w:r>
          </w:p>
        </w:tc>
        <w:tc>
          <w:tcPr>
            <w:tcW w:type="dxa" w:w="7272"/>
          </w:tcPr>
          <w:p>
            <w:r/>
            <w:r>
              <w:rPr>
                <w:sz w:val="18"/>
              </w:rPr>
              <w:t>"Any Party may withdraw ... upon thirty (30) calendar days' prior written notice"; withdrawal becomes effective 30 calendar days after delivery (§ 7.1). Section 7.2 repeats the 30-day period.</w:t>
            </w:r>
          </w:p>
        </w:tc>
      </w:tr>
      <w:tr>
        <w:tc>
          <w:tcPr>
            <w:tcW w:type="dxa" w:w="2088"/>
            <w:shd w:val="clear" w:color="auto" w:fill="E8EDF5"/>
          </w:tcPr>
          <w:p>
            <w:r/>
            <w:r>
              <w:rPr>
                <w:b/>
                <w:sz w:val="18"/>
              </w:rPr>
              <w:t>Playbook standard (Required / Prohibited (§ 3.4))</w:t>
            </w:r>
          </w:p>
        </w:tc>
        <w:tc>
          <w:tcPr>
            <w:tcW w:type="dxa" w:w="7272"/>
          </w:tcPr>
          <w:p>
            <w:r/>
            <w:r>
              <w:rPr>
                <w:sz w:val="18"/>
              </w:rPr>
              <w:t>Vantage must have an unconditional right to withdraw on no more than 15 calendar days' written notice (§ 3.1). There is no fallback above 15 days (§ 3.2). Any notice period over 15 calendar days is a never-accept term (§ 3.4).</w:t>
            </w:r>
          </w:p>
        </w:tc>
      </w:tr>
      <w:tr>
        <w:tc>
          <w:tcPr>
            <w:tcW w:type="dxa" w:w="2088"/>
            <w:shd w:val="clear" w:color="auto" w:fill="E8EDF5"/>
          </w:tcPr>
          <w:p>
            <w:r/>
            <w:r>
              <w:rPr>
                <w:b/>
                <w:sz w:val="18"/>
              </w:rPr>
              <w:t>Deviation and risk</w:t>
            </w:r>
          </w:p>
        </w:tc>
        <w:tc>
          <w:tcPr>
            <w:tcW w:type="dxa" w:w="7272"/>
          </w:tcPr>
          <w:p>
            <w:r/>
            <w:r>
              <w:rPr>
                <w:sz w:val="18"/>
              </w:rPr>
              <w:t>The 30-day period is double the ceiling. During the notice window, Vantage would still receive and share materials and be subject to committee processes, while co-defendants could use that window to accelerate sharing, change joint briefing, or react to Vantage's departure (§ 3.1 rationale). That risk is real here, because the most likely reason for Vantage to withdraw is a separate resolution with Plaintiffs or a government authority. The right is otherwise unconditional, which complies; no consent or committee vote is required.</w:t>
            </w:r>
          </w:p>
        </w:tc>
      </w:tr>
      <w:tr>
        <w:tc>
          <w:tcPr>
            <w:tcW w:type="dxa" w:w="2088"/>
            <w:shd w:val="clear" w:color="auto" w:fill="E8EDF5"/>
          </w:tcPr>
          <w:p>
            <w:r/>
            <w:r>
              <w:rPr>
                <w:b/>
                <w:sz w:val="18"/>
              </w:rPr>
              <w:t>Recommended position / redline</w:t>
            </w:r>
          </w:p>
        </w:tc>
        <w:tc>
          <w:tcPr>
            <w:tcW w:type="dxa" w:w="7272"/>
          </w:tcPr>
          <w:p>
            <w:r/>
            <w:r>
              <w:rPr>
                <w:sz w:val="18"/>
              </w:rPr>
              <w:t>Reduce to 15 calendar days in §§ 7.1 and 7.2. Add express language that the right is unconditional, needs no stated reason, and is not subject to consent, a committee vote, payment, or any other precondition. Also add new § 9.4, which makes a settlement self-executing as a withdrawal.</w:t>
            </w:r>
          </w:p>
        </w:tc>
      </w:tr>
      <w:tr>
        <w:tc>
          <w:tcPr>
            <w:tcW w:type="dxa" w:w="2088"/>
            <w:shd w:val="clear" w:color="auto" w:fill="E8EDF5"/>
          </w:tcPr>
          <w:p>
            <w:r/>
            <w:r>
              <w:rPr>
                <w:b/>
                <w:sz w:val="18"/>
              </w:rPr>
              <w:t>Fallback and negotiation</w:t>
            </w:r>
          </w:p>
        </w:tc>
        <w:tc>
          <w:tcPr>
            <w:tcW w:type="dxa" w:w="7272"/>
          </w:tcPr>
          <w:p>
            <w:r/>
            <w:r>
              <w:rPr>
                <w:sz w:val="18"/>
              </w:rPr>
              <w:t>None above 15 calendar days. A Kerrigan-Holst request for a longer period "to protect the group" can be met by pointing to the confidentiality obligations, which survive withdrawal, and the § 7.3 privilege-preservation covenant, both of which remain in place.</w:t>
            </w:r>
          </w:p>
        </w:tc>
      </w:tr>
      <w:tr>
        <w:tc>
          <w:tcPr>
            <w:tcW w:type="dxa" w:w="2088"/>
            <w:shd w:val="clear" w:color="auto" w:fill="E8EDF5"/>
          </w:tcPr>
          <w:p>
            <w:r/>
            <w:r>
              <w:rPr>
                <w:b/>
                <w:sz w:val="18"/>
              </w:rPr>
              <w:t>Strategic notes / deadlines</w:t>
            </w:r>
          </w:p>
        </w:tc>
        <w:tc>
          <w:tcPr>
            <w:tcW w:type="dxa" w:w="7272"/>
          </w:tcPr>
          <w:p>
            <w:r/>
            <w:r>
              <w:rPr>
                <w:sz w:val="18"/>
              </w:rPr>
              <w:t>Prohibited term: the JDA must be redlined as a condition of execution, and no GC exception is available (§ 2.1(c)). See also Issue 26: as drafted, the email-notice mechanics in § 12.2(c) would let a recipient delay the start of the notice period.</w:t>
            </w:r>
          </w:p>
        </w:tc>
      </w:tr>
    </w:tbl>
    <w:p>
      <w:pPr>
        <w:spacing w:after="40"/>
      </w:pPr>
    </w:p>
    <w:p>
      <w:pPr>
        <w:pStyle w:val="Heading3"/>
      </w:pPr>
      <w:r>
        <w:t>Issue 2 — Return-or-destroy obligation on withdrawal (§ 7.2(b)) — Risk: Critical</w:t>
      </w:r>
    </w:p>
    <w:tbl>
      <w:tblPr>
        <w:tblStyle w:val="TableGrid"/>
        <w:tblW w:type="auto" w:w="0"/>
        <w:tblLook w:firstColumn="1" w:firstRow="1" w:lastColumn="0" w:lastRow="0" w:noHBand="0" w:noVBand="1" w:val="04A0"/>
      </w:tblPr>
      <w:tblGrid>
        <w:gridCol w:w="4680"/>
        <w:gridCol w:w="4680"/>
      </w:tblGrid>
      <w:tr>
        <w:tc>
          <w:tcPr>
            <w:tcW w:type="dxa" w:w="2088"/>
            <w:shd w:val="clear" w:color="auto" w:fill="E8EDF5"/>
          </w:tcPr>
          <w:p>
            <w:r/>
            <w:r>
              <w:rPr>
                <w:b/>
                <w:sz w:val="18"/>
              </w:rPr>
              <w:t>Draft provision</w:t>
            </w:r>
          </w:p>
        </w:tc>
        <w:tc>
          <w:tcPr>
            <w:tcW w:type="dxa" w:w="7272"/>
          </w:tcPr>
          <w:p>
            <w:r/>
            <w:r>
              <w:rPr>
                <w:sz w:val="18"/>
              </w:rPr>
              <w:t>Within 15 business days after withdrawal, the withdrawing Party must return or destroy "all Joint Defense Material ... including all copies, summaries, excerpts, and derivative materials," and certify that "no copies, summaries, excerpts, or derivative materials have been retained."</w:t>
            </w:r>
          </w:p>
        </w:tc>
      </w:tr>
      <w:tr>
        <w:tc>
          <w:tcPr>
            <w:tcW w:type="dxa" w:w="2088"/>
            <w:shd w:val="clear" w:color="auto" w:fill="E8EDF5"/>
          </w:tcPr>
          <w:p>
            <w:r/>
            <w:r>
              <w:rPr>
                <w:b/>
                <w:sz w:val="18"/>
              </w:rPr>
              <w:t>Playbook standard (Required / Prohibited (§ 3.3–3.4))</w:t>
            </w:r>
          </w:p>
        </w:tc>
        <w:tc>
          <w:tcPr>
            <w:tcW w:type="dxa" w:w="7272"/>
          </w:tcPr>
          <w:p>
            <w:r/>
            <w:r>
              <w:rPr>
                <w:sz w:val="18"/>
              </w:rPr>
              <w:t>A withdrawing Party may have no obligation to return or destroy materials that have been reviewed and incorporated into its work product. Incorporation must be defined broadly (pleadings, briefs, expert reports, deposition outlines, memoranda) (§ 3.3). A blanket "return or destroy all Joint Defense Materials" obligation without a work-product carve-out is never-accept (§ 3.4).</w:t>
            </w:r>
          </w:p>
        </w:tc>
      </w:tr>
      <w:tr>
        <w:tc>
          <w:tcPr>
            <w:tcW w:type="dxa" w:w="2088"/>
            <w:shd w:val="clear" w:color="auto" w:fill="E8EDF5"/>
          </w:tcPr>
          <w:p>
            <w:r/>
            <w:r>
              <w:rPr>
                <w:b/>
                <w:sz w:val="18"/>
              </w:rPr>
              <w:t>Deviation and risk</w:t>
            </w:r>
          </w:p>
        </w:tc>
        <w:tc>
          <w:tcPr>
            <w:tcW w:type="dxa" w:w="7272"/>
          </w:tcPr>
          <w:p>
            <w:r/>
            <w:r>
              <w:rPr>
                <w:sz w:val="18"/>
              </w:rPr>
              <w:t>This is the precise formulation the Playbook prohibits. "Derivative materials" would sweep in Vantage's own briefs, expert work and deposition outlines. Vantage would have to dismantle its own case preparation at the moment it most needs it (for example, after a separate settlement or when facing opt-out plaintiffs alone). The obligation also gives co-defendants leverage to discourage withdrawal.</w:t>
            </w:r>
          </w:p>
        </w:tc>
      </w:tr>
      <w:tr>
        <w:tc>
          <w:tcPr>
            <w:tcW w:type="dxa" w:w="2088"/>
            <w:shd w:val="clear" w:color="auto" w:fill="E8EDF5"/>
          </w:tcPr>
          <w:p>
            <w:r/>
            <w:r>
              <w:rPr>
                <w:b/>
                <w:sz w:val="18"/>
              </w:rPr>
              <w:t>Recommended position / redline</w:t>
            </w:r>
          </w:p>
        </w:tc>
        <w:tc>
          <w:tcPr>
            <w:tcW w:type="dxa" w:w="7272"/>
          </w:tcPr>
          <w:p>
            <w:r/>
            <w:r>
              <w:rPr>
                <w:sz w:val="18"/>
              </w:rPr>
              <w:t>Limit return or destruction to materials in their original shared form, with an express carve-out for material reviewed and incorporated into "Incorporated Work Product" (new § 1.8, broadly defined) and for that work product itself. Retained material stays subject to the confidentiality obligations. The certification is conformed.</w:t>
            </w:r>
          </w:p>
        </w:tc>
      </w:tr>
      <w:tr>
        <w:tc>
          <w:tcPr>
            <w:tcW w:type="dxa" w:w="2088"/>
            <w:shd w:val="clear" w:color="auto" w:fill="E8EDF5"/>
          </w:tcPr>
          <w:p>
            <w:r/>
            <w:r>
              <w:rPr>
                <w:b/>
                <w:sz w:val="18"/>
              </w:rPr>
              <w:t>Fallback and negotiation</w:t>
            </w:r>
          </w:p>
        </w:tc>
        <w:tc>
          <w:tcPr>
            <w:tcW w:type="dxa" w:w="7272"/>
          </w:tcPr>
          <w:p>
            <w:r/>
            <w:r>
              <w:rPr>
                <w:sz w:val="18"/>
              </w:rPr>
              <w:t>The form of words may be negotiated, but not the substance of the carve-out. Vantage can offer reciprocal comfort: an express statement that retained material remains subject to Article III and Article VIII indefinitely.</w:t>
            </w:r>
          </w:p>
        </w:tc>
      </w:tr>
      <w:tr>
        <w:tc>
          <w:tcPr>
            <w:tcW w:type="dxa" w:w="2088"/>
            <w:shd w:val="clear" w:color="auto" w:fill="E8EDF5"/>
          </w:tcPr>
          <w:p>
            <w:r/>
            <w:r>
              <w:rPr>
                <w:b/>
                <w:sz w:val="18"/>
              </w:rPr>
              <w:t>Strategic notes / deadlines</w:t>
            </w:r>
          </w:p>
        </w:tc>
        <w:tc>
          <w:tcPr>
            <w:tcW w:type="dxa" w:w="7272"/>
          </w:tcPr>
          <w:p>
            <w:r/>
            <w:r>
              <w:rPr>
                <w:sz w:val="18"/>
              </w:rPr>
              <w:t>This works together with Issue 7. A short survival period combined with a retention right would be dangerous. Indefinite survival makes the retention carve-out acceptable to the other Parties.</w:t>
            </w:r>
          </w:p>
        </w:tc>
      </w:tr>
    </w:tbl>
    <w:p>
      <w:pPr>
        <w:spacing w:after="40"/>
      </w:pPr>
    </w:p>
    <w:p>
      <w:pPr>
        <w:pStyle w:val="Heading3"/>
      </w:pPr>
      <w:r>
        <w:t>Issue 3 — Withdrawing Party's cost tail (§ 7.2(d)) — Risk: Low</w:t>
      </w:r>
    </w:p>
    <w:tbl>
      <w:tblPr>
        <w:tblStyle w:val="TableGrid"/>
        <w:tblW w:type="auto" w:w="0"/>
        <w:tblLook w:firstColumn="1" w:firstRow="1" w:lastColumn="0" w:lastRow="0" w:noHBand="0" w:noVBand="1" w:val="04A0"/>
      </w:tblPr>
      <w:tblGrid>
        <w:gridCol w:w="4680"/>
        <w:gridCol w:w="4680"/>
      </w:tblGrid>
      <w:tr>
        <w:tc>
          <w:tcPr>
            <w:tcW w:type="dxa" w:w="2088"/>
            <w:shd w:val="clear" w:color="auto" w:fill="E8EDF5"/>
          </w:tcPr>
          <w:p>
            <w:r/>
            <w:r>
              <w:rPr>
                <w:b/>
                <w:sz w:val="18"/>
              </w:rPr>
              <w:t>Draft provision</w:t>
            </w:r>
          </w:p>
        </w:tc>
        <w:tc>
          <w:tcPr>
            <w:tcW w:type="dxa" w:w="7272"/>
          </w:tcPr>
          <w:p>
            <w:r/>
            <w:r>
              <w:rPr>
                <w:sz w:val="18"/>
              </w:rPr>
              <w:t>A withdrawing Party remains liable for its share of Joint Defense Costs "incurred or approved" by the Steering Committee before the effective date of withdrawal.</w:t>
            </w:r>
          </w:p>
        </w:tc>
      </w:tr>
      <w:tr>
        <w:tc>
          <w:tcPr>
            <w:tcW w:type="dxa" w:w="2088"/>
            <w:shd w:val="clear" w:color="auto" w:fill="E8EDF5"/>
          </w:tcPr>
          <w:p>
            <w:r/>
            <w:r>
              <w:rPr>
                <w:b/>
                <w:sz w:val="18"/>
              </w:rPr>
              <w:t>Playbook standard (Preferred (governance))</w:t>
            </w:r>
          </w:p>
        </w:tc>
        <w:tc>
          <w:tcPr>
            <w:tcW w:type="dxa" w:w="7272"/>
          </w:tcPr>
          <w:p>
            <w:r/>
            <w:r>
              <w:rPr>
                <w:sz w:val="18"/>
              </w:rPr>
              <w:t>No specific standard. This is related to § 3.1 (no economic precondition to withdrawal) and § 10 (cost-sharing governance).</w:t>
            </w:r>
          </w:p>
        </w:tc>
      </w:tr>
      <w:tr>
        <w:tc>
          <w:tcPr>
            <w:tcW w:type="dxa" w:w="2088"/>
            <w:shd w:val="clear" w:color="auto" w:fill="E8EDF5"/>
          </w:tcPr>
          <w:p>
            <w:r/>
            <w:r>
              <w:rPr>
                <w:b/>
                <w:sz w:val="18"/>
              </w:rPr>
              <w:t>Deviation and risk</w:t>
            </w:r>
          </w:p>
        </w:tc>
        <w:tc>
          <w:tcPr>
            <w:tcW w:type="dxa" w:w="7272"/>
          </w:tcPr>
          <w:p>
            <w:r/>
            <w:r>
              <w:rPr>
                <w:sz w:val="18"/>
              </w:rPr>
              <w:t>"Approved" costs could include large commitments that the committee (on which Vantage initially has no seat) approved but that will be incurred after Vantage leaves, such as expert budgets.</w:t>
            </w:r>
          </w:p>
        </w:tc>
      </w:tr>
      <w:tr>
        <w:tc>
          <w:tcPr>
            <w:tcW w:type="dxa" w:w="2088"/>
            <w:shd w:val="clear" w:color="auto" w:fill="E8EDF5"/>
          </w:tcPr>
          <w:p>
            <w:r/>
            <w:r>
              <w:rPr>
                <w:b/>
                <w:sz w:val="18"/>
              </w:rPr>
              <w:t>Recommended position / redline</w:t>
            </w:r>
          </w:p>
        </w:tc>
        <w:tc>
          <w:tcPr>
            <w:tcW w:type="dxa" w:w="7272"/>
          </w:tcPr>
          <w:p>
            <w:r/>
            <w:r>
              <w:rPr>
                <w:sz w:val="18"/>
              </w:rPr>
              <w:t>Limit the tail to costs actually incurred, with Vantage's approval under Article V, before the effective date of withdrawal.</w:t>
            </w:r>
          </w:p>
        </w:tc>
      </w:tr>
      <w:tr>
        <w:tc>
          <w:tcPr>
            <w:tcW w:type="dxa" w:w="2088"/>
            <w:shd w:val="clear" w:color="auto" w:fill="E8EDF5"/>
          </w:tcPr>
          <w:p>
            <w:r/>
            <w:r>
              <w:rPr>
                <w:b/>
                <w:sz w:val="18"/>
              </w:rPr>
              <w:t>Fallback and negotiation</w:t>
            </w:r>
          </w:p>
        </w:tc>
        <w:tc>
          <w:tcPr>
            <w:tcW w:type="dxa" w:w="7272"/>
          </w:tcPr>
          <w:p>
            <w:r/>
            <w:r>
              <w:rPr>
                <w:sz w:val="18"/>
              </w:rPr>
              <w:t>Vantage could accept responsibility for committed, non-cancellable expert fees that Vantage itself approved.</w:t>
            </w:r>
          </w:p>
        </w:tc>
      </w:tr>
      <w:tr>
        <w:tc>
          <w:tcPr>
            <w:tcW w:type="dxa" w:w="2088"/>
            <w:shd w:val="clear" w:color="auto" w:fill="E8EDF5"/>
          </w:tcPr>
          <w:p>
            <w:r/>
            <w:r>
              <w:rPr>
                <w:b/>
                <w:sz w:val="18"/>
              </w:rPr>
              <w:t>Strategic notes / deadlines</w:t>
            </w:r>
          </w:p>
        </w:tc>
        <w:tc>
          <w:tcPr>
            <w:tcW w:type="dxa" w:w="7272"/>
          </w:tcPr>
          <w:p>
            <w:r/>
            <w:r>
              <w:rPr>
                <w:sz w:val="18"/>
              </w:rPr>
              <w:t>Low priority. Can be traded.</w:t>
            </w:r>
          </w:p>
        </w:tc>
      </w:tr>
    </w:tbl>
    <w:p>
      <w:pPr>
        <w:spacing w:after="40"/>
      </w:pPr>
    </w:p>
    <w:p>
      <w:pPr>
        <w:pStyle w:val="Heading2"/>
      </w:pPr>
      <w:r>
        <w:t>§ 4 Settlement Notice</w:t>
      </w:r>
    </w:p>
    <w:p>
      <w:pPr>
        <w:pStyle w:val="Heading3"/>
      </w:pPr>
      <w:r>
        <w:t>Issue 4 — Settlement-notice timing and trigger (§ 9.2 (first sentence); § 9.3) — Risk: Critical</w:t>
      </w:r>
    </w:p>
    <w:tbl>
      <w:tblPr>
        <w:tblStyle w:val="TableGrid"/>
        <w:tblW w:type="auto" w:w="0"/>
        <w:tblLook w:firstColumn="1" w:firstRow="1" w:lastColumn="0" w:lastRow="0" w:noHBand="0" w:noVBand="1" w:val="04A0"/>
      </w:tblPr>
      <w:tblGrid>
        <w:gridCol w:w="4680"/>
        <w:gridCol w:w="4680"/>
      </w:tblGrid>
      <w:tr>
        <w:tc>
          <w:tcPr>
            <w:tcW w:type="dxa" w:w="2088"/>
            <w:shd w:val="clear" w:color="auto" w:fill="E8EDF5"/>
          </w:tcPr>
          <w:p>
            <w:r/>
            <w:r>
              <w:rPr>
                <w:b/>
                <w:sz w:val="18"/>
              </w:rPr>
              <w:t>Draft provision</w:t>
            </w:r>
          </w:p>
        </w:tc>
        <w:tc>
          <w:tcPr>
            <w:tcW w:type="dxa" w:w="7272"/>
          </w:tcPr>
          <w:p>
            <w:r/>
            <w:r>
              <w:rPr>
                <w:sz w:val="18"/>
              </w:rPr>
              <w:t>Any Party that "intends to negotiate or enter into a settlement" with Plaintiffs or "any other party in the Litigation or any Related Proceeding" must give notice "no fewer than forty-five (45) calendar days prior to" the anticipated execution of any settlement agreement.</w:t>
            </w:r>
          </w:p>
        </w:tc>
      </w:tr>
      <w:tr>
        <w:tc>
          <w:tcPr>
            <w:tcW w:type="dxa" w:w="2088"/>
            <w:shd w:val="clear" w:color="auto" w:fill="E8EDF5"/>
          </w:tcPr>
          <w:p>
            <w:r/>
            <w:r>
              <w:rPr>
                <w:b/>
                <w:sz w:val="18"/>
              </w:rPr>
              <w:t>Playbook standard (Required (§ 4.1, § 4.3(a)))</w:t>
            </w:r>
          </w:p>
        </w:tc>
        <w:tc>
          <w:tcPr>
            <w:tcW w:type="dxa" w:w="7272"/>
          </w:tcPr>
          <w:p>
            <w:r/>
            <w:r>
              <w:rPr>
                <w:sz w:val="18"/>
              </w:rPr>
              <w:t>No more than 10 business days' advance notice before execution. The trigger must be the settling party's determination that it intends to proceed with a proposed settlement, not the start of discussions or receipt of a demand (§ 4.1). There is no fallback above 10 business days (§ 4.3(a)).</w:t>
            </w:r>
          </w:p>
        </w:tc>
      </w:tr>
      <w:tr>
        <w:tc>
          <w:tcPr>
            <w:tcW w:type="dxa" w:w="2088"/>
            <w:shd w:val="clear" w:color="auto" w:fill="E8EDF5"/>
          </w:tcPr>
          <w:p>
            <w:r/>
            <w:r>
              <w:rPr>
                <w:b/>
                <w:sz w:val="18"/>
              </w:rPr>
              <w:t>Deviation and risk</w:t>
            </w:r>
          </w:p>
        </w:tc>
        <w:tc>
          <w:tcPr>
            <w:tcW w:type="dxa" w:w="7272"/>
          </w:tcPr>
          <w:p>
            <w:r/>
            <w:r>
              <w:rPr>
                <w:sz w:val="18"/>
              </w:rPr>
              <w:t>45 calendar days is roughly 32 business days, about three times the ceiling. The "intends to negotiate" trigger is worse still: read literally, it requires notice before negotiations begin, so the notice period would run during the negotiations themselves. Because "Related Proceeding" includes DOJ and state attorney general investigations, the clause would also require notice to co-defendants before any resolution with a government authority (see Issue 11). The § 4.1 rationale applies in full: leaks to plaintiffs or the market, obstruction by non-settling defendants, and lost leverage. Pryor's email identifies these provisions as "essential" to Kerrigan-Holst, so expect resistance.</w:t>
            </w:r>
          </w:p>
        </w:tc>
      </w:tr>
      <w:tr>
        <w:tc>
          <w:tcPr>
            <w:tcW w:type="dxa" w:w="2088"/>
            <w:shd w:val="clear" w:color="auto" w:fill="E8EDF5"/>
          </w:tcPr>
          <w:p>
            <w:r/>
            <w:r>
              <w:rPr>
                <w:b/>
                <w:sz w:val="18"/>
              </w:rPr>
              <w:t>Recommended position / redline</w:t>
            </w:r>
          </w:p>
        </w:tc>
        <w:tc>
          <w:tcPr>
            <w:tcW w:type="dxa" w:w="7272"/>
          </w:tcPr>
          <w:p>
            <w:r/>
            <w:r>
              <w:rPr>
                <w:sz w:val="18"/>
              </w:rPr>
              <w:t>10 business days before execution, triggered only by a determination to proceed, with express exclusion of discussions and demands. Settlements with governmental authorities are excluded and routed to § 4.5. New § 9.4 treats a settlement as a self-executing withdrawal.</w:t>
            </w:r>
          </w:p>
        </w:tc>
      </w:tr>
      <w:tr>
        <w:tc>
          <w:tcPr>
            <w:tcW w:type="dxa" w:w="2088"/>
            <w:shd w:val="clear" w:color="auto" w:fill="E8EDF5"/>
          </w:tcPr>
          <w:p>
            <w:r/>
            <w:r>
              <w:rPr>
                <w:b/>
                <w:sz w:val="18"/>
              </w:rPr>
              <w:t>Fallback and negotiation</w:t>
            </w:r>
          </w:p>
        </w:tc>
        <w:tc>
          <w:tcPr>
            <w:tcW w:type="dxa" w:w="7272"/>
          </w:tcPr>
          <w:p>
            <w:r/>
            <w:r>
              <w:rPr>
                <w:sz w:val="18"/>
              </w:rPr>
              <w:t>Nothing above 10 business days. Arguments for the call: (i) any class settlement requires Rule 23(e) preliminary approval and notice, so co-defendants will see the terms on the public docket before any final effect; (ii) § 9.1 already concedes that there is no veto, and a long notice window serves only to create practical leverage; (iii) the provision is mutual, and Kerrigan-Holst, as the largest defendant, is equally exposed to "ice-out" dynamics.</w:t>
            </w:r>
          </w:p>
        </w:tc>
      </w:tr>
      <w:tr>
        <w:tc>
          <w:tcPr>
            <w:tcW w:type="dxa" w:w="2088"/>
            <w:shd w:val="clear" w:color="auto" w:fill="E8EDF5"/>
          </w:tcPr>
          <w:p>
            <w:r/>
            <w:r>
              <w:rPr>
                <w:b/>
                <w:sz w:val="18"/>
              </w:rPr>
              <w:t>Strategic notes / deadlines</w:t>
            </w:r>
          </w:p>
        </w:tc>
        <w:tc>
          <w:tcPr>
            <w:tcW w:type="dxa" w:w="7272"/>
          </w:tcPr>
          <w:p>
            <w:r/>
            <w:r>
              <w:rPr>
                <w:sz w:val="18"/>
              </w:rPr>
              <w:t>Class certification (April 29, 2025) usually accelerates settlement activity, and early settlers typically obtain the most favorable terms. There is no contribution among federal antitrust defendants (Texas Industries, Inc. v. Radcliff Materials, Inc., 451 U.S. 630 (1981)), and liability is joint and several on alleged overcharges of more than $750 million before trebling. Vantage's freedom to settle early and quietly is therefore its most important risk-management tool. This is a Required standard: absent a cure, the JDA cannot be executed without a written GC exception, and we do not recommend granting one.</w:t>
            </w:r>
          </w:p>
        </w:tc>
      </w:tr>
    </w:tbl>
    <w:p>
      <w:pPr>
        <w:spacing w:after="40"/>
      </w:pPr>
    </w:p>
    <w:p>
      <w:pPr>
        <w:pStyle w:val="Heading3"/>
      </w:pPr>
      <w:r>
        <w:t>Issue 5 — Mandatory disclosure of all material settlement terms (§ 9.2(a)–(e)) — Risk: Critical</w:t>
      </w:r>
    </w:p>
    <w:tbl>
      <w:tblPr>
        <w:tblStyle w:val="TableGrid"/>
        <w:tblW w:type="auto" w:w="0"/>
        <w:tblLook w:firstColumn="1" w:firstRow="1" w:lastColumn="0" w:lastRow="0" w:noHBand="0" w:noVBand="1" w:val="04A0"/>
      </w:tblPr>
      <w:tblGrid>
        <w:gridCol w:w="4680"/>
        <w:gridCol w:w="4680"/>
      </w:tblGrid>
      <w:tr>
        <w:tc>
          <w:tcPr>
            <w:tcW w:type="dxa" w:w="2088"/>
            <w:shd w:val="clear" w:color="auto" w:fill="E8EDF5"/>
          </w:tcPr>
          <w:p>
            <w:r/>
            <w:r>
              <w:rPr>
                <w:b/>
                <w:sz w:val="18"/>
              </w:rPr>
              <w:t>Draft provision</w:t>
            </w:r>
          </w:p>
        </w:tc>
        <w:tc>
          <w:tcPr>
            <w:tcW w:type="dxa" w:w="7272"/>
          </w:tcPr>
          <w:p>
            <w:r/>
            <w:r>
              <w:rPr>
                <w:sz w:val="18"/>
              </w:rPr>
              <w:t>The Settlement Notice "shall include disclosure of all material terms of the proposed settlement, including, without limitation": (a) the amount or value of consideration; (b) the scope and terms of releases; (c) cooperation provisions with Plaintiffs or any governmental authority; (d) provisions affecting the remaining Parties, including reduction or offset; and (e) any other terms material to the Common Defense.</w:t>
            </w:r>
          </w:p>
        </w:tc>
      </w:tr>
      <w:tr>
        <w:tc>
          <w:tcPr>
            <w:tcW w:type="dxa" w:w="2088"/>
            <w:shd w:val="clear" w:color="auto" w:fill="E8EDF5"/>
          </w:tcPr>
          <w:p>
            <w:r/>
            <w:r>
              <w:rPr>
                <w:b/>
                <w:sz w:val="18"/>
              </w:rPr>
              <w:t>Playbook standard (Prohibited (§ 4.2, § 4.3(b), § 4.4))</w:t>
            </w:r>
          </w:p>
        </w:tc>
        <w:tc>
          <w:tcPr>
            <w:tcW w:type="dxa" w:w="7272"/>
          </w:tcPr>
          <w:p>
            <w:r/>
            <w:r>
              <w:rPr>
                <w:sz w:val="18"/>
              </w:rPr>
              <w:t>Disclosure is limited to the existence and general nature of the settlement: the fact of settlement, its general nature, and the anticipated timeline (§ 4.2). The limitation is non-negotiable (§ 4.3(b)). "All material terms" and formulations covering amount, releases and cooperation commitments are expressly never-accept (§ 4.4).</w:t>
            </w:r>
          </w:p>
        </w:tc>
      </w:tr>
      <w:tr>
        <w:tc>
          <w:tcPr>
            <w:tcW w:type="dxa" w:w="2088"/>
            <w:shd w:val="clear" w:color="auto" w:fill="E8EDF5"/>
          </w:tcPr>
          <w:p>
            <w:r/>
            <w:r>
              <w:rPr>
                <w:b/>
                <w:sz w:val="18"/>
              </w:rPr>
              <w:t>Deviation and risk</w:t>
            </w:r>
          </w:p>
        </w:tc>
        <w:tc>
          <w:tcPr>
            <w:tcW w:type="dxa" w:w="7272"/>
          </w:tcPr>
          <w:p>
            <w:r/>
            <w:r>
              <w:rPr>
                <w:sz w:val="18"/>
              </w:rPr>
              <w:t>Each of items (a)–(e) appears on the Playbook's never-accept list. The draft would give competitors Vantage's settlement economics, which carries competitive-harm risk among horizontal competitors. Disclosure of cooperation commitments (item (c)) would tell co-defendants that Vantage has agreed to cooperate with Plaintiffs or DOJ against them. That invites obstruction, could chill negotiations, and may risk waiving settlement-communication protections (§ 4.4 rationale).</w:t>
            </w:r>
          </w:p>
        </w:tc>
      </w:tr>
      <w:tr>
        <w:tc>
          <w:tcPr>
            <w:tcW w:type="dxa" w:w="2088"/>
            <w:shd w:val="clear" w:color="auto" w:fill="E8EDF5"/>
          </w:tcPr>
          <w:p>
            <w:r/>
            <w:r>
              <w:rPr>
                <w:b/>
                <w:sz w:val="18"/>
              </w:rPr>
              <w:t>Recommended position / redline</w:t>
            </w:r>
          </w:p>
        </w:tc>
        <w:tc>
          <w:tcPr>
            <w:tcW w:type="dxa" w:w="7272"/>
          </w:tcPr>
          <w:p>
            <w:r/>
            <w:r>
              <w:rPr>
                <w:sz w:val="18"/>
              </w:rPr>
              <w:t>Replace (a)–(c) with the three permitted items and delete (d)–(e). Add an express statement that no amount, release, cooperation, liability-admission term, copy, summary or term sheet need be disclosed, and that government communications or resolutions (including any leniency application) are outside Article IX.</w:t>
            </w:r>
          </w:p>
        </w:tc>
      </w:tr>
      <w:tr>
        <w:tc>
          <w:tcPr>
            <w:tcW w:type="dxa" w:w="2088"/>
            <w:shd w:val="clear" w:color="auto" w:fill="E8EDF5"/>
          </w:tcPr>
          <w:p>
            <w:r/>
            <w:r>
              <w:rPr>
                <w:b/>
                <w:sz w:val="18"/>
              </w:rPr>
              <w:t>Fallback and negotiation</w:t>
            </w:r>
          </w:p>
        </w:tc>
        <w:tc>
          <w:tcPr>
            <w:tcW w:type="dxa" w:w="7272"/>
          </w:tcPr>
          <w:p>
            <w:r/>
            <w:r>
              <w:rPr>
                <w:sz w:val="18"/>
              </w:rPr>
              <w:t>None. Proposals for "summary terms," "principal provisions" or "key elements" must also be rejected (§ 4.3(b)). If Kerrigan-Holst wants comfort on judgment-reduction effects, the answer is that any claim-reduction or offset term will be visible in the Rule 23(e) approval papers.</w:t>
            </w:r>
          </w:p>
        </w:tc>
      </w:tr>
      <w:tr>
        <w:tc>
          <w:tcPr>
            <w:tcW w:type="dxa" w:w="2088"/>
            <w:shd w:val="clear" w:color="auto" w:fill="E8EDF5"/>
          </w:tcPr>
          <w:p>
            <w:r/>
            <w:r>
              <w:rPr>
                <w:b/>
                <w:sz w:val="18"/>
              </w:rPr>
              <w:t>Strategic notes / deadlines</w:t>
            </w:r>
          </w:p>
        </w:tc>
        <w:tc>
          <w:tcPr>
            <w:tcW w:type="dxa" w:w="7272"/>
          </w:tcPr>
          <w:p>
            <w:r/>
            <w:r>
              <w:rPr>
                <w:sz w:val="18"/>
              </w:rPr>
              <w:t>This is a dual-classification provision (§ 2.3). Fixing the timing (Issue 4) does not cure the disclosure problem, and both must be addressed.</w:t>
            </w:r>
          </w:p>
        </w:tc>
      </w:tr>
    </w:tbl>
    <w:p>
      <w:pPr>
        <w:spacing w:after="40"/>
      </w:pPr>
    </w:p>
    <w:p>
      <w:pPr>
        <w:pStyle w:val="Heading3"/>
      </w:pPr>
      <w:r>
        <w:t>Issue 6 — Consultation on modifications to settlement terms (§ 9.3) — Risk: High</w:t>
      </w:r>
    </w:p>
    <w:tbl>
      <w:tblPr>
        <w:tblStyle w:val="TableGrid"/>
        <w:tblW w:type="auto" w:w="0"/>
        <w:tblLook w:firstColumn="1" w:firstRow="1" w:lastColumn="0" w:lastRow="0" w:noHBand="0" w:noVBand="1" w:val="04A0"/>
      </w:tblPr>
      <w:tblGrid>
        <w:gridCol w:w="4680"/>
        <w:gridCol w:w="4680"/>
      </w:tblGrid>
      <w:tr>
        <w:tc>
          <w:tcPr>
            <w:tcW w:type="dxa" w:w="2088"/>
            <w:shd w:val="clear" w:color="auto" w:fill="E8EDF5"/>
          </w:tcPr>
          <w:p>
            <w:r/>
            <w:r>
              <w:rPr>
                <w:b/>
                <w:sz w:val="18"/>
              </w:rPr>
              <w:t>Draft provision</w:t>
            </w:r>
          </w:p>
        </w:tc>
        <w:tc>
          <w:tcPr>
            <w:tcW w:type="dxa" w:w="7272"/>
          </w:tcPr>
          <w:p>
            <w:r/>
            <w:r>
              <w:rPr>
                <w:sz w:val="18"/>
              </w:rPr>
              <w:t>During the 45-day period, the parties must "make themselves ... reasonably available" for good-faith discussions that "shall address ... any modifications to the proposed settlement terms that may be necessary to protect the interests of the remaining Parties," although no veto is given.</w:t>
            </w:r>
          </w:p>
        </w:tc>
      </w:tr>
      <w:tr>
        <w:tc>
          <w:tcPr>
            <w:tcW w:type="dxa" w:w="2088"/>
            <w:shd w:val="clear" w:color="auto" w:fill="E8EDF5"/>
          </w:tcPr>
          <w:p>
            <w:r/>
            <w:r>
              <w:rPr>
                <w:b/>
                <w:sz w:val="18"/>
              </w:rPr>
              <w:t>Playbook standard (Required (§ 4.2 and rationale))</w:t>
            </w:r>
          </w:p>
        </w:tc>
        <w:tc>
          <w:tcPr>
            <w:tcW w:type="dxa" w:w="7272"/>
          </w:tcPr>
          <w:p>
            <w:r/>
            <w:r>
              <w:rPr>
                <w:sz w:val="18"/>
              </w:rPr>
              <w:t>Settlement notice exists to tell co-defendants that the arrangement is about to change. It must not give them a veto or a tactical advantage (§ 4.2 rationale).</w:t>
            </w:r>
          </w:p>
        </w:tc>
      </w:tr>
      <w:tr>
        <w:tc>
          <w:tcPr>
            <w:tcW w:type="dxa" w:w="2088"/>
            <w:shd w:val="clear" w:color="auto" w:fill="E8EDF5"/>
          </w:tcPr>
          <w:p>
            <w:r/>
            <w:r>
              <w:rPr>
                <w:b/>
                <w:sz w:val="18"/>
              </w:rPr>
              <w:t>Deviation and risk</w:t>
            </w:r>
          </w:p>
        </w:tc>
        <w:tc>
          <w:tcPr>
            <w:tcW w:type="dxa" w:w="7272"/>
          </w:tcPr>
          <w:p>
            <w:r/>
            <w:r>
              <w:rPr>
                <w:sz w:val="18"/>
              </w:rPr>
              <w:t>A mandatory, good-faith negotiation over changing Vantage's settlement terms to suit co-defendants is a soft veto. It also assumes the terms have been disclosed. A "good faith" covenant creates a breach-of-contract hook that co-defendants could use to delay or challenge a settlement.</w:t>
            </w:r>
          </w:p>
        </w:tc>
      </w:tr>
      <w:tr>
        <w:tc>
          <w:tcPr>
            <w:tcW w:type="dxa" w:w="2088"/>
            <w:shd w:val="clear" w:color="auto" w:fill="E8EDF5"/>
          </w:tcPr>
          <w:p>
            <w:r/>
            <w:r>
              <w:rPr>
                <w:b/>
                <w:sz w:val="18"/>
              </w:rPr>
              <w:t>Recommended position / redline</w:t>
            </w:r>
          </w:p>
        </w:tc>
        <w:tc>
          <w:tcPr>
            <w:tcW w:type="dxa" w:w="7272"/>
          </w:tcPr>
          <w:p>
            <w:r/>
            <w:r>
              <w:rPr>
                <w:sz w:val="18"/>
              </w:rPr>
              <w:t>Limit consultation to logistics of withdrawal (handling of materials and costs). The Settling Party has no obligation to discuss, disclose or modify its terms, and no remaining Party has any right to approve or condition the settlement.</w:t>
            </w:r>
          </w:p>
        </w:tc>
      </w:tr>
      <w:tr>
        <w:tc>
          <w:tcPr>
            <w:tcW w:type="dxa" w:w="2088"/>
            <w:shd w:val="clear" w:color="auto" w:fill="E8EDF5"/>
          </w:tcPr>
          <w:p>
            <w:r/>
            <w:r>
              <w:rPr>
                <w:b/>
                <w:sz w:val="18"/>
              </w:rPr>
              <w:t>Fallback and negotiation</w:t>
            </w:r>
          </w:p>
        </w:tc>
        <w:tc>
          <w:tcPr>
            <w:tcW w:type="dxa" w:w="7272"/>
          </w:tcPr>
          <w:p>
            <w:r/>
            <w:r>
              <w:rPr>
                <w:sz w:val="18"/>
              </w:rPr>
              <w:t>Vantage could accept a single, optional counsel conference within the 10-business-day window, limited to Common Defense logistics.</w:t>
            </w:r>
          </w:p>
        </w:tc>
      </w:tr>
      <w:tr>
        <w:tc>
          <w:tcPr>
            <w:tcW w:type="dxa" w:w="2088"/>
            <w:shd w:val="clear" w:color="auto" w:fill="E8EDF5"/>
          </w:tcPr>
          <w:p>
            <w:r/>
            <w:r>
              <w:rPr>
                <w:b/>
                <w:sz w:val="18"/>
              </w:rPr>
              <w:t>Strategic notes / deadlines</w:t>
            </w:r>
          </w:p>
        </w:tc>
        <w:tc>
          <w:tcPr>
            <w:tcW w:type="dxa" w:w="7272"/>
          </w:tcPr>
          <w:p>
            <w:r/>
            <w:r>
              <w:rPr>
                <w:sz w:val="18"/>
              </w:rPr>
              <w:t>Pair this with Issue 4 in the negotiation.</w:t>
            </w:r>
          </w:p>
        </w:tc>
      </w:tr>
    </w:tbl>
    <w:p>
      <w:pPr>
        <w:spacing w:after="40"/>
      </w:pPr>
    </w:p>
    <w:p>
      <w:pPr>
        <w:pStyle w:val="Heading2"/>
      </w:pPr>
      <w:r>
        <w:t>§ 5 Surviving Obligations</w:t>
      </w:r>
    </w:p>
    <w:p>
      <w:pPr>
        <w:pStyle w:val="Heading3"/>
      </w:pPr>
      <w:r>
        <w:t>Issue 7 — Confidentiality survival period (§ 8.1–8.2) — Risk: Critical</w:t>
      </w:r>
    </w:p>
    <w:tbl>
      <w:tblPr>
        <w:tblStyle w:val="TableGrid"/>
        <w:tblW w:type="auto" w:w="0"/>
        <w:tblLook w:firstColumn="1" w:firstRow="1" w:lastColumn="0" w:lastRow="0" w:noHBand="0" w:noVBand="1" w:val="04A0"/>
      </w:tblPr>
      <w:tblGrid>
        <w:gridCol w:w="4680"/>
        <w:gridCol w:w="4680"/>
      </w:tblGrid>
      <w:tr>
        <w:tc>
          <w:tcPr>
            <w:tcW w:type="dxa" w:w="2088"/>
            <w:shd w:val="clear" w:color="auto" w:fill="E8EDF5"/>
          </w:tcPr>
          <w:p>
            <w:r/>
            <w:r>
              <w:rPr>
                <w:b/>
                <w:sz w:val="18"/>
              </w:rPr>
              <w:t>Draft provision</w:t>
            </w:r>
          </w:p>
        </w:tc>
        <w:tc>
          <w:tcPr>
            <w:tcW w:type="dxa" w:w="7272"/>
          </w:tcPr>
          <w:p>
            <w:r/>
            <w:r>
              <w:rPr>
                <w:sz w:val="18"/>
              </w:rPr>
              <w:t>Confidentiality obligations under Articles III and IV survive for "three (3) years" after termination, expiration or withdrawal.</w:t>
            </w:r>
          </w:p>
        </w:tc>
      </w:tr>
      <w:tr>
        <w:tc>
          <w:tcPr>
            <w:tcW w:type="dxa" w:w="2088"/>
            <w:shd w:val="clear" w:color="auto" w:fill="E8EDF5"/>
          </w:tcPr>
          <w:p>
            <w:r/>
            <w:r>
              <w:rPr>
                <w:b/>
                <w:sz w:val="18"/>
              </w:rPr>
              <w:t>Playbook standard (Required / Prohibited (§ 5.3))</w:t>
            </w:r>
          </w:p>
        </w:tc>
        <w:tc>
          <w:tcPr>
            <w:tcW w:type="dxa" w:w="7272"/>
          </w:tcPr>
          <w:p>
            <w:r/>
            <w:r>
              <w:rPr>
                <w:sz w:val="18"/>
              </w:rPr>
              <w:t>Preferred position: indefinite survival. Alternative: no fewer than 7 years from termination or withdrawal (§ 5.1–5.2). Anything under 7 years is never-accept (§ 5.3).</w:t>
            </w:r>
          </w:p>
        </w:tc>
      </w:tr>
      <w:tr>
        <w:tc>
          <w:tcPr>
            <w:tcW w:type="dxa" w:w="2088"/>
            <w:shd w:val="clear" w:color="auto" w:fill="E8EDF5"/>
          </w:tcPr>
          <w:p>
            <w:r/>
            <w:r>
              <w:rPr>
                <w:b/>
                <w:sz w:val="18"/>
              </w:rPr>
              <w:t>Deviation and risk</w:t>
            </w:r>
          </w:p>
        </w:tc>
        <w:tc>
          <w:tcPr>
            <w:tcW w:type="dxa" w:w="7272"/>
          </w:tcPr>
          <w:p>
            <w:r/>
            <w:r>
              <w:rPr>
                <w:sz w:val="18"/>
              </w:rPr>
              <w:t>Three years falls well short of the floor. The exposure is concrete: once notice issues (the plan is due May 29, 2025), opt-out plaintiffs may file separate actions, and indirect-purchaser, state attorney general and government follow-on matters may continue for years. The Clayton Act limitations period is four years (15 U.S.C. § 15b), and tolling during government proceedings and class pendency can extend it. If the contractual protections lapse while related proceedings are pending, shared privileged materials become exposed to subpoena and compelled production (§ 5 rationale).</w:t>
            </w:r>
          </w:p>
        </w:tc>
      </w:tr>
      <w:tr>
        <w:tc>
          <w:tcPr>
            <w:tcW w:type="dxa" w:w="2088"/>
            <w:shd w:val="clear" w:color="auto" w:fill="E8EDF5"/>
          </w:tcPr>
          <w:p>
            <w:r/>
            <w:r>
              <w:rPr>
                <w:b/>
                <w:sz w:val="18"/>
              </w:rPr>
              <w:t>Recommended position / redline</w:t>
            </w:r>
          </w:p>
        </w:tc>
        <w:tc>
          <w:tcPr>
            <w:tcW w:type="dxa" w:w="7272"/>
          </w:tcPr>
          <w:p>
            <w:r/>
            <w:r>
              <w:rPr>
                <w:sz w:val="18"/>
              </w:rPr>
              <w:t>Indefinite survival for as long as the material remains privileged, protected or confidential. The survival clause is extended to the clawback (§ 3.6), the competitively-sensitive-information protocol (§ 4.6), Article XI (including the reservation of claims) and §§ 12.1, 12.3 and 12.4. The "regardless of the expiration of the Survival Period" language in § 8.2 is deleted.</w:t>
            </w:r>
          </w:p>
        </w:tc>
      </w:tr>
      <w:tr>
        <w:tc>
          <w:tcPr>
            <w:tcW w:type="dxa" w:w="2088"/>
            <w:shd w:val="clear" w:color="auto" w:fill="E8EDF5"/>
          </w:tcPr>
          <w:p>
            <w:r/>
            <w:r>
              <w:rPr>
                <w:b/>
                <w:sz w:val="18"/>
              </w:rPr>
              <w:t>Fallback and negotiation</w:t>
            </w:r>
          </w:p>
        </w:tc>
        <w:tc>
          <w:tcPr>
            <w:tcW w:type="dxa" w:w="7272"/>
          </w:tcPr>
          <w:p>
            <w:r/>
            <w:r>
              <w:rPr>
                <w:sz w:val="18"/>
              </w:rPr>
              <w:t>Seven years from termination or withdrawal is the minimum, and only after advocating indefinite survival first (§ 5.2).</w:t>
            </w:r>
          </w:p>
        </w:tc>
      </w:tr>
      <w:tr>
        <w:tc>
          <w:tcPr>
            <w:tcW w:type="dxa" w:w="2088"/>
            <w:shd w:val="clear" w:color="auto" w:fill="E8EDF5"/>
          </w:tcPr>
          <w:p>
            <w:r/>
            <w:r>
              <w:rPr>
                <w:b/>
                <w:sz w:val="18"/>
              </w:rPr>
              <w:t>Strategic notes / deadlines</w:t>
            </w:r>
          </w:p>
        </w:tc>
        <w:tc>
          <w:tcPr>
            <w:tcW w:type="dxa" w:w="7272"/>
          </w:tcPr>
          <w:p>
            <w:r/>
            <w:r>
              <w:rPr>
                <w:sz w:val="18"/>
              </w:rPr>
              <w:t>Indefinite survival also protects Kerrigan-Holst, which is the most exposed defendant. Frame it as mutual.</w:t>
            </w:r>
          </w:p>
        </w:tc>
      </w:tr>
    </w:tbl>
    <w:p>
      <w:pPr>
        <w:spacing w:after="40"/>
      </w:pPr>
    </w:p>
    <w:p>
      <w:pPr>
        <w:pStyle w:val="Heading2"/>
      </w:pPr>
      <w:r>
        <w:t>§ 6 Conflicts Waiver</w:t>
      </w:r>
    </w:p>
    <w:p>
      <w:pPr>
        <w:pStyle w:val="Heading3"/>
      </w:pPr>
      <w:r>
        <w:t>Issue 8 — Blanket conflicts waiver without reservation of inter-party claims (Art. XI (§§ 11.1–11.2)) — Risk: Critical</w:t>
      </w:r>
    </w:p>
    <w:tbl>
      <w:tblPr>
        <w:tblStyle w:val="TableGrid"/>
        <w:tblW w:type="auto" w:w="0"/>
        <w:tblLook w:firstColumn="1" w:firstRow="1" w:lastColumn="0" w:lastRow="0" w:noHBand="0" w:noVBand="1" w:val="04A0"/>
      </w:tblPr>
      <w:tblGrid>
        <w:gridCol w:w="4680"/>
        <w:gridCol w:w="4680"/>
      </w:tblGrid>
      <w:tr>
        <w:tc>
          <w:tcPr>
            <w:tcW w:type="dxa" w:w="2088"/>
            <w:shd w:val="clear" w:color="auto" w:fill="E8EDF5"/>
          </w:tcPr>
          <w:p>
            <w:r/>
            <w:r>
              <w:rPr>
                <w:b/>
                <w:sz w:val="18"/>
              </w:rPr>
              <w:t>Draft provision</w:t>
            </w:r>
          </w:p>
        </w:tc>
        <w:tc>
          <w:tcPr>
            <w:tcW w:type="dxa" w:w="7272"/>
          </w:tcPr>
          <w:p>
            <w:r/>
            <w:r>
              <w:rPr>
                <w:sz w:val="18"/>
              </w:rPr>
              <w:t>Each Party "hereby waives any potential or actual conflict of interest arising from or relating to" participation in the joint defense. The waiver extends "without limitation" to five categories, including "(a) the joint representation of multiple defendants." Section 11.2 acknowledges that interests may diverge, including on allocation of liability. There is no reservation of claims.</w:t>
            </w:r>
          </w:p>
        </w:tc>
      </w:tr>
      <w:tr>
        <w:tc>
          <w:tcPr>
            <w:tcW w:type="dxa" w:w="2088"/>
            <w:shd w:val="clear" w:color="auto" w:fill="E8EDF5"/>
          </w:tcPr>
          <w:p>
            <w:r/>
            <w:r>
              <w:rPr>
                <w:b/>
                <w:sz w:val="18"/>
              </w:rPr>
              <w:t>Playbook standard (Required / Prohibited (§ 6.1, § 6.3))</w:t>
            </w:r>
          </w:p>
        </w:tc>
        <w:tc>
          <w:tcPr>
            <w:tcW w:type="dxa" w:w="7272"/>
          </w:tcPr>
          <w:p>
            <w:r/>
            <w:r>
              <w:rPr>
                <w:sz w:val="18"/>
              </w:rPr>
              <w:t>Any conflicts waiver must expressly preserve each Party's right to assert future claims against any other member: contribution, indemnity, cross-claims and counterclaims, third-party claims, claims under separate contracts, and any other claim, whether or not related to the Litigation (§ 6.1(a)–(f)). A waiver that is silent on future adverse proceedings, that is "without limitation," or that is a "waives any conflict ... arising from participation" waiver is never-accept (§ 6.3).</w:t>
            </w:r>
          </w:p>
        </w:tc>
      </w:tr>
      <w:tr>
        <w:tc>
          <w:tcPr>
            <w:tcW w:type="dxa" w:w="2088"/>
            <w:shd w:val="clear" w:color="auto" w:fill="E8EDF5"/>
          </w:tcPr>
          <w:p>
            <w:r/>
            <w:r>
              <w:rPr>
                <w:b/>
                <w:sz w:val="18"/>
              </w:rPr>
              <w:t>Deviation and risk</w:t>
            </w:r>
          </w:p>
        </w:tc>
        <w:tc>
          <w:tcPr>
            <w:tcW w:type="dxa" w:w="7272"/>
          </w:tcPr>
          <w:p>
            <w:r/>
            <w:r>
              <w:rPr>
                <w:sz w:val="18"/>
              </w:rPr>
              <w:t>The draft matches three of the listed never-accept formulations. A court or co-defendant could read it to bar Vantage from later asserting indemnity, cross-claims, or claims under separate commercial arrangements, or from opposing a co-defendant's counsel. The "joint representation" language is factually wrong, because each defendant has separate counsel. It could also support an argument that an implied attorney-client relationship exists, with disqualification consequences.</w:t>
            </w:r>
          </w:p>
        </w:tc>
      </w:tr>
      <w:tr>
        <w:tc>
          <w:tcPr>
            <w:tcW w:type="dxa" w:w="2088"/>
            <w:shd w:val="clear" w:color="auto" w:fill="E8EDF5"/>
          </w:tcPr>
          <w:p>
            <w:r/>
            <w:r>
              <w:rPr>
                <w:b/>
                <w:sz w:val="18"/>
              </w:rPr>
              <w:t>Recommended position / redline</w:t>
            </w:r>
          </w:p>
        </w:tc>
        <w:tc>
          <w:tcPr>
            <w:tcW w:type="dxa" w:w="7272"/>
          </w:tcPr>
          <w:p>
            <w:r/>
            <w:r>
              <w:rPr>
                <w:sz w:val="18"/>
              </w:rPr>
              <w:t>Make the waiver subject to a new § 11.3 reservation that covers all six Playbook categories, applies regardless of nexus to the Litigation, and requires no consent. Correct clause (a) to describe separately represented defendants. Add § 11.4: no attorney-client relationship across Parties, no disqualification based on JDA participation, and a right to cross-examine using independently obtained information. Section 2.3 is conformed.</w:t>
            </w:r>
          </w:p>
        </w:tc>
      </w:tr>
      <w:tr>
        <w:tc>
          <w:tcPr>
            <w:tcW w:type="dxa" w:w="2088"/>
            <w:shd w:val="clear" w:color="auto" w:fill="E8EDF5"/>
          </w:tcPr>
          <w:p>
            <w:r/>
            <w:r>
              <w:rPr>
                <w:b/>
                <w:sz w:val="18"/>
              </w:rPr>
              <w:t>Fallback and negotiation</w:t>
            </w:r>
          </w:p>
        </w:tc>
        <w:tc>
          <w:tcPr>
            <w:tcW w:type="dxa" w:w="7272"/>
          </w:tcPr>
          <w:p>
            <w:r/>
            <w:r>
              <w:rPr>
                <w:sz w:val="18"/>
              </w:rPr>
              <w:t>The form of words is negotiable, but the substance is not (§ 6.2). Deleting Article XI entirely is an acceptable alternative (§ 6.2) and is a useful fallback if Kerrigan-Holst resists the carve-out.</w:t>
            </w:r>
          </w:p>
        </w:tc>
      </w:tr>
      <w:tr>
        <w:tc>
          <w:tcPr>
            <w:tcW w:type="dxa" w:w="2088"/>
            <w:shd w:val="clear" w:color="auto" w:fill="E8EDF5"/>
          </w:tcPr>
          <w:p>
            <w:r/>
            <w:r>
              <w:rPr>
                <w:b/>
                <w:sz w:val="18"/>
              </w:rPr>
              <w:t>Strategic notes / deadlines</w:t>
            </w:r>
          </w:p>
        </w:tc>
        <w:tc>
          <w:tcPr>
            <w:tcW w:type="dxa" w:w="7272"/>
          </w:tcPr>
          <w:p>
            <w:r/>
            <w:r>
              <w:rPr>
                <w:sz w:val="18"/>
              </w:rPr>
              <w:t>Federal antitrust law gives no contribution right (Texas Industries), so the carve-out matters chiefly for contractual or state-law indemnity, judgment-sharing or claim-reduction arrangements, and separate commercial relationships. Section 11.2(a) itself acknowledges divergence on "allocation of liability."</w:t>
            </w:r>
          </w:p>
        </w:tc>
      </w:tr>
    </w:tbl>
    <w:p>
      <w:pPr>
        <w:spacing w:after="40"/>
      </w:pPr>
    </w:p>
    <w:p>
      <w:pPr>
        <w:pStyle w:val="Heading2"/>
      </w:pPr>
      <w:r>
        <w:t>§ 7 Governing Law</w:t>
      </w:r>
    </w:p>
    <w:p>
      <w:pPr>
        <w:pStyle w:val="Heading3"/>
      </w:pPr>
      <w:r>
        <w:t>Issue 9 — New York governing law (§ 12.3) — Risk: Critical</w:t>
      </w:r>
    </w:p>
    <w:tbl>
      <w:tblPr>
        <w:tblStyle w:val="TableGrid"/>
        <w:tblW w:type="auto" w:w="0"/>
        <w:tblLook w:firstColumn="1" w:firstRow="1" w:lastColumn="0" w:lastRow="0" w:noHBand="0" w:noVBand="1" w:val="04A0"/>
      </w:tblPr>
      <w:tblGrid>
        <w:gridCol w:w="4680"/>
        <w:gridCol w:w="4680"/>
      </w:tblGrid>
      <w:tr>
        <w:tc>
          <w:tcPr>
            <w:tcW w:type="dxa" w:w="2088"/>
            <w:shd w:val="clear" w:color="auto" w:fill="E8EDF5"/>
          </w:tcPr>
          <w:p>
            <w:r/>
            <w:r>
              <w:rPr>
                <w:b/>
                <w:sz w:val="18"/>
              </w:rPr>
              <w:t>Draft provision</w:t>
            </w:r>
          </w:p>
        </w:tc>
        <w:tc>
          <w:tcPr>
            <w:tcW w:type="dxa" w:w="7272"/>
          </w:tcPr>
          <w:p>
            <w:r/>
            <w:r>
              <w:rPr>
                <w:sz w:val="18"/>
              </w:rPr>
              <w:t>The Agreement is governed by New York law, "without regard to its conflicts-of-law principles or any other choice-of-law doctrine" that would apply another jurisdiction's law.</w:t>
            </w:r>
          </w:p>
        </w:tc>
      </w:tr>
      <w:tr>
        <w:tc>
          <w:tcPr>
            <w:tcW w:type="dxa" w:w="2088"/>
            <w:shd w:val="clear" w:color="auto" w:fill="E8EDF5"/>
          </w:tcPr>
          <w:p>
            <w:r/>
            <w:r>
              <w:rPr>
                <w:b/>
                <w:sz w:val="18"/>
              </w:rPr>
              <w:t>Playbook standard (Required / Prohibited (§ 7.3))</w:t>
            </w:r>
          </w:p>
        </w:tc>
        <w:tc>
          <w:tcPr>
            <w:tcW w:type="dxa" w:w="7272"/>
          </w:tcPr>
          <w:p>
            <w:r/>
            <w:r>
              <w:rPr>
                <w:sz w:val="18"/>
              </w:rPr>
              <w:t>The governing law must be the law of the state where the underlying litigation is pending. The Application Note says N.D. Ill. means Illinois law (§ 7.1). Selecting a state with no nexus to the forum, where no party is domiciled, is never-accept; New York-for-Illinois is the Playbook's own example (§ 7.3).</w:t>
            </w:r>
          </w:p>
        </w:tc>
      </w:tr>
      <w:tr>
        <w:tc>
          <w:tcPr>
            <w:tcW w:type="dxa" w:w="2088"/>
            <w:shd w:val="clear" w:color="auto" w:fill="E8EDF5"/>
          </w:tcPr>
          <w:p>
            <w:r/>
            <w:r>
              <w:rPr>
                <w:b/>
                <w:sz w:val="18"/>
              </w:rPr>
              <w:t>Deviation and risk</w:t>
            </w:r>
          </w:p>
        </w:tc>
        <w:tc>
          <w:tcPr>
            <w:tcW w:type="dxa" w:w="7272"/>
          </w:tcPr>
          <w:p>
            <w:r/>
            <w:r>
              <w:rPr>
                <w:sz w:val="18"/>
              </w:rPr>
              <w:t>The Litigation is pending only in the N.D. Ill. The Parties are organized in Delaware (Kerrigan-Holst and Vantage), Ohio (Stonebridge) and Texas (TerraForge), and are headquartered in Illinois, North Carolina, Ohio and Texas. None is domiciled or headquartered in New York. Stonebridge operates a manufacturing facility in New York (Compl. ¶ 13), but that does not satisfy the Playbook's nexus test. A New York choice of law creates a risk of privilege and enforceability analysis that diverges from the law applied by Judge Tanaka (§ 7 rationale), and it pairs with the New York arbitration clause (Issue 15).</w:t>
            </w:r>
          </w:p>
        </w:tc>
      </w:tr>
      <w:tr>
        <w:tc>
          <w:tcPr>
            <w:tcW w:type="dxa" w:w="2088"/>
            <w:shd w:val="clear" w:color="auto" w:fill="E8EDF5"/>
          </w:tcPr>
          <w:p>
            <w:r/>
            <w:r>
              <w:rPr>
                <w:b/>
                <w:sz w:val="18"/>
              </w:rPr>
              <w:t>Recommended position / redline</w:t>
            </w:r>
          </w:p>
        </w:tc>
        <w:tc>
          <w:tcPr>
            <w:tcW w:type="dxa" w:w="7272"/>
          </w:tcPr>
          <w:p>
            <w:r/>
            <w:r>
              <w:rPr>
                <w:sz w:val="18"/>
              </w:rPr>
              <w:t>Illinois law, expressly including Illinois rules on privilege, contract interpretation and JDA enforceability, without regard to conflicts principles. Add a proviso that privilege questions arising in this federal-question case are governed by federal law (Fed. R. Evid. 501, 502).</w:t>
            </w:r>
          </w:p>
        </w:tc>
      </w:tr>
      <w:tr>
        <w:tc>
          <w:tcPr>
            <w:tcW w:type="dxa" w:w="2088"/>
            <w:shd w:val="clear" w:color="auto" w:fill="E8EDF5"/>
          </w:tcPr>
          <w:p>
            <w:r/>
            <w:r>
              <w:rPr>
                <w:b/>
                <w:sz w:val="18"/>
              </w:rPr>
              <w:t>Fallback and negotiation</w:t>
            </w:r>
          </w:p>
        </w:tc>
        <w:tc>
          <w:tcPr>
            <w:tcW w:type="dxa" w:w="7272"/>
          </w:tcPr>
          <w:p>
            <w:r/>
            <w:r>
              <w:rPr>
                <w:sz w:val="18"/>
              </w:rPr>
              <w:t>Only the law of the lead-case forum (§ 7.2), which here is still Illinois. Ask Pryor for the rationale behind choosing New York. Kerrigan-Holst is a Chicago company represented by Chicago counsel.</w:t>
            </w:r>
          </w:p>
        </w:tc>
      </w:tr>
      <w:tr>
        <w:tc>
          <w:tcPr>
            <w:tcW w:type="dxa" w:w="2088"/>
            <w:shd w:val="clear" w:color="auto" w:fill="E8EDF5"/>
          </w:tcPr>
          <w:p>
            <w:r/>
            <w:r>
              <w:rPr>
                <w:b/>
                <w:sz w:val="18"/>
              </w:rPr>
              <w:t>Strategic notes / deadlines</w:t>
            </w:r>
          </w:p>
        </w:tc>
        <w:tc>
          <w:tcPr>
            <w:tcW w:type="dxa" w:w="7272"/>
          </w:tcPr>
          <w:p>
            <w:r/>
            <w:r>
              <w:rPr>
                <w:sz w:val="18"/>
              </w:rPr>
              <w:t>Never-accept. This should be easy to win.</w:t>
            </w:r>
          </w:p>
        </w:tc>
      </w:tr>
    </w:tbl>
    <w:p>
      <w:pPr>
        <w:spacing w:after="40"/>
      </w:pPr>
    </w:p>
    <w:p>
      <w:pPr>
        <w:pStyle w:val="Heading2"/>
      </w:pPr>
      <w:r>
        <w:t>§ 8 Inadvertent Disclosure / Clawback</w:t>
      </w:r>
    </w:p>
    <w:p>
      <w:pPr>
        <w:pStyle w:val="Heading3"/>
      </w:pPr>
      <w:r>
        <w:t>Issue 10 — No clawback or Rule 502(d) mechanism ((absent); new § 3.6) — Risk: Critical</w:t>
      </w:r>
    </w:p>
    <w:tbl>
      <w:tblPr>
        <w:tblStyle w:val="TableGrid"/>
        <w:tblW w:type="auto" w:w="0"/>
        <w:tblLook w:firstColumn="1" w:firstRow="1" w:lastColumn="0" w:lastRow="0" w:noHBand="0" w:noVBand="1" w:val="04A0"/>
      </w:tblPr>
      <w:tblGrid>
        <w:gridCol w:w="4680"/>
        <w:gridCol w:w="4680"/>
      </w:tblGrid>
      <w:tr>
        <w:tc>
          <w:tcPr>
            <w:tcW w:type="dxa" w:w="2088"/>
            <w:shd w:val="clear" w:color="auto" w:fill="E8EDF5"/>
          </w:tcPr>
          <w:p>
            <w:r/>
            <w:r>
              <w:rPr>
                <w:b/>
                <w:sz w:val="18"/>
              </w:rPr>
              <w:t>Draft provision</w:t>
            </w:r>
          </w:p>
        </w:tc>
        <w:tc>
          <w:tcPr>
            <w:tcW w:type="dxa" w:w="7272"/>
          </w:tcPr>
          <w:p>
            <w:r/>
            <w:r>
              <w:rPr>
                <w:sz w:val="18"/>
              </w:rPr>
              <w:t>None. Article III addresses privilege, marking, use, subpoenas and work product, but the draft is silent on inadvertent disclosure.</w:t>
            </w:r>
          </w:p>
        </w:tc>
      </w:tr>
      <w:tr>
        <w:tc>
          <w:tcPr>
            <w:tcW w:type="dxa" w:w="2088"/>
            <w:shd w:val="clear" w:color="auto" w:fill="E8EDF5"/>
          </w:tcPr>
          <w:p>
            <w:r/>
            <w:r>
              <w:rPr>
                <w:b/>
                <w:sz w:val="18"/>
              </w:rPr>
              <w:t>Playbook standard (Required / Prohibited (§ 8.3))</w:t>
            </w:r>
          </w:p>
        </w:tc>
        <w:tc>
          <w:tcPr>
            <w:tcW w:type="dxa" w:w="7272"/>
          </w:tcPr>
          <w:p>
            <w:r/>
            <w:r>
              <w:rPr>
                <w:sz w:val="18"/>
              </w:rPr>
              <w:t>The JDA must provide either (a) a joint request for a Rule 502(d) order (preferred) or (b) a contractual clawback containing four elements: prompt notice, a return/sequester/destroy request to the recipient, cooperation in seeking judicial relief, and no use against the disclosing member (§ 8.1). The clawback must cover disclosures by any member (§ 8.2). Omitting it is never-accept (§ 8.3).</w:t>
            </w:r>
          </w:p>
        </w:tc>
      </w:tr>
      <w:tr>
        <w:tc>
          <w:tcPr>
            <w:tcW w:type="dxa" w:w="2088"/>
            <w:shd w:val="clear" w:color="auto" w:fill="E8EDF5"/>
          </w:tcPr>
          <w:p>
            <w:r/>
            <w:r>
              <w:rPr>
                <w:b/>
                <w:sz w:val="18"/>
              </w:rPr>
              <w:t>Deviation and risk</w:t>
            </w:r>
          </w:p>
        </w:tc>
        <w:tc>
          <w:tcPr>
            <w:tcW w:type="dxa" w:w="7272"/>
          </w:tcPr>
          <w:p>
            <w:r/>
            <w:r>
              <w:rPr>
                <w:sz w:val="18"/>
              </w:rPr>
              <w:t>A single inadvertent production of shared privileged material could trigger cascading subject-matter waiver across all four defendants (§ 8 rationale). The risk is imminent. Draft § 4.1 contemplates heavy exchanges before the July 2025 initial production deadline, and large productions to a certified class are about to begin.</w:t>
            </w:r>
          </w:p>
        </w:tc>
      </w:tr>
      <w:tr>
        <w:tc>
          <w:tcPr>
            <w:tcW w:type="dxa" w:w="2088"/>
            <w:shd w:val="clear" w:color="auto" w:fill="E8EDF5"/>
          </w:tcPr>
          <w:p>
            <w:r/>
            <w:r>
              <w:rPr>
                <w:b/>
                <w:sz w:val="18"/>
              </w:rPr>
              <w:t>Recommended position / redline</w:t>
            </w:r>
          </w:p>
        </w:tc>
        <w:tc>
          <w:tcPr>
            <w:tcW w:type="dxa" w:w="7272"/>
          </w:tcPr>
          <w:p>
            <w:r/>
            <w:r>
              <w:rPr>
                <w:sz w:val="18"/>
              </w:rPr>
              <w:t>New § 3.6: (a) a joint Rule 502(d) motion within 15 business days after the Effective Date and in any event before the initial production deadline; (b) an independent contractual clawback containing all four § 8.1(b) elements, applicable to disclosures by any Party.</w:t>
            </w:r>
          </w:p>
        </w:tc>
      </w:tr>
      <w:tr>
        <w:tc>
          <w:tcPr>
            <w:tcW w:type="dxa" w:w="2088"/>
            <w:shd w:val="clear" w:color="auto" w:fill="E8EDF5"/>
          </w:tcPr>
          <w:p>
            <w:r/>
            <w:r>
              <w:rPr>
                <w:b/>
                <w:sz w:val="18"/>
              </w:rPr>
              <w:t>Fallback and negotiation</w:t>
            </w:r>
          </w:p>
        </w:tc>
        <w:tc>
          <w:tcPr>
            <w:tcW w:type="dxa" w:w="7272"/>
          </w:tcPr>
          <w:p>
            <w:r/>
            <w:r>
              <w:rPr>
                <w:sz w:val="18"/>
              </w:rPr>
              <w:t>If Judge Tanaka declines to enter the order, the contractual clawback is the minimum (§ 8.2). The order could also be folded into the case's protective order or ESI order.</w:t>
            </w:r>
          </w:p>
        </w:tc>
      </w:tr>
      <w:tr>
        <w:tc>
          <w:tcPr>
            <w:tcW w:type="dxa" w:w="2088"/>
            <w:shd w:val="clear" w:color="auto" w:fill="E8EDF5"/>
          </w:tcPr>
          <w:p>
            <w:r/>
            <w:r>
              <w:rPr>
                <w:b/>
                <w:sz w:val="18"/>
              </w:rPr>
              <w:t>Strategic notes / deadlines</w:t>
            </w:r>
          </w:p>
        </w:tc>
        <w:tc>
          <w:tcPr>
            <w:tcW w:type="dxa" w:w="7272"/>
          </w:tcPr>
          <w:p>
            <w:r/>
            <w:r>
              <w:rPr>
                <w:sz w:val="18"/>
              </w:rPr>
              <w:t>July 2025 production deadline. Begin drafting the joint 502(d) motion now so that it can be filed promptly after execution. This protects every defendant and should not be controversial.</w:t>
            </w:r>
          </w:p>
        </w:tc>
      </w:tr>
    </w:tbl>
    <w:p>
      <w:pPr>
        <w:spacing w:after="40"/>
      </w:pPr>
    </w:p>
    <w:p>
      <w:pPr>
        <w:pStyle w:val="Heading2"/>
      </w:pPr>
      <w:r>
        <w:t>§ 9 Government-Investigation Carve-Out</w:t>
      </w:r>
    </w:p>
    <w:p>
      <w:pPr>
        <w:pStyle w:val="Heading3"/>
      </w:pPr>
      <w:r>
        <w:t>Issue 11 — No government-investigation carve-out; unrestricted sharing obligation (§§ 1.6, 2.1, 4.1, 9.2; new §§ 1.9, 4.5) — Risk: Critical</w:t>
      </w:r>
    </w:p>
    <w:tbl>
      <w:tblPr>
        <w:tblStyle w:val="TableGrid"/>
        <w:tblW w:type="auto" w:w="0"/>
        <w:tblLook w:firstColumn="1" w:firstRow="1" w:lastColumn="0" w:lastRow="0" w:noHBand="0" w:noVBand="1" w:val="04A0"/>
      </w:tblPr>
      <w:tblGrid>
        <w:gridCol w:w="4680"/>
        <w:gridCol w:w="4680"/>
      </w:tblGrid>
      <w:tr>
        <w:tc>
          <w:tcPr>
            <w:tcW w:type="dxa" w:w="2088"/>
            <w:shd w:val="clear" w:color="auto" w:fill="E8EDF5"/>
          </w:tcPr>
          <w:p>
            <w:r/>
            <w:r>
              <w:rPr>
                <w:b/>
                <w:sz w:val="18"/>
              </w:rPr>
              <w:t>Draft provision</w:t>
            </w:r>
          </w:p>
        </w:tc>
        <w:tc>
          <w:tcPr>
            <w:tcW w:type="dxa" w:w="7272"/>
          </w:tcPr>
          <w:p>
            <w:r/>
            <w:r>
              <w:rPr>
                <w:sz w:val="18"/>
              </w:rPr>
              <w:t>The scope expressly extends to any "Related Proceeding," defined as any government investigation, including by the DOJ Antitrust Division or state attorneys general (§§ 1.6, 2.1). Section 4.1 requires each Party to share "all non-work-product materials relevant to the Common Defense" within 10 business days of a committee request. There is no carve-out for materials responsive to a separate government investigation. Pryor's email highlights the government-investigation breadth.</w:t>
            </w:r>
          </w:p>
        </w:tc>
      </w:tr>
      <w:tr>
        <w:tc>
          <w:tcPr>
            <w:tcW w:type="dxa" w:w="2088"/>
            <w:shd w:val="clear" w:color="auto" w:fill="E8EDF5"/>
          </w:tcPr>
          <w:p>
            <w:r/>
            <w:r>
              <w:rPr>
                <w:b/>
                <w:sz w:val="18"/>
              </w:rPr>
              <w:t>Playbook standard (Required / Prohibited (§ 9.3))</w:t>
            </w:r>
          </w:p>
        </w:tc>
        <w:tc>
          <w:tcPr>
            <w:tcW w:type="dxa" w:w="7272"/>
          </w:tcPr>
          <w:p>
            <w:r/>
            <w:r>
              <w:rPr>
                <w:sz w:val="18"/>
              </w:rPr>
              <w:t>The JDA must expressly let a Party withhold materials responsive to a separate government investigation, covering criminal, CID, regulatory and enforcement matters, without breach or penalty. The Party must have no obligation to disclose that the investigation exists (§ 9.1(a)–(c)). Minimum fallback: notice to the committee stating "regulatory sensitivity" without identifying the investigation (§ 9.2). Silence, and "complete" or unrestricted sharing of "all materials relevant to the defense," are never-accept (§ 9.3).</w:t>
            </w:r>
          </w:p>
        </w:tc>
      </w:tr>
      <w:tr>
        <w:tc>
          <w:tcPr>
            <w:tcW w:type="dxa" w:w="2088"/>
            <w:shd w:val="clear" w:color="auto" w:fill="E8EDF5"/>
          </w:tcPr>
          <w:p>
            <w:r/>
            <w:r>
              <w:rPr>
                <w:b/>
                <w:sz w:val="18"/>
              </w:rPr>
              <w:t>Deviation and risk</w:t>
            </w:r>
          </w:p>
        </w:tc>
        <w:tc>
          <w:tcPr>
            <w:tcW w:type="dxa" w:w="7272"/>
          </w:tcPr>
          <w:p>
            <w:r/>
            <w:r>
              <w:rPr>
                <w:sz w:val="18"/>
              </w:rPr>
              <w:t>The draft is silent and requires sharing of "all" relevant materials, matching two never-accept formulations. The complaint alleges bid rigging on Department of Defense, GSA and transportation-funded procurements (Compl. ¶ 29) and per se price fixing. That conduct profile is typically investigated criminally by the Antitrust Division. We have no information that any investigation is pending, but the JDA must preserve Vantage's options. As drafted, Vantage could be required to share materials subject to grand jury secrecy (Fed. R. Crim. P. 6(e)) or to a cooperation or proffer arrangement. Combined with § 9.2, Vantage would also have to give co-defendants 45 days' notice of, and disclose the cooperation terms of, any resolution with DOJ. That would destroy the value of any leniency or cooperation path, including the ACPERA de-trebling benefit for qualifying leniency applicants who cooperate with civil plaintiffs.</w:t>
            </w:r>
          </w:p>
        </w:tc>
      </w:tr>
      <w:tr>
        <w:tc>
          <w:tcPr>
            <w:tcW w:type="dxa" w:w="2088"/>
            <w:shd w:val="clear" w:color="auto" w:fill="E8EDF5"/>
          </w:tcPr>
          <w:p>
            <w:r/>
            <w:r>
              <w:rPr>
                <w:b/>
                <w:sz w:val="18"/>
              </w:rPr>
              <w:t>Recommended position / redline</w:t>
            </w:r>
          </w:p>
        </w:tc>
        <w:tc>
          <w:tcPr>
            <w:tcW w:type="dxa" w:w="7272"/>
          </w:tcPr>
          <w:p>
            <w:r/>
            <w:r>
              <w:rPr>
                <w:sz w:val="18"/>
              </w:rPr>
              <w:t>New § 4.5 implements all § 9.1 elements and the § 9.2 notification language. It also preserves the right to cooperate with, apply to (including for leniency) and resolve matters with government authorities, subject only to not disclosing other Parties' Joint Defense Material (§ 3.4). Conforming changes: § 2.1 (no obligation to coordinate on government matters), § 4.1 (sharing subject to §§ 4.4–4.6), § 6.2(a) and § 6.5(e) (no committee remit over government matters), § 9.2 (government resolutions excluded), and new definition § 1.9.</w:t>
            </w:r>
          </w:p>
        </w:tc>
      </w:tr>
      <w:tr>
        <w:tc>
          <w:tcPr>
            <w:tcW w:type="dxa" w:w="2088"/>
            <w:shd w:val="clear" w:color="auto" w:fill="E8EDF5"/>
          </w:tcPr>
          <w:p>
            <w:r/>
            <w:r>
              <w:rPr>
                <w:b/>
                <w:sz w:val="18"/>
              </w:rPr>
              <w:t>Fallback and negotiation</w:t>
            </w:r>
          </w:p>
        </w:tc>
        <w:tc>
          <w:tcPr>
            <w:tcW w:type="dxa" w:w="7272"/>
          </w:tcPr>
          <w:p>
            <w:r/>
            <w:r>
              <w:rPr>
                <w:sz w:val="18"/>
              </w:rPr>
              <w:t>The § 9.2 notice-only formulation is the floor. Vantage can accept the broad scope Kerrigan-Holst wants (government investigations inside the JDA, which helps privilege protection) as long as the carve-out is included.</w:t>
            </w:r>
          </w:p>
        </w:tc>
      </w:tr>
      <w:tr>
        <w:tc>
          <w:tcPr>
            <w:tcW w:type="dxa" w:w="2088"/>
            <w:shd w:val="clear" w:color="auto" w:fill="E8EDF5"/>
          </w:tcPr>
          <w:p>
            <w:r/>
            <w:r>
              <w:rPr>
                <w:b/>
                <w:sz w:val="18"/>
              </w:rPr>
              <w:t>Strategic notes / deadlines</w:t>
            </w:r>
          </w:p>
        </w:tc>
        <w:tc>
          <w:tcPr>
            <w:tcW w:type="dxa" w:w="7272"/>
          </w:tcPr>
          <w:p>
            <w:r/>
            <w:r>
              <w:rPr>
                <w:sz w:val="18"/>
              </w:rPr>
              <w:t>This is the highest-consequence item in the draft. Do not explain internally or externally why Vantage needs it. Present it as a standard, mutual term that protects every defendant facing parallel proceedings.</w:t>
            </w:r>
          </w:p>
        </w:tc>
      </w:tr>
    </w:tbl>
    <w:p>
      <w:pPr>
        <w:spacing w:after="40"/>
      </w:pPr>
    </w:p>
    <w:p>
      <w:pPr>
        <w:pStyle w:val="Heading2"/>
      </w:pPr>
      <w:r>
        <w:t>§ 10 Cost Sharing</w:t>
      </w:r>
    </w:p>
    <w:p>
      <w:pPr>
        <w:pStyle w:val="Heading3"/>
      </w:pPr>
      <w:r>
        <w:t>Issue 12 — Fixed 50% / 16.67% allocation (§ 5.1) — Risk: Medium</w:t>
      </w:r>
    </w:p>
    <w:tbl>
      <w:tblPr>
        <w:tblStyle w:val="TableGrid"/>
        <w:tblW w:type="auto" w:w="0"/>
        <w:tblLook w:firstColumn="1" w:firstRow="1" w:lastColumn="0" w:lastRow="0" w:noHBand="0" w:noVBand="1" w:val="04A0"/>
      </w:tblPr>
      <w:tblGrid>
        <w:gridCol w:w="4680"/>
        <w:gridCol w:w="4680"/>
      </w:tblGrid>
      <w:tr>
        <w:tc>
          <w:tcPr>
            <w:tcW w:type="dxa" w:w="2088"/>
            <w:shd w:val="clear" w:color="auto" w:fill="E8EDF5"/>
          </w:tcPr>
          <w:p>
            <w:r/>
            <w:r>
              <w:rPr>
                <w:b/>
                <w:sz w:val="18"/>
              </w:rPr>
              <w:t>Draft provision</w:t>
            </w:r>
          </w:p>
        </w:tc>
        <w:tc>
          <w:tcPr>
            <w:tcW w:type="dxa" w:w="7272"/>
          </w:tcPr>
          <w:p>
            <w:r/>
            <w:r>
              <w:rPr>
                <w:sz w:val="18"/>
              </w:rPr>
              <w:t>Kerrigan-Holst bears 50% of Joint Defense Costs. Vantage, Stonebridge and TerraForge each bear one-third of the remaining 50% (about 16.67%). The split is said to reflect "the relative benefit received by each Party ... and the relative size and scope of the Claims asserted against each Party."</w:t>
            </w:r>
          </w:p>
        </w:tc>
      </w:tr>
      <w:tr>
        <w:tc>
          <w:tcPr>
            <w:tcW w:type="dxa" w:w="2088"/>
            <w:shd w:val="clear" w:color="auto" w:fill="E8EDF5"/>
          </w:tcPr>
          <w:p>
            <w:r/>
            <w:r>
              <w:rPr>
                <w:b/>
                <w:sz w:val="18"/>
              </w:rPr>
              <w:t>Playbook standard (Preferred (disfavored, § 10.3))</w:t>
            </w:r>
          </w:p>
        </w:tc>
        <w:tc>
          <w:tcPr>
            <w:tcW w:type="dxa" w:w="7272"/>
          </w:tcPr>
          <w:p>
            <w:r/>
            <w:r>
              <w:rPr>
                <w:sz w:val="18"/>
              </w:rPr>
              <w:t>Recommended: pro rata by each Party's share of claimed damages, recalculated quarterly (§ 10.1). Fallbacks: equal shares or market-share allocation (§ 10.2). Fixed negotiated percentages not tied to objective criteria are disfavored but not prohibited, and must be noted with an alternative recommended (§ 10.3).</w:t>
            </w:r>
          </w:p>
        </w:tc>
      </w:tr>
      <w:tr>
        <w:tc>
          <w:tcPr>
            <w:tcW w:type="dxa" w:w="2088"/>
            <w:shd w:val="clear" w:color="auto" w:fill="E8EDF5"/>
          </w:tcPr>
          <w:p>
            <w:r/>
            <w:r>
              <w:rPr>
                <w:b/>
                <w:sz w:val="18"/>
              </w:rPr>
              <w:t>Deviation and risk</w:t>
            </w:r>
          </w:p>
        </w:tc>
        <w:tc>
          <w:tcPr>
            <w:tcW w:type="dxa" w:w="7272"/>
          </w:tcPr>
          <w:p>
            <w:r/>
            <w:r>
              <w:rPr>
                <w:sz w:val="18"/>
              </w:rPr>
              <w:t>The split is a negotiated fixed percentage. On the record, however, it is economically favorable to Vantage (see the Appendix B table): 16.67% against about 18.0% normalized market share (11% of the defendants' combined 61%), about 17.7% of Class Period sales ($640M of roughly $3.61B), and 25% equal share. Kerrigan-Holst's claim to bear a "disproportionately large share" is overstated, because 50% is below its objective share of about 57–58%. Stonebridge (about 13.1%) and TerraForge (about 11.5%) are the defendants who overpay under the fixed split, so their interests on this point diverge from Vantage's. The real risk is the explanatory sentence, which is an agreed characterization of relative exposure that could be used in later allocation disputes.</w:t>
            </w:r>
          </w:p>
        </w:tc>
      </w:tr>
      <w:tr>
        <w:tc>
          <w:tcPr>
            <w:tcW w:type="dxa" w:w="2088"/>
            <w:shd w:val="clear" w:color="auto" w:fill="E8EDF5"/>
          </w:tcPr>
          <w:p>
            <w:r/>
            <w:r>
              <w:rPr>
                <w:b/>
                <w:sz w:val="18"/>
              </w:rPr>
              <w:t>Recommended position / redline</w:t>
            </w:r>
          </w:p>
        </w:tc>
        <w:tc>
          <w:tcPr>
            <w:tcW w:type="dxa" w:w="7272"/>
          </w:tcPr>
          <w:p>
            <w:r/>
            <w:r>
              <w:rPr>
                <w:sz w:val="18"/>
              </w:rPr>
              <w:t>The redline follows the Playbook while protecting the economics. It keeps the proposed percentages as an "Interim Period" allocation until Plaintiffs serve a merits damages model, then moves to damages-based pro rata allocation recalculated quarterly, with market share as the fallback. The explanatory sentence is replaced with no-admission language.</w:t>
            </w:r>
          </w:p>
        </w:tc>
      </w:tr>
      <w:tr>
        <w:tc>
          <w:tcPr>
            <w:tcW w:type="dxa" w:w="2088"/>
            <w:shd w:val="clear" w:color="auto" w:fill="E8EDF5"/>
          </w:tcPr>
          <w:p>
            <w:r/>
            <w:r>
              <w:rPr>
                <w:b/>
                <w:sz w:val="18"/>
              </w:rPr>
              <w:t>Fallback and negotiation</w:t>
            </w:r>
          </w:p>
        </w:tc>
        <w:tc>
          <w:tcPr>
            <w:tcW w:type="dxa" w:w="7272"/>
          </w:tcPr>
          <w:p>
            <w:r/>
            <w:r>
              <w:rPr>
                <w:sz w:val="18"/>
              </w:rPr>
              <w:t>GC decision point: we recommend authorizing acceptance of Kerrigan-Holst's fixed split as a documented Preferred departure (§ 2.1(b)) if needed to win governance or settlement points. Accepting it costs Vantage nothing relative to objective measures. Pushing hard for the damages formula could raise Vantage's share by roughly 1–1.4 percentage points, about $10,600–$13,600 per $1 million of joint costs. Do not concede the no-admission replacement or the audit right (Issue 13).</w:t>
            </w:r>
          </w:p>
        </w:tc>
      </w:tr>
      <w:tr>
        <w:tc>
          <w:tcPr>
            <w:tcW w:type="dxa" w:w="2088"/>
            <w:shd w:val="clear" w:color="auto" w:fill="E8EDF5"/>
          </w:tcPr>
          <w:p>
            <w:r/>
            <w:r>
              <w:rPr>
                <w:b/>
                <w:sz w:val="18"/>
              </w:rPr>
              <w:t>Strategic notes / deadlines</w:t>
            </w:r>
          </w:p>
        </w:tc>
        <w:tc>
          <w:tcPr>
            <w:tcW w:type="dxa" w:w="7272"/>
          </w:tcPr>
          <w:p>
            <w:r/>
            <w:r>
              <w:rPr>
                <w:sz w:val="18"/>
              </w:rPr>
              <w:t>Do not let Kerrigan-Holst use its claimed cost "generosity" to justify its permanent committee seat (Issue 14). The two should be decoupled. Inputs must be confirmed against the operative Consolidated Amended Complaint (March 4, 2024), which is not in our file (see Part III.F).</w:t>
            </w:r>
          </w:p>
        </w:tc>
      </w:tr>
    </w:tbl>
    <w:p>
      <w:pPr>
        <w:spacing w:after="40"/>
      </w:pPr>
    </w:p>
    <w:p>
      <w:pPr>
        <w:pStyle w:val="Heading3"/>
      </w:pPr>
      <w:r>
        <w:t>Issue 13 — No audit right; cost-approval controls (§ 5.2; § 5.1 lead-in; new § 5.4) — Risk: Medium</w:t>
      </w:r>
    </w:p>
    <w:tbl>
      <w:tblPr>
        <w:tblStyle w:val="TableGrid"/>
        <w:tblW w:type="auto" w:w="0"/>
        <w:tblLook w:firstColumn="1" w:firstRow="1" w:lastColumn="0" w:lastRow="0" w:noHBand="0" w:noVBand="1" w:val="04A0"/>
      </w:tblPr>
      <w:tblGrid>
        <w:gridCol w:w="4680"/>
        <w:gridCol w:w="4680"/>
      </w:tblGrid>
      <w:tr>
        <w:tc>
          <w:tcPr>
            <w:tcW w:type="dxa" w:w="2088"/>
            <w:shd w:val="clear" w:color="auto" w:fill="E8EDF5"/>
          </w:tcPr>
          <w:p>
            <w:r/>
            <w:r>
              <w:rPr>
                <w:b/>
                <w:sz w:val="18"/>
              </w:rPr>
              <w:t>Draft provision</w:t>
            </w:r>
          </w:p>
        </w:tc>
        <w:tc>
          <w:tcPr>
            <w:tcW w:type="dxa" w:w="7272"/>
          </w:tcPr>
          <w:p>
            <w:r/>
            <w:r>
              <w:rPr>
                <w:sz w:val="18"/>
              </w:rPr>
              <w:t>The committee approves all costs and distributes quarterly invoices, with payment due in 30 days. The committee may also classify "any other costs" as common costs. There is no audit right.</w:t>
            </w:r>
          </w:p>
        </w:tc>
      </w:tr>
      <w:tr>
        <w:tc>
          <w:tcPr>
            <w:tcW w:type="dxa" w:w="2088"/>
            <w:shd w:val="clear" w:color="auto" w:fill="E8EDF5"/>
          </w:tcPr>
          <w:p>
            <w:r/>
            <w:r>
              <w:rPr>
                <w:b/>
                <w:sz w:val="18"/>
              </w:rPr>
              <w:t>Playbook standard (Preferred (§ 10.4))</w:t>
            </w:r>
          </w:p>
        </w:tc>
        <w:tc>
          <w:tcPr>
            <w:tcW w:type="dxa" w:w="7272"/>
          </w:tcPr>
          <w:p>
            <w:r/>
            <w:r>
              <w:rPr>
                <w:sz w:val="18"/>
              </w:rPr>
              <w:t>Any party should have a right to audit joint-defense expenditures on reasonable notice, including invoices, engagement letters and vendor or expert fee arrangements (§ 10.4).</w:t>
            </w:r>
          </w:p>
        </w:tc>
      </w:tr>
      <w:tr>
        <w:tc>
          <w:tcPr>
            <w:tcW w:type="dxa" w:w="2088"/>
            <w:shd w:val="clear" w:color="auto" w:fill="E8EDF5"/>
          </w:tcPr>
          <w:p>
            <w:r/>
            <w:r>
              <w:rPr>
                <w:b/>
                <w:sz w:val="18"/>
              </w:rPr>
              <w:t>Deviation and risk</w:t>
            </w:r>
          </w:p>
        </w:tc>
        <w:tc>
          <w:tcPr>
            <w:tcW w:type="dxa" w:w="7272"/>
          </w:tcPr>
          <w:p>
            <w:r/>
            <w:r>
              <w:rPr>
                <w:sz w:val="18"/>
              </w:rPr>
              <w:t>Under the draft, Vantage would have no initial committee seat, and Kerrigan-Holst's counsel would administer invoices. Vantage could be billed for costs it never approved, with no verification right.</w:t>
            </w:r>
          </w:p>
        </w:tc>
      </w:tr>
      <w:tr>
        <w:tc>
          <w:tcPr>
            <w:tcW w:type="dxa" w:w="2088"/>
            <w:shd w:val="clear" w:color="auto" w:fill="E8EDF5"/>
          </w:tcPr>
          <w:p>
            <w:r/>
            <w:r>
              <w:rPr>
                <w:b/>
                <w:sz w:val="18"/>
              </w:rPr>
              <w:t>Recommended position / redline</w:t>
            </w:r>
          </w:p>
        </w:tc>
        <w:tc>
          <w:tcPr>
            <w:tcW w:type="dxa" w:w="7272"/>
          </w:tcPr>
          <w:p>
            <w:r/>
            <w:r>
              <w:rPr>
                <w:sz w:val="18"/>
              </w:rPr>
              <w:t>New § 5.4 audit right. Unanimous committee approval is required to classify costs as common (§ 5.1). Each Party must approve any cost over a bracketed [$50,000] threshold (§ 5.2), and cost matters require unanimity (§ 6.3(iii)).</w:t>
            </w:r>
          </w:p>
        </w:tc>
      </w:tr>
      <w:tr>
        <w:tc>
          <w:tcPr>
            <w:tcW w:type="dxa" w:w="2088"/>
            <w:shd w:val="clear" w:color="auto" w:fill="E8EDF5"/>
          </w:tcPr>
          <w:p>
            <w:r/>
            <w:r>
              <w:rPr>
                <w:b/>
                <w:sz w:val="18"/>
              </w:rPr>
              <w:t>Fallback and negotiation</w:t>
            </w:r>
          </w:p>
        </w:tc>
        <w:tc>
          <w:tcPr>
            <w:tcW w:type="dxa" w:w="7272"/>
          </w:tcPr>
          <w:p>
            <w:r/>
            <w:r>
              <w:rPr>
                <w:sz w:val="18"/>
              </w:rPr>
              <w:t>The threshold amount is negotiable. The audit right should not be conceded.</w:t>
            </w:r>
          </w:p>
        </w:tc>
      </w:tr>
      <w:tr>
        <w:tc>
          <w:tcPr>
            <w:tcW w:type="dxa" w:w="2088"/>
            <w:shd w:val="clear" w:color="auto" w:fill="E8EDF5"/>
          </w:tcPr>
          <w:p>
            <w:r/>
            <w:r>
              <w:rPr>
                <w:b/>
                <w:sz w:val="18"/>
              </w:rPr>
              <w:t>Strategic notes / deadlines</w:t>
            </w:r>
          </w:p>
        </w:tc>
        <w:tc>
          <w:tcPr>
            <w:tcW w:type="dxa" w:w="7272"/>
          </w:tcPr>
          <w:p>
            <w:r/>
            <w:r>
              <w:rPr>
                <w:sz w:val="18"/>
              </w:rPr>
              <w:t>Kerrigan-Holst should find this low-friction to accept.</w:t>
            </w:r>
          </w:p>
        </w:tc>
      </w:tr>
    </w:tbl>
    <w:p>
      <w:pPr>
        <w:spacing w:after="40"/>
      </w:pPr>
    </w:p>
    <w:p>
      <w:pPr>
        <w:pStyle w:val="Heading2"/>
      </w:pPr>
      <w:r>
        <w:t>§ 11 Steering Committee</w:t>
      </w:r>
    </w:p>
    <w:p>
      <w:pPr>
        <w:pStyle w:val="Heading3"/>
      </w:pPr>
      <w:r>
        <w:t>Issue 14 — Committee composition, voting and authority (§§ 6.1–6.3; new § 6.5) — Risk: High</w:t>
      </w:r>
    </w:p>
    <w:tbl>
      <w:tblPr>
        <w:tblStyle w:val="TableGrid"/>
        <w:tblW w:type="auto" w:w="0"/>
        <w:tblLook w:firstColumn="1" w:firstRow="1" w:lastColumn="0" w:lastRow="0" w:noHBand="0" w:noVBand="1" w:val="04A0"/>
      </w:tblPr>
      <w:tblGrid>
        <w:gridCol w:w="4680"/>
        <w:gridCol w:w="4680"/>
      </w:tblGrid>
      <w:tr>
        <w:tc>
          <w:tcPr>
            <w:tcW w:type="dxa" w:w="2088"/>
            <w:shd w:val="clear" w:color="auto" w:fill="E8EDF5"/>
          </w:tcPr>
          <w:p>
            <w:r/>
            <w:r>
              <w:rPr>
                <w:b/>
                <w:sz w:val="18"/>
              </w:rPr>
              <w:t>Draft provision</w:t>
            </w:r>
          </w:p>
        </w:tc>
        <w:tc>
          <w:tcPr>
            <w:tcW w:type="dxa" w:w="7272"/>
          </w:tcPr>
          <w:p>
            <w:r/>
            <w:r>
              <w:rPr>
                <w:sz w:val="18"/>
              </w:rPr>
              <w:t>The committee has three seats: (a) a permanent seat for Pryor Whitfield (Kerrigan-Holst); (b) one seat rotating quarterly among the other three defendants, with Vantage last (Stonebridge, then TerraForge, then Vantage), so Vantage first sits in about the third quarter; and (c) one seat elected by majority vote for six-month terms, with no bar on a Kerrigan-Holst-aligned designee. Decisions are by majority, with unanimity only for jointly funded experts and joint positions. Deadlocks go to a majority vote of the Parties. The committee's authority includes coordinating "unified positions," directing information exchange, approving costs, acting as the primary point of contact with the Court, and "such other actions" as are necessary.</w:t>
            </w:r>
          </w:p>
        </w:tc>
      </w:tr>
      <w:tr>
        <w:tc>
          <w:tcPr>
            <w:tcW w:type="dxa" w:w="2088"/>
            <w:shd w:val="clear" w:color="auto" w:fill="E8EDF5"/>
          </w:tcPr>
          <w:p>
            <w:r/>
            <w:r>
              <w:rPr>
                <w:b/>
                <w:sz w:val="18"/>
              </w:rPr>
              <w:t>Playbook standard (Preferred (disfavored structures, § 11.3))</w:t>
            </w:r>
          </w:p>
        </w:tc>
        <w:tc>
          <w:tcPr>
            <w:tcW w:type="dxa" w:w="7272"/>
          </w:tcPr>
          <w:p>
            <w:r/>
            <w:r>
              <w:rPr>
                <w:sz w:val="18"/>
              </w:rPr>
              <w:t>Equal representation: one seat and an equal vote per signatory (§ 11.1). A smaller committee is acceptable only with rotation of all seats (no permanent seat, no consecutive terms) plus observer rights, advance agenda notice and a right to comment (§ 11.2). Disfavored: permanent seats (especially for the drafter), structural majorities, partial representation without rotation, binding authority over non-members, and power to amend or waive (§ 11.3).</w:t>
            </w:r>
          </w:p>
        </w:tc>
      </w:tr>
      <w:tr>
        <w:tc>
          <w:tcPr>
            <w:tcW w:type="dxa" w:w="2088"/>
            <w:shd w:val="clear" w:color="auto" w:fill="E8EDF5"/>
          </w:tcPr>
          <w:p>
            <w:r/>
            <w:r>
              <w:rPr>
                <w:b/>
                <w:sz w:val="18"/>
              </w:rPr>
              <w:t>Deviation and risk</w:t>
            </w:r>
          </w:p>
        </w:tc>
        <w:tc>
          <w:tcPr>
            <w:tcW w:type="dxa" w:w="7272"/>
          </w:tcPr>
          <w:p>
            <w:r/>
            <w:r>
              <w:rPr>
                <w:sz w:val="18"/>
              </w:rPr>
              <w:t>The draft hits nearly every disfavored structure. Kerrigan-Holst holds the only permanent seat and can reach a working majority with the elected seat, which can control information demands (§ 4.1), cost approvals (§ 5.2) and meeting agendas, while Vantage is absent for most of the first year. There are no observer rights. With only four signatories, equal representation is entirely practical, so there is no reason for a smaller committee.</w:t>
            </w:r>
          </w:p>
        </w:tc>
      </w:tr>
      <w:tr>
        <w:tc>
          <w:tcPr>
            <w:tcW w:type="dxa" w:w="2088"/>
            <w:shd w:val="clear" w:color="auto" w:fill="E8EDF5"/>
          </w:tcPr>
          <w:p>
            <w:r/>
            <w:r>
              <w:rPr>
                <w:b/>
                <w:sz w:val="18"/>
              </w:rPr>
              <w:t>Recommended position / redline</w:t>
            </w:r>
          </w:p>
        </w:tc>
        <w:tc>
          <w:tcPr>
            <w:tcW w:type="dxa" w:w="7272"/>
          </w:tcPr>
          <w:p>
            <w:r/>
            <w:r>
              <w:rPr>
                <w:sz w:val="18"/>
              </w:rPr>
              <w:t>Four seats, one per Party, with equal votes and no permanent or extra seats (§ 6.1). Decisions require 3 of 4, with unanimity for experts, joint positions and costs. Where the required vote is not reached, no joint action is taken (§ 6.3). The committee proposes rather than binds positions, and joint filings are made only for consenting Parties (§ 6.2(a), (f)). New § 6.5 limits authority: no binding of non-consenting Parties, no override of § 4.4 or § 4.5 rights, no amendment or waiver, and no role in government matters.</w:t>
            </w:r>
          </w:p>
        </w:tc>
      </w:tr>
      <w:tr>
        <w:tc>
          <w:tcPr>
            <w:tcW w:type="dxa" w:w="2088"/>
            <w:shd w:val="clear" w:color="auto" w:fill="E8EDF5"/>
          </w:tcPr>
          <w:p>
            <w:r/>
            <w:r>
              <w:rPr>
                <w:b/>
                <w:sz w:val="18"/>
              </w:rPr>
              <w:t>Fallback and negotiation</w:t>
            </w:r>
          </w:p>
        </w:tc>
        <w:tc>
          <w:tcPr>
            <w:tcW w:type="dxa" w:w="7272"/>
          </w:tcPr>
          <w:p>
            <w:r/>
            <w:r>
              <w:rPr>
                <w:sz w:val="18"/>
              </w:rPr>
              <w:t>If Kerrigan-Holst insists on a three-seat committee: all seats rotate (including Kerrigan-Holst's), Vantage is not last, every non-member has observer rights with advance agenda and a right to comment before votes, and the § 6.5 limits remain (§ 11.2).</w:t>
            </w:r>
          </w:p>
        </w:tc>
      </w:tr>
      <w:tr>
        <w:tc>
          <w:tcPr>
            <w:tcW w:type="dxa" w:w="2088"/>
            <w:shd w:val="clear" w:color="auto" w:fill="E8EDF5"/>
          </w:tcPr>
          <w:p>
            <w:r/>
            <w:r>
              <w:rPr>
                <w:b/>
                <w:sz w:val="18"/>
              </w:rPr>
              <w:t>Strategic notes / deadlines</w:t>
            </w:r>
          </w:p>
        </w:tc>
        <w:tc>
          <w:tcPr>
            <w:tcW w:type="dxa" w:w="7272"/>
          </w:tcPr>
          <w:p>
            <w:r/>
            <w:r>
              <w:rPr>
                <w:sz w:val="18"/>
              </w:rPr>
              <w:t>Stonebridge and TerraForge share this interest; a coordinated position with them would be persuasive. This is the best trade for any cost-allocation concession (Issue 12).</w:t>
            </w:r>
          </w:p>
        </w:tc>
      </w:tr>
    </w:tbl>
    <w:p>
      <w:pPr>
        <w:spacing w:after="40"/>
      </w:pPr>
    </w:p>
    <w:p>
      <w:pPr>
        <w:pStyle w:val="Heading2"/>
      </w:pPr>
      <w:r>
        <w:t>§ 12 Dispute Resolution</w:t>
      </w:r>
    </w:p>
    <w:p>
      <w:pPr>
        <w:pStyle w:val="Heading3"/>
      </w:pPr>
      <w:r>
        <w:t>Issue 15 — Binding JAMS arbitration in New York (§ 12.4; § 12.9) — Risk: High</w:t>
      </w:r>
    </w:p>
    <w:tbl>
      <w:tblPr>
        <w:tblStyle w:val="TableGrid"/>
        <w:tblW w:type="auto" w:w="0"/>
        <w:tblLook w:firstColumn="1" w:firstRow="1" w:lastColumn="0" w:lastRow="0" w:noHBand="0" w:noVBand="1" w:val="04A0"/>
      </w:tblPr>
      <w:tblGrid>
        <w:gridCol w:w="4680"/>
        <w:gridCol w:w="4680"/>
      </w:tblGrid>
      <w:tr>
        <w:tc>
          <w:tcPr>
            <w:tcW w:type="dxa" w:w="2088"/>
            <w:shd w:val="clear" w:color="auto" w:fill="E8EDF5"/>
          </w:tcPr>
          <w:p>
            <w:r/>
            <w:r>
              <w:rPr>
                <w:b/>
                <w:sz w:val="18"/>
              </w:rPr>
              <w:t>Draft provision</w:t>
            </w:r>
          </w:p>
        </w:tc>
        <w:tc>
          <w:tcPr>
            <w:tcW w:type="dxa" w:w="7272"/>
          </w:tcPr>
          <w:p>
            <w:r/>
            <w:r>
              <w:rPr>
                <w:sz w:val="18"/>
              </w:rPr>
              <w:t>All disputes go to binding arbitration administered by JAMS in New York before a single arbitrator, with no mediation step. The award is final, with judgment entry in any court, and each Party bears its own fees. Section 12.9 refers to an "arbitrator."</w:t>
            </w:r>
          </w:p>
        </w:tc>
      </w:tr>
      <w:tr>
        <w:tc>
          <w:tcPr>
            <w:tcW w:type="dxa" w:w="2088"/>
            <w:shd w:val="clear" w:color="auto" w:fill="E8EDF5"/>
          </w:tcPr>
          <w:p>
            <w:r/>
            <w:r>
              <w:rPr>
                <w:b/>
                <w:sz w:val="18"/>
              </w:rPr>
              <w:t>Playbook standard (Preferred (disfavored, § 12.3))</w:t>
            </w:r>
          </w:p>
        </w:tc>
        <w:tc>
          <w:tcPr>
            <w:tcW w:type="dxa" w:w="7272"/>
          </w:tcPr>
          <w:p>
            <w:r/>
            <w:r>
              <w:rPr>
                <w:sz w:val="18"/>
              </w:rPr>
              <w:t>Mandatory mediation in the forum city within 30 days, then litigation in the forum court. The Application Note specifies the N.D. Ill. (§ 12.1). Fallbacks: arbitration (AAA or JAMS, single arbitrator, forum city) after mediation, or non-binding arbitration followed by de novo litigation (§ 12.2). Disfavored: binding arbitration without mediation, a venue unrelated to the forum, limits on provisional relief (§ 12.3).</w:t>
            </w:r>
          </w:p>
        </w:tc>
      </w:tr>
      <w:tr>
        <w:tc>
          <w:tcPr>
            <w:tcW w:type="dxa" w:w="2088"/>
            <w:shd w:val="clear" w:color="auto" w:fill="E8EDF5"/>
          </w:tcPr>
          <w:p>
            <w:r/>
            <w:r>
              <w:rPr>
                <w:b/>
                <w:sz w:val="18"/>
              </w:rPr>
              <w:t>Deviation and risk</w:t>
            </w:r>
          </w:p>
        </w:tc>
        <w:tc>
          <w:tcPr>
            <w:tcW w:type="dxa" w:w="7272"/>
          </w:tcPr>
          <w:p>
            <w:r/>
            <w:r>
              <w:rPr>
                <w:sz w:val="18"/>
              </w:rPr>
              <w:t>The clause contains two disfavored elements: no mediation step, and a New York venue unrelated to Chicago. JDA disputes are likely to involve privilege and protective-order questions that Judge Tanaka is best placed to decide. Arbitration also removes appellate review. The clause is silent on emergency relief, which creates uncertainty about whether a Party can seek emergency relief to stop a disclosure.</w:t>
            </w:r>
          </w:p>
        </w:tc>
      </w:tr>
      <w:tr>
        <w:tc>
          <w:tcPr>
            <w:tcW w:type="dxa" w:w="2088"/>
            <w:shd w:val="clear" w:color="auto" w:fill="E8EDF5"/>
          </w:tcPr>
          <w:p>
            <w:r/>
            <w:r>
              <w:rPr>
                <w:b/>
                <w:sz w:val="18"/>
              </w:rPr>
              <w:t>Recommended position / redline</w:t>
            </w:r>
          </w:p>
        </w:tc>
        <w:tc>
          <w:tcPr>
            <w:tcW w:type="dxa" w:w="7272"/>
          </w:tcPr>
          <w:p>
            <w:r/>
            <w:r>
              <w:rPr>
                <w:sz w:val="18"/>
              </w:rPr>
              <w:t>Mediation in Chicago, completed within 30 days. Then the N.D. Ill. (intended to be the court presiding over the Litigation), with Cook County as a backstop if the federal court lacks or declines jurisdiction over a contract dispute. Either step can be started without consent, and provisional relief is expressly preserved. Section 12.9 is conformed.</w:t>
            </w:r>
          </w:p>
        </w:tc>
      </w:tr>
      <w:tr>
        <w:tc>
          <w:tcPr>
            <w:tcW w:type="dxa" w:w="2088"/>
            <w:shd w:val="clear" w:color="auto" w:fill="E8EDF5"/>
          </w:tcPr>
          <w:p>
            <w:r/>
            <w:r>
              <w:rPr>
                <w:b/>
                <w:sz w:val="18"/>
              </w:rPr>
              <w:t>Fallback and negotiation</w:t>
            </w:r>
          </w:p>
        </w:tc>
        <w:tc>
          <w:tcPr>
            <w:tcW w:type="dxa" w:w="7272"/>
          </w:tcPr>
          <w:p>
            <w:r/>
            <w:r>
              <w:rPr>
                <w:sz w:val="18"/>
              </w:rPr>
              <w:t>§ 12.2(a): JAMS or AAA arbitration in Chicago before a single arbitrator experienced in complex commercial or antitrust matters, after mediation, with provisional relief preserved. Or § 12.2(b): non-binding arbitration followed by de novo litigation in the N.D. Ill.</w:t>
            </w:r>
          </w:p>
        </w:tc>
      </w:tr>
      <w:tr>
        <w:tc>
          <w:tcPr>
            <w:tcW w:type="dxa" w:w="2088"/>
            <w:shd w:val="clear" w:color="auto" w:fill="E8EDF5"/>
          </w:tcPr>
          <w:p>
            <w:r/>
            <w:r>
              <w:rPr>
                <w:b/>
                <w:sz w:val="18"/>
              </w:rPr>
              <w:t>Strategic notes / deadlines</w:t>
            </w:r>
          </w:p>
        </w:tc>
        <w:tc>
          <w:tcPr>
            <w:tcW w:type="dxa" w:w="7272"/>
          </w:tcPr>
          <w:p>
            <w:r/>
            <w:r>
              <w:rPr>
                <w:sz w:val="18"/>
              </w:rPr>
              <w:t>Federal subject-matter jurisdiction over a JDA contract dispute is not assured (diversity among LLC members is unknown, and supplemental or ancillary jurisdiction is arguable). Hence the state-court backstop.</w:t>
            </w:r>
          </w:p>
        </w:tc>
      </w:tr>
    </w:tbl>
    <w:p>
      <w:pPr>
        <w:spacing w:after="40"/>
      </w:pPr>
    </w:p>
    <w:p>
      <w:pPr>
        <w:pStyle w:val="Heading2"/>
      </w:pPr>
      <w:r>
        <w:t>§ 13 Post-Settlement Cooperation</w:t>
      </w:r>
    </w:p>
    <w:p>
      <w:pPr>
        <w:pStyle w:val="Heading3"/>
      </w:pPr>
      <w:r>
        <w:t>Issue 16 — Witness and document availability after settlement (Art. X (§§ 10.1–10.3)) — Risk: Medium</w:t>
      </w:r>
    </w:p>
    <w:tbl>
      <w:tblPr>
        <w:tblStyle w:val="TableGrid"/>
        <w:tblW w:type="auto" w:w="0"/>
        <w:tblLook w:firstColumn="1" w:firstRow="1" w:lastColumn="0" w:lastRow="0" w:noHBand="0" w:noVBand="1" w:val="04A0"/>
      </w:tblPr>
      <w:tblGrid>
        <w:gridCol w:w="4680"/>
        <w:gridCol w:w="4680"/>
      </w:tblGrid>
      <w:tr>
        <w:tc>
          <w:tcPr>
            <w:tcW w:type="dxa" w:w="2088"/>
            <w:shd w:val="clear" w:color="auto" w:fill="E8EDF5"/>
          </w:tcPr>
          <w:p>
            <w:r/>
            <w:r>
              <w:rPr>
                <w:b/>
                <w:sz w:val="18"/>
              </w:rPr>
              <w:t>Draft provision</w:t>
            </w:r>
          </w:p>
        </w:tc>
        <w:tc>
          <w:tcPr>
            <w:tcW w:type="dxa" w:w="7272"/>
          </w:tcPr>
          <w:p>
            <w:r/>
            <w:r>
              <w:rPr>
                <w:sz w:val="18"/>
              </w:rPr>
              <w:t>A Settling Party must use "commercially reasonable efforts" to make current and former employees, officers, directors and agents available for interviews, deposition preparation, depositions, trial preparation and trial testimony for 18 months after settlement (§ 10.1), and to make relevant documents available (§ 10.2). The requesting Party bears the costs (§ 10.3).</w:t>
            </w:r>
          </w:p>
        </w:tc>
      </w:tr>
      <w:tr>
        <w:tc>
          <w:tcPr>
            <w:tcW w:type="dxa" w:w="2088"/>
            <w:shd w:val="clear" w:color="auto" w:fill="E8EDF5"/>
          </w:tcPr>
          <w:p>
            <w:r/>
            <w:r>
              <w:rPr>
                <w:b/>
                <w:sz w:val="18"/>
              </w:rPr>
              <w:t>Playbook standard (Preferred (disfavored, § 13.2–13.3))</w:t>
            </w:r>
          </w:p>
        </w:tc>
        <w:tc>
          <w:tcPr>
            <w:tcW w:type="dxa" w:w="7272"/>
          </w:tcPr>
          <w:p>
            <w:r/>
            <w:r>
              <w:rPr>
                <w:sz w:val="18"/>
              </w:rPr>
              <w:t>Post-settlement obligations should be limited to document preservation consistent with litigation-hold duties (§ 13.1). Disfavored: commercially-reasonable-efforts witness availability, trial or deposition appearances, declarations, cooperation beyond the end of the Litigation, and penalties (§ 13.2–13.3).</w:t>
            </w:r>
          </w:p>
        </w:tc>
      </w:tr>
      <w:tr>
        <w:tc>
          <w:tcPr>
            <w:tcW w:type="dxa" w:w="2088"/>
            <w:shd w:val="clear" w:color="auto" w:fill="E8EDF5"/>
          </w:tcPr>
          <w:p>
            <w:r/>
            <w:r>
              <w:rPr>
                <w:b/>
                <w:sz w:val="18"/>
              </w:rPr>
              <w:t>Deviation and risk</w:t>
            </w:r>
          </w:p>
        </w:tc>
        <w:tc>
          <w:tcPr>
            <w:tcW w:type="dxa" w:w="7272"/>
          </w:tcPr>
          <w:p>
            <w:r/>
            <w:r>
              <w:rPr>
                <w:sz w:val="18"/>
              </w:rPr>
              <w:t>The draft uses the expressly disfavored formulation and requires trial appearances. Once settled, Vantage's interests will diverge from those of the non-settling defendants, and a class settlement will commonly include cooperation with Plaintiffs. An open-ended duty to support co-defendants' defense would conflict with that and create friction and breach risk. The cost-shifting in § 10.3 lessens, but does not solve, the problem.</w:t>
            </w:r>
          </w:p>
        </w:tc>
      </w:tr>
      <w:tr>
        <w:tc>
          <w:tcPr>
            <w:tcW w:type="dxa" w:w="2088"/>
            <w:shd w:val="clear" w:color="auto" w:fill="E8EDF5"/>
          </w:tcPr>
          <w:p>
            <w:r/>
            <w:r>
              <w:rPr>
                <w:b/>
                <w:sz w:val="18"/>
              </w:rPr>
              <w:t>Recommended position / redline</w:t>
            </w:r>
          </w:p>
        </w:tc>
        <w:tc>
          <w:tcPr>
            <w:tcW w:type="dxa" w:w="7272"/>
          </w:tcPr>
          <w:p>
            <w:r/>
            <w:r>
              <w:rPr>
                <w:sz w:val="18"/>
              </w:rPr>
              <w:t>Limit § 10.1 to preservation consistent with existing litigation-hold obligations, through the end of the Litigation including appeals. Delete § 10.2. Recast § 10.3 as "No Affirmative Cooperation Obligation" (only as required by rule, subpoena or order, and with no penalties).</w:t>
            </w:r>
          </w:p>
        </w:tc>
      </w:tr>
      <w:tr>
        <w:tc>
          <w:tcPr>
            <w:tcW w:type="dxa" w:w="2088"/>
            <w:shd w:val="clear" w:color="auto" w:fill="E8EDF5"/>
          </w:tcPr>
          <w:p>
            <w:r/>
            <w:r>
              <w:rPr>
                <w:b/>
                <w:sz w:val="18"/>
              </w:rPr>
              <w:t>Fallback and negotiation</w:t>
            </w:r>
          </w:p>
        </w:tc>
        <w:tc>
          <w:tcPr>
            <w:tcW w:type="dxa" w:w="7272"/>
          </w:tcPr>
          <w:p>
            <w:r/>
            <w:r>
              <w:rPr>
                <w:sz w:val="18"/>
              </w:rPr>
              <w:t>A narrowly defined duty to cooperate with document-preservation requests, no broader than existing hold obligations (§ 13.2). Do not accept any commercially-reasonable-efforts witness standard.</w:t>
            </w:r>
          </w:p>
        </w:tc>
      </w:tr>
      <w:tr>
        <w:tc>
          <w:tcPr>
            <w:tcW w:type="dxa" w:w="2088"/>
            <w:shd w:val="clear" w:color="auto" w:fill="E8EDF5"/>
          </w:tcPr>
          <w:p>
            <w:r/>
            <w:r>
              <w:rPr>
                <w:b/>
                <w:sz w:val="18"/>
              </w:rPr>
              <w:t>Strategic notes / deadlines</w:t>
            </w:r>
          </w:p>
        </w:tc>
        <w:tc>
          <w:tcPr>
            <w:tcW w:type="dxa" w:w="7272"/>
          </w:tcPr>
          <w:p>
            <w:r/>
            <w:r>
              <w:rPr>
                <w:sz w:val="18"/>
              </w:rPr>
              <w:t>This connects to Issues 4–6. Together, these provisions would make a separate settlement by Vantage materially more expensive and slower.</w:t>
            </w:r>
          </w:p>
        </w:tc>
      </w:tr>
    </w:tbl>
    <w:p>
      <w:pPr>
        <w:spacing w:after="40"/>
      </w:pPr>
    </w:p>
    <w:p>
      <w:pPr>
        <w:pStyle w:val="Heading2"/>
      </w:pPr>
      <w:r>
        <w:t>§ 14 Information-Sharing Scope and Objection Rights</w:t>
      </w:r>
    </w:p>
    <w:p>
      <w:pPr>
        <w:pStyle w:val="Heading3"/>
      </w:pPr>
      <w:r>
        <w:t>Issue 17 — No objection or opt-out right for sharing requests (§§ 4.1–4.3; § 3.5; new § 4.4) — Risk: High</w:t>
      </w:r>
    </w:p>
    <w:tbl>
      <w:tblPr>
        <w:tblStyle w:val="TableGrid"/>
        <w:tblW w:type="auto" w:w="0"/>
        <w:tblLook w:firstColumn="1" w:firstRow="1" w:lastColumn="0" w:lastRow="0" w:noHBand="0" w:noVBand="1" w:val="04A0"/>
      </w:tblPr>
      <w:tblGrid>
        <w:gridCol w:w="4680"/>
        <w:gridCol w:w="4680"/>
      </w:tblGrid>
      <w:tr>
        <w:tc>
          <w:tcPr>
            <w:tcW w:type="dxa" w:w="2088"/>
            <w:shd w:val="clear" w:color="auto" w:fill="E8EDF5"/>
          </w:tcPr>
          <w:p>
            <w:r/>
            <w:r>
              <w:rPr>
                <w:b/>
                <w:sz w:val="18"/>
              </w:rPr>
              <w:t>Draft provision</w:t>
            </w:r>
          </w:p>
        </w:tc>
        <w:tc>
          <w:tcPr>
            <w:tcW w:type="dxa" w:w="7272"/>
          </w:tcPr>
          <w:p>
            <w:r/>
            <w:r>
              <w:rPr>
                <w:sz w:val="18"/>
              </w:rPr>
              <w:t>Each Party must share all non-work-product materials relevant to the Common Defense within 10 business days of a committee request. Section 3.5 protects a Party's discretion over its own work product. There is no right to object on separate-interest privilege or regulatory-sensitivity grounds, no objection window, and no protection against adverse consequences.</w:t>
            </w:r>
          </w:p>
        </w:tc>
      </w:tr>
      <w:tr>
        <w:tc>
          <w:tcPr>
            <w:tcW w:type="dxa" w:w="2088"/>
            <w:shd w:val="clear" w:color="auto" w:fill="E8EDF5"/>
          </w:tcPr>
          <w:p>
            <w:r/>
            <w:r>
              <w:rPr>
                <w:b/>
                <w:sz w:val="18"/>
              </w:rPr>
              <w:t>Playbook standard (Preferred (grounds non-negotiable, § 14.2))</w:t>
            </w:r>
          </w:p>
        </w:tc>
        <w:tc>
          <w:tcPr>
            <w:tcW w:type="dxa" w:w="7272"/>
          </w:tcPr>
          <w:p>
            <w:r/>
            <w:r>
              <w:rPr>
                <w:sz w:val="18"/>
              </w:rPr>
              <w:t>There must be an express right to object to, or decline, requests on three grounds: work product, separate-interest privilege, and regulatory sensitivity. The objection window is 5 business days (fallback: no fewer than 3) (§ 14.1–14.2). The three grounds are non-negotiable (§ 14.2). Disfavored: no opt-out, mandatory sharing of "all" materials, committee override, adverse inference, and privilege-log requirements (§ 14.3).</w:t>
            </w:r>
          </w:p>
        </w:tc>
      </w:tr>
      <w:tr>
        <w:tc>
          <w:tcPr>
            <w:tcW w:type="dxa" w:w="2088"/>
            <w:shd w:val="clear" w:color="auto" w:fill="E8EDF5"/>
          </w:tcPr>
          <w:p>
            <w:r/>
            <w:r>
              <w:rPr>
                <w:b/>
                <w:sz w:val="18"/>
              </w:rPr>
              <w:t>Deviation and risk</w:t>
            </w:r>
          </w:p>
        </w:tc>
        <w:tc>
          <w:tcPr>
            <w:tcW w:type="dxa" w:w="7272"/>
          </w:tcPr>
          <w:p>
            <w:r/>
            <w:r>
              <w:rPr>
                <w:sz w:val="18"/>
              </w:rPr>
              <w:t>Only the work-product ground is partly covered (§ 3.5). Communications about Vantage's own settlement strategy, insurance or potential cross-claims could fall within "non-work-product materials relevant to the Common Defense." The 10-business-day sharing window is acceptable, because it allows time for privilege review.</w:t>
            </w:r>
          </w:p>
        </w:tc>
      </w:tr>
      <w:tr>
        <w:tc>
          <w:tcPr>
            <w:tcW w:type="dxa" w:w="2088"/>
            <w:shd w:val="clear" w:color="auto" w:fill="E8EDF5"/>
          </w:tcPr>
          <w:p>
            <w:r/>
            <w:r>
              <w:rPr>
                <w:b/>
                <w:sz w:val="18"/>
              </w:rPr>
              <w:t>Recommended position / redline</w:t>
            </w:r>
          </w:p>
        </w:tc>
        <w:tc>
          <w:tcPr>
            <w:tcW w:type="dxa" w:w="7272"/>
          </w:tcPr>
          <w:p>
            <w:r/>
            <w:r>
              <w:rPr>
                <w:sz w:val="18"/>
              </w:rPr>
              <w:t>New § 4.4: all three grounds, a 5-business-day objection window with the § 4.1 period tolled, no adverse action during the window, no committee or majority override, no adverse inference or penalty, and no privilege log or description of withheld material. Section 4.1 is narrowed to materials "reasonably requested" and made subject to §§ 4.4–4.6.</w:t>
            </w:r>
          </w:p>
        </w:tc>
      </w:tr>
      <w:tr>
        <w:tc>
          <w:tcPr>
            <w:tcW w:type="dxa" w:w="2088"/>
            <w:shd w:val="clear" w:color="auto" w:fill="E8EDF5"/>
          </w:tcPr>
          <w:p>
            <w:r/>
            <w:r>
              <w:rPr>
                <w:b/>
                <w:sz w:val="18"/>
              </w:rPr>
              <w:t>Fallback and negotiation</w:t>
            </w:r>
          </w:p>
        </w:tc>
        <w:tc>
          <w:tcPr>
            <w:tcW w:type="dxa" w:w="7272"/>
          </w:tcPr>
          <w:p>
            <w:r/>
            <w:r>
              <w:rPr>
                <w:sz w:val="18"/>
              </w:rPr>
              <w:t>The window can go down to 3 business days. The grounds cannot be traded.</w:t>
            </w:r>
          </w:p>
        </w:tc>
      </w:tr>
      <w:tr>
        <w:tc>
          <w:tcPr>
            <w:tcW w:type="dxa" w:w="2088"/>
            <w:shd w:val="clear" w:color="auto" w:fill="E8EDF5"/>
          </w:tcPr>
          <w:p>
            <w:r/>
            <w:r>
              <w:rPr>
                <w:b/>
                <w:sz w:val="18"/>
              </w:rPr>
              <w:t>Strategic notes / deadlines</w:t>
            </w:r>
          </w:p>
        </w:tc>
        <w:tc>
          <w:tcPr>
            <w:tcW w:type="dxa" w:w="7272"/>
          </w:tcPr>
          <w:p>
            <w:r/>
            <w:r>
              <w:rPr>
                <w:sz w:val="18"/>
              </w:rPr>
              <w:t>Kerrigan-Holst wants prompt sharing before the July production deadline. The 10-business-day mechanism (kept) and the 5-day objection window are compatible with that timetable.</w:t>
            </w:r>
          </w:p>
        </w:tc>
      </w:tr>
    </w:tbl>
    <w:p>
      <w:pPr>
        <w:spacing w:after="40"/>
      </w:pPr>
    </w:p>
    <w:p>
      <w:pPr>
        <w:pStyle w:val="Heading2"/>
      </w:pPr>
      <w:r>
        <w:t>§ 15.1 No Admission of Liability</w:t>
      </w:r>
    </w:p>
    <w:p>
      <w:pPr>
        <w:pStyle w:val="Heading3"/>
      </w:pPr>
      <w:r>
        <w:t>Issue 18 — No-admission clause (§ 12.1) — Risk: Compliant</w:t>
      </w:r>
    </w:p>
    <w:tbl>
      <w:tblPr>
        <w:tblStyle w:val="TableGrid"/>
        <w:tblW w:type="auto" w:w="0"/>
        <w:tblLook w:firstColumn="1" w:firstRow="1" w:lastColumn="0" w:lastRow="0" w:noHBand="0" w:noVBand="1" w:val="04A0"/>
      </w:tblPr>
      <w:tblGrid>
        <w:gridCol w:w="4680"/>
        <w:gridCol w:w="4680"/>
      </w:tblGrid>
      <w:tr>
        <w:tc>
          <w:tcPr>
            <w:tcW w:type="dxa" w:w="2088"/>
            <w:shd w:val="clear" w:color="auto" w:fill="E8EDF5"/>
          </w:tcPr>
          <w:p>
            <w:r/>
            <w:r>
              <w:rPr>
                <w:b/>
                <w:sz w:val="18"/>
              </w:rPr>
              <w:t>Draft provision</w:t>
            </w:r>
          </w:p>
        </w:tc>
        <w:tc>
          <w:tcPr>
            <w:tcW w:type="dxa" w:w="7272"/>
          </w:tcPr>
          <w:p>
            <w:r/>
            <w:r>
              <w:rPr>
                <w:sz w:val="18"/>
              </w:rPr>
              <w:t>Participation, meetings, sharing and payment of costs are not admissions of liability, wrongdoing or fault, and the Agreement is inadmissible except to enforce it.</w:t>
            </w:r>
          </w:p>
        </w:tc>
      </w:tr>
      <w:tr>
        <w:tc>
          <w:tcPr>
            <w:tcW w:type="dxa" w:w="2088"/>
            <w:shd w:val="clear" w:color="auto" w:fill="E8EDF5"/>
          </w:tcPr>
          <w:p>
            <w:r/>
            <w:r>
              <w:rPr>
                <w:b/>
                <w:sz w:val="18"/>
              </w:rPr>
              <w:t>Playbook standard (Required)</w:t>
            </w:r>
          </w:p>
        </w:tc>
        <w:tc>
          <w:tcPr>
            <w:tcW w:type="dxa" w:w="7272"/>
          </w:tcPr>
          <w:p>
            <w:r/>
            <w:r>
              <w:rPr>
                <w:sz w:val="18"/>
              </w:rPr>
              <w:t>Required, applying broadly to all proceedings, including government investigations and future proceedings (§ 15.1).</w:t>
            </w:r>
          </w:p>
        </w:tc>
      </w:tr>
      <w:tr>
        <w:tc>
          <w:tcPr>
            <w:tcW w:type="dxa" w:w="2088"/>
            <w:shd w:val="clear" w:color="auto" w:fill="E8EDF5"/>
          </w:tcPr>
          <w:p>
            <w:r/>
            <w:r>
              <w:rPr>
                <w:b/>
                <w:sz w:val="18"/>
              </w:rPr>
              <w:t>Deviation and risk</w:t>
            </w:r>
          </w:p>
        </w:tc>
        <w:tc>
          <w:tcPr>
            <w:tcW w:type="dxa" w:w="7272"/>
          </w:tcPr>
          <w:p>
            <w:r/>
            <w:r>
              <w:rPr>
                <w:sz w:val="18"/>
              </w:rPr>
              <w:t>The clause complies. Its scope ("Litigation or any Related Proceeding" plus the inadmissibility sentence) is broad.</w:t>
            </w:r>
          </w:p>
        </w:tc>
      </w:tr>
      <w:tr>
        <w:tc>
          <w:tcPr>
            <w:tcW w:type="dxa" w:w="2088"/>
            <w:shd w:val="clear" w:color="auto" w:fill="E8EDF5"/>
          </w:tcPr>
          <w:p>
            <w:r/>
            <w:r>
              <w:rPr>
                <w:b/>
                <w:sz w:val="18"/>
              </w:rPr>
              <w:t>Recommended position / redline</w:t>
            </w:r>
          </w:p>
        </w:tc>
        <w:tc>
          <w:tcPr>
            <w:tcW w:type="dxa" w:w="7272"/>
          </w:tcPr>
          <w:p>
            <w:r/>
            <w:r>
              <w:rPr>
                <w:sz w:val="18"/>
              </w:rPr>
              <w:t>A clarifying edit adds "any Government Investigation, or any future proceeding." New § 5.1 language applies the same principle to the cost allocation.</w:t>
            </w:r>
          </w:p>
        </w:tc>
      </w:tr>
      <w:tr>
        <w:tc>
          <w:tcPr>
            <w:tcW w:type="dxa" w:w="2088"/>
            <w:shd w:val="clear" w:color="auto" w:fill="E8EDF5"/>
          </w:tcPr>
          <w:p>
            <w:r/>
            <w:r>
              <w:rPr>
                <w:b/>
                <w:sz w:val="18"/>
              </w:rPr>
              <w:t>Fallback and negotiation</w:t>
            </w:r>
          </w:p>
        </w:tc>
        <w:tc>
          <w:tcPr>
            <w:tcW w:type="dxa" w:w="7272"/>
          </w:tcPr>
          <w:p>
            <w:r/>
            <w:r>
              <w:rPr>
                <w:sz w:val="18"/>
              </w:rPr>
              <w:t>The clarification can be dropped if Kerrigan-Holst objects.</w:t>
            </w:r>
          </w:p>
        </w:tc>
      </w:tr>
      <w:tr>
        <w:tc>
          <w:tcPr>
            <w:tcW w:type="dxa" w:w="2088"/>
            <w:shd w:val="clear" w:color="auto" w:fill="E8EDF5"/>
          </w:tcPr>
          <w:p>
            <w:r/>
            <w:r>
              <w:rPr>
                <w:b/>
                <w:sz w:val="18"/>
              </w:rPr>
              <w:t>Strategic notes / deadlines</w:t>
            </w:r>
          </w:p>
        </w:tc>
        <w:tc>
          <w:tcPr>
            <w:tcW w:type="dxa" w:w="7272"/>
          </w:tcPr>
          <w:p>
            <w:r/>
            <w:r>
              <w:rPr>
                <w:sz w:val="18"/>
              </w:rPr>
              <w:t>None.</w:t>
            </w:r>
          </w:p>
        </w:tc>
      </w:tr>
    </w:tbl>
    <w:p>
      <w:pPr>
        <w:spacing w:after="40"/>
      </w:pPr>
    </w:p>
    <w:p>
      <w:pPr>
        <w:pStyle w:val="Heading2"/>
      </w:pPr>
      <w:r>
        <w:t>§ 15.2 Confidentiality Markings</w:t>
      </w:r>
    </w:p>
    <w:p>
      <w:pPr>
        <w:pStyle w:val="Heading3"/>
      </w:pPr>
      <w:r>
        <w:t>Issue 19 — Joint Defense Material legend (§ 3.2) — Risk: Compliant</w:t>
      </w:r>
    </w:p>
    <w:tbl>
      <w:tblPr>
        <w:tblStyle w:val="TableGrid"/>
        <w:tblW w:type="auto" w:w="0"/>
        <w:tblLook w:firstColumn="1" w:firstRow="1" w:lastColumn="0" w:lastRow="0" w:noHBand="0" w:noVBand="1" w:val="04A0"/>
      </w:tblPr>
      <w:tblGrid>
        <w:gridCol w:w="4680"/>
        <w:gridCol w:w="4680"/>
      </w:tblGrid>
      <w:tr>
        <w:tc>
          <w:tcPr>
            <w:tcW w:type="dxa" w:w="2088"/>
            <w:shd w:val="clear" w:color="auto" w:fill="E8EDF5"/>
          </w:tcPr>
          <w:p>
            <w:r/>
            <w:r>
              <w:rPr>
                <w:b/>
                <w:sz w:val="18"/>
              </w:rPr>
              <w:t>Draft provision</w:t>
            </w:r>
          </w:p>
        </w:tc>
        <w:tc>
          <w:tcPr>
            <w:tcW w:type="dxa" w:w="7272"/>
          </w:tcPr>
          <w:p>
            <w:r/>
            <w:r>
              <w:rPr>
                <w:sz w:val="18"/>
              </w:rPr>
              <w:t>Written materials are marked "Joint Defense Material — Privileged and Confidential"; oral communications are deemed designated; failure to mark is not fatal.</w:t>
            </w:r>
          </w:p>
        </w:tc>
      </w:tr>
      <w:tr>
        <w:tc>
          <w:tcPr>
            <w:tcW w:type="dxa" w:w="2088"/>
            <w:shd w:val="clear" w:color="auto" w:fill="E8EDF5"/>
          </w:tcPr>
          <w:p>
            <w:r/>
            <w:r>
              <w:rPr>
                <w:b/>
                <w:sz w:val="18"/>
              </w:rPr>
              <w:t>Playbook standard (Preferred)</w:t>
            </w:r>
          </w:p>
        </w:tc>
        <w:tc>
          <w:tcPr>
            <w:tcW w:type="dxa" w:w="7272"/>
          </w:tcPr>
          <w:p>
            <w:r/>
            <w:r>
              <w:rPr>
                <w:sz w:val="18"/>
              </w:rPr>
              <w:t>A marking such as "Joint Defense Material — Privileged and Confidential" (§ 15.2).</w:t>
            </w:r>
          </w:p>
        </w:tc>
      </w:tr>
      <w:tr>
        <w:tc>
          <w:tcPr>
            <w:tcW w:type="dxa" w:w="2088"/>
            <w:shd w:val="clear" w:color="auto" w:fill="E8EDF5"/>
          </w:tcPr>
          <w:p>
            <w:r/>
            <w:r>
              <w:rPr>
                <w:b/>
                <w:sz w:val="18"/>
              </w:rPr>
              <w:t>Deviation and risk</w:t>
            </w:r>
          </w:p>
        </w:tc>
        <w:tc>
          <w:tcPr>
            <w:tcW w:type="dxa" w:w="7272"/>
          </w:tcPr>
          <w:p>
            <w:r/>
            <w:r>
              <w:rPr>
                <w:sz w:val="18"/>
              </w:rPr>
              <w:t>The clause complies.</w:t>
            </w:r>
          </w:p>
        </w:tc>
      </w:tr>
      <w:tr>
        <w:tc>
          <w:tcPr>
            <w:tcW w:type="dxa" w:w="2088"/>
            <w:shd w:val="clear" w:color="auto" w:fill="E8EDF5"/>
          </w:tcPr>
          <w:p>
            <w:r/>
            <w:r>
              <w:rPr>
                <w:b/>
                <w:sz w:val="18"/>
              </w:rPr>
              <w:t>Recommended position / redline</w:t>
            </w:r>
          </w:p>
        </w:tc>
        <w:tc>
          <w:tcPr>
            <w:tcW w:type="dxa" w:w="7272"/>
          </w:tcPr>
          <w:p>
            <w:r/>
            <w:r>
              <w:rPr>
                <w:sz w:val="18"/>
              </w:rPr>
              <w:t>No change. New § 4.6 adds an "Outside Counsel and Experts Only" designation for competitively sensitive data.</w:t>
            </w:r>
          </w:p>
        </w:tc>
      </w:tr>
      <w:tr>
        <w:tc>
          <w:tcPr>
            <w:tcW w:type="dxa" w:w="2088"/>
            <w:shd w:val="clear" w:color="auto" w:fill="E8EDF5"/>
          </w:tcPr>
          <w:p>
            <w:r/>
            <w:r>
              <w:rPr>
                <w:b/>
                <w:sz w:val="18"/>
              </w:rPr>
              <w:t>Fallback and negotiation</w:t>
            </w:r>
          </w:p>
        </w:tc>
        <w:tc>
          <w:tcPr>
            <w:tcW w:type="dxa" w:w="7272"/>
          </w:tcPr>
          <w:p>
            <w:r/>
            <w:r>
              <w:rPr>
                <w:sz w:val="18"/>
              </w:rPr>
              <w:t>Not applicable.</w:t>
            </w:r>
          </w:p>
        </w:tc>
      </w:tr>
      <w:tr>
        <w:tc>
          <w:tcPr>
            <w:tcW w:type="dxa" w:w="2088"/>
            <w:shd w:val="clear" w:color="auto" w:fill="E8EDF5"/>
          </w:tcPr>
          <w:p>
            <w:r/>
            <w:r>
              <w:rPr>
                <w:b/>
                <w:sz w:val="18"/>
              </w:rPr>
              <w:t>Strategic notes / deadlines</w:t>
            </w:r>
          </w:p>
        </w:tc>
        <w:tc>
          <w:tcPr>
            <w:tcW w:type="dxa" w:w="7272"/>
          </w:tcPr>
          <w:p>
            <w:r/>
            <w:r>
              <w:rPr>
                <w:sz w:val="18"/>
              </w:rPr>
              <w:t>Action item: configure Vantage's internal document-management protocols to apply the legend once the JDA is executed (§ 15.2).</w:t>
            </w:r>
          </w:p>
        </w:tc>
      </w:tr>
    </w:tbl>
    <w:p>
      <w:pPr>
        <w:spacing w:after="40"/>
      </w:pPr>
    </w:p>
    <w:p>
      <w:pPr>
        <w:pStyle w:val="Heading2"/>
      </w:pPr>
      <w:r>
        <w:t>§ 15.3 Limitation of Liability</w:t>
      </w:r>
    </w:p>
    <w:p>
      <w:pPr>
        <w:pStyle w:val="Heading3"/>
      </w:pPr>
      <w:r>
        <w:t>Issue 20 — No limitation of liability ((absent); new § 12.11) — Risk: Low</w:t>
      </w:r>
    </w:p>
    <w:tbl>
      <w:tblPr>
        <w:tblStyle w:val="TableGrid"/>
        <w:tblW w:type="auto" w:w="0"/>
        <w:tblLook w:firstColumn="1" w:firstRow="1" w:lastColumn="0" w:lastRow="0" w:noHBand="0" w:noVBand="1" w:val="04A0"/>
      </w:tblPr>
      <w:tblGrid>
        <w:gridCol w:w="4680"/>
        <w:gridCol w:w="4680"/>
      </w:tblGrid>
      <w:tr>
        <w:tc>
          <w:tcPr>
            <w:tcW w:type="dxa" w:w="2088"/>
            <w:shd w:val="clear" w:color="auto" w:fill="E8EDF5"/>
          </w:tcPr>
          <w:p>
            <w:r/>
            <w:r>
              <w:rPr>
                <w:b/>
                <w:sz w:val="18"/>
              </w:rPr>
              <w:t>Draft provision</w:t>
            </w:r>
          </w:p>
        </w:tc>
        <w:tc>
          <w:tcPr>
            <w:tcW w:type="dxa" w:w="7272"/>
          </w:tcPr>
          <w:p>
            <w:r/>
            <w:r>
              <w:rPr>
                <w:sz w:val="18"/>
              </w:rPr>
              <w:t>None.</w:t>
            </w:r>
          </w:p>
        </w:tc>
      </w:tr>
      <w:tr>
        <w:tc>
          <w:tcPr>
            <w:tcW w:type="dxa" w:w="2088"/>
            <w:shd w:val="clear" w:color="auto" w:fill="E8EDF5"/>
          </w:tcPr>
          <w:p>
            <w:r/>
            <w:r>
              <w:rPr>
                <w:b/>
                <w:sz w:val="18"/>
              </w:rPr>
              <w:t>Playbook standard (Preferred (optional))</w:t>
            </w:r>
          </w:p>
        </w:tc>
        <w:tc>
          <w:tcPr>
            <w:tcW w:type="dxa" w:w="7272"/>
          </w:tcPr>
          <w:p>
            <w:r/>
            <w:r>
              <w:rPr>
                <w:sz w:val="18"/>
              </w:rPr>
              <w:t>Where available, a mutual cap (for example, aggregate cost contributions or a fixed amount) with an exclusion for willful or intentional breach. Its absence is not a reason to decline (§ 15.3).</w:t>
            </w:r>
          </w:p>
        </w:tc>
      </w:tr>
      <w:tr>
        <w:tc>
          <w:tcPr>
            <w:tcW w:type="dxa" w:w="2088"/>
            <w:shd w:val="clear" w:color="auto" w:fill="E8EDF5"/>
          </w:tcPr>
          <w:p>
            <w:r/>
            <w:r>
              <w:rPr>
                <w:b/>
                <w:sz w:val="18"/>
              </w:rPr>
              <w:t>Deviation and risk</w:t>
            </w:r>
          </w:p>
        </w:tc>
        <w:tc>
          <w:tcPr>
            <w:tcW w:type="dxa" w:w="7272"/>
          </w:tcPr>
          <w:p>
            <w:r/>
            <w:r>
              <w:rPr>
                <w:sz w:val="18"/>
              </w:rPr>
              <w:t>Low. Without a cap, a disputed inadvertent-disclosure claim could carry uncapped damages.</w:t>
            </w:r>
          </w:p>
        </w:tc>
      </w:tr>
      <w:tr>
        <w:tc>
          <w:tcPr>
            <w:tcW w:type="dxa" w:w="2088"/>
            <w:shd w:val="clear" w:color="auto" w:fill="E8EDF5"/>
          </w:tcPr>
          <w:p>
            <w:r/>
            <w:r>
              <w:rPr>
                <w:b/>
                <w:sz w:val="18"/>
              </w:rPr>
              <w:t>Recommended position / redline</w:t>
            </w:r>
          </w:p>
        </w:tc>
        <w:tc>
          <w:tcPr>
            <w:tcW w:type="dxa" w:w="7272"/>
          </w:tcPr>
          <w:p>
            <w:r/>
            <w:r>
              <w:rPr>
                <w:sz w:val="18"/>
              </w:rPr>
              <w:t>New § 12.11: a cap at the greater of the Party's paid Joint Defense Costs or a bracketed fixed amount, no consequential or punitive damages, carve-outs for willful or intentional breach, and injunctive relief preserved.</w:t>
            </w:r>
          </w:p>
        </w:tc>
      </w:tr>
      <w:tr>
        <w:tc>
          <w:tcPr>
            <w:tcW w:type="dxa" w:w="2088"/>
            <w:shd w:val="clear" w:color="auto" w:fill="E8EDF5"/>
          </w:tcPr>
          <w:p>
            <w:r/>
            <w:r>
              <w:rPr>
                <w:b/>
                <w:sz w:val="18"/>
              </w:rPr>
              <w:t>Fallback and negotiation</w:t>
            </w:r>
          </w:p>
        </w:tc>
        <w:tc>
          <w:tcPr>
            <w:tcW w:type="dxa" w:w="7272"/>
          </w:tcPr>
          <w:p>
            <w:r/>
            <w:r>
              <w:rPr>
                <w:sz w:val="18"/>
              </w:rPr>
              <w:t>Drop it if it becomes a sticking point. This is the most expendable Vantage ask.</w:t>
            </w:r>
          </w:p>
        </w:tc>
      </w:tr>
      <w:tr>
        <w:tc>
          <w:tcPr>
            <w:tcW w:type="dxa" w:w="2088"/>
            <w:shd w:val="clear" w:color="auto" w:fill="E8EDF5"/>
          </w:tcPr>
          <w:p>
            <w:r/>
            <w:r>
              <w:rPr>
                <w:b/>
                <w:sz w:val="18"/>
              </w:rPr>
              <w:t>Strategic notes / deadlines</w:t>
            </w:r>
          </w:p>
        </w:tc>
        <w:tc>
          <w:tcPr>
            <w:tcW w:type="dxa" w:w="7272"/>
          </w:tcPr>
          <w:p>
            <w:r/>
            <w:r>
              <w:rPr>
                <w:sz w:val="18"/>
              </w:rPr>
              <w:t>None.</w:t>
            </w:r>
          </w:p>
        </w:tc>
      </w:tr>
    </w:tbl>
    <w:p>
      <w:pPr>
        <w:spacing w:after="40"/>
      </w:pPr>
    </w:p>
    <w:p>
      <w:pPr>
        <w:pStyle w:val="Heading2"/>
      </w:pPr>
      <w:r>
        <w:t>§ 15.4 Amendment and Waiver</w:t>
      </w:r>
    </w:p>
    <w:p>
      <w:pPr>
        <w:pStyle w:val="Heading3"/>
      </w:pPr>
      <w:r>
        <w:t>Issue 21 — Amendment, waiver and joinder mechanics (§§ 12.6, 12.10) — Risk: Low</w:t>
      </w:r>
    </w:p>
    <w:tbl>
      <w:tblPr>
        <w:tblStyle w:val="TableGrid"/>
        <w:tblW w:type="auto" w:w="0"/>
        <w:tblLook w:firstColumn="1" w:firstRow="1" w:lastColumn="0" w:lastRow="0" w:noHBand="0" w:noVBand="1" w:val="04A0"/>
      </w:tblPr>
      <w:tblGrid>
        <w:gridCol w:w="4680"/>
        <w:gridCol w:w="4680"/>
      </w:tblGrid>
      <w:tr>
        <w:tc>
          <w:tcPr>
            <w:tcW w:type="dxa" w:w="2088"/>
            <w:shd w:val="clear" w:color="auto" w:fill="E8EDF5"/>
          </w:tcPr>
          <w:p>
            <w:r/>
            <w:r>
              <w:rPr>
                <w:b/>
                <w:sz w:val="18"/>
              </w:rPr>
              <w:t>Draft provision</w:t>
            </w:r>
          </w:p>
        </w:tc>
        <w:tc>
          <w:tcPr>
            <w:tcW w:type="dxa" w:w="7272"/>
          </w:tcPr>
          <w:p>
            <w:r/>
            <w:r>
              <w:rPr>
                <w:sz w:val="18"/>
              </w:rPr>
              <w:t>Amendments require a writing signed by all Parties (§ 12.6). There are no waiver mechanics. Joinder requires all Parties' consent, but the joinder form is "approved by the Steering Committee" (§ 12.10).</w:t>
            </w:r>
          </w:p>
        </w:tc>
      </w:tr>
      <w:tr>
        <w:tc>
          <w:tcPr>
            <w:tcW w:type="dxa" w:w="2088"/>
            <w:shd w:val="clear" w:color="auto" w:fill="E8EDF5"/>
          </w:tcPr>
          <w:p>
            <w:r/>
            <w:r>
              <w:rPr>
                <w:b/>
                <w:sz w:val="18"/>
              </w:rPr>
              <w:t>Playbook standard (Preferred)</w:t>
            </w:r>
          </w:p>
        </w:tc>
        <w:tc>
          <w:tcPr>
            <w:tcW w:type="dxa" w:w="7272"/>
          </w:tcPr>
          <w:p>
            <w:r/>
            <w:r>
              <w:rPr>
                <w:sz w:val="18"/>
              </w:rPr>
              <w:t>Unanimous written consent for amendments and waivers. Waivers must be written, apply only to the provision waived, and not carry over to later occasions (§ 15.4). The committee should have no amendment or waiver power (§ 11.3).</w:t>
            </w:r>
          </w:p>
        </w:tc>
      </w:tr>
      <w:tr>
        <w:tc>
          <w:tcPr>
            <w:tcW w:type="dxa" w:w="2088"/>
            <w:shd w:val="clear" w:color="auto" w:fill="E8EDF5"/>
          </w:tcPr>
          <w:p>
            <w:r/>
            <w:r>
              <w:rPr>
                <w:b/>
                <w:sz w:val="18"/>
              </w:rPr>
              <w:t>Deviation and risk</w:t>
            </w:r>
          </w:p>
        </w:tc>
        <w:tc>
          <w:tcPr>
            <w:tcW w:type="dxa" w:w="7272"/>
          </w:tcPr>
          <w:p>
            <w:r/>
            <w:r>
              <w:rPr>
                <w:sz w:val="18"/>
              </w:rPr>
              <w:t>The unanimity requirement complies. The waiver mechanics are missing, and committee control over the joinder form could import new terms indirectly.</w:t>
            </w:r>
          </w:p>
        </w:tc>
      </w:tr>
      <w:tr>
        <w:tc>
          <w:tcPr>
            <w:tcW w:type="dxa" w:w="2088"/>
            <w:shd w:val="clear" w:color="auto" w:fill="E8EDF5"/>
          </w:tcPr>
          <w:p>
            <w:r/>
            <w:r>
              <w:rPr>
                <w:b/>
                <w:sz w:val="18"/>
              </w:rPr>
              <w:t>Recommended position / redline</w:t>
            </w:r>
          </w:p>
        </w:tc>
        <w:tc>
          <w:tcPr>
            <w:tcW w:type="dxa" w:w="7272"/>
          </w:tcPr>
          <w:p>
            <w:r/>
            <w:r>
              <w:rPr>
                <w:sz w:val="18"/>
              </w:rPr>
              <w:t>Add waiver mechanics and an express statement that neither the committee nor a majority may amend or waive. The joinder form must be approved by all existing Parties.</w:t>
            </w:r>
          </w:p>
        </w:tc>
      </w:tr>
      <w:tr>
        <w:tc>
          <w:tcPr>
            <w:tcW w:type="dxa" w:w="2088"/>
            <w:shd w:val="clear" w:color="auto" w:fill="E8EDF5"/>
          </w:tcPr>
          <w:p>
            <w:r/>
            <w:r>
              <w:rPr>
                <w:b/>
                <w:sz w:val="18"/>
              </w:rPr>
              <w:t>Fallback and negotiation</w:t>
            </w:r>
          </w:p>
        </w:tc>
        <w:tc>
          <w:tcPr>
            <w:tcW w:type="dxa" w:w="7272"/>
          </w:tcPr>
          <w:p>
            <w:r/>
            <w:r>
              <w:rPr>
                <w:sz w:val="18"/>
              </w:rPr>
              <w:t>Not needed. These are standard terms.</w:t>
            </w:r>
          </w:p>
        </w:tc>
      </w:tr>
      <w:tr>
        <w:tc>
          <w:tcPr>
            <w:tcW w:type="dxa" w:w="2088"/>
            <w:shd w:val="clear" w:color="auto" w:fill="E8EDF5"/>
          </w:tcPr>
          <w:p>
            <w:r/>
            <w:r>
              <w:rPr>
                <w:b/>
                <w:sz w:val="18"/>
              </w:rPr>
              <w:t>Strategic notes / deadlines</w:t>
            </w:r>
          </w:p>
        </w:tc>
        <w:tc>
          <w:tcPr>
            <w:tcW w:type="dxa" w:w="7272"/>
          </w:tcPr>
          <w:p>
            <w:r/>
            <w:r>
              <w:rPr>
                <w:sz w:val="18"/>
              </w:rPr>
              <w:t>None.</w:t>
            </w:r>
          </w:p>
        </w:tc>
      </w:tr>
    </w:tbl>
    <w:p>
      <w:pPr>
        <w:spacing w:after="40"/>
      </w:pPr>
    </w:p>
    <w:p>
      <w:pPr>
        <w:pStyle w:val="Heading2"/>
      </w:pPr>
      <w:r>
        <w:t>Additional – Antitrust Risk</w:t>
      </w:r>
    </w:p>
    <w:p>
      <w:pPr>
        <w:pStyle w:val="Heading3"/>
      </w:pPr>
      <w:r>
        <w:t>Issue 22 — Exchange of competitively sensitive information among competitors (§§ 3.3(b), 4.1, 4.3; new §§ 1.10, 4.6) — Risk: High</w:t>
      </w:r>
    </w:p>
    <w:tbl>
      <w:tblPr>
        <w:tblStyle w:val="TableGrid"/>
        <w:tblW w:type="auto" w:w="0"/>
        <w:tblLook w:firstColumn="1" w:firstRow="1" w:lastColumn="0" w:lastRow="0" w:noHBand="0" w:noVBand="1" w:val="04A0"/>
      </w:tblPr>
      <w:tblGrid>
        <w:gridCol w:w="4680"/>
        <w:gridCol w:w="4680"/>
      </w:tblGrid>
      <w:tr>
        <w:tc>
          <w:tcPr>
            <w:tcW w:type="dxa" w:w="2088"/>
            <w:shd w:val="clear" w:color="auto" w:fill="E8EDF5"/>
          </w:tcPr>
          <w:p>
            <w:r/>
            <w:r>
              <w:rPr>
                <w:b/>
                <w:sz w:val="18"/>
              </w:rPr>
              <w:t>Draft provision</w:t>
            </w:r>
          </w:p>
        </w:tc>
        <w:tc>
          <w:tcPr>
            <w:tcW w:type="dxa" w:w="7272"/>
          </w:tcPr>
          <w:p>
            <w:r/>
            <w:r>
              <w:rPr>
                <w:sz w:val="18"/>
              </w:rPr>
              <w:t>Section 4.1 expressly contemplates sharing "data and databases" and factual records. Section 3.3(b) permits disclosure to business employees with a need to know. Section 4.3 provides for joint meetings to "discuss defense strategy" without any limits on content.</w:t>
            </w:r>
          </w:p>
        </w:tc>
      </w:tr>
      <w:tr>
        <w:tc>
          <w:tcPr>
            <w:tcW w:type="dxa" w:w="2088"/>
            <w:shd w:val="clear" w:color="auto" w:fill="E8EDF5"/>
          </w:tcPr>
          <w:p>
            <w:r/>
            <w:r>
              <w:rPr>
                <w:b/>
                <w:sz w:val="18"/>
              </w:rPr>
              <w:t>Playbook standard (Not addressed by Playbook (strategic))</w:t>
            </w:r>
          </w:p>
        </w:tc>
        <w:tc>
          <w:tcPr>
            <w:tcW w:type="dxa" w:w="7272"/>
          </w:tcPr>
          <w:p>
            <w:r/>
            <w:r>
              <w:rPr>
                <w:sz w:val="18"/>
              </w:rPr>
              <w:t>No specific section. This falls within the Playbook's purpose of protecting litigation posture and regulatory compliance (§ 1.1).</w:t>
            </w:r>
          </w:p>
        </w:tc>
      </w:tr>
      <w:tr>
        <w:tc>
          <w:tcPr>
            <w:tcW w:type="dxa" w:w="2088"/>
            <w:shd w:val="clear" w:color="auto" w:fill="E8EDF5"/>
          </w:tcPr>
          <w:p>
            <w:r/>
            <w:r>
              <w:rPr>
                <w:b/>
                <w:sz w:val="18"/>
              </w:rPr>
              <w:t>Deviation and risk</w:t>
            </w:r>
          </w:p>
        </w:tc>
        <w:tc>
          <w:tcPr>
            <w:tcW w:type="dxa" w:w="7272"/>
          </w:tcPr>
          <w:p>
            <w:r/>
            <w:r>
              <w:rPr>
                <w:sz w:val="18"/>
              </w:rPr>
              <w:t>The four Parties are horizontal competitors accused of price fixing, bid rigging and customer allocation, coordinated in part at trade-association meetings. If transactional, pricing or cost data reaches business personnel through the JDA, that could itself raise Sherman Act issues, provide new evidence for Plaintiffs, and undermine the defense narrative.</w:t>
            </w:r>
          </w:p>
        </w:tc>
      </w:tr>
      <w:tr>
        <w:tc>
          <w:tcPr>
            <w:tcW w:type="dxa" w:w="2088"/>
            <w:shd w:val="clear" w:color="auto" w:fill="E8EDF5"/>
          </w:tcPr>
          <w:p>
            <w:r/>
            <w:r>
              <w:rPr>
                <w:b/>
                <w:sz w:val="18"/>
              </w:rPr>
              <w:t>Recommended position / redline</w:t>
            </w:r>
          </w:p>
        </w:tc>
        <w:tc>
          <w:tcPr>
            <w:tcW w:type="dxa" w:w="7272"/>
          </w:tcPr>
          <w:p>
            <w:r/>
            <w:r>
              <w:rPr>
                <w:sz w:val="18"/>
              </w:rPr>
              <w:t>New § 4.6: competitively sensitive information is shared only on an outside-counsel-and-experts-only basis, with in-house access limited to lawyers who have no pricing, sales, marketing or bidding role. Meetings are run by counsel and may not discuss current or future competitive conduct. Section 3.3(b) is conformed, and § 1.10 defines the term.</w:t>
            </w:r>
          </w:p>
        </w:tc>
      </w:tr>
      <w:tr>
        <w:tc>
          <w:tcPr>
            <w:tcW w:type="dxa" w:w="2088"/>
            <w:shd w:val="clear" w:color="auto" w:fill="E8EDF5"/>
          </w:tcPr>
          <w:p>
            <w:r/>
            <w:r>
              <w:rPr>
                <w:b/>
                <w:sz w:val="18"/>
              </w:rPr>
              <w:t>Fallback and negotiation</w:t>
            </w:r>
          </w:p>
        </w:tc>
        <w:tc>
          <w:tcPr>
            <w:tcW w:type="dxa" w:w="7272"/>
          </w:tcPr>
          <w:p>
            <w:r/>
            <w:r>
              <w:rPr>
                <w:sz w:val="18"/>
              </w:rPr>
              <w:t>The wording is flexible. The principle should not be conceded.</w:t>
            </w:r>
          </w:p>
        </w:tc>
      </w:tr>
      <w:tr>
        <w:tc>
          <w:tcPr>
            <w:tcW w:type="dxa" w:w="2088"/>
            <w:shd w:val="clear" w:color="auto" w:fill="E8EDF5"/>
          </w:tcPr>
          <w:p>
            <w:r/>
            <w:r>
              <w:rPr>
                <w:b/>
                <w:sz w:val="18"/>
              </w:rPr>
              <w:t>Strategic notes / deadlines</w:t>
            </w:r>
          </w:p>
        </w:tc>
        <w:tc>
          <w:tcPr>
            <w:tcW w:type="dxa" w:w="7272"/>
          </w:tcPr>
          <w:p>
            <w:r/>
            <w:r>
              <w:rPr>
                <w:sz w:val="18"/>
              </w:rPr>
              <w:t>Frame it as protecting all defendants. Co-defendants' counsel should welcome it.</w:t>
            </w:r>
          </w:p>
        </w:tc>
      </w:tr>
    </w:tbl>
    <w:p>
      <w:pPr>
        <w:spacing w:after="40"/>
      </w:pPr>
    </w:p>
    <w:p>
      <w:pPr>
        <w:pStyle w:val="Heading2"/>
      </w:pPr>
      <w:r>
        <w:t>Additional – Privilege</w:t>
      </w:r>
    </w:p>
    <w:p>
      <w:pPr>
        <w:pStyle w:val="Heading3"/>
      </w:pPr>
      <w:r>
        <w:t>Issue 23 — Protection of pre-execution joint defense communications ((absent); new § 2.4) — Risk: High</w:t>
      </w:r>
    </w:p>
    <w:tbl>
      <w:tblPr>
        <w:tblStyle w:val="TableGrid"/>
        <w:tblW w:type="auto" w:w="0"/>
        <w:tblLook w:firstColumn="1" w:firstRow="1" w:lastColumn="0" w:lastRow="0" w:noHBand="0" w:noVBand="1" w:val="04A0"/>
      </w:tblPr>
      <w:tblGrid>
        <w:gridCol w:w="4680"/>
        <w:gridCol w:w="4680"/>
      </w:tblGrid>
      <w:tr>
        <w:tc>
          <w:tcPr>
            <w:tcW w:type="dxa" w:w="2088"/>
            <w:shd w:val="clear" w:color="auto" w:fill="E8EDF5"/>
          </w:tcPr>
          <w:p>
            <w:r/>
            <w:r>
              <w:rPr>
                <w:b/>
                <w:sz w:val="18"/>
              </w:rPr>
              <w:t>Draft provision</w:t>
            </w:r>
          </w:p>
        </w:tc>
        <w:tc>
          <w:tcPr>
            <w:tcW w:type="dxa" w:w="7272"/>
          </w:tcPr>
          <w:p>
            <w:r/>
            <w:r>
              <w:rPr>
                <w:sz w:val="18"/>
              </w:rPr>
              <w:t>The Agreement is effective as of the last signature date, and nothing addresses earlier joint communications.</w:t>
            </w:r>
          </w:p>
        </w:tc>
      </w:tr>
      <w:tr>
        <w:tc>
          <w:tcPr>
            <w:tcW w:type="dxa" w:w="2088"/>
            <w:shd w:val="clear" w:color="auto" w:fill="E8EDF5"/>
          </w:tcPr>
          <w:p>
            <w:r/>
            <w:r>
              <w:rPr>
                <w:b/>
                <w:sz w:val="18"/>
              </w:rPr>
              <w:t>Playbook standard (Not addressed by Playbook (strategic))</w:t>
            </w:r>
          </w:p>
        </w:tc>
        <w:tc>
          <w:tcPr>
            <w:tcW w:type="dxa" w:w="7272"/>
          </w:tcPr>
          <w:p>
            <w:r/>
            <w:r>
              <w:rPr>
                <w:sz w:val="18"/>
              </w:rPr>
              <w:t>This falls within the Playbook's privilege-preservation purpose (§ 1.1) and the dual-protection approach of § 8.</w:t>
            </w:r>
          </w:p>
        </w:tc>
      </w:tr>
      <w:tr>
        <w:tc>
          <w:tcPr>
            <w:tcW w:type="dxa" w:w="2088"/>
            <w:shd w:val="clear" w:color="auto" w:fill="E8EDF5"/>
          </w:tcPr>
          <w:p>
            <w:r/>
            <w:r>
              <w:rPr>
                <w:b/>
                <w:sz w:val="18"/>
              </w:rPr>
              <w:t>Deviation and risk</w:t>
            </w:r>
          </w:p>
        </w:tc>
        <w:tc>
          <w:tcPr>
            <w:tcW w:type="dxa" w:w="7272"/>
          </w:tcPr>
          <w:p>
            <w:r/>
            <w:r>
              <w:rPr>
                <w:sz w:val="18"/>
              </w:rPr>
              <w:t>The defendants have already coordinated substantively: a jointly retained expert (Dr. Harding) supported each defendant's March 28, 2025 class-certification opposition (Order § II.D), and coordination is continuing on a possible Rule 23(f) petition (due May 13, 2025) and the joint notice plan (due May 29, 2025). Given the number of Critical issues, the JDA is unlikely to be signed by May 23. An oral common-interest agreement can support the privilege, but a written record is much stronger.</w:t>
            </w:r>
          </w:p>
        </w:tc>
      </w:tr>
      <w:tr>
        <w:tc>
          <w:tcPr>
            <w:tcW w:type="dxa" w:w="2088"/>
            <w:shd w:val="clear" w:color="auto" w:fill="E8EDF5"/>
          </w:tcPr>
          <w:p>
            <w:r/>
            <w:r>
              <w:rPr>
                <w:b/>
                <w:sz w:val="18"/>
              </w:rPr>
              <w:t>Recommended position / redline</w:t>
            </w:r>
          </w:p>
        </w:tc>
        <w:tc>
          <w:tcPr>
            <w:tcW w:type="dxa" w:w="7272"/>
          </w:tcPr>
          <w:p>
            <w:r/>
            <w:r>
              <w:rPr>
                <w:sz w:val="18"/>
              </w:rPr>
              <w:t>New § 2.4 memorializes the oral common-interest arrangement from a date to be confirmed and applies the Agreement to all materials exchanged since then, including the expert, class-certification and Rule 23(f) work.</w:t>
            </w:r>
          </w:p>
        </w:tc>
      </w:tr>
      <w:tr>
        <w:tc>
          <w:tcPr>
            <w:tcW w:type="dxa" w:w="2088"/>
            <w:shd w:val="clear" w:color="auto" w:fill="E8EDF5"/>
          </w:tcPr>
          <w:p>
            <w:r/>
            <w:r>
              <w:rPr>
                <w:b/>
                <w:sz w:val="18"/>
              </w:rPr>
              <w:t>Fallback and negotiation</w:t>
            </w:r>
          </w:p>
        </w:tc>
        <w:tc>
          <w:tcPr>
            <w:tcW w:type="dxa" w:w="7272"/>
          </w:tcPr>
          <w:p>
            <w:r/>
            <w:r>
              <w:rPr>
                <w:sz w:val="18"/>
              </w:rPr>
              <w:t>Separately and immediately, propose a short interim common-interest letter (subject to GC approval) confirming that communications among defense counsel are made under a common-interest arrangement pending execution of a definitive JDA. Do not let the May 23 target pressure Vantage into accepting Prohibited terms.</w:t>
            </w:r>
          </w:p>
        </w:tc>
      </w:tr>
      <w:tr>
        <w:tc>
          <w:tcPr>
            <w:tcW w:type="dxa" w:w="2088"/>
            <w:shd w:val="clear" w:color="auto" w:fill="E8EDF5"/>
          </w:tcPr>
          <w:p>
            <w:r/>
            <w:r>
              <w:rPr>
                <w:b/>
                <w:sz w:val="18"/>
              </w:rPr>
              <w:t>Strategic notes / deadlines</w:t>
            </w:r>
          </w:p>
        </w:tc>
        <w:tc>
          <w:tcPr>
            <w:tcW w:type="dxa" w:w="7272"/>
          </w:tcPr>
          <w:p>
            <w:r/>
            <w:r>
              <w:rPr>
                <w:sz w:val="18"/>
              </w:rPr>
              <w:t>Rule 23(f) deadline: May 13, 2025. Notice plan: May 29, 2025.</w:t>
            </w:r>
          </w:p>
        </w:tc>
      </w:tr>
    </w:tbl>
    <w:p>
      <w:pPr>
        <w:spacing w:after="40"/>
      </w:pPr>
    </w:p>
    <w:p>
      <w:pPr>
        <w:pStyle w:val="Heading2"/>
      </w:pPr>
      <w:r>
        <w:t>Additional – Scope</w:t>
      </w:r>
    </w:p>
    <w:p>
      <w:pPr>
        <w:pStyle w:val="Heading3"/>
      </w:pPr>
      <w:r>
        <w:t>Issue 24 — "Related Proceeding" excludes civil follow-on actions (§ 1.6) — Risk: Medium</w:t>
      </w:r>
    </w:p>
    <w:tbl>
      <w:tblPr>
        <w:tblStyle w:val="TableGrid"/>
        <w:tblW w:type="auto" w:w="0"/>
        <w:tblLook w:firstColumn="1" w:firstRow="1" w:lastColumn="0" w:lastRow="0" w:noHBand="0" w:noVBand="1" w:val="04A0"/>
      </w:tblPr>
      <w:tblGrid>
        <w:gridCol w:w="4680"/>
        <w:gridCol w:w="4680"/>
      </w:tblGrid>
      <w:tr>
        <w:tc>
          <w:tcPr>
            <w:tcW w:type="dxa" w:w="2088"/>
            <w:shd w:val="clear" w:color="auto" w:fill="E8EDF5"/>
          </w:tcPr>
          <w:p>
            <w:r/>
            <w:r>
              <w:rPr>
                <w:b/>
                <w:sz w:val="18"/>
              </w:rPr>
              <w:t>Draft provision</w:t>
            </w:r>
          </w:p>
        </w:tc>
        <w:tc>
          <w:tcPr>
            <w:tcW w:type="dxa" w:w="7272"/>
          </w:tcPr>
          <w:p>
            <w:r/>
            <w:r>
              <w:rPr>
                <w:sz w:val="18"/>
              </w:rPr>
              <w:t>"Related Proceeding" covers only government investigations and proceedings.</w:t>
            </w:r>
          </w:p>
        </w:tc>
      </w:tr>
      <w:tr>
        <w:tc>
          <w:tcPr>
            <w:tcW w:type="dxa" w:w="2088"/>
            <w:shd w:val="clear" w:color="auto" w:fill="E8EDF5"/>
          </w:tcPr>
          <w:p>
            <w:r/>
            <w:r>
              <w:rPr>
                <w:b/>
                <w:sz w:val="18"/>
              </w:rPr>
              <w:t>Playbook standard (Not addressed by Playbook (strategic))</w:t>
            </w:r>
          </w:p>
        </w:tc>
        <w:tc>
          <w:tcPr>
            <w:tcW w:type="dxa" w:w="7272"/>
          </w:tcPr>
          <w:p>
            <w:r/>
            <w:r>
              <w:rPr>
                <w:sz w:val="18"/>
              </w:rPr>
              <w:t>Related to § 1.2 (applicability to related proceedings) and § 5 (follow-on exposure).</w:t>
            </w:r>
          </w:p>
        </w:tc>
      </w:tr>
      <w:tr>
        <w:tc>
          <w:tcPr>
            <w:tcW w:type="dxa" w:w="2088"/>
            <w:shd w:val="clear" w:color="auto" w:fill="E8EDF5"/>
          </w:tcPr>
          <w:p>
            <w:r/>
            <w:r>
              <w:rPr>
                <w:b/>
                <w:sz w:val="18"/>
              </w:rPr>
              <w:t>Deviation and risk</w:t>
            </w:r>
          </w:p>
        </w:tc>
        <w:tc>
          <w:tcPr>
            <w:tcW w:type="dxa" w:w="7272"/>
          </w:tcPr>
          <w:p>
            <w:r/>
            <w:r>
              <w:rPr>
                <w:sz w:val="18"/>
              </w:rPr>
              <w:t>Opt-out actions (after the notice plan and opt-out deadline), indirect-purchaser suits and state attorney general damages actions are foreseeable. Coordination in those cases would fall outside the Agreement and its privilege framework.</w:t>
            </w:r>
          </w:p>
        </w:tc>
      </w:tr>
      <w:tr>
        <w:tc>
          <w:tcPr>
            <w:tcW w:type="dxa" w:w="2088"/>
            <w:shd w:val="clear" w:color="auto" w:fill="E8EDF5"/>
          </w:tcPr>
          <w:p>
            <w:r/>
            <w:r>
              <w:rPr>
                <w:b/>
                <w:sz w:val="18"/>
              </w:rPr>
              <w:t>Recommended position / redline</w:t>
            </w:r>
          </w:p>
        </w:tc>
        <w:tc>
          <w:tcPr>
            <w:tcW w:type="dxa" w:w="7272"/>
          </w:tcPr>
          <w:p>
            <w:r/>
            <w:r>
              <w:rPr>
                <w:sz w:val="18"/>
              </w:rPr>
              <w:t>Extend the definition to related civil actions, including opt-out, indirect-purchaser and attorney general actions. Government matters remain subject to § 4.5.</w:t>
            </w:r>
          </w:p>
        </w:tc>
      </w:tr>
      <w:tr>
        <w:tc>
          <w:tcPr>
            <w:tcW w:type="dxa" w:w="2088"/>
            <w:shd w:val="clear" w:color="auto" w:fill="E8EDF5"/>
          </w:tcPr>
          <w:p>
            <w:r/>
            <w:r>
              <w:rPr>
                <w:b/>
                <w:sz w:val="18"/>
              </w:rPr>
              <w:t>Fallback and negotiation</w:t>
            </w:r>
          </w:p>
        </w:tc>
        <w:tc>
          <w:tcPr>
            <w:tcW w:type="dxa" w:w="7272"/>
          </w:tcPr>
          <w:p>
            <w:r/>
            <w:r>
              <w:rPr>
                <w:sz w:val="18"/>
              </w:rPr>
              <w:t>If this is resisted, provide for joinder of those actions to the Agreement by unanimous written consent.</w:t>
            </w:r>
          </w:p>
        </w:tc>
      </w:tr>
      <w:tr>
        <w:tc>
          <w:tcPr>
            <w:tcW w:type="dxa" w:w="2088"/>
            <w:shd w:val="clear" w:color="auto" w:fill="E8EDF5"/>
          </w:tcPr>
          <w:p>
            <w:r/>
            <w:r>
              <w:rPr>
                <w:b/>
                <w:sz w:val="18"/>
              </w:rPr>
              <w:t>Strategic notes / deadlines</w:t>
            </w:r>
          </w:p>
        </w:tc>
        <w:tc>
          <w:tcPr>
            <w:tcW w:type="dxa" w:w="7272"/>
          </w:tcPr>
          <w:p>
            <w:r/>
            <w:r>
              <w:rPr>
                <w:sz w:val="18"/>
              </w:rPr>
              <w:t>Opt-out timing depends on the notice plan due May 29, 2025.</w:t>
            </w:r>
          </w:p>
        </w:tc>
      </w:tr>
    </w:tbl>
    <w:p>
      <w:pPr>
        <w:spacing w:after="40"/>
      </w:pPr>
    </w:p>
    <w:p>
      <w:pPr>
        <w:pStyle w:val="Heading2"/>
      </w:pPr>
      <w:r>
        <w:t>Additional – Definitions</w:t>
      </w:r>
    </w:p>
    <w:p>
      <w:pPr>
        <w:pStyle w:val="Heading3"/>
      </w:pPr>
      <w:r>
        <w:t>Issue 25 — Joint Defense Material definition and use of own materials (§§ 1.4, 3.4) — Risk: Medium</w:t>
      </w:r>
    </w:p>
    <w:tbl>
      <w:tblPr>
        <w:tblStyle w:val="TableGrid"/>
        <w:tblW w:type="auto" w:w="0"/>
        <w:tblLook w:firstColumn="1" w:firstRow="1" w:lastColumn="0" w:lastRow="0" w:noHBand="0" w:noVBand="1" w:val="04A0"/>
      </w:tblPr>
      <w:tblGrid>
        <w:gridCol w:w="4680"/>
        <w:gridCol w:w="4680"/>
      </w:tblGrid>
      <w:tr>
        <w:tc>
          <w:tcPr>
            <w:tcW w:type="dxa" w:w="2088"/>
            <w:shd w:val="clear" w:color="auto" w:fill="E8EDF5"/>
          </w:tcPr>
          <w:p>
            <w:r/>
            <w:r>
              <w:rPr>
                <w:b/>
                <w:sz w:val="18"/>
              </w:rPr>
              <w:t>Draft provision</w:t>
            </w:r>
          </w:p>
        </w:tc>
        <w:tc>
          <w:tcPr>
            <w:tcW w:type="dxa" w:w="7272"/>
          </w:tcPr>
          <w:p>
            <w:r/>
            <w:r>
              <w:rPr>
                <w:sz w:val="18"/>
              </w:rPr>
              <w:t>Joint Defense Material includes all information shared, whether or not marked, and has no standard exclusions. Section 3.4 bars disclosure to any government agency without the provider's consent.</w:t>
            </w:r>
          </w:p>
        </w:tc>
      </w:tr>
      <w:tr>
        <w:tc>
          <w:tcPr>
            <w:tcW w:type="dxa" w:w="2088"/>
            <w:shd w:val="clear" w:color="auto" w:fill="E8EDF5"/>
          </w:tcPr>
          <w:p>
            <w:r/>
            <w:r>
              <w:rPr>
                <w:b/>
                <w:sz w:val="18"/>
              </w:rPr>
              <w:t>Playbook standard (Not addressed by Playbook (strategic))</w:t>
            </w:r>
          </w:p>
        </w:tc>
        <w:tc>
          <w:tcPr>
            <w:tcW w:type="dxa" w:w="7272"/>
          </w:tcPr>
          <w:p>
            <w:r/>
            <w:r>
              <w:rPr>
                <w:sz w:val="18"/>
              </w:rPr>
              <w:t>Related to § 9 (freedom in government matters) and § 14.</w:t>
            </w:r>
          </w:p>
        </w:tc>
      </w:tr>
      <w:tr>
        <w:tc>
          <w:tcPr>
            <w:tcW w:type="dxa" w:w="2088"/>
            <w:shd w:val="clear" w:color="auto" w:fill="E8EDF5"/>
          </w:tcPr>
          <w:p>
            <w:r/>
            <w:r>
              <w:rPr>
                <w:b/>
                <w:sz w:val="18"/>
              </w:rPr>
              <w:t>Deviation and risk</w:t>
            </w:r>
          </w:p>
        </w:tc>
        <w:tc>
          <w:tcPr>
            <w:tcW w:type="dxa" w:w="7272"/>
          </w:tcPr>
          <w:p>
            <w:r/>
            <w:r>
              <w:rPr>
                <w:sz w:val="18"/>
              </w:rPr>
              <w:t>Without exclusions for public, previously held or independently obtained information (including through formal discovery), Vantage could face claims that it misused information it is entitled to use. Ambiguity over whether a Party's own documents become restricted once shared could impair Vantage's own productions to government authorities.</w:t>
            </w:r>
          </w:p>
        </w:tc>
      </w:tr>
      <w:tr>
        <w:tc>
          <w:tcPr>
            <w:tcW w:type="dxa" w:w="2088"/>
            <w:shd w:val="clear" w:color="auto" w:fill="E8EDF5"/>
          </w:tcPr>
          <w:p>
            <w:r/>
            <w:r>
              <w:rPr>
                <w:b/>
                <w:sz w:val="18"/>
              </w:rPr>
              <w:t>Recommended position / redline</w:t>
            </w:r>
          </w:p>
        </w:tc>
        <w:tc>
          <w:tcPr>
            <w:tcW w:type="dxa" w:w="7272"/>
          </w:tcPr>
          <w:p>
            <w:r/>
            <w:r>
              <w:rPr>
                <w:sz w:val="18"/>
              </w:rPr>
              <w:t>Add standard exclusions and confirm that each Party may freely use and disclose its own materials (§ 1.4).</w:t>
            </w:r>
          </w:p>
        </w:tc>
      </w:tr>
      <w:tr>
        <w:tc>
          <w:tcPr>
            <w:tcW w:type="dxa" w:w="2088"/>
            <w:shd w:val="clear" w:color="auto" w:fill="E8EDF5"/>
          </w:tcPr>
          <w:p>
            <w:r/>
            <w:r>
              <w:rPr>
                <w:b/>
                <w:sz w:val="18"/>
              </w:rPr>
              <w:t>Fallback and negotiation</w:t>
            </w:r>
          </w:p>
        </w:tc>
        <w:tc>
          <w:tcPr>
            <w:tcW w:type="dxa" w:w="7272"/>
          </w:tcPr>
          <w:p>
            <w:r/>
            <w:r>
              <w:rPr>
                <w:sz w:val="18"/>
              </w:rPr>
              <w:t>The wording is flexible.</w:t>
            </w:r>
          </w:p>
        </w:tc>
      </w:tr>
      <w:tr>
        <w:tc>
          <w:tcPr>
            <w:tcW w:type="dxa" w:w="2088"/>
            <w:shd w:val="clear" w:color="auto" w:fill="E8EDF5"/>
          </w:tcPr>
          <w:p>
            <w:r/>
            <w:r>
              <w:rPr>
                <w:b/>
                <w:sz w:val="18"/>
              </w:rPr>
              <w:t>Strategic notes / deadlines</w:t>
            </w:r>
          </w:p>
        </w:tc>
        <w:tc>
          <w:tcPr>
            <w:tcW w:type="dxa" w:w="7272"/>
          </w:tcPr>
          <w:p>
            <w:r/>
            <w:r>
              <w:rPr>
                <w:sz w:val="18"/>
              </w:rPr>
              <w:t>This supports Issue 11.</w:t>
            </w:r>
          </w:p>
        </w:tc>
      </w:tr>
    </w:tbl>
    <w:p>
      <w:pPr>
        <w:spacing w:after="40"/>
      </w:pPr>
    </w:p>
    <w:p>
      <w:pPr>
        <w:pStyle w:val="Heading2"/>
      </w:pPr>
      <w:r>
        <w:t>Additional – Mechanics</w:t>
      </w:r>
    </w:p>
    <w:p>
      <w:pPr>
        <w:pStyle w:val="Heading3"/>
      </w:pPr>
      <w:r>
        <w:t>Issue 26 — Email notice effective only on recipient's confirmation (§ 12.2(c)) — Risk: Medium</w:t>
      </w:r>
    </w:p>
    <w:tbl>
      <w:tblPr>
        <w:tblStyle w:val="TableGrid"/>
        <w:tblW w:type="auto" w:w="0"/>
        <w:tblLook w:firstColumn="1" w:firstRow="1" w:lastColumn="0" w:lastRow="0" w:noHBand="0" w:noVBand="1" w:val="04A0"/>
      </w:tblPr>
      <w:tblGrid>
        <w:gridCol w:w="4680"/>
        <w:gridCol w:w="4680"/>
      </w:tblGrid>
      <w:tr>
        <w:tc>
          <w:tcPr>
            <w:tcW w:type="dxa" w:w="2088"/>
            <w:shd w:val="clear" w:color="auto" w:fill="E8EDF5"/>
          </w:tcPr>
          <w:p>
            <w:r/>
            <w:r>
              <w:rPr>
                <w:b/>
                <w:sz w:val="18"/>
              </w:rPr>
              <w:t>Draft provision</w:t>
            </w:r>
          </w:p>
        </w:tc>
        <w:tc>
          <w:tcPr>
            <w:tcW w:type="dxa" w:w="7272"/>
          </w:tcPr>
          <w:p>
            <w:r/>
            <w:r>
              <w:rPr>
                <w:sz w:val="18"/>
              </w:rPr>
              <w:t>Email notice is effective only "with confirmation of receipt by the recipient" (by reply, read receipt or similar).</w:t>
            </w:r>
          </w:p>
        </w:tc>
      </w:tr>
      <w:tr>
        <w:tc>
          <w:tcPr>
            <w:tcW w:type="dxa" w:w="2088"/>
            <w:shd w:val="clear" w:color="auto" w:fill="E8EDF5"/>
          </w:tcPr>
          <w:p>
            <w:r/>
            <w:r>
              <w:rPr>
                <w:b/>
                <w:sz w:val="18"/>
              </w:rPr>
              <w:t>Playbook standard (Not addressed by Playbook (strategic))</w:t>
            </w:r>
          </w:p>
        </w:tc>
        <w:tc>
          <w:tcPr>
            <w:tcW w:type="dxa" w:w="7272"/>
          </w:tcPr>
          <w:p>
            <w:r/>
            <w:r>
              <w:rPr>
                <w:sz w:val="18"/>
              </w:rPr>
              <w:t>Supports §§ 3 and 4 (short, certain notice periods).</w:t>
            </w:r>
          </w:p>
        </w:tc>
      </w:tr>
      <w:tr>
        <w:tc>
          <w:tcPr>
            <w:tcW w:type="dxa" w:w="2088"/>
            <w:shd w:val="clear" w:color="auto" w:fill="E8EDF5"/>
          </w:tcPr>
          <w:p>
            <w:r/>
            <w:r>
              <w:rPr>
                <w:b/>
                <w:sz w:val="18"/>
              </w:rPr>
              <w:t>Deviation and risk</w:t>
            </w:r>
          </w:p>
        </w:tc>
        <w:tc>
          <w:tcPr>
            <w:tcW w:type="dxa" w:w="7272"/>
          </w:tcPr>
          <w:p>
            <w:r/>
            <w:r>
              <w:rPr>
                <w:sz w:val="18"/>
              </w:rPr>
              <w:t>A co-defendant could delay the start of Vantage's withdrawal or settlement notice period simply by not confirming receipt.</w:t>
            </w:r>
          </w:p>
        </w:tc>
      </w:tr>
      <w:tr>
        <w:tc>
          <w:tcPr>
            <w:tcW w:type="dxa" w:w="2088"/>
            <w:shd w:val="clear" w:color="auto" w:fill="E8EDF5"/>
          </w:tcPr>
          <w:p>
            <w:r/>
            <w:r>
              <w:rPr>
                <w:b/>
                <w:sz w:val="18"/>
              </w:rPr>
              <w:t>Recommended position / redline</w:t>
            </w:r>
          </w:p>
        </w:tc>
        <w:tc>
          <w:tcPr>
            <w:tcW w:type="dxa" w:w="7272"/>
          </w:tcPr>
          <w:p>
            <w:r/>
            <w:r>
              <w:rPr>
                <w:sz w:val="18"/>
              </w:rPr>
              <w:t>Email notice is effective on transmission absent a bounce-back, and withdrawal and settlement notices sent to all Parties and counsel are effective on transmission.</w:t>
            </w:r>
          </w:p>
        </w:tc>
      </w:tr>
      <w:tr>
        <w:tc>
          <w:tcPr>
            <w:tcW w:type="dxa" w:w="2088"/>
            <w:shd w:val="clear" w:color="auto" w:fill="E8EDF5"/>
          </w:tcPr>
          <w:p>
            <w:r/>
            <w:r>
              <w:rPr>
                <w:b/>
                <w:sz w:val="18"/>
              </w:rPr>
              <w:t>Fallback and negotiation</w:t>
            </w:r>
          </w:p>
        </w:tc>
        <w:tc>
          <w:tcPr>
            <w:tcW w:type="dxa" w:w="7272"/>
          </w:tcPr>
          <w:p>
            <w:r/>
            <w:r>
              <w:rPr>
                <w:sz w:val="18"/>
              </w:rPr>
              <w:t>Same-day courier or hand delivery in parallel.</w:t>
            </w:r>
          </w:p>
        </w:tc>
      </w:tr>
      <w:tr>
        <w:tc>
          <w:tcPr>
            <w:tcW w:type="dxa" w:w="2088"/>
            <w:shd w:val="clear" w:color="auto" w:fill="E8EDF5"/>
          </w:tcPr>
          <w:p>
            <w:r/>
            <w:r>
              <w:rPr>
                <w:b/>
                <w:sz w:val="18"/>
              </w:rPr>
              <w:t>Strategic notes / deadlines</w:t>
            </w:r>
          </w:p>
        </w:tc>
        <w:tc>
          <w:tcPr>
            <w:tcW w:type="dxa" w:w="7272"/>
          </w:tcPr>
          <w:p>
            <w:r/>
            <w:r>
              <w:rPr>
                <w:sz w:val="18"/>
              </w:rPr>
              <w:t>Works together with the Schedule A corrections (Issue 27).</w:t>
            </w:r>
          </w:p>
        </w:tc>
      </w:tr>
    </w:tbl>
    <w:p>
      <w:pPr>
        <w:spacing w:after="40"/>
      </w:pPr>
    </w:p>
    <w:p>
      <w:pPr>
        <w:pStyle w:val="Heading2"/>
      </w:pPr>
      <w:r>
        <w:t>Additional – Schedule A</w:t>
      </w:r>
    </w:p>
    <w:p>
      <w:pPr>
        <w:pStyle w:val="Heading3"/>
      </w:pPr>
      <w:r>
        <w:t>Issue 27 — Inaccurate and generic counsel notice details (Schedule A) — Risk: Medium</w:t>
      </w:r>
    </w:p>
    <w:tbl>
      <w:tblPr>
        <w:tblStyle w:val="TableGrid"/>
        <w:tblW w:type="auto" w:w="0"/>
        <w:tblLook w:firstColumn="1" w:firstRow="1" w:lastColumn="0" w:lastRow="0" w:noHBand="0" w:noVBand="1" w:val="04A0"/>
      </w:tblPr>
      <w:tblGrid>
        <w:gridCol w:w="4680"/>
        <w:gridCol w:w="4680"/>
      </w:tblGrid>
      <w:tr>
        <w:tc>
          <w:tcPr>
            <w:tcW w:type="dxa" w:w="2088"/>
            <w:shd w:val="clear" w:color="auto" w:fill="E8EDF5"/>
          </w:tcPr>
          <w:p>
            <w:r/>
            <w:r>
              <w:rPr>
                <w:b/>
                <w:sz w:val="18"/>
              </w:rPr>
              <w:t>Draft provision</w:t>
            </w:r>
          </w:p>
        </w:tc>
        <w:tc>
          <w:tcPr>
            <w:tcW w:type="dxa" w:w="7272"/>
          </w:tcPr>
          <w:p>
            <w:r/>
            <w:r>
              <w:rPr>
                <w:sz w:val="18"/>
              </w:rPr>
              <w:t>Stonebridge's and TerraForge's counsel are listed as "Attn: Managing Partner" with info@ email addresses, and each firm's street address duplicates its client's principal address. Pryor's email, by contrast, is addressed to David A. Gould (dgould@gouldramirez.com) and Catherine L. Pettigrew (cpettigrew@pettigrewshaw.com). Pryor asked each firm to confirm its client's listing.</w:t>
            </w:r>
          </w:p>
        </w:tc>
      </w:tr>
      <w:tr>
        <w:tc>
          <w:tcPr>
            <w:tcW w:type="dxa" w:w="2088"/>
            <w:shd w:val="clear" w:color="auto" w:fill="E8EDF5"/>
          </w:tcPr>
          <w:p>
            <w:r/>
            <w:r>
              <w:rPr>
                <w:b/>
                <w:sz w:val="18"/>
              </w:rPr>
              <w:t>Playbook standard (Administrative (strategic))</w:t>
            </w:r>
          </w:p>
        </w:tc>
        <w:tc>
          <w:tcPr>
            <w:tcW w:type="dxa" w:w="7272"/>
          </w:tcPr>
          <w:p>
            <w:r/>
            <w:r>
              <w:rPr>
                <w:sz w:val="18"/>
              </w:rPr>
              <w:t>Supports §§ 3 and 4 and § 1.3 (GC control).</w:t>
            </w:r>
          </w:p>
        </w:tc>
      </w:tr>
      <w:tr>
        <w:tc>
          <w:tcPr>
            <w:tcW w:type="dxa" w:w="2088"/>
            <w:shd w:val="clear" w:color="auto" w:fill="E8EDF5"/>
          </w:tcPr>
          <w:p>
            <w:r/>
            <w:r>
              <w:rPr>
                <w:b/>
                <w:sz w:val="18"/>
              </w:rPr>
              <w:t>Deviation and risk</w:t>
            </w:r>
          </w:p>
        </w:tc>
        <w:tc>
          <w:tcPr>
            <w:tcW w:type="dxa" w:w="7272"/>
          </w:tcPr>
          <w:p>
            <w:r/>
            <w:r>
              <w:rPr>
                <w:sz w:val="18"/>
              </w:rPr>
              <w:t>Notices that control deadlines (withdrawal, settlement and subpoena notices) go to Schedule A addresses, so misdirected notices could be contested. Vantage's own listing is accurate: the principal address matches Compl. ¶ 12, and the counsel details match the email.</w:t>
            </w:r>
          </w:p>
        </w:tc>
      </w:tr>
      <w:tr>
        <w:tc>
          <w:tcPr>
            <w:tcW w:type="dxa" w:w="2088"/>
            <w:shd w:val="clear" w:color="auto" w:fill="E8EDF5"/>
          </w:tcPr>
          <w:p>
            <w:r/>
            <w:r>
              <w:rPr>
                <w:b/>
                <w:sz w:val="18"/>
              </w:rPr>
              <w:t>Recommended position / redline</w:t>
            </w:r>
          </w:p>
        </w:tc>
        <w:tc>
          <w:tcPr>
            <w:tcW w:type="dxa" w:w="7272"/>
          </w:tcPr>
          <w:p>
            <w:r/>
            <w:r>
              <w:rPr>
                <w:sz w:val="18"/>
              </w:rPr>
              <w:t>Correct the Stonebridge and TerraForge contacts, flag the firm addresses for confirmation, and add a required copy to Daniel W. Okafor, General Counsel, for Vantage.</w:t>
            </w:r>
          </w:p>
        </w:tc>
      </w:tr>
      <w:tr>
        <w:tc>
          <w:tcPr>
            <w:tcW w:type="dxa" w:w="2088"/>
            <w:shd w:val="clear" w:color="auto" w:fill="E8EDF5"/>
          </w:tcPr>
          <w:p>
            <w:r/>
            <w:r>
              <w:rPr>
                <w:b/>
                <w:sz w:val="18"/>
              </w:rPr>
              <w:t>Fallback and negotiation</w:t>
            </w:r>
          </w:p>
        </w:tc>
        <w:tc>
          <w:tcPr>
            <w:tcW w:type="dxa" w:w="7272"/>
          </w:tcPr>
          <w:p>
            <w:r/>
            <w:r>
              <w:rPr>
                <w:sz w:val="18"/>
              </w:rPr>
              <w:t>Not applicable.</w:t>
            </w:r>
          </w:p>
        </w:tc>
      </w:tr>
      <w:tr>
        <w:tc>
          <w:tcPr>
            <w:tcW w:type="dxa" w:w="2088"/>
            <w:shd w:val="clear" w:color="auto" w:fill="E8EDF5"/>
          </w:tcPr>
          <w:p>
            <w:r/>
            <w:r>
              <w:rPr>
                <w:b/>
                <w:sz w:val="18"/>
              </w:rPr>
              <w:t>Strategic notes / deadlines</w:t>
            </w:r>
          </w:p>
        </w:tc>
        <w:tc>
          <w:tcPr>
            <w:tcW w:type="dxa" w:w="7272"/>
          </w:tcPr>
          <w:p>
            <w:r/>
            <w:r>
              <w:rPr>
                <w:sz w:val="18"/>
              </w:rPr>
              <w:t>Confirm Vantage's listing to Pryor in the May 16 response.</w:t>
            </w:r>
          </w:p>
        </w:tc>
      </w:tr>
    </w:tbl>
    <w:p>
      <w:pPr>
        <w:spacing w:after="40"/>
      </w:pPr>
    </w:p>
    <w:p>
      <w:pPr>
        <w:pStyle w:val="Heading2"/>
      </w:pPr>
      <w:r>
        <w:t>Additional – Drafting</w:t>
      </w:r>
    </w:p>
    <w:p>
      <w:pPr>
        <w:pStyle w:val="Heading3"/>
      </w:pPr>
      <w:r>
        <w:t>Issue 28 — Stale recital, undefined terms, conforming errors (Recitals; §§ 5.1, 9.2, 12.9) — Risk: Low</w:t>
      </w:r>
    </w:p>
    <w:tbl>
      <w:tblPr>
        <w:tblStyle w:val="TableGrid"/>
        <w:tblW w:type="auto" w:w="0"/>
        <w:tblLook w:firstColumn="1" w:firstRow="1" w:lastColumn="0" w:lastRow="0" w:noHBand="0" w:noVBand="1" w:val="04A0"/>
      </w:tblPr>
      <w:tblGrid>
        <w:gridCol w:w="4680"/>
        <w:gridCol w:w="4680"/>
      </w:tblGrid>
      <w:tr>
        <w:tc>
          <w:tcPr>
            <w:tcW w:type="dxa" w:w="2088"/>
            <w:shd w:val="clear" w:color="auto" w:fill="E8EDF5"/>
          </w:tcPr>
          <w:p>
            <w:r/>
            <w:r>
              <w:rPr>
                <w:b/>
                <w:sz w:val="18"/>
              </w:rPr>
              <w:t>Draft provision</w:t>
            </w:r>
          </w:p>
        </w:tc>
        <w:tc>
          <w:tcPr>
            <w:tcW w:type="dxa" w:w="7272"/>
          </w:tcPr>
          <w:p>
            <w:r/>
            <w:r>
              <w:rPr>
                <w:sz w:val="18"/>
              </w:rPr>
              <w:t>The recital says the class is "purporting to act" although the class was certified on April 29, 2025. The May 23, 2025 return date is embedded in an operative recital. "Plaintiffs" (§ 9.2) and "Joint Defense" (§ 5.1) are undefined. Section 12.9 refers to an arbitrator.</w:t>
            </w:r>
          </w:p>
        </w:tc>
      </w:tr>
      <w:tr>
        <w:tc>
          <w:tcPr>
            <w:tcW w:type="dxa" w:w="2088"/>
            <w:shd w:val="clear" w:color="auto" w:fill="E8EDF5"/>
          </w:tcPr>
          <w:p>
            <w:r/>
            <w:r>
              <w:rPr>
                <w:b/>
                <w:sz w:val="18"/>
              </w:rPr>
              <w:t>Playbook standard (Drafting)</w:t>
            </w:r>
          </w:p>
        </w:tc>
        <w:tc>
          <w:tcPr>
            <w:tcW w:type="dxa" w:w="7272"/>
          </w:tcPr>
          <w:p>
            <w:r/>
            <w:r>
              <w:rPr>
                <w:sz w:val="18"/>
              </w:rPr>
              <w:t>Not applicable.</w:t>
            </w:r>
          </w:p>
        </w:tc>
      </w:tr>
      <w:tr>
        <w:tc>
          <w:tcPr>
            <w:tcW w:type="dxa" w:w="2088"/>
            <w:shd w:val="clear" w:color="auto" w:fill="E8EDF5"/>
          </w:tcPr>
          <w:p>
            <w:r/>
            <w:r>
              <w:rPr>
                <w:b/>
                <w:sz w:val="18"/>
              </w:rPr>
              <w:t>Deviation and risk</w:t>
            </w:r>
          </w:p>
        </w:tc>
        <w:tc>
          <w:tcPr>
            <w:tcW w:type="dxa" w:w="7272"/>
          </w:tcPr>
          <w:p>
            <w:r/>
            <w:r>
              <w:rPr>
                <w:sz w:val="18"/>
              </w:rPr>
              <w:t>These cause ambiguity in key provisions, particularly in identifying settlement counterparties under § 9.2.</w:t>
            </w:r>
          </w:p>
        </w:tc>
      </w:tr>
      <w:tr>
        <w:tc>
          <w:tcPr>
            <w:tcW w:type="dxa" w:w="2088"/>
            <w:shd w:val="clear" w:color="auto" w:fill="E8EDF5"/>
          </w:tcPr>
          <w:p>
            <w:r/>
            <w:r>
              <w:rPr>
                <w:b/>
                <w:sz w:val="18"/>
              </w:rPr>
              <w:t>Recommended position / redline</w:t>
            </w:r>
          </w:p>
        </w:tc>
        <w:tc>
          <w:tcPr>
            <w:tcW w:type="dxa" w:w="7272"/>
          </w:tcPr>
          <w:p>
            <w:r/>
            <w:r>
              <w:rPr>
                <w:sz w:val="18"/>
              </w:rPr>
              <w:t>Update the recital to reflect certification, define "Plaintiffs" and "Class," conform "Joint Defense" to "Common Defense," delete the execution-date recital, and conform § 12.9.</w:t>
            </w:r>
          </w:p>
        </w:tc>
      </w:tr>
      <w:tr>
        <w:tc>
          <w:tcPr>
            <w:tcW w:type="dxa" w:w="2088"/>
            <w:shd w:val="clear" w:color="auto" w:fill="E8EDF5"/>
          </w:tcPr>
          <w:p>
            <w:r/>
            <w:r>
              <w:rPr>
                <w:b/>
                <w:sz w:val="18"/>
              </w:rPr>
              <w:t>Fallback and negotiation</w:t>
            </w:r>
          </w:p>
        </w:tc>
        <w:tc>
          <w:tcPr>
            <w:tcW w:type="dxa" w:w="7272"/>
          </w:tcPr>
          <w:p>
            <w:r/>
            <w:r>
              <w:rPr>
                <w:sz w:val="18"/>
              </w:rPr>
              <w:t>Not applicable.</w:t>
            </w:r>
          </w:p>
        </w:tc>
      </w:tr>
      <w:tr>
        <w:tc>
          <w:tcPr>
            <w:tcW w:type="dxa" w:w="2088"/>
            <w:shd w:val="clear" w:color="auto" w:fill="E8EDF5"/>
          </w:tcPr>
          <w:p>
            <w:r/>
            <w:r>
              <w:rPr>
                <w:b/>
                <w:sz w:val="18"/>
              </w:rPr>
              <w:t>Strategic notes / deadlines</w:t>
            </w:r>
          </w:p>
        </w:tc>
        <w:tc>
          <w:tcPr>
            <w:tcW w:type="dxa" w:w="7272"/>
          </w:tcPr>
          <w:p>
            <w:r/>
            <w:r>
              <w:rPr>
                <w:sz w:val="18"/>
              </w:rPr>
              <w:t>None.</w:t>
            </w:r>
          </w:p>
        </w:tc>
      </w:tr>
    </w:tbl>
    <w:p>
      <w:pPr>
        <w:spacing w:after="40"/>
      </w:pPr>
    </w:p>
    <w:p>
      <w:pPr>
        <w:pStyle w:val="Heading1"/>
      </w:pPr>
      <w:r>
        <w:t>VI. Recommended Negotiation Strategy</w:t>
      </w:r>
    </w:p>
    <w:p>
      <w:pPr>
        <w:pStyle w:val="ListNumber"/>
        <w:spacing w:after="60"/>
      </w:pPr>
      <w:r>
        <w:rPr>
          <w:b/>
        </w:rPr>
        <w:t xml:space="preserve">Lead with the Critical items as conditions to signing. </w:t>
      </w:r>
      <w:r>
        <w:rPr>
          <w:b w:val="0"/>
        </w:rPr>
        <w:t>Present Issues 1, 2, 4, 5 and 7–11 as items Vantage needs in order to sign. Frame them as mutual, market-standard protections, most of which strengthen the group's privilege position.</w:t>
      </w:r>
    </w:p>
    <w:p>
      <w:pPr>
        <w:pStyle w:val="ListNumber"/>
        <w:spacing w:after="60"/>
      </w:pPr>
      <w:r>
        <w:rPr>
          <w:b/>
        </w:rPr>
        <w:t xml:space="preserve">Settlement notice is where Kerrigan-Holst will push back hardest. </w:t>
      </w:r>
      <w:r>
        <w:rPr>
          <w:b w:val="0"/>
        </w:rPr>
        <w:t>There is no flexibility above 10 business days or beyond existence and general nature. Use the Rule 23(e) point: any class settlement and its terms will be publicly filed for preliminary approval, so co-defendants lose nothing material. Kerrigan-Holst is equally exposed to being left behind by early settlers.</w:t>
      </w:r>
    </w:p>
    <w:p>
      <w:pPr>
        <w:pStyle w:val="ListNumber"/>
        <w:spacing w:after="60"/>
      </w:pPr>
      <w:r>
        <w:rPr>
          <w:b/>
        </w:rPr>
        <w:t xml:space="preserve">Accept the breadth of the scope, but only together with the carve-out. </w:t>
      </w:r>
      <w:r>
        <w:rPr>
          <w:b w:val="0"/>
        </w:rPr>
        <w:t>Vantage can agree that government investigations fall within the JDA, which helps privilege, as long as § 4.5 and its conforming changes are accepted in full.</w:t>
      </w:r>
    </w:p>
    <w:p>
      <w:pPr>
        <w:pStyle w:val="ListNumber"/>
        <w:spacing w:after="60"/>
      </w:pPr>
      <w:r>
        <w:rPr>
          <w:b/>
        </w:rPr>
        <w:t xml:space="preserve">Use cost allocation as the main concession. </w:t>
      </w:r>
      <w:r>
        <w:rPr>
          <w:b w:val="0"/>
        </w:rPr>
        <w:t>If needed, concede Kerrigan-Holst's fixed split (favorable to Vantage) in exchange for equal committee representation and the § 6.5 limits. Hold firm on the no-admission replacement sentence and the audit right.</w:t>
      </w:r>
    </w:p>
    <w:p>
      <w:pPr>
        <w:pStyle w:val="ListNumber"/>
        <w:spacing w:after="60"/>
      </w:pPr>
      <w:r>
        <w:rPr>
          <w:b/>
        </w:rPr>
        <w:t xml:space="preserve">Coordinate with Stonebridge and TerraForge </w:t>
      </w:r>
      <w:r>
        <w:rPr>
          <w:b w:val="0"/>
        </w:rPr>
        <w:t>on governance, settlement notice, withdrawal and Article X before the call during the week of May 12, under the interim common-interest letter and after GC approval.</w:t>
      </w:r>
    </w:p>
    <w:p>
      <w:pPr>
        <w:pStyle w:val="ListNumber"/>
        <w:spacing w:after="60"/>
      </w:pPr>
      <w:r>
        <w:rPr>
          <w:b/>
        </w:rPr>
        <w:t xml:space="preserve">Lower-priority items that can be traded: </w:t>
      </w:r>
      <w:r>
        <w:rPr>
          <w:b w:val="0"/>
        </w:rPr>
        <w:t>limitation of liability (§ 12.11), withdrawal cost tail (§ 7.2(d)), the no-admission clarification, the exact objection window (down to 3 business days), the § 5.2 dollar threshold, and the dispute-resolution fallbacks under § 12.2.</w:t>
      </w:r>
    </w:p>
    <w:p>
      <w:pPr>
        <w:pStyle w:val="ListNumber"/>
        <w:spacing w:after="60"/>
      </w:pPr>
      <w:r>
        <w:rPr>
          <w:b/>
        </w:rPr>
        <w:t xml:space="preserve">Do not let the May 23 target drive concessions. </w:t>
      </w:r>
      <w:r>
        <w:rPr>
          <w:b w:val="0"/>
        </w:rPr>
        <w:t>If the Critical items remain open on May 23, decline to execute and continue under the interim common-interest letter. That letter, together with new § 2.4, protects ongoing coordination.</w:t>
      </w:r>
    </w:p>
    <w:p>
      <w:pPr>
        <w:pStyle w:val="Heading1"/>
      </w:pPr>
      <w:r>
        <w:t>VII. Action Items</w:t>
      </w:r>
    </w:p>
    <w:tbl>
      <w:tblPr>
        <w:tblStyle w:val="TableGrid"/>
        <w:tblW w:type="auto" w:w="0"/>
        <w:jc w:val="center"/>
        <w:tblLook w:firstColumn="1" w:firstRow="1" w:lastColumn="0" w:lastRow="0" w:noHBand="0" w:noVBand="1" w:val="04A0"/>
      </w:tblPr>
      <w:tblGrid>
        <w:gridCol w:w="2340"/>
        <w:gridCol w:w="2340"/>
        <w:gridCol w:w="2340"/>
        <w:gridCol w:w="2340"/>
      </w:tblGrid>
      <w:tr>
        <w:trPr>
          <w:tblHeader w:val="true"/>
        </w:trPr>
        <w:tc>
          <w:tcPr>
            <w:tcW w:type="dxa" w:w="432"/>
            <w:shd w:val="clear" w:color="auto" w:fill="1F2A44"/>
          </w:tcPr>
          <w:p>
            <w:r/>
            <w:r>
              <w:rPr>
                <w:b/>
                <w:color w:val="FFFFFF"/>
                <w:sz w:val="17"/>
              </w:rPr>
              <w:t>#</w:t>
            </w:r>
          </w:p>
        </w:tc>
        <w:tc>
          <w:tcPr>
            <w:tcW w:type="dxa" w:w="5040"/>
            <w:shd w:val="clear" w:color="auto" w:fill="1F2A44"/>
          </w:tcPr>
          <w:p>
            <w:r/>
            <w:r>
              <w:rPr>
                <w:b/>
                <w:color w:val="FFFFFF"/>
                <w:sz w:val="17"/>
              </w:rPr>
              <w:t>Action</w:t>
            </w:r>
          </w:p>
        </w:tc>
        <w:tc>
          <w:tcPr>
            <w:tcW w:type="dxa" w:w="1728"/>
            <w:shd w:val="clear" w:color="auto" w:fill="1F2A44"/>
          </w:tcPr>
          <w:p>
            <w:r/>
            <w:r>
              <w:rPr>
                <w:b/>
                <w:color w:val="FFFFFF"/>
                <w:sz w:val="17"/>
              </w:rPr>
              <w:t>Owner</w:t>
            </w:r>
          </w:p>
        </w:tc>
        <w:tc>
          <w:tcPr>
            <w:tcW w:type="dxa" w:w="2160"/>
            <w:shd w:val="clear" w:color="auto" w:fill="1F2A44"/>
          </w:tcPr>
          <w:p>
            <w:r/>
            <w:r>
              <w:rPr>
                <w:b/>
                <w:color w:val="FFFFFF"/>
                <w:sz w:val="17"/>
              </w:rPr>
              <w:t>Target date</w:t>
            </w:r>
          </w:p>
        </w:tc>
      </w:tr>
      <w:tr>
        <w:tc>
          <w:tcPr>
            <w:tcW w:type="dxa" w:w="432"/>
          </w:tcPr>
          <w:p>
            <w:r/>
            <w:r>
              <w:rPr>
                <w:b w:val="0"/>
                <w:sz w:val="17"/>
              </w:rPr>
              <w:t>1</w:t>
            </w:r>
          </w:p>
        </w:tc>
        <w:tc>
          <w:tcPr>
            <w:tcW w:type="dxa" w:w="5040"/>
          </w:tcPr>
          <w:p>
            <w:r/>
            <w:r>
              <w:rPr>
                <w:b w:val="0"/>
                <w:sz w:val="17"/>
              </w:rPr>
              <w:t>Review and approve this memorandum and the enclosed redline, or direct revisions (Playbook § 16.3)</w:t>
            </w:r>
          </w:p>
        </w:tc>
        <w:tc>
          <w:tcPr>
            <w:tcW w:type="dxa" w:w="1728"/>
          </w:tcPr>
          <w:p>
            <w:r/>
            <w:r>
              <w:rPr>
                <w:b w:val="0"/>
                <w:sz w:val="17"/>
              </w:rPr>
              <w:t>GC</w:t>
            </w:r>
          </w:p>
        </w:tc>
        <w:tc>
          <w:tcPr>
            <w:tcW w:type="dxa" w:w="2160"/>
          </w:tcPr>
          <w:p>
            <w:r/>
            <w:r>
              <w:rPr>
                <w:b w:val="0"/>
                <w:sz w:val="17"/>
              </w:rPr>
              <w:t>May 12–13, 2025</w:t>
            </w:r>
          </w:p>
        </w:tc>
      </w:tr>
      <w:tr>
        <w:tc>
          <w:tcPr>
            <w:tcW w:type="dxa" w:w="432"/>
          </w:tcPr>
          <w:p>
            <w:r/>
            <w:r>
              <w:rPr>
                <w:b w:val="0"/>
                <w:sz w:val="17"/>
              </w:rPr>
              <w:t>2</w:t>
            </w:r>
          </w:p>
        </w:tc>
        <w:tc>
          <w:tcPr>
            <w:tcW w:type="dxa" w:w="5040"/>
          </w:tcPr>
          <w:p>
            <w:r/>
            <w:r>
              <w:rPr>
                <w:b w:val="0"/>
                <w:sz w:val="17"/>
              </w:rPr>
              <w:t>Confirm Playbook v4.2 is current (§ 1.2); obtain the operative Consolidated Amended Complaint (Mar. 4, 2024) and the latest Vasquez report for allocation inputs</w:t>
            </w:r>
          </w:p>
        </w:tc>
        <w:tc>
          <w:tcPr>
            <w:tcW w:type="dxa" w:w="1728"/>
          </w:tcPr>
          <w:p>
            <w:r/>
            <w:r>
              <w:rPr>
                <w:b w:val="0"/>
                <w:sz w:val="17"/>
              </w:rPr>
              <w:t>A&amp;K / OGC</w:t>
            </w:r>
          </w:p>
        </w:tc>
        <w:tc>
          <w:tcPr>
            <w:tcW w:type="dxa" w:w="2160"/>
          </w:tcPr>
          <w:p>
            <w:r/>
            <w:r>
              <w:rPr>
                <w:b w:val="0"/>
                <w:sz w:val="17"/>
              </w:rPr>
              <w:t>May 9, 2025</w:t>
            </w:r>
          </w:p>
        </w:tc>
      </w:tr>
      <w:tr>
        <w:tc>
          <w:tcPr>
            <w:tcW w:type="dxa" w:w="432"/>
          </w:tcPr>
          <w:p>
            <w:r/>
            <w:r>
              <w:rPr>
                <w:b w:val="0"/>
                <w:sz w:val="17"/>
              </w:rPr>
              <w:t>3</w:t>
            </w:r>
          </w:p>
        </w:tc>
        <w:tc>
          <w:tcPr>
            <w:tcW w:type="dxa" w:w="5040"/>
          </w:tcPr>
          <w:p>
            <w:r/>
            <w:r>
              <w:rPr>
                <w:b w:val="0"/>
                <w:sz w:val="17"/>
              </w:rPr>
              <w:t>Circulate a short interim common-interest letter to defense counsel confirming the existing oral arrangement pending a definitive JDA</w:t>
            </w:r>
          </w:p>
        </w:tc>
        <w:tc>
          <w:tcPr>
            <w:tcW w:type="dxa" w:w="1728"/>
          </w:tcPr>
          <w:p>
            <w:r/>
            <w:r>
              <w:rPr>
                <w:b w:val="0"/>
                <w:sz w:val="17"/>
              </w:rPr>
              <w:t>A&amp;K (after GC sign-off)</w:t>
            </w:r>
          </w:p>
        </w:tc>
        <w:tc>
          <w:tcPr>
            <w:tcW w:type="dxa" w:w="2160"/>
          </w:tcPr>
          <w:p>
            <w:r/>
            <w:r>
              <w:rPr>
                <w:b w:val="0"/>
                <w:sz w:val="17"/>
              </w:rPr>
              <w:t>Before May 13, 2025</w:t>
            </w:r>
          </w:p>
        </w:tc>
      </w:tr>
      <w:tr>
        <w:tc>
          <w:tcPr>
            <w:tcW w:type="dxa" w:w="432"/>
          </w:tcPr>
          <w:p>
            <w:r/>
            <w:r>
              <w:rPr>
                <w:b w:val="0"/>
                <w:sz w:val="17"/>
              </w:rPr>
              <w:t>4</w:t>
            </w:r>
          </w:p>
        </w:tc>
        <w:tc>
          <w:tcPr>
            <w:tcW w:type="dxa" w:w="5040"/>
          </w:tcPr>
          <w:p>
            <w:r/>
            <w:r>
              <w:rPr>
                <w:b w:val="0"/>
                <w:sz w:val="17"/>
              </w:rPr>
              <w:t>Make Vantage's Rule 23(f) decision; coordinate with co-defendants under the common-interest letter</w:t>
            </w:r>
          </w:p>
        </w:tc>
        <w:tc>
          <w:tcPr>
            <w:tcW w:type="dxa" w:w="1728"/>
          </w:tcPr>
          <w:p>
            <w:r/>
            <w:r>
              <w:rPr>
                <w:b w:val="0"/>
                <w:sz w:val="17"/>
              </w:rPr>
              <w:t>GC / A&amp;K</w:t>
            </w:r>
          </w:p>
        </w:tc>
        <w:tc>
          <w:tcPr>
            <w:tcW w:type="dxa" w:w="2160"/>
          </w:tcPr>
          <w:p>
            <w:r/>
            <w:r>
              <w:rPr>
                <w:b w:val="0"/>
                <w:sz w:val="17"/>
              </w:rPr>
              <w:t>May 13, 2025</w:t>
            </w:r>
          </w:p>
        </w:tc>
      </w:tr>
      <w:tr>
        <w:tc>
          <w:tcPr>
            <w:tcW w:type="dxa" w:w="432"/>
          </w:tcPr>
          <w:p>
            <w:r/>
            <w:r>
              <w:rPr>
                <w:b w:val="0"/>
                <w:sz w:val="17"/>
              </w:rPr>
              <w:t>5</w:t>
            </w:r>
          </w:p>
        </w:tc>
        <w:tc>
          <w:tcPr>
            <w:tcW w:type="dxa" w:w="5040"/>
          </w:tcPr>
          <w:p>
            <w:r/>
            <w:r>
              <w:rPr>
                <w:b w:val="0"/>
                <w:sz w:val="17"/>
              </w:rPr>
              <w:t>Attend the defense counsel call: preview topics only unless the GC has approved positions</w:t>
            </w:r>
          </w:p>
        </w:tc>
        <w:tc>
          <w:tcPr>
            <w:tcW w:type="dxa" w:w="1728"/>
          </w:tcPr>
          <w:p>
            <w:r/>
            <w:r>
              <w:rPr>
                <w:b w:val="0"/>
                <w:sz w:val="17"/>
              </w:rPr>
              <w:t>A&amp;K</w:t>
            </w:r>
          </w:p>
        </w:tc>
        <w:tc>
          <w:tcPr>
            <w:tcW w:type="dxa" w:w="2160"/>
          </w:tcPr>
          <w:p>
            <w:r/>
            <w:r>
              <w:rPr>
                <w:b w:val="0"/>
                <w:sz w:val="17"/>
              </w:rPr>
              <w:t>Week of May 12, 2025</w:t>
            </w:r>
          </w:p>
        </w:tc>
      </w:tr>
      <w:tr>
        <w:tc>
          <w:tcPr>
            <w:tcW w:type="dxa" w:w="432"/>
          </w:tcPr>
          <w:p>
            <w:r/>
            <w:r>
              <w:rPr>
                <w:b w:val="0"/>
                <w:sz w:val="17"/>
              </w:rPr>
              <w:t>6</w:t>
            </w:r>
          </w:p>
        </w:tc>
        <w:tc>
          <w:tcPr>
            <w:tcW w:type="dxa" w:w="5040"/>
          </w:tcPr>
          <w:p>
            <w:r/>
            <w:r>
              <w:rPr>
                <w:b w:val="0"/>
                <w:sz w:val="17"/>
              </w:rPr>
              <w:t>Send the written response to Pryor: acknowledgment, threshold concerns, Schedule A confirmation and the cleaned redline (internal comments removed, as approved)</w:t>
            </w:r>
          </w:p>
        </w:tc>
        <w:tc>
          <w:tcPr>
            <w:tcW w:type="dxa" w:w="1728"/>
          </w:tcPr>
          <w:p>
            <w:r/>
            <w:r>
              <w:rPr>
                <w:b w:val="0"/>
                <w:sz w:val="17"/>
              </w:rPr>
              <w:t>A&amp;K</w:t>
            </w:r>
          </w:p>
        </w:tc>
        <w:tc>
          <w:tcPr>
            <w:tcW w:type="dxa" w:w="2160"/>
          </w:tcPr>
          <w:p>
            <w:r/>
            <w:r>
              <w:rPr>
                <w:b w:val="0"/>
                <w:sz w:val="17"/>
              </w:rPr>
              <w:t>May 16, 2025</w:t>
            </w:r>
          </w:p>
        </w:tc>
      </w:tr>
      <w:tr>
        <w:tc>
          <w:tcPr>
            <w:tcW w:type="dxa" w:w="432"/>
          </w:tcPr>
          <w:p>
            <w:r/>
            <w:r>
              <w:rPr>
                <w:b w:val="0"/>
                <w:sz w:val="17"/>
              </w:rPr>
              <w:t>7</w:t>
            </w:r>
          </w:p>
        </w:tc>
        <w:tc>
          <w:tcPr>
            <w:tcW w:type="dxa" w:w="5040"/>
          </w:tcPr>
          <w:p>
            <w:r/>
            <w:r>
              <w:rPr>
                <w:b w:val="0"/>
                <w:sz w:val="17"/>
              </w:rPr>
              <w:t>Negotiate. Execute only if all Critical items are cured; any Preferred departures to be documented for the GC</w:t>
            </w:r>
          </w:p>
        </w:tc>
        <w:tc>
          <w:tcPr>
            <w:tcW w:type="dxa" w:w="1728"/>
          </w:tcPr>
          <w:p>
            <w:r/>
            <w:r>
              <w:rPr>
                <w:b w:val="0"/>
                <w:sz w:val="17"/>
              </w:rPr>
              <w:t>A&amp;K / GC</w:t>
            </w:r>
          </w:p>
        </w:tc>
        <w:tc>
          <w:tcPr>
            <w:tcW w:type="dxa" w:w="2160"/>
          </w:tcPr>
          <w:p>
            <w:r/>
            <w:r>
              <w:rPr>
                <w:b w:val="0"/>
                <w:sz w:val="17"/>
              </w:rPr>
              <w:t>Target May 23, 2025 (not binding on Vantage)</w:t>
            </w:r>
          </w:p>
        </w:tc>
      </w:tr>
      <w:tr>
        <w:tc>
          <w:tcPr>
            <w:tcW w:type="dxa" w:w="432"/>
          </w:tcPr>
          <w:p>
            <w:r/>
            <w:r>
              <w:rPr>
                <w:b w:val="0"/>
                <w:sz w:val="17"/>
              </w:rPr>
              <w:t>8</w:t>
            </w:r>
          </w:p>
        </w:tc>
        <w:tc>
          <w:tcPr>
            <w:tcW w:type="dxa" w:w="5040"/>
          </w:tcPr>
          <w:p>
            <w:r/>
            <w:r>
              <w:rPr>
                <w:b w:val="0"/>
                <w:sz w:val="17"/>
              </w:rPr>
              <w:t>Prepare the joint Rule 502(d) motion and proposed order; coordinate with the protective order and ESI protocol</w:t>
            </w:r>
          </w:p>
        </w:tc>
        <w:tc>
          <w:tcPr>
            <w:tcW w:type="dxa" w:w="1728"/>
          </w:tcPr>
          <w:p>
            <w:r/>
            <w:r>
              <w:rPr>
                <w:b w:val="0"/>
                <w:sz w:val="17"/>
              </w:rPr>
              <w:t>A&amp;K</w:t>
            </w:r>
          </w:p>
        </w:tc>
        <w:tc>
          <w:tcPr>
            <w:tcW w:type="dxa" w:w="2160"/>
          </w:tcPr>
          <w:p>
            <w:r/>
            <w:r>
              <w:rPr>
                <w:b w:val="0"/>
                <w:sz w:val="17"/>
              </w:rPr>
              <w:t>Draft now; file within 15 business days after execution and before the July 2025 production</w:t>
            </w:r>
          </w:p>
        </w:tc>
      </w:tr>
      <w:tr>
        <w:tc>
          <w:tcPr>
            <w:tcW w:type="dxa" w:w="432"/>
          </w:tcPr>
          <w:p>
            <w:r/>
            <w:r>
              <w:rPr>
                <w:b w:val="0"/>
                <w:sz w:val="17"/>
              </w:rPr>
              <w:t>9</w:t>
            </w:r>
          </w:p>
        </w:tc>
        <w:tc>
          <w:tcPr>
            <w:tcW w:type="dxa" w:w="5040"/>
          </w:tcPr>
          <w:p>
            <w:r/>
            <w:r>
              <w:rPr>
                <w:b w:val="0"/>
                <w:sz w:val="17"/>
              </w:rPr>
              <w:t>Configure internal document-management markings and a clean-team protocol for Competitively Sensitive Information (§ 15.2; JDA § 4.6)</w:t>
            </w:r>
          </w:p>
        </w:tc>
        <w:tc>
          <w:tcPr>
            <w:tcW w:type="dxa" w:w="1728"/>
          </w:tcPr>
          <w:p>
            <w:r/>
            <w:r>
              <w:rPr>
                <w:b w:val="0"/>
                <w:sz w:val="17"/>
              </w:rPr>
              <w:t>OGC / A&amp;K</w:t>
            </w:r>
          </w:p>
        </w:tc>
        <w:tc>
          <w:tcPr>
            <w:tcW w:type="dxa" w:w="2160"/>
          </w:tcPr>
          <w:p>
            <w:r/>
            <w:r>
              <w:rPr>
                <w:b w:val="0"/>
                <w:sz w:val="17"/>
              </w:rPr>
              <w:t>On execution</w:t>
            </w:r>
          </w:p>
        </w:tc>
      </w:tr>
      <w:tr>
        <w:tc>
          <w:tcPr>
            <w:tcW w:type="dxa" w:w="432"/>
          </w:tcPr>
          <w:p>
            <w:r/>
            <w:r>
              <w:rPr>
                <w:b w:val="0"/>
                <w:sz w:val="17"/>
              </w:rPr>
              <w:t>10</w:t>
            </w:r>
          </w:p>
        </w:tc>
        <w:tc>
          <w:tcPr>
            <w:tcW w:type="dxa" w:w="5040"/>
          </w:tcPr>
          <w:p>
            <w:r/>
            <w:r>
              <w:rPr>
                <w:b w:val="0"/>
                <w:sz w:val="17"/>
              </w:rPr>
              <w:t>Monitor the notice plan (due May 29, 2025) and the opt-out deadline for follow-on actions</w:t>
            </w:r>
          </w:p>
        </w:tc>
        <w:tc>
          <w:tcPr>
            <w:tcW w:type="dxa" w:w="1728"/>
          </w:tcPr>
          <w:p>
            <w:r/>
            <w:r>
              <w:rPr>
                <w:b w:val="0"/>
                <w:sz w:val="17"/>
              </w:rPr>
              <w:t>A&amp;K</w:t>
            </w:r>
          </w:p>
        </w:tc>
        <w:tc>
          <w:tcPr>
            <w:tcW w:type="dxa" w:w="2160"/>
          </w:tcPr>
          <w:p>
            <w:r/>
            <w:r>
              <w:rPr>
                <w:b w:val="0"/>
                <w:sz w:val="17"/>
              </w:rPr>
              <w:t>May 29, 2025 onward</w:t>
            </w:r>
          </w:p>
        </w:tc>
      </w:tr>
    </w:tbl>
    <w:p>
      <w:pPr>
        <w:spacing w:after="40"/>
      </w:pPr>
    </w:p>
    <w:p>
      <w:pPr>
        <w:pStyle w:val="Heading1"/>
      </w:pPr>
      <w:r>
        <w:t>Appendix A — Playbook Compliance Matrix (§§ 3–15)</w:t>
      </w:r>
    </w:p>
    <w:tbl>
      <w:tblPr>
        <w:tblStyle w:val="TableGrid"/>
        <w:tblW w:type="auto" w:w="0"/>
        <w:jc w:val="center"/>
        <w:tblLook w:firstColumn="1" w:firstRow="1" w:lastColumn="0" w:lastRow="0" w:noHBand="0" w:noVBand="1" w:val="04A0"/>
      </w:tblPr>
      <w:tblGrid>
        <w:gridCol w:w="1560"/>
        <w:gridCol w:w="1560"/>
        <w:gridCol w:w="1560"/>
        <w:gridCol w:w="1560"/>
        <w:gridCol w:w="1560"/>
        <w:gridCol w:w="1560"/>
      </w:tblGrid>
      <w:tr>
        <w:trPr>
          <w:tblHeader w:val="true"/>
        </w:trPr>
        <w:tc>
          <w:tcPr>
            <w:tcW w:type="dxa" w:w="864"/>
            <w:shd w:val="clear" w:color="auto" w:fill="1F2A44"/>
          </w:tcPr>
          <w:p>
            <w:r/>
            <w:r>
              <w:rPr>
                <w:b/>
                <w:color w:val="FFFFFF"/>
                <w:sz w:val="16"/>
              </w:rPr>
              <w:t>Playbook §</w:t>
            </w:r>
          </w:p>
        </w:tc>
        <w:tc>
          <w:tcPr>
            <w:tcW w:type="dxa" w:w="1584"/>
            <w:shd w:val="clear" w:color="auto" w:fill="1F2A44"/>
          </w:tcPr>
          <w:p>
            <w:r/>
            <w:r>
              <w:rPr>
                <w:b/>
                <w:color w:val="FFFFFF"/>
                <w:sz w:val="16"/>
              </w:rPr>
              <w:t>Topic</w:t>
            </w:r>
          </w:p>
        </w:tc>
        <w:tc>
          <w:tcPr>
            <w:tcW w:type="dxa" w:w="1368"/>
            <w:shd w:val="clear" w:color="auto" w:fill="1F2A44"/>
          </w:tcPr>
          <w:p>
            <w:r/>
            <w:r>
              <w:rPr>
                <w:b/>
                <w:color w:val="FFFFFF"/>
                <w:sz w:val="16"/>
              </w:rPr>
              <w:t>Tier</w:t>
            </w:r>
          </w:p>
        </w:tc>
        <w:tc>
          <w:tcPr>
            <w:tcW w:type="dxa" w:w="2520"/>
            <w:shd w:val="clear" w:color="auto" w:fill="1F2A44"/>
          </w:tcPr>
          <w:p>
            <w:r/>
            <w:r>
              <w:rPr>
                <w:b/>
                <w:color w:val="FFFFFF"/>
                <w:sz w:val="16"/>
              </w:rPr>
              <w:t>Draft JDA</w:t>
            </w:r>
          </w:p>
        </w:tc>
        <w:tc>
          <w:tcPr>
            <w:tcW w:type="dxa" w:w="1512"/>
            <w:shd w:val="clear" w:color="auto" w:fill="1F2A44"/>
          </w:tcPr>
          <w:p>
            <w:r/>
            <w:r>
              <w:rPr>
                <w:b/>
                <w:color w:val="FFFFFF"/>
                <w:sz w:val="16"/>
              </w:rPr>
              <w:t>Status</w:t>
            </w:r>
          </w:p>
        </w:tc>
        <w:tc>
          <w:tcPr>
            <w:tcW w:type="dxa" w:w="1512"/>
            <w:shd w:val="clear" w:color="auto" w:fill="1F2A44"/>
          </w:tcPr>
          <w:p>
            <w:r/>
            <w:r>
              <w:rPr>
                <w:b/>
                <w:color w:val="FFFFFF"/>
                <w:sz w:val="16"/>
              </w:rPr>
              <w:t>Redline</w:t>
            </w:r>
          </w:p>
        </w:tc>
      </w:tr>
      <w:tr>
        <w:tc>
          <w:tcPr>
            <w:tcW w:type="dxa" w:w="864"/>
          </w:tcPr>
          <w:p>
            <w:r/>
            <w:r>
              <w:rPr>
                <w:b w:val="0"/>
                <w:sz w:val="16"/>
              </w:rPr>
              <w:t>§ 3</w:t>
            </w:r>
          </w:p>
        </w:tc>
        <w:tc>
          <w:tcPr>
            <w:tcW w:type="dxa" w:w="1584"/>
          </w:tcPr>
          <w:p>
            <w:r/>
            <w:r>
              <w:rPr>
                <w:b w:val="0"/>
                <w:sz w:val="16"/>
              </w:rPr>
              <w:t>Withdrawal rights</w:t>
            </w:r>
          </w:p>
        </w:tc>
        <w:tc>
          <w:tcPr>
            <w:tcW w:type="dxa" w:w="1368"/>
          </w:tcPr>
          <w:p>
            <w:r/>
            <w:r>
              <w:rPr>
                <w:b w:val="0"/>
                <w:sz w:val="16"/>
              </w:rPr>
              <w:t>Required / Prohibited</w:t>
            </w:r>
          </w:p>
        </w:tc>
        <w:tc>
          <w:tcPr>
            <w:tcW w:type="dxa" w:w="2520"/>
          </w:tcPr>
          <w:p>
            <w:r/>
            <w:r>
              <w:rPr>
                <w:b w:val="0"/>
                <w:sz w:val="16"/>
              </w:rPr>
              <w:t>30-day notice (§ 7.1); blanket return/destroy (§ 7.2(b)); unconditional otherwise</w:t>
            </w:r>
          </w:p>
        </w:tc>
        <w:tc>
          <w:tcPr>
            <w:tcW w:type="dxa" w:w="1512"/>
          </w:tcPr>
          <w:p>
            <w:r/>
            <w:r>
              <w:rPr>
                <w:b w:val="0"/>
                <w:sz w:val="16"/>
              </w:rPr>
              <w:t>Prohibited terms present</w:t>
            </w:r>
          </w:p>
        </w:tc>
        <w:tc>
          <w:tcPr>
            <w:tcW w:type="dxa" w:w="1512"/>
          </w:tcPr>
          <w:p>
            <w:r/>
            <w:r>
              <w:rPr>
                <w:b w:val="0"/>
                <w:sz w:val="16"/>
              </w:rPr>
              <w:t>§§ 1.8, 7.1, 7.2</w:t>
            </w:r>
          </w:p>
        </w:tc>
      </w:tr>
      <w:tr>
        <w:tc>
          <w:tcPr>
            <w:tcW w:type="dxa" w:w="864"/>
          </w:tcPr>
          <w:p>
            <w:r/>
            <w:r>
              <w:rPr>
                <w:b w:val="0"/>
                <w:sz w:val="16"/>
              </w:rPr>
              <w:t>§ 4</w:t>
            </w:r>
          </w:p>
        </w:tc>
        <w:tc>
          <w:tcPr>
            <w:tcW w:type="dxa" w:w="1584"/>
          </w:tcPr>
          <w:p>
            <w:r/>
            <w:r>
              <w:rPr>
                <w:b w:val="0"/>
                <w:sz w:val="16"/>
              </w:rPr>
              <w:t>Settlement notice</w:t>
            </w:r>
          </w:p>
        </w:tc>
        <w:tc>
          <w:tcPr>
            <w:tcW w:type="dxa" w:w="1368"/>
          </w:tcPr>
          <w:p>
            <w:r/>
            <w:r>
              <w:rPr>
                <w:b w:val="0"/>
                <w:sz w:val="16"/>
              </w:rPr>
              <w:t>Required + Prohibited</w:t>
            </w:r>
          </w:p>
        </w:tc>
        <w:tc>
          <w:tcPr>
            <w:tcW w:type="dxa" w:w="2520"/>
          </w:tcPr>
          <w:p>
            <w:r/>
            <w:r>
              <w:rPr>
                <w:b w:val="0"/>
                <w:sz w:val="16"/>
              </w:rPr>
              <w:t>45 calendar days; "intends to negotiate" trigger; all material terms (§ 9.2); consultation on terms (§ 9.3)</w:t>
            </w:r>
          </w:p>
        </w:tc>
        <w:tc>
          <w:tcPr>
            <w:tcW w:type="dxa" w:w="1512"/>
          </w:tcPr>
          <w:p>
            <w:r/>
            <w:r>
              <w:rPr>
                <w:b w:val="0"/>
                <w:sz w:val="16"/>
              </w:rPr>
              <w:t>Fails Required; Prohibited term present</w:t>
            </w:r>
          </w:p>
        </w:tc>
        <w:tc>
          <w:tcPr>
            <w:tcW w:type="dxa" w:w="1512"/>
          </w:tcPr>
          <w:p>
            <w:r/>
            <w:r>
              <w:rPr>
                <w:b w:val="0"/>
                <w:sz w:val="16"/>
              </w:rPr>
              <w:t>§§ 9.2–9.4</w:t>
            </w:r>
          </w:p>
        </w:tc>
      </w:tr>
      <w:tr>
        <w:tc>
          <w:tcPr>
            <w:tcW w:type="dxa" w:w="864"/>
          </w:tcPr>
          <w:p>
            <w:r/>
            <w:r>
              <w:rPr>
                <w:b w:val="0"/>
                <w:sz w:val="16"/>
              </w:rPr>
              <w:t>§ 5</w:t>
            </w:r>
          </w:p>
        </w:tc>
        <w:tc>
          <w:tcPr>
            <w:tcW w:type="dxa" w:w="1584"/>
          </w:tcPr>
          <w:p>
            <w:r/>
            <w:r>
              <w:rPr>
                <w:b w:val="0"/>
                <w:sz w:val="16"/>
              </w:rPr>
              <w:t>Surviving obligations</w:t>
            </w:r>
          </w:p>
        </w:tc>
        <w:tc>
          <w:tcPr>
            <w:tcW w:type="dxa" w:w="1368"/>
          </w:tcPr>
          <w:p>
            <w:r/>
            <w:r>
              <w:rPr>
                <w:b w:val="0"/>
                <w:sz w:val="16"/>
              </w:rPr>
              <w:t>Required / Prohibited</w:t>
            </w:r>
          </w:p>
        </w:tc>
        <w:tc>
          <w:tcPr>
            <w:tcW w:type="dxa" w:w="2520"/>
          </w:tcPr>
          <w:p>
            <w:r/>
            <w:r>
              <w:rPr>
                <w:b w:val="0"/>
                <w:sz w:val="16"/>
              </w:rPr>
              <w:t>3 years (§ 8.1)</w:t>
            </w:r>
          </w:p>
        </w:tc>
        <w:tc>
          <w:tcPr>
            <w:tcW w:type="dxa" w:w="1512"/>
          </w:tcPr>
          <w:p>
            <w:r/>
            <w:r>
              <w:rPr>
                <w:b w:val="0"/>
                <w:sz w:val="16"/>
              </w:rPr>
              <w:t>Prohibited term present</w:t>
            </w:r>
          </w:p>
        </w:tc>
        <w:tc>
          <w:tcPr>
            <w:tcW w:type="dxa" w:w="1512"/>
          </w:tcPr>
          <w:p>
            <w:r/>
            <w:r>
              <w:rPr>
                <w:b w:val="0"/>
                <w:sz w:val="16"/>
              </w:rPr>
              <w:t>§§ 8.1–8.2</w:t>
            </w:r>
          </w:p>
        </w:tc>
      </w:tr>
      <w:tr>
        <w:tc>
          <w:tcPr>
            <w:tcW w:type="dxa" w:w="864"/>
          </w:tcPr>
          <w:p>
            <w:r/>
            <w:r>
              <w:rPr>
                <w:b w:val="0"/>
                <w:sz w:val="16"/>
              </w:rPr>
              <w:t>§ 6</w:t>
            </w:r>
          </w:p>
        </w:tc>
        <w:tc>
          <w:tcPr>
            <w:tcW w:type="dxa" w:w="1584"/>
          </w:tcPr>
          <w:p>
            <w:r/>
            <w:r>
              <w:rPr>
                <w:b w:val="0"/>
                <w:sz w:val="16"/>
              </w:rPr>
              <w:t>Conflicts waiver</w:t>
            </w:r>
          </w:p>
        </w:tc>
        <w:tc>
          <w:tcPr>
            <w:tcW w:type="dxa" w:w="1368"/>
          </w:tcPr>
          <w:p>
            <w:r/>
            <w:r>
              <w:rPr>
                <w:b w:val="0"/>
                <w:sz w:val="16"/>
              </w:rPr>
              <w:t>Required + Prohibited</w:t>
            </w:r>
          </w:p>
        </w:tc>
        <w:tc>
          <w:tcPr>
            <w:tcW w:type="dxa" w:w="2520"/>
          </w:tcPr>
          <w:p>
            <w:r/>
            <w:r>
              <w:rPr>
                <w:b w:val="0"/>
                <w:sz w:val="16"/>
              </w:rPr>
              <w:t>Blanket waiver "without limitation"; no carve-out (§ 11.1)</w:t>
            </w:r>
          </w:p>
        </w:tc>
        <w:tc>
          <w:tcPr>
            <w:tcW w:type="dxa" w:w="1512"/>
          </w:tcPr>
          <w:p>
            <w:r/>
            <w:r>
              <w:rPr>
                <w:b w:val="0"/>
                <w:sz w:val="16"/>
              </w:rPr>
              <w:t>Prohibited term present</w:t>
            </w:r>
          </w:p>
        </w:tc>
        <w:tc>
          <w:tcPr>
            <w:tcW w:type="dxa" w:w="1512"/>
          </w:tcPr>
          <w:p>
            <w:r/>
            <w:r>
              <w:rPr>
                <w:b w:val="0"/>
                <w:sz w:val="16"/>
              </w:rPr>
              <w:t>§§ 2.3, 11.1, 11.3–11.4</w:t>
            </w:r>
          </w:p>
        </w:tc>
      </w:tr>
      <w:tr>
        <w:tc>
          <w:tcPr>
            <w:tcW w:type="dxa" w:w="864"/>
          </w:tcPr>
          <w:p>
            <w:r/>
            <w:r>
              <w:rPr>
                <w:b w:val="0"/>
                <w:sz w:val="16"/>
              </w:rPr>
              <w:t>§ 7</w:t>
            </w:r>
          </w:p>
        </w:tc>
        <w:tc>
          <w:tcPr>
            <w:tcW w:type="dxa" w:w="1584"/>
          </w:tcPr>
          <w:p>
            <w:r/>
            <w:r>
              <w:rPr>
                <w:b w:val="0"/>
                <w:sz w:val="16"/>
              </w:rPr>
              <w:t>Governing law</w:t>
            </w:r>
          </w:p>
        </w:tc>
        <w:tc>
          <w:tcPr>
            <w:tcW w:type="dxa" w:w="1368"/>
          </w:tcPr>
          <w:p>
            <w:r/>
            <w:r>
              <w:rPr>
                <w:b w:val="0"/>
                <w:sz w:val="16"/>
              </w:rPr>
              <w:t>Required / Prohibited</w:t>
            </w:r>
          </w:p>
        </w:tc>
        <w:tc>
          <w:tcPr>
            <w:tcW w:type="dxa" w:w="2520"/>
          </w:tcPr>
          <w:p>
            <w:r/>
            <w:r>
              <w:rPr>
                <w:b w:val="0"/>
                <w:sz w:val="16"/>
              </w:rPr>
              <w:t>New York (§ 12.3)</w:t>
            </w:r>
          </w:p>
        </w:tc>
        <w:tc>
          <w:tcPr>
            <w:tcW w:type="dxa" w:w="1512"/>
          </w:tcPr>
          <w:p>
            <w:r/>
            <w:r>
              <w:rPr>
                <w:b w:val="0"/>
                <w:sz w:val="16"/>
              </w:rPr>
              <w:t>Prohibited term present</w:t>
            </w:r>
          </w:p>
        </w:tc>
        <w:tc>
          <w:tcPr>
            <w:tcW w:type="dxa" w:w="1512"/>
          </w:tcPr>
          <w:p>
            <w:r/>
            <w:r>
              <w:rPr>
                <w:b w:val="0"/>
                <w:sz w:val="16"/>
              </w:rPr>
              <w:t>§ 12.3</w:t>
            </w:r>
          </w:p>
        </w:tc>
      </w:tr>
      <w:tr>
        <w:tc>
          <w:tcPr>
            <w:tcW w:type="dxa" w:w="864"/>
          </w:tcPr>
          <w:p>
            <w:r/>
            <w:r>
              <w:rPr>
                <w:b w:val="0"/>
                <w:sz w:val="16"/>
              </w:rPr>
              <w:t>§ 8</w:t>
            </w:r>
          </w:p>
        </w:tc>
        <w:tc>
          <w:tcPr>
            <w:tcW w:type="dxa" w:w="1584"/>
          </w:tcPr>
          <w:p>
            <w:r/>
            <w:r>
              <w:rPr>
                <w:b w:val="0"/>
                <w:sz w:val="16"/>
              </w:rPr>
              <w:t>Clawback / 502(d)</w:t>
            </w:r>
          </w:p>
        </w:tc>
        <w:tc>
          <w:tcPr>
            <w:tcW w:type="dxa" w:w="1368"/>
          </w:tcPr>
          <w:p>
            <w:r/>
            <w:r>
              <w:rPr>
                <w:b w:val="0"/>
                <w:sz w:val="16"/>
              </w:rPr>
              <w:t>Required / Prohibited</w:t>
            </w:r>
          </w:p>
        </w:tc>
        <w:tc>
          <w:tcPr>
            <w:tcW w:type="dxa" w:w="2520"/>
          </w:tcPr>
          <w:p>
            <w:r/>
            <w:r>
              <w:rPr>
                <w:b w:val="0"/>
                <w:sz w:val="16"/>
              </w:rPr>
              <w:t>Silent</w:t>
            </w:r>
          </w:p>
        </w:tc>
        <w:tc>
          <w:tcPr>
            <w:tcW w:type="dxa" w:w="1512"/>
          </w:tcPr>
          <w:p>
            <w:r/>
            <w:r>
              <w:rPr>
                <w:b w:val="0"/>
                <w:sz w:val="16"/>
              </w:rPr>
              <w:t>Prohibited omission</w:t>
            </w:r>
          </w:p>
        </w:tc>
        <w:tc>
          <w:tcPr>
            <w:tcW w:type="dxa" w:w="1512"/>
          </w:tcPr>
          <w:p>
            <w:r/>
            <w:r>
              <w:rPr>
                <w:b w:val="0"/>
                <w:sz w:val="16"/>
              </w:rPr>
              <w:t>§ 3.6</w:t>
            </w:r>
          </w:p>
        </w:tc>
      </w:tr>
      <w:tr>
        <w:tc>
          <w:tcPr>
            <w:tcW w:type="dxa" w:w="864"/>
          </w:tcPr>
          <w:p>
            <w:r/>
            <w:r>
              <w:rPr>
                <w:b w:val="0"/>
                <w:sz w:val="16"/>
              </w:rPr>
              <w:t>§ 9</w:t>
            </w:r>
          </w:p>
        </w:tc>
        <w:tc>
          <w:tcPr>
            <w:tcW w:type="dxa" w:w="1584"/>
          </w:tcPr>
          <w:p>
            <w:r/>
            <w:r>
              <w:rPr>
                <w:b w:val="0"/>
                <w:sz w:val="16"/>
              </w:rPr>
              <w:t>Government-investigation carve-out</w:t>
            </w:r>
          </w:p>
        </w:tc>
        <w:tc>
          <w:tcPr>
            <w:tcW w:type="dxa" w:w="1368"/>
          </w:tcPr>
          <w:p>
            <w:r/>
            <w:r>
              <w:rPr>
                <w:b w:val="0"/>
                <w:sz w:val="16"/>
              </w:rPr>
              <w:t>Required / Prohibited</w:t>
            </w:r>
          </w:p>
        </w:tc>
        <w:tc>
          <w:tcPr>
            <w:tcW w:type="dxa" w:w="2520"/>
          </w:tcPr>
          <w:p>
            <w:r/>
            <w:r>
              <w:rPr>
                <w:b w:val="0"/>
                <w:sz w:val="16"/>
              </w:rPr>
              <w:t>Silent; "all" materials sharing (§ 4.1)</w:t>
            </w:r>
          </w:p>
        </w:tc>
        <w:tc>
          <w:tcPr>
            <w:tcW w:type="dxa" w:w="1512"/>
          </w:tcPr>
          <w:p>
            <w:r/>
            <w:r>
              <w:rPr>
                <w:b w:val="0"/>
                <w:sz w:val="16"/>
              </w:rPr>
              <w:t>Prohibited omission and term</w:t>
            </w:r>
          </w:p>
        </w:tc>
        <w:tc>
          <w:tcPr>
            <w:tcW w:type="dxa" w:w="1512"/>
          </w:tcPr>
          <w:p>
            <w:r/>
            <w:r>
              <w:rPr>
                <w:b w:val="0"/>
                <w:sz w:val="16"/>
              </w:rPr>
              <w:t>§§ 1.6, 1.9, 2.1, 4.1, 4.5, 6.2, 6.5, 9.2</w:t>
            </w:r>
          </w:p>
        </w:tc>
      </w:tr>
      <w:tr>
        <w:tc>
          <w:tcPr>
            <w:tcW w:type="dxa" w:w="864"/>
          </w:tcPr>
          <w:p>
            <w:r/>
            <w:r>
              <w:rPr>
                <w:b w:val="0"/>
                <w:sz w:val="16"/>
              </w:rPr>
              <w:t>§ 10</w:t>
            </w:r>
          </w:p>
        </w:tc>
        <w:tc>
          <w:tcPr>
            <w:tcW w:type="dxa" w:w="1584"/>
          </w:tcPr>
          <w:p>
            <w:r/>
            <w:r>
              <w:rPr>
                <w:b w:val="0"/>
                <w:sz w:val="16"/>
              </w:rPr>
              <w:t>Cost sharing</w:t>
            </w:r>
          </w:p>
        </w:tc>
        <w:tc>
          <w:tcPr>
            <w:tcW w:type="dxa" w:w="1368"/>
          </w:tcPr>
          <w:p>
            <w:r/>
            <w:r>
              <w:rPr>
                <w:b w:val="0"/>
                <w:sz w:val="16"/>
              </w:rPr>
              <w:t>Preferred</w:t>
            </w:r>
          </w:p>
        </w:tc>
        <w:tc>
          <w:tcPr>
            <w:tcW w:type="dxa" w:w="2520"/>
          </w:tcPr>
          <w:p>
            <w:r/>
            <w:r>
              <w:rPr>
                <w:b w:val="0"/>
                <w:sz w:val="16"/>
              </w:rPr>
              <w:t>Fixed 50/16.67/16.67/16.67; no audit right</w:t>
            </w:r>
          </w:p>
        </w:tc>
        <w:tc>
          <w:tcPr>
            <w:tcW w:type="dxa" w:w="1512"/>
          </w:tcPr>
          <w:p>
            <w:r/>
            <w:r>
              <w:rPr>
                <w:b w:val="0"/>
                <w:sz w:val="16"/>
              </w:rPr>
              <w:t>Deviation (disfavored)</w:t>
            </w:r>
          </w:p>
        </w:tc>
        <w:tc>
          <w:tcPr>
            <w:tcW w:type="dxa" w:w="1512"/>
          </w:tcPr>
          <w:p>
            <w:r/>
            <w:r>
              <w:rPr>
                <w:b w:val="0"/>
                <w:sz w:val="16"/>
              </w:rPr>
              <w:t>§§ 5.1, 5.2, 5.4</w:t>
            </w:r>
          </w:p>
        </w:tc>
      </w:tr>
      <w:tr>
        <w:tc>
          <w:tcPr>
            <w:tcW w:type="dxa" w:w="864"/>
          </w:tcPr>
          <w:p>
            <w:r/>
            <w:r>
              <w:rPr>
                <w:b w:val="0"/>
                <w:sz w:val="16"/>
              </w:rPr>
              <w:t>§ 11</w:t>
            </w:r>
          </w:p>
        </w:tc>
        <w:tc>
          <w:tcPr>
            <w:tcW w:type="dxa" w:w="1584"/>
          </w:tcPr>
          <w:p>
            <w:r/>
            <w:r>
              <w:rPr>
                <w:b w:val="0"/>
                <w:sz w:val="16"/>
              </w:rPr>
              <w:t>Steering Committee</w:t>
            </w:r>
          </w:p>
        </w:tc>
        <w:tc>
          <w:tcPr>
            <w:tcW w:type="dxa" w:w="1368"/>
          </w:tcPr>
          <w:p>
            <w:r/>
            <w:r>
              <w:rPr>
                <w:b w:val="0"/>
                <w:sz w:val="16"/>
              </w:rPr>
              <w:t>Preferred</w:t>
            </w:r>
          </w:p>
        </w:tc>
        <w:tc>
          <w:tcPr>
            <w:tcW w:type="dxa" w:w="2520"/>
          </w:tcPr>
          <w:p>
            <w:r/>
            <w:r>
              <w:rPr>
                <w:b w:val="0"/>
                <w:sz w:val="16"/>
              </w:rPr>
              <w:t>3 seats; permanent Kerrigan-Holst seat; single rotating seat; majority vote; broad authority</w:t>
            </w:r>
          </w:p>
        </w:tc>
        <w:tc>
          <w:tcPr>
            <w:tcW w:type="dxa" w:w="1512"/>
          </w:tcPr>
          <w:p>
            <w:r/>
            <w:r>
              <w:rPr>
                <w:b w:val="0"/>
                <w:sz w:val="16"/>
              </w:rPr>
              <w:t>Deviation (multiple disfavored terms)</w:t>
            </w:r>
          </w:p>
        </w:tc>
        <w:tc>
          <w:tcPr>
            <w:tcW w:type="dxa" w:w="1512"/>
          </w:tcPr>
          <w:p>
            <w:r/>
            <w:r>
              <w:rPr>
                <w:b w:val="0"/>
                <w:sz w:val="16"/>
              </w:rPr>
              <w:t>§§ 6.1–6.3, 6.5</w:t>
            </w:r>
          </w:p>
        </w:tc>
      </w:tr>
      <w:tr>
        <w:tc>
          <w:tcPr>
            <w:tcW w:type="dxa" w:w="864"/>
          </w:tcPr>
          <w:p>
            <w:r/>
            <w:r>
              <w:rPr>
                <w:b w:val="0"/>
                <w:sz w:val="16"/>
              </w:rPr>
              <w:t>§ 12</w:t>
            </w:r>
          </w:p>
        </w:tc>
        <w:tc>
          <w:tcPr>
            <w:tcW w:type="dxa" w:w="1584"/>
          </w:tcPr>
          <w:p>
            <w:r/>
            <w:r>
              <w:rPr>
                <w:b w:val="0"/>
                <w:sz w:val="16"/>
              </w:rPr>
              <w:t>Dispute resolution</w:t>
            </w:r>
          </w:p>
        </w:tc>
        <w:tc>
          <w:tcPr>
            <w:tcW w:type="dxa" w:w="1368"/>
          </w:tcPr>
          <w:p>
            <w:r/>
            <w:r>
              <w:rPr>
                <w:b w:val="0"/>
                <w:sz w:val="16"/>
              </w:rPr>
              <w:t>Preferred</w:t>
            </w:r>
          </w:p>
        </w:tc>
        <w:tc>
          <w:tcPr>
            <w:tcW w:type="dxa" w:w="2520"/>
          </w:tcPr>
          <w:p>
            <w:r/>
            <w:r>
              <w:rPr>
                <w:b w:val="0"/>
                <w:sz w:val="16"/>
              </w:rPr>
              <w:t>Binding JAMS arbitration, New York, no mediation</w:t>
            </w:r>
          </w:p>
        </w:tc>
        <w:tc>
          <w:tcPr>
            <w:tcW w:type="dxa" w:w="1512"/>
          </w:tcPr>
          <w:p>
            <w:r/>
            <w:r>
              <w:rPr>
                <w:b w:val="0"/>
                <w:sz w:val="16"/>
              </w:rPr>
              <w:t>Deviation (disfavored)</w:t>
            </w:r>
          </w:p>
        </w:tc>
        <w:tc>
          <w:tcPr>
            <w:tcW w:type="dxa" w:w="1512"/>
          </w:tcPr>
          <w:p>
            <w:r/>
            <w:r>
              <w:rPr>
                <w:b w:val="0"/>
                <w:sz w:val="16"/>
              </w:rPr>
              <w:t>§§ 12.4, 12.9</w:t>
            </w:r>
          </w:p>
        </w:tc>
      </w:tr>
      <w:tr>
        <w:tc>
          <w:tcPr>
            <w:tcW w:type="dxa" w:w="864"/>
          </w:tcPr>
          <w:p>
            <w:r/>
            <w:r>
              <w:rPr>
                <w:b w:val="0"/>
                <w:sz w:val="16"/>
              </w:rPr>
              <w:t>§ 13</w:t>
            </w:r>
          </w:p>
        </w:tc>
        <w:tc>
          <w:tcPr>
            <w:tcW w:type="dxa" w:w="1584"/>
          </w:tcPr>
          <w:p>
            <w:r/>
            <w:r>
              <w:rPr>
                <w:b w:val="0"/>
                <w:sz w:val="16"/>
              </w:rPr>
              <w:t>Post-settlement cooperation</w:t>
            </w:r>
          </w:p>
        </w:tc>
        <w:tc>
          <w:tcPr>
            <w:tcW w:type="dxa" w:w="1368"/>
          </w:tcPr>
          <w:p>
            <w:r/>
            <w:r>
              <w:rPr>
                <w:b w:val="0"/>
                <w:sz w:val="16"/>
              </w:rPr>
              <w:t>Preferred</w:t>
            </w:r>
          </w:p>
        </w:tc>
        <w:tc>
          <w:tcPr>
            <w:tcW w:type="dxa" w:w="2520"/>
          </w:tcPr>
          <w:p>
            <w:r/>
            <w:r>
              <w:rPr>
                <w:b w:val="0"/>
                <w:sz w:val="16"/>
              </w:rPr>
              <w:t>18-month commercially-reasonable-efforts witness and document cooperation</w:t>
            </w:r>
          </w:p>
        </w:tc>
        <w:tc>
          <w:tcPr>
            <w:tcW w:type="dxa" w:w="1512"/>
          </w:tcPr>
          <w:p>
            <w:r/>
            <w:r>
              <w:rPr>
                <w:b w:val="0"/>
                <w:sz w:val="16"/>
              </w:rPr>
              <w:t>Deviation (disfavored)</w:t>
            </w:r>
          </w:p>
        </w:tc>
        <w:tc>
          <w:tcPr>
            <w:tcW w:type="dxa" w:w="1512"/>
          </w:tcPr>
          <w:p>
            <w:r/>
            <w:r>
              <w:rPr>
                <w:b w:val="0"/>
                <w:sz w:val="16"/>
              </w:rPr>
              <w:t>Art. X</w:t>
            </w:r>
          </w:p>
        </w:tc>
      </w:tr>
      <w:tr>
        <w:tc>
          <w:tcPr>
            <w:tcW w:type="dxa" w:w="864"/>
          </w:tcPr>
          <w:p>
            <w:r/>
            <w:r>
              <w:rPr>
                <w:b w:val="0"/>
                <w:sz w:val="16"/>
              </w:rPr>
              <w:t>§ 14</w:t>
            </w:r>
          </w:p>
        </w:tc>
        <w:tc>
          <w:tcPr>
            <w:tcW w:type="dxa" w:w="1584"/>
          </w:tcPr>
          <w:p>
            <w:r/>
            <w:r>
              <w:rPr>
                <w:b w:val="0"/>
                <w:sz w:val="16"/>
              </w:rPr>
              <w:t>Information-sharing objection rights</w:t>
            </w:r>
          </w:p>
        </w:tc>
        <w:tc>
          <w:tcPr>
            <w:tcW w:type="dxa" w:w="1368"/>
          </w:tcPr>
          <w:p>
            <w:r/>
            <w:r>
              <w:rPr>
                <w:b w:val="0"/>
                <w:sz w:val="16"/>
              </w:rPr>
              <w:t>Preferred (grounds non-negotiable)</w:t>
            </w:r>
          </w:p>
        </w:tc>
        <w:tc>
          <w:tcPr>
            <w:tcW w:type="dxa" w:w="2520"/>
          </w:tcPr>
          <w:p>
            <w:r/>
            <w:r>
              <w:rPr>
                <w:b w:val="0"/>
                <w:sz w:val="16"/>
              </w:rPr>
              <w:t>No objection right; 10-business-day sharing</w:t>
            </w:r>
          </w:p>
        </w:tc>
        <w:tc>
          <w:tcPr>
            <w:tcW w:type="dxa" w:w="1512"/>
          </w:tcPr>
          <w:p>
            <w:r/>
            <w:r>
              <w:rPr>
                <w:b w:val="0"/>
                <w:sz w:val="16"/>
              </w:rPr>
              <w:t>Deviation</w:t>
            </w:r>
          </w:p>
        </w:tc>
        <w:tc>
          <w:tcPr>
            <w:tcW w:type="dxa" w:w="1512"/>
          </w:tcPr>
          <w:p>
            <w:r/>
            <w:r>
              <w:rPr>
                <w:b w:val="0"/>
                <w:sz w:val="16"/>
              </w:rPr>
              <w:t>§§ 4.1, 4.4</w:t>
            </w:r>
          </w:p>
        </w:tc>
      </w:tr>
      <w:tr>
        <w:tc>
          <w:tcPr>
            <w:tcW w:type="dxa" w:w="864"/>
          </w:tcPr>
          <w:p>
            <w:r/>
            <w:r>
              <w:rPr>
                <w:b w:val="0"/>
                <w:sz w:val="16"/>
              </w:rPr>
              <w:t>§ 15.1</w:t>
            </w:r>
          </w:p>
        </w:tc>
        <w:tc>
          <w:tcPr>
            <w:tcW w:type="dxa" w:w="1584"/>
          </w:tcPr>
          <w:p>
            <w:r/>
            <w:r>
              <w:rPr>
                <w:b w:val="0"/>
                <w:sz w:val="16"/>
              </w:rPr>
              <w:t>No admission</w:t>
            </w:r>
          </w:p>
        </w:tc>
        <w:tc>
          <w:tcPr>
            <w:tcW w:type="dxa" w:w="1368"/>
          </w:tcPr>
          <w:p>
            <w:r/>
            <w:r>
              <w:rPr>
                <w:b w:val="0"/>
                <w:sz w:val="16"/>
              </w:rPr>
              <w:t>Required</w:t>
            </w:r>
          </w:p>
        </w:tc>
        <w:tc>
          <w:tcPr>
            <w:tcW w:type="dxa" w:w="2520"/>
          </w:tcPr>
          <w:p>
            <w:r/>
            <w:r>
              <w:rPr>
                <w:b w:val="0"/>
                <w:sz w:val="16"/>
              </w:rPr>
              <w:t>§ 12.1</w:t>
            </w:r>
          </w:p>
        </w:tc>
        <w:tc>
          <w:tcPr>
            <w:tcW w:type="dxa" w:w="1512"/>
          </w:tcPr>
          <w:p>
            <w:r/>
            <w:r>
              <w:rPr>
                <w:b w:val="0"/>
                <w:sz w:val="16"/>
              </w:rPr>
              <w:t>Compliant</w:t>
            </w:r>
          </w:p>
        </w:tc>
        <w:tc>
          <w:tcPr>
            <w:tcW w:type="dxa" w:w="1512"/>
          </w:tcPr>
          <w:p>
            <w:r/>
            <w:r>
              <w:rPr>
                <w:b w:val="0"/>
                <w:sz w:val="16"/>
              </w:rPr>
              <w:t>§ 12.1 (clarifying)</w:t>
            </w:r>
          </w:p>
        </w:tc>
      </w:tr>
      <w:tr>
        <w:tc>
          <w:tcPr>
            <w:tcW w:type="dxa" w:w="864"/>
          </w:tcPr>
          <w:p>
            <w:r/>
            <w:r>
              <w:rPr>
                <w:b w:val="0"/>
                <w:sz w:val="16"/>
              </w:rPr>
              <w:t>§ 15.2</w:t>
            </w:r>
          </w:p>
        </w:tc>
        <w:tc>
          <w:tcPr>
            <w:tcW w:type="dxa" w:w="1584"/>
          </w:tcPr>
          <w:p>
            <w:r/>
            <w:r>
              <w:rPr>
                <w:b w:val="0"/>
                <w:sz w:val="16"/>
              </w:rPr>
              <w:t>Markings</w:t>
            </w:r>
          </w:p>
        </w:tc>
        <w:tc>
          <w:tcPr>
            <w:tcW w:type="dxa" w:w="1368"/>
          </w:tcPr>
          <w:p>
            <w:r/>
            <w:r>
              <w:rPr>
                <w:b w:val="0"/>
                <w:sz w:val="16"/>
              </w:rPr>
              <w:t>Preferred</w:t>
            </w:r>
          </w:p>
        </w:tc>
        <w:tc>
          <w:tcPr>
            <w:tcW w:type="dxa" w:w="2520"/>
          </w:tcPr>
          <w:p>
            <w:r/>
            <w:r>
              <w:rPr>
                <w:b w:val="0"/>
                <w:sz w:val="16"/>
              </w:rPr>
              <w:t>§ 3.2</w:t>
            </w:r>
          </w:p>
        </w:tc>
        <w:tc>
          <w:tcPr>
            <w:tcW w:type="dxa" w:w="1512"/>
          </w:tcPr>
          <w:p>
            <w:r/>
            <w:r>
              <w:rPr>
                <w:b w:val="0"/>
                <w:sz w:val="16"/>
              </w:rPr>
              <w:t>Compliant</w:t>
            </w:r>
          </w:p>
        </w:tc>
        <w:tc>
          <w:tcPr>
            <w:tcW w:type="dxa" w:w="1512"/>
          </w:tcPr>
          <w:p>
            <w:r/>
            <w:r>
              <w:rPr>
                <w:b w:val="0"/>
                <w:sz w:val="16"/>
              </w:rPr>
              <w:t>—</w:t>
            </w:r>
          </w:p>
        </w:tc>
      </w:tr>
      <w:tr>
        <w:tc>
          <w:tcPr>
            <w:tcW w:type="dxa" w:w="864"/>
          </w:tcPr>
          <w:p>
            <w:r/>
            <w:r>
              <w:rPr>
                <w:b w:val="0"/>
                <w:sz w:val="16"/>
              </w:rPr>
              <w:t>§ 15.3</w:t>
            </w:r>
          </w:p>
        </w:tc>
        <w:tc>
          <w:tcPr>
            <w:tcW w:type="dxa" w:w="1584"/>
          </w:tcPr>
          <w:p>
            <w:r/>
            <w:r>
              <w:rPr>
                <w:b w:val="0"/>
                <w:sz w:val="16"/>
              </w:rPr>
              <w:t>Limitation of liability</w:t>
            </w:r>
          </w:p>
        </w:tc>
        <w:tc>
          <w:tcPr>
            <w:tcW w:type="dxa" w:w="1368"/>
          </w:tcPr>
          <w:p>
            <w:r/>
            <w:r>
              <w:rPr>
                <w:b w:val="0"/>
                <w:sz w:val="16"/>
              </w:rPr>
              <w:t>Preferred</w:t>
            </w:r>
          </w:p>
        </w:tc>
        <w:tc>
          <w:tcPr>
            <w:tcW w:type="dxa" w:w="2520"/>
          </w:tcPr>
          <w:p>
            <w:r/>
            <w:r>
              <w:rPr>
                <w:b w:val="0"/>
                <w:sz w:val="16"/>
              </w:rPr>
              <w:t>Silent</w:t>
            </w:r>
          </w:p>
        </w:tc>
        <w:tc>
          <w:tcPr>
            <w:tcW w:type="dxa" w:w="1512"/>
          </w:tcPr>
          <w:p>
            <w:r/>
            <w:r>
              <w:rPr>
                <w:b w:val="0"/>
                <w:sz w:val="16"/>
              </w:rPr>
              <w:t>Deviation (optional term)</w:t>
            </w:r>
          </w:p>
        </w:tc>
        <w:tc>
          <w:tcPr>
            <w:tcW w:type="dxa" w:w="1512"/>
          </w:tcPr>
          <w:p>
            <w:r/>
            <w:r>
              <w:rPr>
                <w:b w:val="0"/>
                <w:sz w:val="16"/>
              </w:rPr>
              <w:t>§ 12.11</w:t>
            </w:r>
          </w:p>
        </w:tc>
      </w:tr>
      <w:tr>
        <w:tc>
          <w:tcPr>
            <w:tcW w:type="dxa" w:w="864"/>
          </w:tcPr>
          <w:p>
            <w:r/>
            <w:r>
              <w:rPr>
                <w:b w:val="0"/>
                <w:sz w:val="16"/>
              </w:rPr>
              <w:t>§ 15.4</w:t>
            </w:r>
          </w:p>
        </w:tc>
        <w:tc>
          <w:tcPr>
            <w:tcW w:type="dxa" w:w="1584"/>
          </w:tcPr>
          <w:p>
            <w:r/>
            <w:r>
              <w:rPr>
                <w:b w:val="0"/>
                <w:sz w:val="16"/>
              </w:rPr>
              <w:t>Amendment and waiver</w:t>
            </w:r>
          </w:p>
        </w:tc>
        <w:tc>
          <w:tcPr>
            <w:tcW w:type="dxa" w:w="1368"/>
          </w:tcPr>
          <w:p>
            <w:r/>
            <w:r>
              <w:rPr>
                <w:b w:val="0"/>
                <w:sz w:val="16"/>
              </w:rPr>
              <w:t>Preferred</w:t>
            </w:r>
          </w:p>
        </w:tc>
        <w:tc>
          <w:tcPr>
            <w:tcW w:type="dxa" w:w="2520"/>
          </w:tcPr>
          <w:p>
            <w:r/>
            <w:r>
              <w:rPr>
                <w:b w:val="0"/>
                <w:sz w:val="16"/>
              </w:rPr>
              <w:t>Unanimous amendment; no waiver mechanics</w:t>
            </w:r>
          </w:p>
        </w:tc>
        <w:tc>
          <w:tcPr>
            <w:tcW w:type="dxa" w:w="1512"/>
          </w:tcPr>
          <w:p>
            <w:r/>
            <w:r>
              <w:rPr>
                <w:b w:val="0"/>
                <w:sz w:val="16"/>
              </w:rPr>
              <w:t>Partially compliant</w:t>
            </w:r>
          </w:p>
        </w:tc>
        <w:tc>
          <w:tcPr>
            <w:tcW w:type="dxa" w:w="1512"/>
          </w:tcPr>
          <w:p>
            <w:r/>
            <w:r>
              <w:rPr>
                <w:b w:val="0"/>
                <w:sz w:val="16"/>
              </w:rPr>
              <w:t>§§ 12.6, 12.10</w:t>
            </w:r>
          </w:p>
        </w:tc>
      </w:tr>
    </w:tbl>
    <w:p>
      <w:pPr>
        <w:spacing w:after="40"/>
      </w:pPr>
    </w:p>
    <w:p>
      <w:pPr>
        <w:pStyle w:val="Heading1"/>
      </w:pPr>
      <w:r>
        <w:t>Appendix B — Cost Allocation Comparison (Vantage)</w:t>
      </w:r>
    </w:p>
    <w:tbl>
      <w:tblPr>
        <w:tblStyle w:val="TableGrid"/>
        <w:tblW w:type="auto" w:w="0"/>
        <w:jc w:val="center"/>
        <w:tblLook w:firstColumn="1" w:firstRow="1" w:lastColumn="0" w:lastRow="0" w:noHBand="0" w:noVBand="1" w:val="04A0"/>
      </w:tblPr>
      <w:tblGrid>
        <w:gridCol w:w="1872"/>
        <w:gridCol w:w="1872"/>
        <w:gridCol w:w="1872"/>
        <w:gridCol w:w="1872"/>
        <w:gridCol w:w="1872"/>
      </w:tblGrid>
      <w:tr>
        <w:trPr>
          <w:tblHeader w:val="true"/>
        </w:trPr>
        <w:tc>
          <w:tcPr>
            <w:tcW w:type="dxa" w:w="2736"/>
            <w:shd w:val="clear" w:color="auto" w:fill="1F2A44"/>
          </w:tcPr>
          <w:p>
            <w:r/>
            <w:r>
              <w:rPr>
                <w:b/>
                <w:color w:val="FFFFFF"/>
                <w:sz w:val="17"/>
              </w:rPr>
              <w:t>Method</w:t>
            </w:r>
          </w:p>
        </w:tc>
        <w:tc>
          <w:tcPr>
            <w:tcW w:type="dxa" w:w="1584"/>
            <w:shd w:val="clear" w:color="auto" w:fill="1F2A44"/>
          </w:tcPr>
          <w:p>
            <w:r/>
            <w:r>
              <w:rPr>
                <w:b/>
                <w:color w:val="FFFFFF"/>
                <w:sz w:val="17"/>
              </w:rPr>
              <w:t>Vantage share</w:t>
            </w:r>
          </w:p>
        </w:tc>
        <w:tc>
          <w:tcPr>
            <w:tcW w:type="dxa" w:w="1440"/>
            <w:shd w:val="clear" w:color="auto" w:fill="1F2A44"/>
          </w:tcPr>
          <w:p>
            <w:r/>
            <w:r>
              <w:rPr>
                <w:b/>
                <w:color w:val="FFFFFF"/>
                <w:sz w:val="17"/>
              </w:rPr>
              <w:t>Difference vs. proposed</w:t>
            </w:r>
          </w:p>
        </w:tc>
        <w:tc>
          <w:tcPr>
            <w:tcW w:type="dxa" w:w="2016"/>
            <w:shd w:val="clear" w:color="auto" w:fill="1F2A44"/>
          </w:tcPr>
          <w:p>
            <w:r/>
            <w:r>
              <w:rPr>
                <w:b/>
                <w:color w:val="FFFFFF"/>
                <w:sz w:val="17"/>
              </w:rPr>
              <w:t>Vantage cost per $1,000,000 of Joint Defense Costs</w:t>
            </w:r>
          </w:p>
        </w:tc>
        <w:tc>
          <w:tcPr>
            <w:tcW w:type="dxa" w:w="1584"/>
            <w:shd w:val="clear" w:color="auto" w:fill="1F2A44"/>
          </w:tcPr>
          <w:p>
            <w:r/>
            <w:r>
              <w:rPr>
                <w:b/>
                <w:color w:val="FFFFFF"/>
                <w:sz w:val="17"/>
              </w:rPr>
              <w:t>Playbook status</w:t>
            </w:r>
          </w:p>
        </w:tc>
      </w:tr>
      <w:tr>
        <w:tc>
          <w:tcPr>
            <w:tcW w:type="dxa" w:w="2736"/>
          </w:tcPr>
          <w:p>
            <w:r/>
            <w:r>
              <w:rPr>
                <w:b w:val="0"/>
                <w:sz w:val="17"/>
              </w:rPr>
              <w:t>Proposed fixed split (§ 5.1)</w:t>
            </w:r>
          </w:p>
        </w:tc>
        <w:tc>
          <w:tcPr>
            <w:tcW w:type="dxa" w:w="1584"/>
          </w:tcPr>
          <w:p>
            <w:r/>
            <w:r>
              <w:rPr>
                <w:b w:val="0"/>
                <w:sz w:val="17"/>
              </w:rPr>
              <w:t>16.67%</w:t>
            </w:r>
          </w:p>
        </w:tc>
        <w:tc>
          <w:tcPr>
            <w:tcW w:type="dxa" w:w="1440"/>
          </w:tcPr>
          <w:p>
            <w:r/>
            <w:r>
              <w:rPr>
                <w:b w:val="0"/>
                <w:sz w:val="17"/>
              </w:rPr>
              <w:t>—</w:t>
            </w:r>
          </w:p>
        </w:tc>
        <w:tc>
          <w:tcPr>
            <w:tcW w:type="dxa" w:w="2016"/>
          </w:tcPr>
          <w:p>
            <w:r/>
            <w:r>
              <w:rPr>
                <w:b w:val="0"/>
                <w:sz w:val="17"/>
              </w:rPr>
              <w:t>$166,700</w:t>
            </w:r>
          </w:p>
        </w:tc>
        <w:tc>
          <w:tcPr>
            <w:tcW w:type="dxa" w:w="1584"/>
          </w:tcPr>
          <w:p>
            <w:r/>
            <w:r>
              <w:rPr>
                <w:b w:val="0"/>
                <w:sz w:val="17"/>
              </w:rPr>
              <w:t>Disfavored (§ 10.3)</w:t>
            </w:r>
          </w:p>
        </w:tc>
      </w:tr>
      <w:tr>
        <w:tc>
          <w:tcPr>
            <w:tcW w:type="dxa" w:w="2736"/>
          </w:tcPr>
          <w:p>
            <w:r/>
            <w:r>
              <w:rPr>
                <w:b w:val="0"/>
                <w:sz w:val="17"/>
              </w:rPr>
              <w:t>Pro rata by damages share (§ 10.1)</w:t>
            </w:r>
          </w:p>
        </w:tc>
        <w:tc>
          <w:tcPr>
            <w:tcW w:type="dxa" w:w="1584"/>
          </w:tcPr>
          <w:p>
            <w:r/>
            <w:r>
              <w:rPr>
                <w:b w:val="0"/>
                <w:sz w:val="17"/>
              </w:rPr>
              <w:t>Not yet computable (no defendant-specific damages model)</w:t>
            </w:r>
          </w:p>
        </w:tc>
        <w:tc>
          <w:tcPr>
            <w:tcW w:type="dxa" w:w="1440"/>
          </w:tcPr>
          <w:p>
            <w:r/>
            <w:r>
              <w:rPr>
                <w:b w:val="0"/>
                <w:sz w:val="17"/>
              </w:rPr>
              <w:t>—</w:t>
            </w:r>
          </w:p>
        </w:tc>
        <w:tc>
          <w:tcPr>
            <w:tcW w:type="dxa" w:w="2016"/>
          </w:tcPr>
          <w:p>
            <w:r/>
            <w:r>
              <w:rPr>
                <w:b w:val="0"/>
                <w:sz w:val="17"/>
              </w:rPr>
              <w:t>—</w:t>
            </w:r>
          </w:p>
        </w:tc>
        <w:tc>
          <w:tcPr>
            <w:tcW w:type="dxa" w:w="1584"/>
          </w:tcPr>
          <w:p>
            <w:r/>
            <w:r>
              <w:rPr>
                <w:b w:val="0"/>
                <w:sz w:val="17"/>
              </w:rPr>
              <w:t>Recommended</w:t>
            </w:r>
          </w:p>
        </w:tc>
      </w:tr>
      <w:tr>
        <w:tc>
          <w:tcPr>
            <w:tcW w:type="dxa" w:w="2736"/>
          </w:tcPr>
          <w:p>
            <w:r/>
            <w:r>
              <w:rPr>
                <w:b w:val="0"/>
                <w:sz w:val="17"/>
              </w:rPr>
              <w:t>Market share of defendants' combined share (11/61)</w:t>
            </w:r>
          </w:p>
        </w:tc>
        <w:tc>
          <w:tcPr>
            <w:tcW w:type="dxa" w:w="1584"/>
          </w:tcPr>
          <w:p>
            <w:r/>
            <w:r>
              <w:rPr>
                <w:b w:val="0"/>
                <w:sz w:val="17"/>
              </w:rPr>
              <w:t>18.03%</w:t>
            </w:r>
          </w:p>
        </w:tc>
        <w:tc>
          <w:tcPr>
            <w:tcW w:type="dxa" w:w="1440"/>
          </w:tcPr>
          <w:p>
            <w:r/>
            <w:r>
              <w:rPr>
                <w:b w:val="0"/>
                <w:sz w:val="17"/>
              </w:rPr>
              <w:t>+1.36 pts</w:t>
            </w:r>
          </w:p>
        </w:tc>
        <w:tc>
          <w:tcPr>
            <w:tcW w:type="dxa" w:w="2016"/>
          </w:tcPr>
          <w:p>
            <w:r/>
            <w:r>
              <w:rPr>
                <w:b w:val="0"/>
                <w:sz w:val="17"/>
              </w:rPr>
              <w:t>$180,300</w:t>
            </w:r>
          </w:p>
        </w:tc>
        <w:tc>
          <w:tcPr>
            <w:tcW w:type="dxa" w:w="1584"/>
          </w:tcPr>
          <w:p>
            <w:r/>
            <w:r>
              <w:rPr>
                <w:b w:val="0"/>
                <w:sz w:val="17"/>
              </w:rPr>
              <w:t>Fallback (§ 10.2(b))</w:t>
            </w:r>
          </w:p>
        </w:tc>
      </w:tr>
      <w:tr>
        <w:tc>
          <w:tcPr>
            <w:tcW w:type="dxa" w:w="2736"/>
          </w:tcPr>
          <w:p>
            <w:r/>
            <w:r>
              <w:rPr>
                <w:b w:val="0"/>
                <w:sz w:val="17"/>
              </w:rPr>
              <w:t>Share of defendants' combined Class Period sales (640/3,610)</w:t>
            </w:r>
          </w:p>
        </w:tc>
        <w:tc>
          <w:tcPr>
            <w:tcW w:type="dxa" w:w="1584"/>
          </w:tcPr>
          <w:p>
            <w:r/>
            <w:r>
              <w:rPr>
                <w:b w:val="0"/>
                <w:sz w:val="17"/>
              </w:rPr>
              <w:t>17.73%</w:t>
            </w:r>
          </w:p>
        </w:tc>
        <w:tc>
          <w:tcPr>
            <w:tcW w:type="dxa" w:w="1440"/>
          </w:tcPr>
          <w:p>
            <w:r/>
            <w:r>
              <w:rPr>
                <w:b w:val="0"/>
                <w:sz w:val="17"/>
              </w:rPr>
              <w:t>+1.06 pts</w:t>
            </w:r>
          </w:p>
        </w:tc>
        <w:tc>
          <w:tcPr>
            <w:tcW w:type="dxa" w:w="2016"/>
          </w:tcPr>
          <w:p>
            <w:r/>
            <w:r>
              <w:rPr>
                <w:b w:val="0"/>
                <w:sz w:val="17"/>
              </w:rPr>
              <w:t>$177,300</w:t>
            </w:r>
          </w:p>
        </w:tc>
        <w:tc>
          <w:tcPr>
            <w:tcW w:type="dxa" w:w="1584"/>
          </w:tcPr>
          <w:p>
            <w:r/>
            <w:r>
              <w:rPr>
                <w:b w:val="0"/>
                <w:sz w:val="17"/>
              </w:rPr>
              <w:t>Proxy for damages share</w:t>
            </w:r>
          </w:p>
        </w:tc>
      </w:tr>
      <w:tr>
        <w:tc>
          <w:tcPr>
            <w:tcW w:type="dxa" w:w="2736"/>
          </w:tcPr>
          <w:p>
            <w:r/>
            <w:r>
              <w:rPr>
                <w:b w:val="0"/>
                <w:sz w:val="17"/>
              </w:rPr>
              <w:t>Equal shares (1/4)</w:t>
            </w:r>
          </w:p>
        </w:tc>
        <w:tc>
          <w:tcPr>
            <w:tcW w:type="dxa" w:w="1584"/>
          </w:tcPr>
          <w:p>
            <w:r/>
            <w:r>
              <w:rPr>
                <w:b w:val="0"/>
                <w:sz w:val="17"/>
              </w:rPr>
              <w:t>25.00%</w:t>
            </w:r>
          </w:p>
        </w:tc>
        <w:tc>
          <w:tcPr>
            <w:tcW w:type="dxa" w:w="1440"/>
          </w:tcPr>
          <w:p>
            <w:r/>
            <w:r>
              <w:rPr>
                <w:b w:val="0"/>
                <w:sz w:val="17"/>
              </w:rPr>
              <w:t>+8.33 pts</w:t>
            </w:r>
          </w:p>
        </w:tc>
        <w:tc>
          <w:tcPr>
            <w:tcW w:type="dxa" w:w="2016"/>
          </w:tcPr>
          <w:p>
            <w:r/>
            <w:r>
              <w:rPr>
                <w:b w:val="0"/>
                <w:sz w:val="17"/>
              </w:rPr>
              <w:t>$250,000</w:t>
            </w:r>
          </w:p>
        </w:tc>
        <w:tc>
          <w:tcPr>
            <w:tcW w:type="dxa" w:w="1584"/>
          </w:tcPr>
          <w:p>
            <w:r/>
            <w:r>
              <w:rPr>
                <w:b w:val="0"/>
                <w:sz w:val="17"/>
              </w:rPr>
              <w:t>Fallback (§ 10.2(a))</w:t>
            </w:r>
          </w:p>
        </w:tc>
      </w:tr>
    </w:tbl>
    <w:p>
      <w:pPr>
        <w:spacing w:after="40"/>
      </w:pPr>
    </w:p>
    <w:p>
      <w:pPr>
        <w:spacing w:after="120"/>
      </w:pPr>
      <w:r>
        <w:rPr>
          <w:b w:val="0"/>
          <w:i/>
          <w:sz w:val="18"/>
        </w:rPr>
        <w:t>Note: if Plaintiffs' merits damages model tracks sales volume, Vantage's damages share is likely to be close to 17.7–18.0%. The redline's interim-period structure keeps the 16.67% figure until such a model is served.</w:t>
      </w:r>
    </w:p>
    <w:p>
      <w:pPr>
        <w:spacing w:after="120"/>
      </w:pPr>
      <w:r>
        <w:rPr>
          <w:b w:val="0"/>
          <w:i w:val="0"/>
        </w:rPr>
      </w:r>
    </w:p>
    <w:p>
      <w:pPr>
        <w:spacing w:after="120"/>
      </w:pPr>
      <w:r>
        <w:rPr>
          <w:b w:val="0"/>
          <w:i/>
          <w:sz w:val="18"/>
        </w:rPr>
        <w:t>This memorandum reflects our review of the documents identified above as of its date. It is intended solely for the Office of the General Counsel of Vantage and should not be shared with co-defendants or their counsel.</w:t>
      </w:r>
    </w:p>
    <w:sectPr w:rsidR="00FC693F" w:rsidRPr="0006063C" w:rsidSect="00034616">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color w:val="1F2A44"/>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color w:val="1F2A44"/>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Times New Roman"/>
      <w:b/>
      <w:bCs/>
      <w:color w:val="1F2A44"/>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