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WHITFIELD CRANE &amp; SADLER LLP</w:t>
      </w:r>
    </w:p>
    <w:p>
      <w:pPr>
        <w:spacing w:after="240"/>
        <w:jc w:val="center"/>
      </w:pPr>
      <w:r>
        <w:rPr>
          <w:b w:val="0"/>
          <w:i w:val="0"/>
          <w:sz w:val="18"/>
        </w:rPr>
        <w:t>600 Lexington Avenue, 28th Floor | New York, New York 10022</w:t>
      </w:r>
    </w:p>
    <w:p>
      <w:pPr>
        <w:spacing w:after="240"/>
        <w:jc w:val="center"/>
      </w:pPr>
      <w:r>
        <w:rPr>
          <w:b/>
          <w:i w:val="0"/>
          <w:sz w:val="20"/>
        </w:rPr>
        <w:t>CONFIDENTIAL — SUBJECT TO CONTRACT</w:t>
      </w:r>
    </w:p>
    <w:p>
      <w:pPr>
        <w:spacing w:after="240"/>
        <w:jc w:val="center"/>
      </w:pPr>
      <w:r>
        <w:rPr>
          <w:b/>
          <w:i w:val="0"/>
          <w:sz w:val="24"/>
        </w:rPr>
        <w:t>COVER NOTE</w:t>
      </w:r>
    </w:p>
    <w:tbl>
      <w:tblPr>
        <w:tblW w:type="auto" w:w="0"/>
        <w:tblLook w:firstColumn="1" w:firstRow="1" w:lastColumn="0" w:lastRow="0" w:noHBand="0" w:noVBand="1" w:val="04A0"/>
      </w:tblPr>
      <w:tblGrid>
        <w:gridCol w:w="4680"/>
        <w:gridCol w:w="4680"/>
      </w:tblGrid>
      <w:tr>
        <w:tc>
          <w:tcPr>
            <w:tcW w:type="dxa" w:w="1152"/>
          </w:tcPr>
          <w:p>
            <w:r>
              <w:rPr>
                <w:b/>
              </w:rPr>
              <w:t>To:</w:t>
            </w:r>
          </w:p>
        </w:tc>
        <w:tc>
          <w:tcPr>
            <w:tcW w:type="dxa" w:w="8208"/>
          </w:tcPr>
          <w:p>
            <w:r>
              <w:t>Thomas Kuo, Marchetti DeLuca LLP (counsel to Terraverde Group, Inc. and Terraverde Industrial Holdings, LLC)</w:t>
            </w:r>
          </w:p>
        </w:tc>
      </w:tr>
      <w:tr>
        <w:tc>
          <w:tcPr>
            <w:tcW w:type="dxa" w:w="1152"/>
          </w:tcPr>
          <w:p>
            <w:r>
              <w:rPr>
                <w:b/>
              </w:rPr>
              <w:t>cc:</w:t>
            </w:r>
          </w:p>
        </w:tc>
        <w:tc>
          <w:tcPr>
            <w:tcW w:type="dxa" w:w="8208"/>
          </w:tcPr>
          <w:p>
            <w:r>
              <w:t>Marcus R. Ellingham, Cascadia National Bank, N.A.; Diana Chow, Terraverde Group, Inc.</w:t>
            </w:r>
          </w:p>
        </w:tc>
      </w:tr>
      <w:tr>
        <w:tc>
          <w:tcPr>
            <w:tcW w:type="dxa" w:w="1152"/>
          </w:tcPr>
          <w:p>
            <w:r>
              <w:rPr>
                <w:b/>
              </w:rPr>
              <w:t>From:</w:t>
            </w:r>
          </w:p>
        </w:tc>
        <w:tc>
          <w:tcPr>
            <w:tcW w:type="dxa" w:w="8208"/>
          </w:tcPr>
          <w:p>
            <w:r>
              <w:t>Priya Narayan, Whitfield Crane &amp; Sadler LLP (counsel to the Administrative Agent)</w:t>
            </w:r>
          </w:p>
        </w:tc>
      </w:tr>
      <w:tr>
        <w:tc>
          <w:tcPr>
            <w:tcW w:type="dxa" w:w="1152"/>
          </w:tcPr>
          <w:p>
            <w:r>
              <w:rPr>
                <w:b/>
              </w:rPr>
              <w:t>Date:</w:t>
            </w:r>
          </w:p>
        </w:tc>
        <w:tc>
          <w:tcPr>
            <w:tcW w:type="dxa" w:w="8208"/>
          </w:tcPr>
          <w:p>
            <w:r>
              <w:t>July 8, 2025</w:t>
            </w:r>
          </w:p>
        </w:tc>
      </w:tr>
      <w:tr>
        <w:tc>
          <w:tcPr>
            <w:tcW w:type="dxa" w:w="1152"/>
          </w:tcPr>
          <w:p>
            <w:r>
              <w:rPr>
                <w:b/>
              </w:rPr>
              <w:t>Re:</w:t>
            </w:r>
          </w:p>
        </w:tc>
        <w:tc>
          <w:tcPr>
            <w:tcW w:type="dxa" w:w="8208"/>
          </w:tcPr>
          <w:p>
            <w:r>
              <w:t>Terraverde Group, Inc. — Guaranty Agreement in favor of Cascadia National Bank, N.A., as Administrative Agent ($275,000,000 Senior Secured Revolving Credit Facility) — Agent's Counter-Turn to MDLLP First Markup dated July 3, 2025</w:t>
            </w:r>
          </w:p>
        </w:tc>
      </w:tr>
    </w:tbl>
    <w:p>
      <w:pPr>
        <w:spacing w:after="0"/>
      </w:pPr>
    </w:p>
    <w:p>
      <w:pPr>
        <w:pStyle w:val="Heading1"/>
      </w:pPr>
      <w:r>
        <w:t>1. Introduction and Conventions</w:t>
      </w:r>
    </w:p>
    <w:p>
      <w:r>
        <w:rPr>
          <w:b w:val="0"/>
          <w:i w:val="0"/>
        </w:rPr>
        <w:t>Thomas — thank you for your markup of the Guaranty and your transmittal email of July 3, 2025. Enclosed is the Administrative Agent's counter-turn (counter-turn-redline.docx). This note sets out the Agent's position on each change in your markup, with our rationale, and identifies a small number of drafting corrections we have made. The counter-turn remains subject to further review and comment by the Administrative Agent and the Lenders, and we reserve the right to make additional comments, including on conforming changes.</w:t>
      </w:r>
    </w:p>
    <w:p>
      <w:r>
        <w:rPr>
          <w:b w:val="0"/>
          <w:i w:val="0"/>
        </w:rPr>
        <w:t>Conventions used in the counter-turn:</w:t>
      </w:r>
    </w:p>
    <w:p>
      <w:pPr>
        <w:pStyle w:val="ListBullet"/>
        <w:spacing w:after="60"/>
      </w:pPr>
      <w:r>
        <w:rPr>
          <w:b w:val="0"/>
          <w:i w:val="0"/>
        </w:rPr>
        <w:t xml:space="preserve">The redline is marked against your July 3 markup </w:t>
      </w:r>
      <w:r>
        <w:rPr>
          <w:b/>
          <w:i w:val="0"/>
        </w:rPr>
        <w:t>as if all MDLLP changes had been accepted</w:t>
      </w:r>
      <w:r>
        <w:rPr>
          <w:b w:val="0"/>
          <w:i w:val="0"/>
        </w:rPr>
        <w:t>. Our changes appear as tracked changes (author: Whitfield Crane &amp; Sadler LLP). Rejecting all WCS changes returns the document to your markup; accepting them produces the Agent's proposed text.</w:t>
      </w:r>
    </w:p>
    <w:p>
      <w:pPr>
        <w:pStyle w:val="ListBullet"/>
        <w:spacing w:after="60"/>
      </w:pPr>
      <w:r>
        <w:rPr>
          <w:b w:val="0"/>
          <w:i w:val="0"/>
        </w:rPr>
        <w:t>Your markup used a mix of native Word tracked changes and bracketed “[DELETED: …]” / “[ADDED: …]” text (e.g., Sections 3.2, 3.3, 3.6, 5.3 and several headings). We have treated all bracketed text as proposed MDLLP changes and resolved the brackets in the base text.</w:t>
      </w:r>
    </w:p>
    <w:p>
      <w:pPr>
        <w:pStyle w:val="ListBullet"/>
        <w:spacing w:after="60"/>
      </w:pPr>
      <w:r>
        <w:rPr>
          <w:b w:val="0"/>
          <w:i w:val="0"/>
        </w:rPr>
        <w:t>The marginal comments [TK1] through [TK10] referenced in your email were not embedded in the file we received. Our responses are keyed to the descriptions in your email and appear as numbered WCS margin comments (WCS-0 through WCS-26) at the relevant provisions.</w:t>
      </w:r>
    </w:p>
    <w:p>
      <w:pPr>
        <w:pStyle w:val="Heading1"/>
      </w:pPr>
      <w:r>
        <w:t>2. Framework for the Agent's Positions</w:t>
      </w:r>
    </w:p>
    <w:p>
      <w:r>
        <w:rPr>
          <w:b w:val="0"/>
          <w:i w:val="0"/>
        </w:rPr>
        <w:t>The Agent's positions are anchored in three sources, which we ask you to keep in view as we work through the open points:</w:t>
      </w:r>
    </w:p>
    <w:p>
      <w:pPr>
        <w:pStyle w:val="ListBullet"/>
        <w:spacing w:after="60"/>
      </w:pPr>
      <w:r>
        <w:rPr>
          <w:b/>
          <w:i w:val="0"/>
        </w:rPr>
        <w:t>The executed Credit Agreement (dated June 2, 2025).</w:t>
      </w:r>
      <w:r>
        <w:rPr>
          <w:b w:val="0"/>
          <w:i w:val="0"/>
        </w:rPr>
        <w:t xml:space="preserve"> The Credit Agreement has been signed by the Borrower, the Agent and all five Lenders and acknowledged by the Guarantor, and the Guarantor is a “Loan Party.” Several of its provisions speak directly to the Guaranty: Section 7.02 (no additional notice to the Guarantor following acceleration; the Guaranty is “enforceable immediately upon acceleration”); Section 9.01 (release of the Guaranty requires all-Lender consent; no Guarantor consent to Credit Agreement amendments; Guaranty amendments governed by Section 9.01 and Section 11 of the Guaranty); Section 9.05 (reinstatement of any payment set aside); Section 9.06 (assignees become Lenders for all purposes; participants have no direct rights against the Guarantor); Section 9.04 (mutual consequential-damages waiver); Section 9.15 (jury trial waiver); and Section 3.01(2) (opinions, including Delaware counsel's opinion for the Guarantor, as closing conditions).</w:t>
      </w:r>
    </w:p>
    <w:p>
      <w:pPr>
        <w:pStyle w:val="ListBullet"/>
        <w:spacing w:after="60"/>
      </w:pPr>
      <w:r>
        <w:rPr>
          <w:b/>
          <w:i w:val="0"/>
        </w:rPr>
        <w:t>Exhibit F (Form of Guaranty Agreement) to the Credit Agreement.</w:t>
      </w:r>
      <w:r>
        <w:rPr>
          <w:b w:val="0"/>
          <w:i w:val="0"/>
        </w:rPr>
        <w:t xml:space="preserve"> The agreed form provides for a guaranty of payment and not of collection, a continuing guaranty until payment in full and termination of Commitments, a waiver of any requirement to proceed first against the Borrower or the Collateral, reinstatement of any rescinded payment, deferral of subrogation until payment in full, an Eligible Contract Participant representation, a jury trial waiver, and amendments governed by Section 9.01. The Guaranty is a long-form expression of that agreed form; a number of the markup's changes would move the Guaranty below the Exhibit F baseline.</w:t>
      </w:r>
    </w:p>
    <w:p>
      <w:pPr>
        <w:pStyle w:val="ListBullet"/>
        <w:spacing w:after="60"/>
      </w:pPr>
      <w:r>
        <w:rPr>
          <w:b/>
          <w:i w:val="0"/>
        </w:rPr>
        <w:t>The Indicative Term Sheet (April 28, 2025).</w:t>
      </w:r>
      <w:r>
        <w:rPr>
          <w:b w:val="0"/>
          <w:i w:val="0"/>
        </w:rPr>
        <w:t xml:space="preserve"> Section V calls for an unconditional and irrevocable guaranty that is absolute and continuing, “not subject to termination by the Guarantor,” with a full waiver of suretyship defenses (including marshaling, deferral of subrogation until payment in full, and statute-of-limitations defenses), and Section XII(c) contemplates a jury trial waiver in each Loan Document. While the Term Sheet is non-binding, it records the credit basis on which the Lenders approved the facility.</w:t>
      </w:r>
    </w:p>
    <w:p>
      <w:r>
        <w:rPr>
          <w:b w:val="0"/>
          <w:i w:val="0"/>
        </w:rPr>
        <w:t>Two commercial observations also inform our approach. First, this is a parent guaranty of the debt of a wholly owned subsidiary (sometimes described in your email as “upstream,” but in substance downstream): the Guarantor's principal asset is its 100% equity interest in the Borrower, which is itself pledged to the Agent. Fraudulent-transfer risk is therefore limited (the Guarantor receives value through its ownership of the Borrower), but a net-worth-based cap would reduce the Guaranty to little or nothing in a downside scenario. Second, the group is performing comfortably within its covenants (the covenant figures reflected in Exhibit C to the Credit Agreement show Total Leverage of 2.45:1.00 against a 3.75:1.00 maximum and Interest Coverage of 5.80:1.00 against a 3.00:1.00 minimum). The protections the markup would remove (immediate enforceability, reinstatement, subrogation deferral, non-terminability) matter only in a distress scenario, which is precisely when the Lenders rely on the Guaranty; by the same token they impose little practical burden on the Guarantor while the business performs.</w:t>
      </w:r>
    </w:p>
    <w:p>
      <w:pPr>
        <w:pStyle w:val="Heading1"/>
      </w:pPr>
      <w:r>
        <w:t>3. Summary of Positions</w:t>
      </w:r>
    </w:p>
    <w:p>
      <w:r>
        <w:rPr>
          <w:b w:val="0"/>
          <w:i w:val="0"/>
        </w:rPr>
        <w:t>Of the MDLLP changes and requests, the Agent accepts 9 (in some cases with clarifying language), counter-proposes 11, and does not accept 20 (several of which are headings that follow the substantive point). The table below addresses every change.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504"/>
            <w:shd w:val="clear" w:color="auto" w:fill="D9D9D9"/>
          </w:tcPr>
          <w:p>
            <w:r>
              <w:rPr>
                <w:b/>
                <w:sz w:val="18"/>
              </w:rPr>
              <w:t>#</w:t>
            </w:r>
          </w:p>
        </w:tc>
        <w:tc>
          <w:tcPr>
            <w:tcW w:type="dxa" w:w="2736"/>
            <w:shd w:val="clear" w:color="auto" w:fill="D9D9D9"/>
          </w:tcPr>
          <w:p>
            <w:r>
              <w:rPr>
                <w:b/>
                <w:sz w:val="18"/>
              </w:rPr>
              <w:t>Provision / MDLLP change</w:t>
            </w:r>
          </w:p>
        </w:tc>
        <w:tc>
          <w:tcPr>
            <w:tcW w:type="dxa" w:w="1584"/>
            <w:shd w:val="clear" w:color="auto" w:fill="D9D9D9"/>
          </w:tcPr>
          <w:p>
            <w:r>
              <w:rPr>
                <w:b/>
                <w:sz w:val="18"/>
              </w:rPr>
              <w:t>Agent position</w:t>
            </w:r>
          </w:p>
        </w:tc>
        <w:tc>
          <w:tcPr>
            <w:tcW w:type="dxa" w:w="4536"/>
            <w:shd w:val="clear" w:color="auto" w:fill="D9D9D9"/>
          </w:tcPr>
          <w:p>
            <w:r>
              <w:rPr>
                <w:b/>
                <w:sz w:val="18"/>
              </w:rPr>
              <w:t>Rationale (WCS comment)</w:t>
            </w:r>
          </w:p>
        </w:tc>
      </w:tr>
      <w:tr>
        <w:tc>
          <w:tcPr>
            <w:tcW w:type="dxa" w:w="504"/>
          </w:tcPr>
          <w:p>
            <w:pPr>
              <w:spacing w:after="40"/>
            </w:pPr>
            <w:r>
              <w:rPr>
                <w:sz w:val="18"/>
              </w:rPr>
              <w:t>1</w:t>
            </w:r>
          </w:p>
        </w:tc>
        <w:tc>
          <w:tcPr>
            <w:tcW w:type="dxa" w:w="2736"/>
          </w:tcPr>
          <w:p>
            <w:pPr>
              <w:spacing w:after="40"/>
            </w:pPr>
            <w:r>
              <w:rPr>
                <w:sz w:val="18"/>
              </w:rPr>
              <w:t>Recital D [TK1] — condition effectiveness of the Guaranty on delivery of a Delaware enforceability opinion from Guarantor's counsel (email request; no text change in markup).</w:t>
            </w:r>
          </w:p>
        </w:tc>
        <w:tc>
          <w:tcPr>
            <w:tcW w:type="dxa" w:w="1584"/>
            <w:shd w:val="clear" w:color="auto" w:fill="FCE4D6"/>
          </w:tcPr>
          <w:p>
            <w:pPr>
              <w:spacing w:after="40"/>
            </w:pPr>
            <w:r>
              <w:rPr>
                <w:b/>
                <w:sz w:val="18"/>
              </w:rPr>
              <w:t>Not accepted</w:t>
            </w:r>
          </w:p>
        </w:tc>
        <w:tc>
          <w:tcPr>
            <w:tcW w:type="dxa" w:w="4536"/>
          </w:tcPr>
          <w:p>
            <w:pPr>
              <w:spacing w:after="40"/>
            </w:pPr>
            <w:r>
              <w:rPr>
                <w:sz w:val="18"/>
              </w:rPr>
              <w:t>The Delaware opinion is already a closing condition for the Lenders' benefit under Section 3.01(2)(b)-(c) of the Credit Agreement. Making the Guaranty's effectiveness depend on a deliverable within the Guarantor's control would let the Guarantor defeat effectiveness by withholding its own counsel's opinion. We will comment on the draft opinion separately. (WCS-1)</w:t>
            </w:r>
          </w:p>
        </w:tc>
      </w:tr>
      <w:tr>
        <w:tc>
          <w:tcPr>
            <w:tcW w:type="dxa" w:w="504"/>
          </w:tcPr>
          <w:p>
            <w:pPr>
              <w:spacing w:after="40"/>
            </w:pPr>
            <w:r>
              <w:rPr>
                <w:sz w:val="18"/>
              </w:rPr>
              <w:t>2</w:t>
            </w:r>
          </w:p>
        </w:tc>
        <w:tc>
          <w:tcPr>
            <w:tcW w:type="dxa" w:w="2736"/>
          </w:tcPr>
          <w:p>
            <w:pPr>
              <w:spacing w:after="40"/>
            </w:pPr>
            <w:r>
              <w:rPr>
                <w:sz w:val="18"/>
              </w:rPr>
              <w:t>§1.1 “Guaranteed Obligations” cl. (b) — insert “other than Excluded Swap Obligations.”</w:t>
            </w:r>
          </w:p>
        </w:tc>
        <w:tc>
          <w:tcPr>
            <w:tcW w:type="dxa" w:w="1584"/>
            <w:shd w:val="clear" w:color="auto" w:fill="E2EFDA"/>
          </w:tcPr>
          <w:p>
            <w:pPr>
              <w:spacing w:after="40"/>
            </w:pPr>
            <w:r>
              <w:rPr>
                <w:b/>
                <w:sz w:val="18"/>
              </w:rPr>
              <w:t>Accepted</w:t>
            </w:r>
          </w:p>
        </w:tc>
        <w:tc>
          <w:tcPr>
            <w:tcW w:type="dxa" w:w="4536"/>
          </w:tcPr>
          <w:p>
            <w:pPr>
              <w:spacing w:after="40"/>
            </w:pPr>
            <w:r>
              <w:rPr>
                <w:sz w:val="18"/>
              </w:rPr>
              <w:t>Market-standard CEA carve-out. The markup used but did not define “Excluded Swap Obligations”; we inserted the customary definition (illegality by reason of failure to be an ECP when the guarantee becomes effective; master-agreement allocation). Cost to Lenders is low: the Guarantor, a corporation with total assets well in excess of $10 million, should itself qualify as an ECP. (WCS-2, WCS-3)</w:t>
            </w:r>
          </w:p>
        </w:tc>
      </w:tr>
      <w:tr>
        <w:tc>
          <w:tcPr>
            <w:tcW w:type="dxa" w:w="504"/>
          </w:tcPr>
          <w:p>
            <w:pPr>
              <w:spacing w:after="40"/>
            </w:pPr>
            <w:r>
              <w:rPr>
                <w:sz w:val="18"/>
              </w:rPr>
              <w:t>3</w:t>
            </w:r>
          </w:p>
        </w:tc>
        <w:tc>
          <w:tcPr>
            <w:tcW w:type="dxa" w:w="2736"/>
          </w:tcPr>
          <w:p>
            <w:pPr>
              <w:spacing w:after="40"/>
            </w:pPr>
            <w:r>
              <w:rPr>
                <w:sz w:val="18"/>
              </w:rPr>
              <w:t>§1.1 proviso (i) — exclude Excluded Swap Obligations from Guaranteed Obligations.</w:t>
            </w:r>
          </w:p>
        </w:tc>
        <w:tc>
          <w:tcPr>
            <w:tcW w:type="dxa" w:w="1584"/>
            <w:shd w:val="clear" w:color="auto" w:fill="E2EFDA"/>
          </w:tcPr>
          <w:p>
            <w:pPr>
              <w:spacing w:after="40"/>
            </w:pPr>
            <w:r>
              <w:rPr>
                <w:b/>
                <w:sz w:val="18"/>
              </w:rPr>
              <w:t>Accepted</w:t>
            </w:r>
          </w:p>
        </w:tc>
        <w:tc>
          <w:tcPr>
            <w:tcW w:type="dxa" w:w="4536"/>
          </w:tcPr>
          <w:p>
            <w:pPr>
              <w:spacing w:after="40"/>
            </w:pPr>
            <w:r>
              <w:rPr>
                <w:sz w:val="18"/>
              </w:rPr>
              <w:t>Same rationale as item 2. Proviso punctuation corrected (“; provided, however”). (WCS-4)</w:t>
            </w:r>
          </w:p>
        </w:tc>
      </w:tr>
      <w:tr>
        <w:tc>
          <w:tcPr>
            <w:tcW w:type="dxa" w:w="504"/>
          </w:tcPr>
          <w:p>
            <w:pPr>
              <w:spacing w:after="40"/>
            </w:pPr>
            <w:r>
              <w:rPr>
                <w:sz w:val="18"/>
              </w:rPr>
              <w:t>4</w:t>
            </w:r>
          </w:p>
        </w:tc>
        <w:tc>
          <w:tcPr>
            <w:tcW w:type="dxa" w:w="2736"/>
          </w:tcPr>
          <w:p>
            <w:pPr>
              <w:spacing w:after="40"/>
            </w:pPr>
            <w:r>
              <w:rPr>
                <w:sz w:val="18"/>
              </w:rPr>
              <w:t>§1.1 proviso (ii) and deletion of the “no notice of acceleration” sentence — exclude obligations arising after acceleration unless the Guarantor receives written notice.</w:t>
            </w:r>
          </w:p>
        </w:tc>
        <w:tc>
          <w:tcPr>
            <w:tcW w:type="dxa" w:w="1584"/>
            <w:shd w:val="clear" w:color="auto" w:fill="FCE4D6"/>
          </w:tcPr>
          <w:p>
            <w:pPr>
              <w:spacing w:after="40"/>
            </w:pPr>
            <w:r>
              <w:rPr>
                <w:b/>
                <w:sz w:val="18"/>
              </w:rPr>
              <w:t>Not accepted; original sentence reinstated and expanded</w:t>
            </w:r>
          </w:p>
        </w:tc>
        <w:tc>
          <w:tcPr>
            <w:tcW w:type="dxa" w:w="4536"/>
          </w:tcPr>
          <w:p>
            <w:pPr>
              <w:spacing w:after="40"/>
            </w:pPr>
            <w:r>
              <w:rPr>
                <w:sz w:val="18"/>
              </w:rPr>
              <w:t>Directly contrary to Section 7.02 of the executed Credit Agreement (no additional notice to the Guarantor; enforceable immediately upon acceleration). Acceleration on a Borrower insolvency event is automatic and involves no notice at all, so the carve-out would strip post-petition and Default Rate interest, fees, indemnities and swap termination amounts. The clause also refers to acceleration “under Section 7.01”; acceleration occurs under Section 7.02. The Guarantor's legitimate information concern is met by new Section 9.4 (item 33). (WCS-4)</w:t>
            </w:r>
          </w:p>
        </w:tc>
      </w:tr>
      <w:tr>
        <w:tc>
          <w:tcPr>
            <w:tcW w:type="dxa" w:w="504"/>
          </w:tcPr>
          <w:p>
            <w:pPr>
              <w:spacing w:after="40"/>
            </w:pPr>
            <w:r>
              <w:rPr>
                <w:sz w:val="18"/>
              </w:rPr>
              <w:t>5</w:t>
            </w:r>
          </w:p>
        </w:tc>
        <w:tc>
          <w:tcPr>
            <w:tcW w:type="dxa" w:w="2736"/>
          </w:tcPr>
          <w:p>
            <w:pPr>
              <w:spacing w:after="40"/>
            </w:pPr>
            <w:r>
              <w:rPr>
                <w:sz w:val="18"/>
              </w:rPr>
              <w:t>§2.1 heading — delete “and Performance.”</w:t>
            </w:r>
          </w:p>
        </w:tc>
        <w:tc>
          <w:tcPr>
            <w:tcW w:type="dxa" w:w="1584"/>
            <w:shd w:val="clear" w:color="auto" w:fill="E2EFDA"/>
          </w:tcPr>
          <w:p>
            <w:pPr>
              <w:spacing w:after="40"/>
            </w:pPr>
            <w:r>
              <w:rPr>
                <w:b/>
                <w:sz w:val="18"/>
              </w:rPr>
              <w:t>Accepted</w:t>
            </w:r>
          </w:p>
        </w:tc>
        <w:tc>
          <w:tcPr>
            <w:tcW w:type="dxa" w:w="4536"/>
          </w:tcPr>
          <w:p>
            <w:pPr>
              <w:spacing w:after="40"/>
            </w:pPr>
            <w:r>
              <w:rPr>
                <w:sz w:val="18"/>
              </w:rPr>
              <w:t>Consistent with Section 1 of Exhibit F (guaranty of payment). (WCS-5)</w:t>
            </w:r>
          </w:p>
        </w:tc>
      </w:tr>
      <w:tr>
        <w:tc>
          <w:tcPr>
            <w:tcW w:type="dxa" w:w="504"/>
          </w:tcPr>
          <w:p>
            <w:pPr>
              <w:spacing w:after="40"/>
            </w:pPr>
            <w:r>
              <w:rPr>
                <w:sz w:val="18"/>
              </w:rPr>
              <w:t>6</w:t>
            </w:r>
          </w:p>
        </w:tc>
        <w:tc>
          <w:tcPr>
            <w:tcW w:type="dxa" w:w="2736"/>
          </w:tcPr>
          <w:p>
            <w:pPr>
              <w:spacing w:after="40"/>
            </w:pPr>
            <w:r>
              <w:rPr>
                <w:sz w:val="18"/>
              </w:rPr>
              <w:t>§2.1, first paragraph — delete “and performance.”</w:t>
            </w:r>
          </w:p>
        </w:tc>
        <w:tc>
          <w:tcPr>
            <w:tcW w:type="dxa" w:w="1584"/>
            <w:shd w:val="clear" w:color="auto" w:fill="E2EFDA"/>
          </w:tcPr>
          <w:p>
            <w:pPr>
              <w:spacing w:after="40"/>
            </w:pPr>
            <w:r>
              <w:rPr>
                <w:b/>
                <w:sz w:val="18"/>
              </w:rPr>
              <w:t>Accepted</w:t>
            </w:r>
          </w:p>
        </w:tc>
        <w:tc>
          <w:tcPr>
            <w:tcW w:type="dxa" w:w="4536"/>
          </w:tcPr>
          <w:p>
            <w:pPr>
              <w:spacing w:after="40"/>
            </w:pPr>
            <w:r>
              <w:rPr>
                <w:sz w:val="18"/>
              </w:rPr>
              <w:t>As item 5.</w:t>
            </w:r>
          </w:p>
        </w:tc>
      </w:tr>
      <w:tr>
        <w:tc>
          <w:tcPr>
            <w:tcW w:type="dxa" w:w="504"/>
          </w:tcPr>
          <w:p>
            <w:pPr>
              <w:spacing w:after="40"/>
            </w:pPr>
            <w:r>
              <w:rPr>
                <w:sz w:val="18"/>
              </w:rPr>
              <w:t>7</w:t>
            </w:r>
          </w:p>
        </w:tc>
        <w:tc>
          <w:tcPr>
            <w:tcW w:type="dxa" w:w="2736"/>
          </w:tcPr>
          <w:p>
            <w:pPr>
              <w:spacing w:after="40"/>
            </w:pPr>
            <w:r>
              <w:rPr>
                <w:sz w:val="18"/>
              </w:rPr>
              <w:t>§2.1, second paragraph — delete “and performance.”</w:t>
            </w:r>
          </w:p>
        </w:tc>
        <w:tc>
          <w:tcPr>
            <w:tcW w:type="dxa" w:w="1584"/>
            <w:shd w:val="clear" w:color="auto" w:fill="E2EFDA"/>
          </w:tcPr>
          <w:p>
            <w:pPr>
              <w:spacing w:after="40"/>
            </w:pPr>
            <w:r>
              <w:rPr>
                <w:b/>
                <w:sz w:val="18"/>
              </w:rPr>
              <w:t>Accepted</w:t>
            </w:r>
          </w:p>
        </w:tc>
        <w:tc>
          <w:tcPr>
            <w:tcW w:type="dxa" w:w="4536"/>
          </w:tcPr>
          <w:p>
            <w:pPr>
              <w:spacing w:after="40"/>
            </w:pPr>
            <w:r>
              <w:rPr>
                <w:sz w:val="18"/>
              </w:rPr>
              <w:t>As item 5.</w:t>
            </w:r>
          </w:p>
        </w:tc>
      </w:tr>
      <w:tr>
        <w:tc>
          <w:tcPr>
            <w:tcW w:type="dxa" w:w="504"/>
          </w:tcPr>
          <w:p>
            <w:pPr>
              <w:spacing w:after="40"/>
            </w:pPr>
            <w:r>
              <w:rPr>
                <w:sz w:val="18"/>
              </w:rPr>
              <w:t>8</w:t>
            </w:r>
          </w:p>
        </w:tc>
        <w:tc>
          <w:tcPr>
            <w:tcW w:type="dxa" w:w="2736"/>
          </w:tcPr>
          <w:p>
            <w:pPr>
              <w:spacing w:after="40"/>
            </w:pPr>
            <w:r>
              <w:rPr>
                <w:sz w:val="18"/>
              </w:rPr>
              <w:t>§2.1 — add “This Guaranty is not a guaranty of performance.”</w:t>
            </w:r>
          </w:p>
        </w:tc>
        <w:tc>
          <w:tcPr>
            <w:tcW w:type="dxa" w:w="1584"/>
            <w:shd w:val="clear" w:color="auto" w:fill="FFF2CC"/>
          </w:tcPr>
          <w:p>
            <w:pPr>
              <w:spacing w:after="40"/>
            </w:pPr>
            <w:r>
              <w:rPr>
                <w:b/>
                <w:sz w:val="18"/>
              </w:rPr>
              <w:t>Counter-proposal</w:t>
            </w:r>
          </w:p>
        </w:tc>
        <w:tc>
          <w:tcPr>
            <w:tcW w:type="dxa" w:w="4536"/>
          </w:tcPr>
          <w:p>
            <w:pPr>
              <w:spacing w:after="40"/>
            </w:pPr>
            <w:r>
              <w:rPr>
                <w:sz w:val="18"/>
              </w:rPr>
              <w:t>The sentence invites an argument that monetary consequences of Borrower non-performance fall outside the Guaranty. Replaced with language confirming that the payment guaranty covers all amounts payable in respect of any failure to perform non-monetary obligations (e.g., L/C cash collateralization, damages, indemnities, swap termination amounts), consistent with the Credit Agreement definition of “Obligations” (which includes “covenants and duties”) and the Term Sheet (Section V(a)). (WCS-5)</w:t>
            </w:r>
          </w:p>
        </w:tc>
      </w:tr>
      <w:tr>
        <w:tc>
          <w:tcPr>
            <w:tcW w:type="dxa" w:w="504"/>
          </w:tcPr>
          <w:p>
            <w:pPr>
              <w:spacing w:after="40"/>
            </w:pPr>
            <w:r>
              <w:rPr>
                <w:sz w:val="18"/>
              </w:rPr>
              <w:t>9</w:t>
            </w:r>
          </w:p>
        </w:tc>
        <w:tc>
          <w:tcPr>
            <w:tcW w:type="dxa" w:w="2736"/>
          </w:tcPr>
          <w:p>
            <w:pPr>
              <w:spacing w:after="40"/>
            </w:pPr>
            <w:r>
              <w:rPr>
                <w:sz w:val="18"/>
              </w:rPr>
              <w:t>§2.2 heading — delete “Immediate.”</w:t>
            </w:r>
          </w:p>
        </w:tc>
        <w:tc>
          <w:tcPr>
            <w:tcW w:type="dxa" w:w="1584"/>
            <w:shd w:val="clear" w:color="auto" w:fill="FCE4D6"/>
          </w:tcPr>
          <w:p>
            <w:pPr>
              <w:spacing w:after="40"/>
            </w:pPr>
            <w:r>
              <w:rPr>
                <w:b/>
                <w:sz w:val="18"/>
              </w:rPr>
              <w:t>Not accepted</w:t>
            </w:r>
          </w:p>
        </w:tc>
        <w:tc>
          <w:tcPr>
            <w:tcW w:type="dxa" w:w="4536"/>
          </w:tcPr>
          <w:p>
            <w:pPr>
              <w:spacing w:after="40"/>
            </w:pPr>
            <w:r>
              <w:rPr>
                <w:sz w:val="18"/>
              </w:rPr>
              <w:t>Follows item 12. (WCS-6)</w:t>
            </w:r>
          </w:p>
        </w:tc>
      </w:tr>
      <w:tr>
        <w:tc>
          <w:tcPr>
            <w:tcW w:type="dxa" w:w="504"/>
          </w:tcPr>
          <w:p>
            <w:pPr>
              <w:spacing w:after="40"/>
            </w:pPr>
            <w:r>
              <w:rPr>
                <w:sz w:val="18"/>
              </w:rPr>
              <w:t>10</w:t>
            </w:r>
          </w:p>
        </w:tc>
        <w:tc>
          <w:tcPr>
            <w:tcW w:type="dxa" w:w="2736"/>
          </w:tcPr>
          <w:p>
            <w:pPr>
              <w:spacing w:after="40"/>
            </w:pPr>
            <w:r>
              <w:rPr>
                <w:sz w:val="18"/>
              </w:rPr>
              <w:t>§2.2 — delete “or perform.”</w:t>
            </w:r>
          </w:p>
        </w:tc>
        <w:tc>
          <w:tcPr>
            <w:tcW w:type="dxa" w:w="1584"/>
            <w:shd w:val="clear" w:color="auto" w:fill="E2EFDA"/>
          </w:tcPr>
          <w:p>
            <w:pPr>
              <w:spacing w:after="40"/>
            </w:pPr>
            <w:r>
              <w:rPr>
                <w:b/>
                <w:sz w:val="18"/>
              </w:rPr>
              <w:t>Accepted</w:t>
            </w:r>
          </w:p>
        </w:tc>
        <w:tc>
          <w:tcPr>
            <w:tcW w:type="dxa" w:w="4536"/>
          </w:tcPr>
          <w:p>
            <w:pPr>
              <w:spacing w:after="40"/>
            </w:pPr>
            <w:r>
              <w:rPr>
                <w:sz w:val="18"/>
              </w:rPr>
              <w:t>Consistent with items 5–7; we made the conforming change to “payment or performance” earlier in the same sentence.</w:t>
            </w:r>
          </w:p>
        </w:tc>
      </w:tr>
      <w:tr>
        <w:tc>
          <w:tcPr>
            <w:tcW w:type="dxa" w:w="504"/>
          </w:tcPr>
          <w:p>
            <w:pPr>
              <w:spacing w:after="40"/>
            </w:pPr>
            <w:r>
              <w:rPr>
                <w:sz w:val="18"/>
              </w:rPr>
              <w:t>11</w:t>
            </w:r>
          </w:p>
        </w:tc>
        <w:tc>
          <w:tcPr>
            <w:tcW w:type="dxa" w:w="2736"/>
          </w:tcPr>
          <w:p>
            <w:pPr>
              <w:spacing w:after="40"/>
            </w:pPr>
            <w:r>
              <w:rPr>
                <w:sz w:val="18"/>
              </w:rPr>
              <w:t>§2.2 — delete “no waiting period, grace period … or other precondition” sentence.</w:t>
            </w:r>
          </w:p>
        </w:tc>
        <w:tc>
          <w:tcPr>
            <w:tcW w:type="dxa" w:w="1584"/>
            <w:shd w:val="clear" w:color="auto" w:fill="FCE4D6"/>
          </w:tcPr>
          <w:p>
            <w:pPr>
              <w:spacing w:after="40"/>
            </w:pPr>
            <w:r>
              <w:rPr>
                <w:b/>
                <w:sz w:val="18"/>
              </w:rPr>
              <w:t>Not accepted; reinstated</w:t>
            </w:r>
          </w:p>
        </w:tc>
        <w:tc>
          <w:tcPr>
            <w:tcW w:type="dxa" w:w="4536"/>
          </w:tcPr>
          <w:p>
            <w:pPr>
              <w:spacing w:after="40"/>
            </w:pPr>
            <w:r>
              <w:rPr>
                <w:sz w:val="18"/>
              </w:rPr>
              <w:t>Section 7.02 of the Credit Agreement: Guaranty enforceable immediately upon acceleration. Reinstated with an express cross-reference to Section 7.02. (WCS-6)</w:t>
            </w:r>
          </w:p>
        </w:tc>
      </w:tr>
      <w:tr>
        <w:tc>
          <w:tcPr>
            <w:tcW w:type="dxa" w:w="504"/>
          </w:tcPr>
          <w:p>
            <w:pPr>
              <w:spacing w:after="40"/>
            </w:pPr>
            <w:r>
              <w:rPr>
                <w:sz w:val="18"/>
              </w:rPr>
              <w:t>12</w:t>
            </w:r>
          </w:p>
        </w:tc>
        <w:tc>
          <w:tcPr>
            <w:tcW w:type="dxa" w:w="2736"/>
          </w:tcPr>
          <w:p>
            <w:pPr>
              <w:spacing w:after="40"/>
            </w:pPr>
            <w:r>
              <w:rPr>
                <w:sz w:val="18"/>
              </w:rPr>
              <w:t>§2.2 — five (5) Business Day “Demand Grace Period” before the Guaranty is enforceable.</w:t>
            </w:r>
          </w:p>
        </w:tc>
        <w:tc>
          <w:tcPr>
            <w:tcW w:type="dxa" w:w="1584"/>
            <w:shd w:val="clear" w:color="auto" w:fill="FCE4D6"/>
          </w:tcPr>
          <w:p>
            <w:pPr>
              <w:spacing w:after="40"/>
            </w:pPr>
            <w:r>
              <w:rPr>
                <w:b/>
                <w:sz w:val="18"/>
              </w:rPr>
              <w:t>Not accepted</w:t>
            </w:r>
          </w:p>
        </w:tc>
        <w:tc>
          <w:tcPr>
            <w:tcW w:type="dxa" w:w="4536"/>
          </w:tcPr>
          <w:p>
            <w:pPr>
              <w:spacing w:after="40"/>
            </w:pPr>
            <w:r>
              <w:rPr>
                <w:sz w:val="18"/>
              </w:rPr>
              <w:t>Inconsistent with Section 7.02; would stack on the Borrower's own five-Business-Day grace period for interest and fees under Section 7.01(b); and would delay enforcement at the point of greatest credit risk (and invite asset movement during the delay). (WCS-6)</w:t>
            </w:r>
          </w:p>
        </w:tc>
      </w:tr>
      <w:tr>
        <w:tc>
          <w:tcPr>
            <w:tcW w:type="dxa" w:w="504"/>
          </w:tcPr>
          <w:p>
            <w:pPr>
              <w:spacing w:after="40"/>
            </w:pPr>
            <w:r>
              <w:rPr>
                <w:sz w:val="18"/>
              </w:rPr>
              <w:t>13</w:t>
            </w:r>
          </w:p>
        </w:tc>
        <w:tc>
          <w:tcPr>
            <w:tcW w:type="dxa" w:w="2736"/>
          </w:tcPr>
          <w:p>
            <w:pPr>
              <w:spacing w:after="40"/>
            </w:pPr>
            <w:r>
              <w:rPr>
                <w:sz w:val="18"/>
              </w:rPr>
              <w:t>§2.2 — demand to state in reasonable detail the obligations and amounts due.</w:t>
            </w:r>
          </w:p>
        </w:tc>
        <w:tc>
          <w:tcPr>
            <w:tcW w:type="dxa" w:w="1584"/>
            <w:shd w:val="clear" w:color="auto" w:fill="E2EFDA"/>
          </w:tcPr>
          <w:p>
            <w:pPr>
              <w:spacing w:after="40"/>
            </w:pPr>
            <w:r>
              <w:rPr>
                <w:b/>
                <w:sz w:val="18"/>
              </w:rPr>
              <w:t>Accepted in modified form</w:t>
            </w:r>
          </w:p>
        </w:tc>
        <w:tc>
          <w:tcPr>
            <w:tcW w:type="dxa" w:w="4536"/>
          </w:tcPr>
          <w:p>
            <w:pPr>
              <w:spacing w:after="40"/>
            </w:pPr>
            <w:r>
              <w:rPr>
                <w:sz w:val="18"/>
              </w:rPr>
              <w:t>Each demand will identify the Guaranteed Obligations and amounts in reasonable detail (the Agent's determination conclusive absent manifest error), provided that an omission or error does not condition, delay or affect payment. (WCS-6)</w:t>
            </w:r>
          </w:p>
        </w:tc>
      </w:tr>
      <w:tr>
        <w:tc>
          <w:tcPr>
            <w:tcW w:type="dxa" w:w="504"/>
          </w:tcPr>
          <w:p>
            <w:pPr>
              <w:spacing w:after="40"/>
            </w:pPr>
            <w:r>
              <w:rPr>
                <w:sz w:val="18"/>
              </w:rPr>
              <w:t>14</w:t>
            </w:r>
          </w:p>
        </w:tc>
        <w:tc>
          <w:tcPr>
            <w:tcW w:type="dxa" w:w="2736"/>
          </w:tcPr>
          <w:p>
            <w:pPr>
              <w:spacing w:after="40"/>
            </w:pPr>
            <w:r>
              <w:rPr>
                <w:sz w:val="18"/>
              </w:rPr>
              <w:t>§2.3 — delete “no limitation or cap” sentence.</w:t>
            </w:r>
          </w:p>
        </w:tc>
        <w:tc>
          <w:tcPr>
            <w:tcW w:type="dxa" w:w="1584"/>
            <w:shd w:val="clear" w:color="auto" w:fill="FFF2CC"/>
          </w:tcPr>
          <w:p>
            <w:pPr>
              <w:spacing w:after="40"/>
            </w:pPr>
            <w:r>
              <w:rPr>
                <w:b/>
                <w:sz w:val="18"/>
              </w:rPr>
              <w:t>Counter-proposal</w:t>
            </w:r>
          </w:p>
        </w:tc>
        <w:tc>
          <w:tcPr>
            <w:tcW w:type="dxa" w:w="4536"/>
          </w:tcPr>
          <w:p>
            <w:pPr>
              <w:spacing w:after="40"/>
            </w:pPr>
            <w:r>
              <w:rPr>
                <w:sz w:val="18"/>
              </w:rPr>
              <w:t>Reinstated, expressly subject to the savings clause described in item 15. (WCS-7)</w:t>
            </w:r>
          </w:p>
        </w:tc>
      </w:tr>
      <w:tr>
        <w:tc>
          <w:tcPr>
            <w:tcW w:type="dxa" w:w="504"/>
          </w:tcPr>
          <w:p>
            <w:pPr>
              <w:spacing w:after="40"/>
            </w:pPr>
            <w:r>
              <w:rPr>
                <w:sz w:val="18"/>
              </w:rPr>
              <w:t>15</w:t>
            </w:r>
          </w:p>
        </w:tc>
        <w:tc>
          <w:tcPr>
            <w:tcW w:type="dxa" w:w="2736"/>
          </w:tcPr>
          <w:p>
            <w:pPr>
              <w:spacing w:after="40"/>
            </w:pPr>
            <w:r>
              <w:rPr>
                <w:sz w:val="18"/>
              </w:rPr>
              <w:t>§2.3 — “Maximum Guaranteed Amount” cap equal to the Guarantor's net assets (less non-guaranteed liabilities, floored at zero) measured at the time of demand.</w:t>
            </w:r>
          </w:p>
        </w:tc>
        <w:tc>
          <w:tcPr>
            <w:tcW w:type="dxa" w:w="1584"/>
            <w:shd w:val="clear" w:color="auto" w:fill="FFF2CC"/>
          </w:tcPr>
          <w:p>
            <w:pPr>
              <w:spacing w:after="40"/>
            </w:pPr>
            <w:r>
              <w:rPr>
                <w:b/>
                <w:sz w:val="18"/>
              </w:rPr>
              <w:t>Counter-proposal</w:t>
            </w:r>
          </w:p>
        </w:tc>
        <w:tc>
          <w:tcPr>
            <w:tcW w:type="dxa" w:w="4536"/>
          </w:tcPr>
          <w:p>
            <w:pPr>
              <w:spacing w:after="40"/>
            </w:pPr>
            <w:r>
              <w:rPr>
                <w:sz w:val="18"/>
              </w:rPr>
              <w:t>As drafted this is a true liability cap, not a savings clause: measured at demand, when the group is in distress and the value of the Guarantor's principal asset (its pledged equity in the Borrower) has fallen, it could reduce the Guaranty to zero, and it departs from Exhibit F and the Term Sheet. Because this is a downstream parent guaranty, fraudulent-transfer exposure is limited. We offer a customary savings clause: liability is limited only if and to the extent a court determines the obligations would otherwise be avoidable under Section 548, UFTA, UVTA or similar law, after taking account of other relevant liabilities (excluding intercompany debt owed to the Borrower group), rights of subrogation/contribution, and benefits received, and it may be invoked only to the extent the Fraudulent Transfer Laws would otherwise apply. (WCS-7)</w:t>
            </w:r>
          </w:p>
        </w:tc>
      </w:tr>
      <w:tr>
        <w:tc>
          <w:tcPr>
            <w:tcW w:type="dxa" w:w="504"/>
          </w:tcPr>
          <w:p>
            <w:pPr>
              <w:spacing w:after="40"/>
            </w:pPr>
            <w:r>
              <w:rPr>
                <w:sz w:val="18"/>
              </w:rPr>
              <w:t>16</w:t>
            </w:r>
          </w:p>
        </w:tc>
        <w:tc>
          <w:tcPr>
            <w:tcW w:type="dxa" w:w="2736"/>
          </w:tcPr>
          <w:p>
            <w:pPr>
              <w:spacing w:after="40"/>
            </w:pPr>
            <w:r>
              <w:rPr>
                <w:sz w:val="18"/>
              </w:rPr>
              <w:t>§2.4 — liability absolute “subject to the Maximum Guaranteed Amount.”</w:t>
            </w:r>
          </w:p>
        </w:tc>
        <w:tc>
          <w:tcPr>
            <w:tcW w:type="dxa" w:w="1584"/>
            <w:shd w:val="clear" w:color="auto" w:fill="FFF2CC"/>
          </w:tcPr>
          <w:p>
            <w:pPr>
              <w:spacing w:after="40"/>
            </w:pPr>
            <w:r>
              <w:rPr>
                <w:b/>
                <w:sz w:val="18"/>
              </w:rPr>
              <w:t>Counter-proposal</w:t>
            </w:r>
          </w:p>
        </w:tc>
        <w:tc>
          <w:tcPr>
            <w:tcW w:type="dxa" w:w="4536"/>
          </w:tcPr>
          <w:p>
            <w:pPr>
              <w:spacing w:after="40"/>
            </w:pPr>
            <w:r>
              <w:rPr>
                <w:sz w:val="18"/>
              </w:rPr>
              <w:t>Conformed to item 15 (“subject only to the limitation set forth in the last paragraph of Section 2.3”). (WCS-8)</w:t>
            </w:r>
          </w:p>
        </w:tc>
      </w:tr>
      <w:tr>
        <w:tc>
          <w:tcPr>
            <w:tcW w:type="dxa" w:w="504"/>
          </w:tcPr>
          <w:p>
            <w:pPr>
              <w:spacing w:after="40"/>
            </w:pPr>
            <w:r>
              <w:rPr>
                <w:sz w:val="18"/>
              </w:rPr>
              <w:t>17</w:t>
            </w:r>
          </w:p>
        </w:tc>
        <w:tc>
          <w:tcPr>
            <w:tcW w:type="dxa" w:w="2736"/>
          </w:tcPr>
          <w:p>
            <w:pPr>
              <w:spacing w:after="40"/>
            </w:pPr>
            <w:r>
              <w:rPr>
                <w:sz w:val="18"/>
              </w:rPr>
              <w:t>§3.2 [TK2] — delete waiver of marshaling (“Reserved”).</w:t>
            </w:r>
          </w:p>
        </w:tc>
        <w:tc>
          <w:tcPr>
            <w:tcW w:type="dxa" w:w="1584"/>
            <w:shd w:val="clear" w:color="auto" w:fill="FCE4D6"/>
          </w:tcPr>
          <w:p>
            <w:pPr>
              <w:spacing w:after="40"/>
            </w:pPr>
            <w:r>
              <w:rPr>
                <w:b/>
                <w:sz w:val="18"/>
              </w:rPr>
              <w:t>Not accepted; reinstated</w:t>
            </w:r>
          </w:p>
        </w:tc>
        <w:tc>
          <w:tcPr>
            <w:tcW w:type="dxa" w:w="4536"/>
          </w:tcPr>
          <w:p>
            <w:pPr>
              <w:spacing w:after="40"/>
            </w:pPr>
            <w:r>
              <w:rPr>
                <w:sz w:val="18"/>
              </w:rPr>
              <w:t>Required by Term Sheet Section V(f)(iii) and reflected in Section 4 of Exhibit F (waiver of any requirement to proceed first against the Borrower or any Collateral). A right to force the Agent to proceed first against the Borrower and the Collateral is also irreconcilable with Sections 2.1 and 2.2 as retained in the markup (guaranty of payment, not collection; primary obligation; no requirement to exhaust remedies) and would convert the Guaranty into a guaranty of collection. (WCS-9)</w:t>
            </w:r>
          </w:p>
        </w:tc>
      </w:tr>
      <w:tr>
        <w:tc>
          <w:tcPr>
            <w:tcW w:type="dxa" w:w="504"/>
          </w:tcPr>
          <w:p>
            <w:pPr>
              <w:spacing w:after="40"/>
            </w:pPr>
            <w:r>
              <w:rPr>
                <w:sz w:val="18"/>
              </w:rPr>
              <w:t>18</w:t>
            </w:r>
          </w:p>
        </w:tc>
        <w:tc>
          <w:tcPr>
            <w:tcW w:type="dxa" w:w="2736"/>
          </w:tcPr>
          <w:p>
            <w:pPr>
              <w:spacing w:after="40"/>
            </w:pPr>
            <w:r>
              <w:rPr>
                <w:sz w:val="18"/>
              </w:rPr>
              <w:t>§3.3 [TK3] — delete waiver of election-of-remedies defense (“Reserved”).</w:t>
            </w:r>
          </w:p>
        </w:tc>
        <w:tc>
          <w:tcPr>
            <w:tcW w:type="dxa" w:w="1584"/>
            <w:shd w:val="clear" w:color="auto" w:fill="FCE4D6"/>
          </w:tcPr>
          <w:p>
            <w:pPr>
              <w:spacing w:after="40"/>
            </w:pPr>
            <w:r>
              <w:rPr>
                <w:b/>
                <w:sz w:val="18"/>
              </w:rPr>
              <w:t>Not accepted; reinstated</w:t>
            </w:r>
          </w:p>
        </w:tc>
        <w:tc>
          <w:tcPr>
            <w:tcW w:type="dxa" w:w="4536"/>
          </w:tcPr>
          <w:p>
            <w:pPr>
              <w:spacing w:after="40"/>
            </w:pPr>
            <w:r>
              <w:rPr>
                <w:sz w:val="18"/>
              </w:rPr>
              <w:t>Preserves the Agent's ability to realize on the Collateral, including the Pledged Interests in the Borrower, by private or non-judicial disposition without risking a defense that the Guarantor's subrogation rights were impaired. Consistent with Term Sheet Section V(f)(ii) and (vi); routinely enforced in New York against sophisticated, counseled parties. (WCS-10)</w:t>
            </w:r>
          </w:p>
        </w:tc>
      </w:tr>
      <w:tr>
        <w:tc>
          <w:tcPr>
            <w:tcW w:type="dxa" w:w="504"/>
          </w:tcPr>
          <w:p>
            <w:pPr>
              <w:spacing w:after="40"/>
            </w:pPr>
            <w:r>
              <w:rPr>
                <w:sz w:val="18"/>
              </w:rPr>
              <w:t>19</w:t>
            </w:r>
          </w:p>
        </w:tc>
        <w:tc>
          <w:tcPr>
            <w:tcW w:type="dxa" w:w="2736"/>
          </w:tcPr>
          <w:p>
            <w:pPr>
              <w:spacing w:after="40"/>
            </w:pPr>
            <w:r>
              <w:rPr>
                <w:sz w:val="18"/>
              </w:rPr>
              <w:t>§3.4 heading — delete “Waiver of.”</w:t>
            </w:r>
          </w:p>
        </w:tc>
        <w:tc>
          <w:tcPr>
            <w:tcW w:type="dxa" w:w="1584"/>
            <w:shd w:val="clear" w:color="auto" w:fill="FFF2CC"/>
          </w:tcPr>
          <w:p>
            <w:pPr>
              <w:spacing w:after="40"/>
            </w:pPr>
            <w:r>
              <w:rPr>
                <w:b/>
                <w:sz w:val="18"/>
              </w:rPr>
              <w:t>Counter-proposal</w:t>
            </w:r>
          </w:p>
        </w:tc>
        <w:tc>
          <w:tcPr>
            <w:tcW w:type="dxa" w:w="4536"/>
          </w:tcPr>
          <w:p>
            <w:pPr>
              <w:spacing w:after="40"/>
            </w:pPr>
            <w:r>
              <w:rPr>
                <w:sz w:val="18"/>
              </w:rPr>
              <w:t>Retitled “Statute of Limitations; Accrual and Tolling” to reflect item 20. (WCS-11)</w:t>
            </w:r>
          </w:p>
        </w:tc>
      </w:tr>
      <w:tr>
        <w:tc>
          <w:tcPr>
            <w:tcW w:type="dxa" w:w="504"/>
          </w:tcPr>
          <w:p>
            <w:pPr>
              <w:spacing w:after="40"/>
            </w:pPr>
            <w:r>
              <w:rPr>
                <w:sz w:val="18"/>
              </w:rPr>
              <w:t>20</w:t>
            </w:r>
          </w:p>
        </w:tc>
        <w:tc>
          <w:tcPr>
            <w:tcW w:type="dxa" w:w="2736"/>
          </w:tcPr>
          <w:p>
            <w:pPr>
              <w:spacing w:after="40"/>
            </w:pPr>
            <w:r>
              <w:rPr>
                <w:sz w:val="18"/>
              </w:rPr>
              <w:t>§3.4 — replace statute-of-limitations waiver with acknowledgment that the New York statute applies and that nothing waives, tolls or extends it.</w:t>
            </w:r>
          </w:p>
        </w:tc>
        <w:tc>
          <w:tcPr>
            <w:tcW w:type="dxa" w:w="1584"/>
            <w:shd w:val="clear" w:color="auto" w:fill="FFF2CC"/>
          </w:tcPr>
          <w:p>
            <w:pPr>
              <w:spacing w:after="40"/>
            </w:pPr>
            <w:r>
              <w:rPr>
                <w:b/>
                <w:sz w:val="18"/>
              </w:rPr>
              <w:t>Counter-proposal</w:t>
            </w:r>
          </w:p>
        </w:tc>
        <w:tc>
          <w:tcPr>
            <w:tcW w:type="dxa" w:w="4536"/>
          </w:tcPr>
          <w:p>
            <w:pPr>
              <w:spacing w:after="40"/>
            </w:pPr>
            <w:r>
              <w:rPr>
                <w:sz w:val="18"/>
              </w:rPr>
              <w:t>We accept that the New York statute of limitations applies and have not reinstated the blanket waiver (recognizing the limits of N.Y. Gen. Oblig. Law §17-103 on pre-accrual waivers). We do not accept the express “no tolling” sentence. In its place, to the fullest extent permitted by law: (a) a claim against the Guarantor accrues only when the relevant Guaranteed Obligation is due and demand has been made under Section 2.2; and (b) payments or written acknowledgments that toll or renew the limitations period against the Borrower have the same effect against the Guarantor. This keeps the limitations period running in step with the continuing nature of a revolving-facility guaranty. (WCS-11)</w:t>
            </w:r>
          </w:p>
        </w:tc>
      </w:tr>
      <w:tr>
        <w:tc>
          <w:tcPr>
            <w:tcW w:type="dxa" w:w="504"/>
          </w:tcPr>
          <w:p>
            <w:pPr>
              <w:spacing w:after="40"/>
            </w:pPr>
            <w:r>
              <w:rPr>
                <w:sz w:val="18"/>
              </w:rPr>
              <w:t>21</w:t>
            </w:r>
          </w:p>
        </w:tc>
        <w:tc>
          <w:tcPr>
            <w:tcW w:type="dxa" w:w="2736"/>
          </w:tcPr>
          <w:p>
            <w:pPr>
              <w:spacing w:after="40"/>
            </w:pPr>
            <w:r>
              <w:rPr>
                <w:sz w:val="18"/>
              </w:rPr>
              <w:t>§3.6 heading — delete “Subordination of.”</w:t>
            </w:r>
          </w:p>
        </w:tc>
        <w:tc>
          <w:tcPr>
            <w:tcW w:type="dxa" w:w="1584"/>
            <w:shd w:val="clear" w:color="auto" w:fill="FCE4D6"/>
          </w:tcPr>
          <w:p>
            <w:pPr>
              <w:spacing w:after="40"/>
            </w:pPr>
            <w:r>
              <w:rPr>
                <w:b/>
                <w:sz w:val="18"/>
              </w:rPr>
              <w:t>Not accepted</w:t>
            </w:r>
          </w:p>
        </w:tc>
        <w:tc>
          <w:tcPr>
            <w:tcW w:type="dxa" w:w="4536"/>
          </w:tcPr>
          <w:p>
            <w:pPr>
              <w:spacing w:after="40"/>
            </w:pPr>
            <w:r>
              <w:rPr>
                <w:sz w:val="18"/>
              </w:rPr>
              <w:t>Follows item 22. (WCS-12)</w:t>
            </w:r>
          </w:p>
        </w:tc>
      </w:tr>
      <w:tr>
        <w:tc>
          <w:tcPr>
            <w:tcW w:type="dxa" w:w="504"/>
          </w:tcPr>
          <w:p>
            <w:pPr>
              <w:spacing w:after="40"/>
            </w:pPr>
            <w:r>
              <w:rPr>
                <w:sz w:val="18"/>
              </w:rPr>
              <w:t>22</w:t>
            </w:r>
          </w:p>
        </w:tc>
        <w:tc>
          <w:tcPr>
            <w:tcW w:type="dxa" w:w="2736"/>
          </w:tcPr>
          <w:p>
            <w:pPr>
              <w:spacing w:after="40"/>
            </w:pPr>
            <w:r>
              <w:rPr>
                <w:sz w:val="18"/>
              </w:rPr>
              <w:t>§3.6 — replace deferral of subrogation, contribution and reimbursement with immediate subrogation upon any payment.</w:t>
            </w:r>
          </w:p>
        </w:tc>
        <w:tc>
          <w:tcPr>
            <w:tcW w:type="dxa" w:w="1584"/>
            <w:shd w:val="clear" w:color="auto" w:fill="FCE4D6"/>
          </w:tcPr>
          <w:p>
            <w:pPr>
              <w:spacing w:after="40"/>
            </w:pPr>
            <w:r>
              <w:rPr>
                <w:b/>
                <w:sz w:val="18"/>
              </w:rPr>
              <w:t>Not accepted; §3.6(a)-(c) reinstated; new §3.6(d) offered</w:t>
            </w:r>
          </w:p>
        </w:tc>
        <w:tc>
          <w:tcPr>
            <w:tcW w:type="dxa" w:w="4536"/>
          </w:tcPr>
          <w:p>
            <w:pPr>
              <w:spacing w:after="40"/>
            </w:pPr>
            <w:r>
              <w:rPr>
                <w:sz w:val="18"/>
              </w:rPr>
              <w:t>Deferral until payment in full and termination of Commitments is required by Term Sheet Section V(f)(iv) and Section 6 of Exhibit F. Immediate subrogation would let the Guarantor (an insider) compete with the Secured Parties for the Borrower's assets and the Collateral while Obligations remain outstanding and would raise insider-preference issues. Accommodation: new clause (d) requires the Agent, once the Termination Conditions are satisfied, to document the Guarantor's subrogation at the Guarantor's request and expense, without recourse. (WCS-12)</w:t>
            </w:r>
          </w:p>
        </w:tc>
      </w:tr>
      <w:tr>
        <w:tc>
          <w:tcPr>
            <w:tcW w:type="dxa" w:w="504"/>
          </w:tcPr>
          <w:p>
            <w:pPr>
              <w:spacing w:after="40"/>
            </w:pPr>
            <w:r>
              <w:rPr>
                <w:sz w:val="18"/>
              </w:rPr>
              <w:t>23</w:t>
            </w:r>
          </w:p>
        </w:tc>
        <w:tc>
          <w:tcPr>
            <w:tcW w:type="dxa" w:w="2736"/>
          </w:tcPr>
          <w:p>
            <w:pPr>
              <w:spacing w:after="40"/>
            </w:pPr>
            <w:r>
              <w:rPr>
                <w:sz w:val="18"/>
              </w:rPr>
              <w:t>§4.1 [TK4] — limit reinstatement to payments received directly from the Guarantor.</w:t>
            </w:r>
          </w:p>
        </w:tc>
        <w:tc>
          <w:tcPr>
            <w:tcW w:type="dxa" w:w="1584"/>
            <w:shd w:val="clear" w:color="auto" w:fill="FCE4D6"/>
          </w:tcPr>
          <w:p>
            <w:pPr>
              <w:spacing w:after="40"/>
            </w:pPr>
            <w:r>
              <w:rPr>
                <w:b/>
                <w:sz w:val="18"/>
              </w:rPr>
              <w:t>Not accepted; original language reinstated</w:t>
            </w:r>
          </w:p>
        </w:tc>
        <w:tc>
          <w:tcPr>
            <w:tcW w:type="dxa" w:w="4536"/>
          </w:tcPr>
          <w:p>
            <w:pPr>
              <w:spacing w:after="40"/>
            </w:pPr>
            <w:r>
              <w:rPr>
                <w:sz w:val="18"/>
              </w:rPr>
              <w:t>Section 9.05 of the Credit Agreement and Section 5 of Exhibit F provide for reinstatement of any rescinded or avoided payment, regardless of source. A Borrower payment or collateral recovery that is clawed back as a preference never discharged the debt; the Guarantor is not “re-exposed for amounts it never paid” but remains liable for debt that was never actually repaid. Absent this provision, the Lenders would bear preference risk on every Borrower payment within the look-back period, which is the core risk a parent guaranty is meant to cover. (WCS-13)</w:t>
            </w:r>
          </w:p>
        </w:tc>
      </w:tr>
      <w:tr>
        <w:tc>
          <w:tcPr>
            <w:tcW w:type="dxa" w:w="504"/>
          </w:tcPr>
          <w:p>
            <w:pPr>
              <w:spacing w:after="40"/>
            </w:pPr>
            <w:r>
              <w:rPr>
                <w:sz w:val="18"/>
              </w:rPr>
              <w:t>24</w:t>
            </w:r>
          </w:p>
        </w:tc>
        <w:tc>
          <w:tcPr>
            <w:tcW w:type="dxa" w:w="2736"/>
          </w:tcPr>
          <w:p>
            <w:pPr>
              <w:spacing w:after="40"/>
            </w:pPr>
            <w:r>
              <w:rPr>
                <w:sz w:val="18"/>
              </w:rPr>
              <w:t>§5 heading — delete “NO” (“No Termination”).</w:t>
            </w:r>
          </w:p>
        </w:tc>
        <w:tc>
          <w:tcPr>
            <w:tcW w:type="dxa" w:w="1584"/>
            <w:shd w:val="clear" w:color="auto" w:fill="FCE4D6"/>
          </w:tcPr>
          <w:p>
            <w:pPr>
              <w:spacing w:after="40"/>
            </w:pPr>
            <w:r>
              <w:rPr>
                <w:b/>
                <w:sz w:val="18"/>
              </w:rPr>
              <w:t>Not accepted</w:t>
            </w:r>
          </w:p>
        </w:tc>
        <w:tc>
          <w:tcPr>
            <w:tcW w:type="dxa" w:w="4536"/>
          </w:tcPr>
          <w:p>
            <w:pPr>
              <w:spacing w:after="40"/>
            </w:pPr>
            <w:r>
              <w:rPr>
                <w:sz w:val="18"/>
              </w:rPr>
              <w:t>Follows item 27. (WCS-14)</w:t>
            </w:r>
          </w:p>
        </w:tc>
      </w:tr>
      <w:tr>
        <w:tc>
          <w:tcPr>
            <w:tcW w:type="dxa" w:w="504"/>
          </w:tcPr>
          <w:p>
            <w:pPr>
              <w:spacing w:after="40"/>
            </w:pPr>
            <w:r>
              <w:rPr>
                <w:sz w:val="18"/>
              </w:rPr>
              <w:t>25</w:t>
            </w:r>
          </w:p>
        </w:tc>
        <w:tc>
          <w:tcPr>
            <w:tcW w:type="dxa" w:w="2736"/>
          </w:tcPr>
          <w:p>
            <w:pPr>
              <w:spacing w:after="40"/>
            </w:pPr>
            <w:r>
              <w:rPr>
                <w:sz w:val="18"/>
              </w:rPr>
              <w:t>§5.2 heading — delete “No.”</w:t>
            </w:r>
          </w:p>
        </w:tc>
        <w:tc>
          <w:tcPr>
            <w:tcW w:type="dxa" w:w="1584"/>
            <w:shd w:val="clear" w:color="auto" w:fill="FCE4D6"/>
          </w:tcPr>
          <w:p>
            <w:pPr>
              <w:spacing w:after="40"/>
            </w:pPr>
            <w:r>
              <w:rPr>
                <w:b/>
                <w:sz w:val="18"/>
              </w:rPr>
              <w:t>Not accepted</w:t>
            </w:r>
          </w:p>
        </w:tc>
        <w:tc>
          <w:tcPr>
            <w:tcW w:type="dxa" w:w="4536"/>
          </w:tcPr>
          <w:p>
            <w:pPr>
              <w:spacing w:after="40"/>
            </w:pPr>
            <w:r>
              <w:rPr>
                <w:sz w:val="18"/>
              </w:rPr>
              <w:t>Follows item 27.</w:t>
            </w:r>
          </w:p>
        </w:tc>
      </w:tr>
      <w:tr>
        <w:tc>
          <w:tcPr>
            <w:tcW w:type="dxa" w:w="504"/>
          </w:tcPr>
          <w:p>
            <w:pPr>
              <w:spacing w:after="40"/>
            </w:pPr>
            <w:r>
              <w:rPr>
                <w:sz w:val="18"/>
              </w:rPr>
              <w:t>26</w:t>
            </w:r>
          </w:p>
        </w:tc>
        <w:tc>
          <w:tcPr>
            <w:tcW w:type="dxa" w:w="2736"/>
          </w:tcPr>
          <w:p>
            <w:pPr>
              <w:spacing w:after="40"/>
            </w:pPr>
            <w:r>
              <w:rPr>
                <w:sz w:val="18"/>
              </w:rPr>
              <w:t>§5.2 — delete sentence denying any right to terminate or revoke.</w:t>
            </w:r>
          </w:p>
        </w:tc>
        <w:tc>
          <w:tcPr>
            <w:tcW w:type="dxa" w:w="1584"/>
            <w:shd w:val="clear" w:color="auto" w:fill="FCE4D6"/>
          </w:tcPr>
          <w:p>
            <w:pPr>
              <w:spacing w:after="40"/>
            </w:pPr>
            <w:r>
              <w:rPr>
                <w:b/>
                <w:sz w:val="18"/>
              </w:rPr>
              <w:t>Not accepted; reinstated</w:t>
            </w:r>
          </w:p>
        </w:tc>
        <w:tc>
          <w:tcPr>
            <w:tcW w:type="dxa" w:w="4536"/>
          </w:tcPr>
          <w:p>
            <w:pPr>
              <w:spacing w:after="40"/>
            </w:pPr>
            <w:r>
              <w:rPr>
                <w:sz w:val="18"/>
              </w:rPr>
              <w:t>Term Sheet Section V(b) (“shall not be subject to termination by the Guarantor”); Exhibit F Section 3. We added a sentence confirming that the Guarantor may be released only under Sections 8.10 and 9.01 of the Credit Agreement and Section 11.1 of the Guaranty. (WCS-14)</w:t>
            </w:r>
          </w:p>
        </w:tc>
      </w:tr>
      <w:tr>
        <w:tc>
          <w:tcPr>
            <w:tcW w:type="dxa" w:w="504"/>
          </w:tcPr>
          <w:p>
            <w:pPr>
              <w:spacing w:after="40"/>
            </w:pPr>
            <w:r>
              <w:rPr>
                <w:sz w:val="18"/>
              </w:rPr>
              <w:t>27</w:t>
            </w:r>
          </w:p>
        </w:tc>
        <w:tc>
          <w:tcPr>
            <w:tcW w:type="dxa" w:w="2736"/>
          </w:tcPr>
          <w:p>
            <w:pPr>
              <w:spacing w:after="40"/>
            </w:pPr>
            <w:r>
              <w:rPr>
                <w:sz w:val="18"/>
              </w:rPr>
              <w:t>New §5.3 — Guarantor may terminate prospectively on 90 days' notice.</w:t>
            </w:r>
          </w:p>
        </w:tc>
        <w:tc>
          <w:tcPr>
            <w:tcW w:type="dxa" w:w="1584"/>
            <w:shd w:val="clear" w:color="auto" w:fill="FCE4D6"/>
          </w:tcPr>
          <w:p>
            <w:pPr>
              <w:spacing w:after="40"/>
            </w:pPr>
            <w:r>
              <w:rPr>
                <w:b/>
                <w:sz w:val="18"/>
              </w:rPr>
              <w:t>Not accepted; deleted</w:t>
            </w:r>
          </w:p>
        </w:tc>
        <w:tc>
          <w:tcPr>
            <w:tcW w:type="dxa" w:w="4536"/>
          </w:tcPr>
          <w:p>
            <w:pPr>
              <w:spacing w:after="40"/>
            </w:pPr>
            <w:r>
              <w:rPr>
                <w:sz w:val="18"/>
              </w:rPr>
              <w:t>Contrary to Term Sheet Section V(b), Exhibit F Section 3, and Section 9.01(a)(v) of the Credit Agreement (release of the Guaranty requires all-Lender consent). In a revolving facility the Lenders remain committed to fund new Revolving Credit Loans, Swing Line Loans and Letters of Credit (and any Term-Out conversion) after any “Termination Effective Date”; a termination right would leave committed exposure of up to $275,000,000 (plus any incremental commitments under Section 2.15) unsupported, while the Lenders would have no corresponding right to stop lending. If the corporate relationship changes, the Change of Control Event of Default and the Borrower's right to terminate the Commitments under Section 2.07 are the appropriate mechanisms. (WCS-14)</w:t>
            </w:r>
          </w:p>
        </w:tc>
      </w:tr>
      <w:tr>
        <w:tc>
          <w:tcPr>
            <w:tcW w:type="dxa" w:w="504"/>
          </w:tcPr>
          <w:p>
            <w:pPr>
              <w:spacing w:after="40"/>
            </w:pPr>
            <w:r>
              <w:rPr>
                <w:sz w:val="18"/>
              </w:rPr>
              <w:t>28</w:t>
            </w:r>
          </w:p>
        </w:tc>
        <w:tc>
          <w:tcPr>
            <w:tcW w:type="dxa" w:w="2736"/>
          </w:tcPr>
          <w:p>
            <w:pPr>
              <w:spacing w:after="40"/>
            </w:pPr>
            <w:r>
              <w:rPr>
                <w:sz w:val="18"/>
              </w:rPr>
              <w:t>§6.4 [TK5] — condition effectiveness on Delaware opinion (email request; no text change).</w:t>
            </w:r>
          </w:p>
        </w:tc>
        <w:tc>
          <w:tcPr>
            <w:tcW w:type="dxa" w:w="1584"/>
            <w:shd w:val="clear" w:color="auto" w:fill="FCE4D6"/>
          </w:tcPr>
          <w:p>
            <w:pPr>
              <w:spacing w:after="40"/>
            </w:pPr>
            <w:r>
              <w:rPr>
                <w:b/>
                <w:sz w:val="18"/>
              </w:rPr>
              <w:t>Not accepted</w:t>
            </w:r>
          </w:p>
        </w:tc>
        <w:tc>
          <w:tcPr>
            <w:tcW w:type="dxa" w:w="4536"/>
          </w:tcPr>
          <w:p>
            <w:pPr>
              <w:spacing w:after="40"/>
            </w:pPr>
            <w:r>
              <w:rPr>
                <w:sz w:val="18"/>
              </w:rPr>
              <w:t>See item 1. (WCS-15)</w:t>
            </w:r>
          </w:p>
        </w:tc>
      </w:tr>
      <w:tr>
        <w:tc>
          <w:tcPr>
            <w:tcW w:type="dxa" w:w="504"/>
          </w:tcPr>
          <w:p>
            <w:pPr>
              <w:spacing w:after="40"/>
            </w:pPr>
            <w:r>
              <w:rPr>
                <w:sz w:val="18"/>
              </w:rPr>
              <w:t>29</w:t>
            </w:r>
          </w:p>
        </w:tc>
        <w:tc>
          <w:tcPr>
            <w:tcW w:type="dxa" w:w="2736"/>
          </w:tcPr>
          <w:p>
            <w:pPr>
              <w:spacing w:after="40"/>
            </w:pPr>
            <w:r>
              <w:rPr>
                <w:sz w:val="18"/>
              </w:rPr>
              <w:t>§8.1 heading — delete “Full.”</w:t>
            </w:r>
          </w:p>
        </w:tc>
        <w:tc>
          <w:tcPr>
            <w:tcW w:type="dxa" w:w="1584"/>
            <w:shd w:val="clear" w:color="auto" w:fill="FCE4D6"/>
          </w:tcPr>
          <w:p>
            <w:pPr>
              <w:spacing w:after="40"/>
            </w:pPr>
            <w:r>
              <w:rPr>
                <w:b/>
                <w:sz w:val="18"/>
              </w:rPr>
              <w:t>Not accepted</w:t>
            </w:r>
          </w:p>
        </w:tc>
        <w:tc>
          <w:tcPr>
            <w:tcW w:type="dxa" w:w="4536"/>
          </w:tcPr>
          <w:p>
            <w:pPr>
              <w:spacing w:after="40"/>
            </w:pPr>
            <w:r>
              <w:rPr>
                <w:sz w:val="18"/>
              </w:rPr>
              <w:t>Follows item 30.</w:t>
            </w:r>
          </w:p>
        </w:tc>
      </w:tr>
      <w:tr>
        <w:tc>
          <w:tcPr>
            <w:tcW w:type="dxa" w:w="504"/>
          </w:tcPr>
          <w:p>
            <w:pPr>
              <w:spacing w:after="40"/>
            </w:pPr>
            <w:r>
              <w:rPr>
                <w:sz w:val="18"/>
              </w:rPr>
              <w:t>30</w:t>
            </w:r>
          </w:p>
        </w:tc>
        <w:tc>
          <w:tcPr>
            <w:tcW w:type="dxa" w:w="2736"/>
          </w:tcPr>
          <w:p>
            <w:pPr>
              <w:spacing w:after="40"/>
            </w:pPr>
            <w:r>
              <w:rPr>
                <w:sz w:val="18"/>
              </w:rPr>
              <w:t>§8.1 [TK6] — subordination applies only to Intercompany Indebtedness above $5,000,000; amounts up to $5,000,000 payable “without restriction.”</w:t>
            </w:r>
          </w:p>
        </w:tc>
        <w:tc>
          <w:tcPr>
            <w:tcW w:type="dxa" w:w="1584"/>
            <w:shd w:val="clear" w:color="auto" w:fill="FCE4D6"/>
          </w:tcPr>
          <w:p>
            <w:pPr>
              <w:spacing w:after="40"/>
            </w:pPr>
            <w:r>
              <w:rPr>
                <w:b/>
                <w:sz w:val="18"/>
              </w:rPr>
              <w:t>Not accepted; full subordination reinstated</w:t>
            </w:r>
          </w:p>
        </w:tc>
        <w:tc>
          <w:tcPr>
            <w:tcW w:type="dxa" w:w="4536"/>
          </w:tcPr>
          <w:p>
            <w:pPr>
              <w:spacing w:after="40"/>
            </w:pPr>
            <w:r>
              <w:rPr>
                <w:sz w:val="18"/>
              </w:rPr>
              <w:t>As drafted, up to $5,000,000 of intercompany claims against the Borrower would be unsubordinated and payable even during an Event of Default or a Borrower bankruptcy, in competition with the Lenders. The Credit Agreement treats intercompany indebtedness as remaining within the credit group (Section 6.01(d)). The Guarantor's ordinary-course concern is addressed in Section 8.2 (item 31). (WCS-17)</w:t>
            </w:r>
          </w:p>
        </w:tc>
      </w:tr>
      <w:tr>
        <w:tc>
          <w:tcPr>
            <w:tcW w:type="dxa" w:w="504"/>
          </w:tcPr>
          <w:p>
            <w:pPr>
              <w:spacing w:after="40"/>
            </w:pPr>
            <w:r>
              <w:rPr>
                <w:sz w:val="18"/>
              </w:rPr>
              <w:t>31</w:t>
            </w:r>
          </w:p>
        </w:tc>
        <w:tc>
          <w:tcPr>
            <w:tcW w:type="dxa" w:w="2736"/>
          </w:tcPr>
          <w:p>
            <w:pPr>
              <w:spacing w:after="40"/>
            </w:pPr>
            <w:r>
              <w:rPr>
                <w:sz w:val="18"/>
              </w:rPr>
              <w:t>§8.2 [TK6] — payment restriction to apply solely during an Event of Default; ordinary-course payments otherwise unrestricted.</w:t>
            </w:r>
          </w:p>
        </w:tc>
        <w:tc>
          <w:tcPr>
            <w:tcW w:type="dxa" w:w="1584"/>
            <w:shd w:val="clear" w:color="auto" w:fill="FFF2CC"/>
          </w:tcPr>
          <w:p>
            <w:pPr>
              <w:spacing w:after="40"/>
            </w:pPr>
            <w:r>
              <w:rPr>
                <w:b/>
                <w:sz w:val="18"/>
              </w:rPr>
              <w:t>Counter-proposal</w:t>
            </w:r>
          </w:p>
        </w:tc>
        <w:tc>
          <w:tcPr>
            <w:tcW w:type="dxa" w:w="4536"/>
          </w:tcPr>
          <w:p>
            <w:pPr>
              <w:spacing w:after="40"/>
            </w:pPr>
            <w:r>
              <w:rPr>
                <w:sz w:val="18"/>
              </w:rPr>
              <w:t>We accept that, absent an Event of Default, the Guarantor may receive ordinary-course intercompany payments permitted under the Credit Agreement, and we narrowed the automatic blocking trigger in clause (a) from “Default or Event of Default” to “Event of Default” (and “expressly permitted” to “permitted” in clause (c)). During an unmatured Default, payments may be blocked only upon delivery of a Payment Blockage Notice and only while that Default continues. Subordination of all Intercompany Indebtedness under Section 8.1 is unaffected. (WCS-18)</w:t>
            </w:r>
          </w:p>
        </w:tc>
      </w:tr>
      <w:tr>
        <w:tc>
          <w:tcPr>
            <w:tcW w:type="dxa" w:w="504"/>
          </w:tcPr>
          <w:p>
            <w:pPr>
              <w:spacing w:after="40"/>
            </w:pPr>
            <w:r>
              <w:rPr>
                <w:sz w:val="18"/>
              </w:rPr>
              <w:t>32</w:t>
            </w:r>
          </w:p>
        </w:tc>
        <w:tc>
          <w:tcPr>
            <w:tcW w:type="dxa" w:w="2736"/>
          </w:tcPr>
          <w:p>
            <w:pPr>
              <w:spacing w:after="40"/>
            </w:pPr>
            <w:r>
              <w:rPr>
                <w:sz w:val="18"/>
              </w:rPr>
              <w:t>§8.3 — turnover limited to payments received “during the continuance of an Event of Default.”</w:t>
            </w:r>
          </w:p>
        </w:tc>
        <w:tc>
          <w:tcPr>
            <w:tcW w:type="dxa" w:w="1584"/>
            <w:shd w:val="clear" w:color="auto" w:fill="FCE4D6"/>
          </w:tcPr>
          <w:p>
            <w:pPr>
              <w:spacing w:after="40"/>
            </w:pPr>
            <w:r>
              <w:rPr>
                <w:b/>
                <w:sz w:val="18"/>
              </w:rPr>
              <w:t>Not accepted</w:t>
            </w:r>
          </w:p>
        </w:tc>
        <w:tc>
          <w:tcPr>
            <w:tcW w:type="dxa" w:w="4536"/>
          </w:tcPr>
          <w:p>
            <w:pPr>
              <w:spacing w:after="40"/>
            </w:pPr>
            <w:r>
              <w:rPr>
                <w:sz w:val="18"/>
              </w:rPr>
              <w:t>Turnover must apply to any payment received in violation of Section 8.2, including a payment not permitted under the Credit Agreement or received while a Payment Blockage Notice is in effect. (WCS-19)</w:t>
            </w:r>
          </w:p>
        </w:tc>
      </w:tr>
      <w:tr>
        <w:tc>
          <w:tcPr>
            <w:tcW w:type="dxa" w:w="504"/>
          </w:tcPr>
          <w:p>
            <w:pPr>
              <w:spacing w:after="40"/>
            </w:pPr>
            <w:r>
              <w:rPr>
                <w:sz w:val="18"/>
              </w:rPr>
              <w:t>33</w:t>
            </w:r>
          </w:p>
        </w:tc>
        <w:tc>
          <w:tcPr>
            <w:tcW w:type="dxa" w:w="2736"/>
          </w:tcPr>
          <w:p>
            <w:pPr>
              <w:spacing w:after="40"/>
            </w:pPr>
            <w:r>
              <w:rPr>
                <w:sz w:val="18"/>
              </w:rPr>
              <w:t>New §9.4 [TK7] — Agent to deliver copies of all Default, Event of Default and acceleration notices to the Guarantor concurrently with delivery to the Borrower (email request).</w:t>
            </w:r>
          </w:p>
        </w:tc>
        <w:tc>
          <w:tcPr>
            <w:tcW w:type="dxa" w:w="1584"/>
            <w:shd w:val="clear" w:color="auto" w:fill="FFF2CC"/>
          </w:tcPr>
          <w:p>
            <w:pPr>
              <w:spacing w:after="40"/>
            </w:pPr>
            <w:r>
              <w:rPr>
                <w:b/>
                <w:sz w:val="18"/>
              </w:rPr>
              <w:t>Counter-proposal</w:t>
            </w:r>
          </w:p>
        </w:tc>
        <w:tc>
          <w:tcPr>
            <w:tcW w:type="dxa" w:w="4536"/>
          </w:tcPr>
          <w:p>
            <w:pPr>
              <w:spacing w:after="40"/>
            </w:pPr>
            <w:r>
              <w:rPr>
                <w:sz w:val="18"/>
              </w:rPr>
              <w:t>New Section 9.4: the Agent will use commercially reasonable efforts to provide copies substantially concurrently with (or promptly after) delivery to the Borrower, but this is not a condition to the Guarantor's liability, any demand or any acceleration, and gives rise to no defense or Agent liability (consistent with Credit Agreement Section 7.02 and Guaranty Section 3.5(c)). Notices to the Borrower under Section 9.02 of the Credit Agreement are already addressed in care of the Guarantor to Ms. Chow, so delivery to the Borrower satisfies the undertaking. (WCS-21)</w:t>
            </w:r>
          </w:p>
        </w:tc>
      </w:tr>
      <w:tr>
        <w:tc>
          <w:tcPr>
            <w:tcW w:type="dxa" w:w="504"/>
          </w:tcPr>
          <w:p>
            <w:pPr>
              <w:spacing w:after="40"/>
            </w:pPr>
            <w:r>
              <w:rPr>
                <w:sz w:val="18"/>
              </w:rPr>
              <w:t>34</w:t>
            </w:r>
          </w:p>
        </w:tc>
        <w:tc>
          <w:tcPr>
            <w:tcW w:type="dxa" w:w="2736"/>
          </w:tcPr>
          <w:p>
            <w:pPr>
              <w:spacing w:after="40"/>
            </w:pPr>
            <w:r>
              <w:rPr>
                <w:sz w:val="18"/>
              </w:rPr>
              <w:t>§10 heading — replace “Jury Trial Waiver” with “Waiver of Certain Damages.”</w:t>
            </w:r>
          </w:p>
        </w:tc>
        <w:tc>
          <w:tcPr>
            <w:tcW w:type="dxa" w:w="1584"/>
            <w:shd w:val="clear" w:color="auto" w:fill="FFF2CC"/>
          </w:tcPr>
          <w:p>
            <w:pPr>
              <w:spacing w:after="40"/>
            </w:pPr>
            <w:r>
              <w:rPr>
                <w:b/>
                <w:sz w:val="18"/>
              </w:rPr>
              <w:t>Counter-proposal</w:t>
            </w:r>
          </w:p>
        </w:tc>
        <w:tc>
          <w:tcPr>
            <w:tcW w:type="dxa" w:w="4536"/>
          </w:tcPr>
          <w:p>
            <w:pPr>
              <w:spacing w:after="40"/>
            </w:pPr>
            <w:r>
              <w:rPr>
                <w:sz w:val="18"/>
              </w:rPr>
              <w:t>Heading now reads “Governing Law; Jurisdiction; Jury Trial Waiver; Waiver of Certain Damages” to reflect items 36–37.</w:t>
            </w:r>
          </w:p>
        </w:tc>
      </w:tr>
      <w:tr>
        <w:tc>
          <w:tcPr>
            <w:tcW w:type="dxa" w:w="504"/>
          </w:tcPr>
          <w:p>
            <w:pPr>
              <w:spacing w:after="40"/>
            </w:pPr>
            <w:r>
              <w:rPr>
                <w:sz w:val="18"/>
              </w:rPr>
              <w:t>35</w:t>
            </w:r>
          </w:p>
        </w:tc>
        <w:tc>
          <w:tcPr>
            <w:tcW w:type="dxa" w:w="2736"/>
          </w:tcPr>
          <w:p>
            <w:pPr>
              <w:spacing w:after="40"/>
            </w:pPr>
            <w:r>
              <w:rPr>
                <w:sz w:val="18"/>
              </w:rPr>
              <w:t>§10.4 heading — “Waiver of Certain Damages.”</w:t>
            </w:r>
          </w:p>
        </w:tc>
        <w:tc>
          <w:tcPr>
            <w:tcW w:type="dxa" w:w="1584"/>
            <w:shd w:val="clear" w:color="auto" w:fill="FFF2CC"/>
          </w:tcPr>
          <w:p>
            <w:pPr>
              <w:spacing w:after="40"/>
            </w:pPr>
            <w:r>
              <w:rPr>
                <w:b/>
                <w:sz w:val="18"/>
              </w:rPr>
              <w:t>Counter-proposal</w:t>
            </w:r>
          </w:p>
        </w:tc>
        <w:tc>
          <w:tcPr>
            <w:tcW w:type="dxa" w:w="4536"/>
          </w:tcPr>
          <w:p>
            <w:pPr>
              <w:spacing w:after="40"/>
            </w:pPr>
            <w:r>
              <w:rPr>
                <w:sz w:val="18"/>
              </w:rPr>
              <w:t>Section 10.4 restored as “Waiver of Jury Trial”; damages waiver moved to new Section 10.5.</w:t>
            </w:r>
          </w:p>
        </w:tc>
      </w:tr>
      <w:tr>
        <w:tc>
          <w:tcPr>
            <w:tcW w:type="dxa" w:w="504"/>
          </w:tcPr>
          <w:p>
            <w:pPr>
              <w:spacing w:after="40"/>
            </w:pPr>
            <w:r>
              <w:rPr>
                <w:sz w:val="18"/>
              </w:rPr>
              <w:t>36</w:t>
            </w:r>
          </w:p>
        </w:tc>
        <w:tc>
          <w:tcPr>
            <w:tcW w:type="dxa" w:w="2736"/>
          </w:tcPr>
          <w:p>
            <w:pPr>
              <w:spacing w:after="40"/>
            </w:pPr>
            <w:r>
              <w:rPr>
                <w:sz w:val="18"/>
              </w:rPr>
              <w:t>§10.4 [TK8] — delete jury trial waiver in its entirety.</w:t>
            </w:r>
          </w:p>
        </w:tc>
        <w:tc>
          <w:tcPr>
            <w:tcW w:type="dxa" w:w="1584"/>
            <w:shd w:val="clear" w:color="auto" w:fill="FCE4D6"/>
          </w:tcPr>
          <w:p>
            <w:pPr>
              <w:spacing w:after="40"/>
            </w:pPr>
            <w:r>
              <w:rPr>
                <w:b/>
                <w:sz w:val="18"/>
              </w:rPr>
              <w:t>Not accepted; reinstated</w:t>
            </w:r>
          </w:p>
        </w:tc>
        <w:tc>
          <w:tcPr>
            <w:tcW w:type="dxa" w:w="4536"/>
          </w:tcPr>
          <w:p>
            <w:pPr>
              <w:spacing w:after="40"/>
            </w:pPr>
            <w:r>
              <w:rPr>
                <w:sz w:val="18"/>
              </w:rPr>
              <w:t>A jury waiver in each Loan Document is required by Term Sheet Section XII(c) and Section 10 of Exhibit F, mirrors Section 9.15 of the Credit Agreement, and is standard and enforceable in New York between commercial parties. (WCS-22)</w:t>
            </w:r>
          </w:p>
        </w:tc>
      </w:tr>
      <w:tr>
        <w:tc>
          <w:tcPr>
            <w:tcW w:type="dxa" w:w="504"/>
          </w:tcPr>
          <w:p>
            <w:pPr>
              <w:spacing w:after="40"/>
            </w:pPr>
            <w:r>
              <w:rPr>
                <w:sz w:val="18"/>
              </w:rPr>
              <w:t>37</w:t>
            </w:r>
          </w:p>
        </w:tc>
        <w:tc>
          <w:tcPr>
            <w:tcW w:type="dxa" w:w="2736"/>
          </w:tcPr>
          <w:p>
            <w:pPr>
              <w:spacing w:after="40"/>
            </w:pPr>
            <w:r>
              <w:rPr>
                <w:sz w:val="18"/>
              </w:rPr>
              <w:t>§10.4 — mutual waiver of special, indirect, consequential, punitive and exemplary damages, in lieu of jury waiver.</w:t>
            </w:r>
          </w:p>
        </w:tc>
        <w:tc>
          <w:tcPr>
            <w:tcW w:type="dxa" w:w="1584"/>
            <w:shd w:val="clear" w:color="auto" w:fill="E2EFDA"/>
          </w:tcPr>
          <w:p>
            <w:pPr>
              <w:spacing w:after="40"/>
            </w:pPr>
            <w:r>
              <w:rPr>
                <w:b/>
                <w:sz w:val="18"/>
              </w:rPr>
              <w:t>Accepted in modified form (as new §10.5, in addition to the jury waiver)</w:t>
            </w:r>
          </w:p>
        </w:tc>
        <w:tc>
          <w:tcPr>
            <w:tcW w:type="dxa" w:w="4536"/>
          </w:tcPr>
          <w:p>
            <w:pPr>
              <w:spacing w:after="40"/>
            </w:pPr>
            <w:r>
              <w:rPr>
                <w:sz w:val="18"/>
              </w:rPr>
              <w:t>Consistent with the mutual waiver in Section 9.04 of the Credit Agreement. Conformed: “opportunity costs” deleted; clarified that it applies to damages “as opposed to direct or actual damages”; and a proviso confirms it does not reduce the Guaranteed Obligations, including the Borrower's indemnity for third-party claims (which Section 9.04 expressly preserves), Default Rate interest and enforcement costs. (WCS-23)</w:t>
            </w:r>
          </w:p>
        </w:tc>
      </w:tr>
      <w:tr>
        <w:tc>
          <w:tcPr>
            <w:tcW w:type="dxa" w:w="504"/>
          </w:tcPr>
          <w:p>
            <w:pPr>
              <w:spacing w:after="40"/>
            </w:pPr>
            <w:r>
              <w:rPr>
                <w:sz w:val="18"/>
              </w:rPr>
              <w:t>38</w:t>
            </w:r>
          </w:p>
        </w:tc>
        <w:tc>
          <w:tcPr>
            <w:tcW w:type="dxa" w:w="2736"/>
          </w:tcPr>
          <w:p>
            <w:pPr>
              <w:spacing w:after="40"/>
            </w:pPr>
            <w:r>
              <w:rPr>
                <w:sz w:val="18"/>
              </w:rPr>
              <w:t>[TK8] — request for confirmation that Section 9.15 of the Credit Agreement does not independently bind the Guarantor.</w:t>
            </w:r>
          </w:p>
        </w:tc>
        <w:tc>
          <w:tcPr>
            <w:tcW w:type="dxa" w:w="1584"/>
            <w:shd w:val="clear" w:color="auto" w:fill="FCE4D6"/>
          </w:tcPr>
          <w:p>
            <w:pPr>
              <w:spacing w:after="40"/>
            </w:pPr>
            <w:r>
              <w:rPr>
                <w:b/>
                <w:sz w:val="18"/>
              </w:rPr>
              <w:t>Declined</w:t>
            </w:r>
          </w:p>
        </w:tc>
        <w:tc>
          <w:tcPr>
            <w:tcW w:type="dxa" w:w="4536"/>
          </w:tcPr>
          <w:p>
            <w:pPr>
              <w:spacing w:after="40"/>
            </w:pPr>
            <w:r>
              <w:rPr>
                <w:sz w:val="18"/>
              </w:rPr>
              <w:t>We are not in a position to give that confirmation. The Guarantor is a Loan Party and executed the Credit Agreement by acknowledgment; whatever the scope of Section 9.15, the Guaranty must contain its own waiver. (WCS-22)</w:t>
            </w:r>
          </w:p>
        </w:tc>
      </w:tr>
      <w:tr>
        <w:tc>
          <w:tcPr>
            <w:tcW w:type="dxa" w:w="504"/>
          </w:tcPr>
          <w:p>
            <w:pPr>
              <w:spacing w:after="40"/>
            </w:pPr>
            <w:r>
              <w:rPr>
                <w:sz w:val="18"/>
              </w:rPr>
              <w:t>39</w:t>
            </w:r>
          </w:p>
        </w:tc>
        <w:tc>
          <w:tcPr>
            <w:tcW w:type="dxa" w:w="2736"/>
          </w:tcPr>
          <w:p>
            <w:pPr>
              <w:spacing w:after="40"/>
            </w:pPr>
            <w:r>
              <w:rPr>
                <w:sz w:val="18"/>
              </w:rPr>
              <w:t>§11.1 [TK9] — Guarantor's written consent required for any amendment, modification or waiver of the Guaranty.</w:t>
            </w:r>
          </w:p>
        </w:tc>
        <w:tc>
          <w:tcPr>
            <w:tcW w:type="dxa" w:w="1584"/>
            <w:shd w:val="clear" w:color="auto" w:fill="FFF2CC"/>
          </w:tcPr>
          <w:p>
            <w:pPr>
              <w:spacing w:after="40"/>
            </w:pPr>
            <w:r>
              <w:rPr>
                <w:b/>
                <w:sz w:val="18"/>
              </w:rPr>
              <w:t>Counter-proposal</w:t>
            </w:r>
          </w:p>
        </w:tc>
        <w:tc>
          <w:tcPr>
            <w:tcW w:type="dxa" w:w="4536"/>
          </w:tcPr>
          <w:p>
            <w:pPr>
              <w:spacing w:after="40"/>
            </w:pPr>
            <w:r>
              <w:rPr>
                <w:sz w:val="18"/>
              </w:rPr>
              <w:t>Section 9.01 of the Credit Agreement provides that Guaranty amendments are governed by Section 9.01 and Section 11 of the Guaranty and that no Guarantor consent is required for Credit Agreement amendments. We agree that any amendment to the Guaranty that increases or adds to the Guarantor's obligations requires its written consent. A blanket consent right is not acceptable: it would allow the Guarantor to block waivers and releases granted for its own benefit and Lender-side amendments. Credit Agreement amendments continue to require no Guarantor consent, and the Guaranty extends to the Guaranteed Obligations as amended (Sections 2.3 and 5.1). (WCS-24)</w:t>
            </w:r>
          </w:p>
        </w:tc>
      </w:tr>
      <w:tr>
        <w:tc>
          <w:tcPr>
            <w:tcW w:type="dxa" w:w="504"/>
          </w:tcPr>
          <w:p>
            <w:pPr>
              <w:spacing w:after="40"/>
            </w:pPr>
            <w:r>
              <w:rPr>
                <w:sz w:val="18"/>
              </w:rPr>
              <w:t>40</w:t>
            </w:r>
          </w:p>
        </w:tc>
        <w:tc>
          <w:tcPr>
            <w:tcW w:type="dxa" w:w="2736"/>
          </w:tcPr>
          <w:p>
            <w:pPr>
              <w:spacing w:after="40"/>
            </w:pPr>
            <w:r>
              <w:rPr>
                <w:sz w:val="18"/>
              </w:rPr>
              <w:t>§12.1 [TK10] — assignees/participants may not enforce the Guaranty unless they have become Lenders by an Assignment and Assumption accepted by the Agent.</w:t>
            </w:r>
          </w:p>
        </w:tc>
        <w:tc>
          <w:tcPr>
            <w:tcW w:type="dxa" w:w="1584"/>
            <w:shd w:val="clear" w:color="auto" w:fill="E2EFDA"/>
          </w:tcPr>
          <w:p>
            <w:pPr>
              <w:spacing w:after="40"/>
            </w:pPr>
            <w:r>
              <w:rPr>
                <w:b/>
                <w:sz w:val="18"/>
              </w:rPr>
              <w:t>Accepted with clarifications</w:t>
            </w:r>
          </w:p>
        </w:tc>
        <w:tc>
          <w:tcPr>
            <w:tcW w:type="dxa" w:w="4536"/>
          </w:tcPr>
          <w:p>
            <w:pPr>
              <w:spacing w:after="40"/>
            </w:pPr>
            <w:r>
              <w:rPr>
                <w:sz w:val="18"/>
              </w:rPr>
              <w:t>Consistent with Section 9.06(b) and (d) of the Credit Agreement and Exhibit D (assignees become Lenders with the right to enforce the Guaranty; participants have no direct rights against the Guarantor). Cross-reference corrected from Section 9.04 (which is “Expenses; Indemnity; Damage Waiver”) to Section 9.06. Proviso added preserving (a) the Agent's right to enforce for the ratable benefit of all Secured Parties, including participants through their Lenders, and (b) the benefit of the Guaranty for Swap Counterparties, Banking Services providers and other Secured Parties whose interests did not arise by transfer. (WCS-26)</w:t>
            </w:r>
          </w:p>
        </w:tc>
      </w:tr>
    </w:tbl>
    <w:p>
      <w:pPr>
        <w:spacing w:after="0"/>
      </w:pPr>
    </w:p>
    <w:p>
      <w:pPr>
        <w:pStyle w:val="Heading1"/>
      </w:pPr>
      <w:r>
        <w:t>4. Discussion of Principal Issues</w:t>
      </w:r>
    </w:p>
    <w:p>
      <w:r>
        <w:rPr>
          <w:b/>
        </w:rPr>
        <w:t xml:space="preserve">Immediate enforceability; no post-acceleration notice condition (items 4, 9–13, 33). </w:t>
      </w:r>
      <w:r>
        <w:t>The Guarantor acknowledged a Credit Agreement that already provides, in Section 7.02, that no additional notice to the Guarantor is required following acceleration and that the Guaranty is enforceable immediately upon acceleration. A notice condition to the scope of the Guaranteed Obligations and a five-Business-Day grace period would each re-open that agreed position. They would also operate worst in the scenario that matters most: on a Borrower bankruptcy, acceleration is automatic and there is no notice to give. We have instead offered (i) reasonable-detail demands and (ii) a courtesy-copy undertaking for default and acceleration notices, neither of which conditions liability.</w:t>
      </w:r>
    </w:p>
    <w:p>
      <w:r>
        <w:rPr>
          <w:b/>
        </w:rPr>
        <w:t xml:space="preserve">Liability cap (items 14–16). </w:t>
      </w:r>
      <w:r>
        <w:t>The proposed Maximum Guaranteed Amount is measured by the Guarantor's net worth at the time of demand. For a holding company whose principal asset is its pledged equity in the Borrower, that number will be lowest exactly when a demand is made. A fraudulent-transfer savings clause is appropriate for upstream and cross-stream guarantees; for this downstream parent guaranty we are prepared to include a customary savings clause, but only one that applies if and to the extent a court actually determines the obligations would otherwise be avoidable.</w:t>
      </w:r>
    </w:p>
    <w:p>
      <w:r>
        <w:rPr>
          <w:b/>
        </w:rPr>
        <w:t xml:space="preserve">Suretyship waivers and subrogation (items 17–22). </w:t>
      </w:r>
      <w:r>
        <w:t>The marshaling and election-of-remedies waivers and the deferral of subrogation are each required by Section V(f) of the Term Sheet and reflected in Exhibit F. Deleting them would convert a guaranty of payment into, in practical effect, a guaranty of collection, and would let the Guarantor compete with the Secured Parties against the Borrower and the Collateral before the Lenders are paid. We have accommodated the Guarantor's statute-of-limitations point by accepting the application of New York law and dropping the blanket waiver, while preserving accrual-on-demand and tolling mechanics to the extent New York law permits.</w:t>
      </w:r>
    </w:p>
    <w:p>
      <w:r>
        <w:rPr>
          <w:b/>
        </w:rPr>
        <w:t xml:space="preserve">Reinstatement and non-terminability (items 23–27). </w:t>
      </w:r>
      <w:r>
        <w:t>These two provisions are what make the Guaranty a credit enhancement for a five-year revolving facility rather than a point-in-time undertaking. Section 9.05 of the Credit Agreement already provides for reinstatement regardless of source; Section 9.01(a)(v) already requires all-Lender consent to release the Guaranty. A unilateral 90-day termination right would leave the Lenders committed to fund without credit support. The Agent is not in a position to move on either point.</w:t>
      </w:r>
    </w:p>
    <w:p>
      <w:r>
        <w:rPr>
          <w:b/>
        </w:rPr>
        <w:t xml:space="preserve">Intercompany subordination (items 29–32). </w:t>
      </w:r>
      <w:r>
        <w:t>We have moved meaningfully on the operational point: absent an Event of Default the Guarantor may receive ordinary-course intercompany payments that the Credit Agreement permits, and an unmatured Default blocks payments only if the Agent delivers a Payment Blockage Notice. We cannot accept an unsubordinated $5,000,000 tranche that would remain payable in a default or insolvency.</w:t>
      </w:r>
    </w:p>
    <w:p>
      <w:r>
        <w:rPr>
          <w:b/>
        </w:rPr>
        <w:t xml:space="preserve">Jury trial waiver, damages waiver and amendments (items 34–39). </w:t>
      </w:r>
      <w:r>
        <w:t>The jury trial waiver is a standard requirement in every Loan Document and is not negotiable for the Lenders. We have, however, accepted your mutual damages waiver (conformed to Section 9.04 of the Credit Agreement) as an addition, and we have given the Guarantor a consent right over any amendment to the Guaranty that would increase its obligations, which we believe addresses the concern behind [TK9].</w:t>
      </w:r>
    </w:p>
    <w:p>
      <w:pPr>
        <w:pStyle w:val="Heading1"/>
      </w:pPr>
      <w:r>
        <w:t>5. Additional WCS Changes and Drafting Points</w:t>
      </w:r>
    </w:p>
    <w:p>
      <w:pPr>
        <w:pStyle w:val="ListBullet"/>
        <w:spacing w:after="60"/>
      </w:pPr>
      <w:r>
        <w:rPr>
          <w:b/>
          <w:i w:val="0"/>
        </w:rPr>
        <w:t>Definition of “Excluded Swap Obligations” (§1.1).</w:t>
      </w:r>
      <w:r>
        <w:rPr>
          <w:b w:val="0"/>
          <w:i w:val="0"/>
        </w:rPr>
        <w:t xml:space="preserve"> Added; the markup used the term without defining it (WCS-2).</w:t>
      </w:r>
    </w:p>
    <w:p>
      <w:pPr>
        <w:pStyle w:val="ListBullet"/>
        <w:spacing w:after="60"/>
      </w:pPr>
      <w:r>
        <w:rPr>
          <w:b/>
          <w:i w:val="0"/>
        </w:rPr>
        <w:t>New §6.7 (Eligible Contract Participant).</w:t>
      </w:r>
      <w:r>
        <w:rPr>
          <w:b w:val="0"/>
          <w:i w:val="0"/>
        </w:rPr>
        <w:t xml:space="preserve"> Representation conforming to Section 8 of Exhibit F, supporting the excluded-swap construct (WCS-16). Please confirm the Guarantor's ECP status.</w:t>
      </w:r>
    </w:p>
    <w:p>
      <w:pPr>
        <w:pStyle w:val="ListBullet"/>
        <w:spacing w:after="60"/>
      </w:pPr>
      <w:r>
        <w:rPr>
          <w:b/>
          <w:i w:val="0"/>
        </w:rPr>
        <w:t>New §3.6(d).</w:t>
      </w:r>
      <w:r>
        <w:rPr>
          <w:b w:val="0"/>
          <w:i w:val="0"/>
        </w:rPr>
        <w:t xml:space="preserve"> Agent to document subrogation after the Termination Conditions are satisfied (WCS-12).</w:t>
      </w:r>
    </w:p>
    <w:p>
      <w:pPr>
        <w:pStyle w:val="ListBullet"/>
        <w:spacing w:after="60"/>
      </w:pPr>
      <w:r>
        <w:rPr>
          <w:b/>
          <w:i w:val="0"/>
        </w:rPr>
        <w:t>§5.2.</w:t>
      </w:r>
      <w:r>
        <w:rPr>
          <w:b w:val="0"/>
          <w:i w:val="0"/>
        </w:rPr>
        <w:t xml:space="preserve"> Added confirmation that release occurs only under Sections 8.10 and 9.01 of the Credit Agreement and Section 11.1 of the Guaranty (WCS-14).</w:t>
      </w:r>
    </w:p>
    <w:p>
      <w:pPr>
        <w:pStyle w:val="ListBullet"/>
        <w:spacing w:after="60"/>
      </w:pPr>
      <w:r>
        <w:rPr>
          <w:b/>
          <w:i w:val="0"/>
        </w:rPr>
        <w:t>Cross-references.</w:t>
      </w:r>
      <w:r>
        <w:rPr>
          <w:b w:val="0"/>
          <w:i w:val="0"/>
        </w:rPr>
        <w:t xml:space="preserve"> §12.1 (both paragraphs) corrected from Section 9.04 to Section 9.06 of the Credit Agreement; this error also appeared in our June 16 draft (WCS-25). The acceleration reference to Section 7.01 in the MDLLP proviso was incorrect (acceleration is under Section 7.02); the provision has been deleted in any event.</w:t>
      </w:r>
    </w:p>
    <w:p>
      <w:pPr>
        <w:pStyle w:val="ListBullet"/>
        <w:spacing w:after="60"/>
      </w:pPr>
      <w:r>
        <w:rPr>
          <w:b/>
          <w:i w:val="0"/>
        </w:rPr>
        <w:t>Notice details (§9.1/§9.2).</w:t>
      </w:r>
      <w:r>
        <w:rPr>
          <w:b w:val="0"/>
          <w:i w:val="0"/>
        </w:rPr>
        <w:t xml:space="preserve"> Ms. Chow's email address appears three different ways (dchow@terraverde.com in the Guaranty; diana.chow@terraverdegroup.com in Section 9.02 of the Credit Agreement; dchow@terraverdegrp.com in your transmittal), and Mr. Kuo's also differs from the Credit Agreement (tkuo@ vs. thomas.kuo@marchettideluca.com). Please confirm the Guarantor-side details; we will confirm and conform the Agent-side details to Schedule 9.02 of the Credit Agreement before execution (WCS-20).</w:t>
      </w:r>
    </w:p>
    <w:p>
      <w:pPr>
        <w:pStyle w:val="ListBullet"/>
        <w:spacing w:after="60"/>
      </w:pPr>
      <w:r>
        <w:rPr>
          <w:b/>
          <w:i w:val="0"/>
        </w:rPr>
        <w:t>Draft legend.</w:t>
      </w:r>
      <w:r>
        <w:rPr>
          <w:b w:val="0"/>
          <w:i w:val="0"/>
        </w:rPr>
        <w:t xml:space="preserve"> A WCS draft legend has been added at the top of the document; it will be removed in the execution version.</w:t>
      </w:r>
    </w:p>
    <w:p>
      <w:pPr>
        <w:pStyle w:val="Heading1"/>
      </w:pPr>
      <w:r>
        <w:t>6. Open Items and Next Steps</w:t>
      </w:r>
    </w:p>
    <w:p>
      <w:pPr>
        <w:pStyle w:val="ListBullet"/>
        <w:spacing w:after="60"/>
      </w:pPr>
      <w:r>
        <w:rPr>
          <w:b w:val="0"/>
          <w:i w:val="0"/>
        </w:rPr>
        <w:t>We are available for the call you proposed early next week. We suggest the agenda focus on the counter-proposals (items 8, 13–16, 19–20, 31, 33–35, 37 and 39–40), since the points not accepted reflect the Term Sheet, Exhibit F and the executed Credit Agreement.</w:t>
      </w:r>
    </w:p>
    <w:p>
      <w:pPr>
        <w:pStyle w:val="ListBullet"/>
        <w:spacing w:after="60"/>
      </w:pPr>
      <w:r>
        <w:rPr>
          <w:b w:val="0"/>
          <w:i w:val="0"/>
        </w:rPr>
        <w:t>Please circulate the draft Delaware enforceability opinion for the Guarantor (Credit Agreement Section 3.01(2)(c)) so that it can be reviewed in parallel; it will not be a condition to the effectiveness of the Guaranty.</w:t>
      </w:r>
    </w:p>
    <w:p>
      <w:pPr>
        <w:pStyle w:val="ListBullet"/>
        <w:spacing w:after="60"/>
      </w:pPr>
      <w:r>
        <w:rPr>
          <w:b w:val="0"/>
          <w:i w:val="0"/>
        </w:rPr>
        <w:t>Please confirm the Guarantor's notice details and Eligible Contract Participant status.</w:t>
      </w:r>
    </w:p>
    <w:p>
      <w:pPr>
        <w:pStyle w:val="ListBullet"/>
        <w:spacing w:after="60"/>
      </w:pPr>
      <w:r>
        <w:rPr>
          <w:b w:val="0"/>
          <w:i w:val="0"/>
        </w:rPr>
        <w:t>Because the Credit Agreement (Section 3.01(1)) contemplates delivery of the executed Guaranty as a condition to closing, we would ask that we work toward finalizing the Guaranty promptly.</w:t>
      </w:r>
    </w:p>
    <w:p>
      <w:pPr>
        <w:pStyle w:val="ListBullet"/>
        <w:spacing w:after="60"/>
      </w:pPr>
      <w:r>
        <w:rPr>
          <w:b w:val="0"/>
          <w:i w:val="0"/>
        </w:rPr>
        <w:t>This counter-turn and cover note remain subject to the further review and comment of the Administrative Agent and the Lenders, and nothing herein constitutes a waiver of any right or remedy of the Administrative Agent or any Lender under the Credit Agreement or any other Loan Document.</w:t>
      </w:r>
    </w:p>
    <w:p/>
    <w:p>
      <w:pPr>
        <w:spacing w:after="0"/>
      </w:pPr>
      <w:r>
        <w:rPr>
          <w:b w:val="0"/>
          <w:i w:val="0"/>
        </w:rPr>
        <w:t>Best regards,</w:t>
      </w:r>
    </w:p>
    <w:p>
      <w:pPr>
        <w:spacing w:after="0"/>
      </w:pPr>
      <w:r>
        <w:rPr>
          <w:b w:val="0"/>
          <w:i w:val="0"/>
        </w:rPr>
        <w:t>Priya Narayan</w:t>
      </w:r>
    </w:p>
    <w:p>
      <w:pPr>
        <w:spacing w:after="0"/>
      </w:pPr>
      <w:r>
        <w:rPr>
          <w:b w:val="0"/>
          <w:i w:val="0"/>
        </w:rPr>
        <w:t>Whitfield Crane &amp; Sadler LLP</w:t>
      </w:r>
    </w:p>
    <w:p>
      <w:pPr>
        <w:spacing w:after="0"/>
      </w:pPr>
      <w:r>
        <w:rPr>
          <w:b w:val="0"/>
          <w:i w:val="0"/>
        </w:rPr>
        <w:t>Counsel to Cascadia National Bank, N.A., as Administrative Agent</w:t>
      </w:r>
    </w:p>
    <w:p>
      <w:r>
        <w:rPr>
          <w:b w:val="0"/>
          <w:i/>
          <w:sz w:val="18"/>
        </w:rPr>
        <w:t>Enclosure: counter-turn-redline.docx (Guaranty Agreement — WCS counter-turn marked against MDLLP markup of July 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