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ASHFORD, PENNINGTON &amp; LIU LLP</w:t>
      </w:r>
    </w:p>
    <w:p>
      <w:pPr>
        <w:spacing w:after="40"/>
        <w:jc w:val="center"/>
      </w:pPr>
      <w:r>
        <w:rPr>
          <w:b/>
          <w:sz w:val="30"/>
        </w:rPr>
        <w:t>MEMORANDUM – GOVERNANCE DEVIATION REPORT</w:t>
      </w:r>
    </w:p>
    <w:p>
      <w:pPr>
        <w:spacing w:after="200"/>
        <w:jc w:val="center"/>
      </w:pPr>
      <w:r>
        <w:rPr>
          <w:i/>
          <w:sz w:val="22"/>
        </w:rPr>
        <w:t>Restated Bylaws (March 8, 2019) Compared Against the NCGC Best Practice Corporate Governance Guidelines (October 18, 2024)</w:t>
      </w:r>
    </w:p>
    <w:tbl>
      <w:tblPr>
        <w:tblStyle w:val="TableGrid"/>
        <w:tblW w:type="auto" w:w="0"/>
        <w:jc w:val="center"/>
        <w:tblLayout w:type="fixed"/>
        <w:tblLook w:firstColumn="1" w:firstRow="1" w:lastColumn="0" w:lastRow="0" w:noHBand="0" w:noVBand="1" w:val="04A0"/>
      </w:tblPr>
      <w:tblGrid>
        <w:gridCol w:w="1728"/>
        <w:gridCol w:w="7920"/>
      </w:tblGrid>
      <w:tr>
        <w:tc>
          <w:tcPr>
            <w:tcW w:type="dxa" w:w="1728"/>
          </w:tcPr>
          <w:p>
            <w:pPr>
              <w:spacing w:after="20"/>
            </w:pPr>
            <w:r/>
            <w:r>
              <w:rPr>
                <w:sz w:val="18"/>
              </w:rPr>
              <w:t>To</w:t>
            </w:r>
          </w:p>
        </w:tc>
        <w:tc>
          <w:tcPr>
            <w:tcW w:type="dxa" w:w="7920"/>
          </w:tcPr>
          <w:p>
            <w:pPr>
              <w:spacing w:after="20"/>
            </w:pPr>
            <w:r/>
            <w:r>
              <w:rPr>
                <w:sz w:val="18"/>
              </w:rPr>
              <w:t>Board of Directors, Verdant Health Systems, Inc. (NASDAQ: VHSI); Nominating &amp; Corporate Governance Committee (Richard C. Emory, Chair)</w:t>
            </w:r>
          </w:p>
        </w:tc>
      </w:tr>
      <w:tr>
        <w:tc>
          <w:tcPr>
            <w:tcW w:type="dxa" w:w="1728"/>
          </w:tcPr>
          <w:p>
            <w:pPr>
              <w:spacing w:after="20"/>
            </w:pPr>
            <w:r/>
            <w:r>
              <w:rPr>
                <w:sz w:val="18"/>
              </w:rPr>
              <w:t>Attention</w:t>
            </w:r>
          </w:p>
        </w:tc>
        <w:tc>
          <w:tcPr>
            <w:tcW w:type="dxa" w:w="7920"/>
          </w:tcPr>
          <w:p>
            <w:pPr>
              <w:spacing w:after="20"/>
            </w:pPr>
            <w:r/>
            <w:r>
              <w:rPr>
                <w:sz w:val="18"/>
              </w:rPr>
              <w:t>Margaret “Meg” Tolliver, Senior Vice President &amp; General Counsel; Brian K. Delacroix, Assistant General Counsel &amp; Corporate Secretary</w:t>
            </w:r>
          </w:p>
        </w:tc>
      </w:tr>
      <w:tr>
        <w:tc>
          <w:tcPr>
            <w:tcW w:type="dxa" w:w="1728"/>
          </w:tcPr>
          <w:p>
            <w:pPr>
              <w:spacing w:after="20"/>
            </w:pPr>
            <w:r/>
            <w:r>
              <w:rPr>
                <w:sz w:val="18"/>
              </w:rPr>
              <w:t>From</w:t>
            </w:r>
          </w:p>
        </w:tc>
        <w:tc>
          <w:tcPr>
            <w:tcW w:type="dxa" w:w="7920"/>
          </w:tcPr>
          <w:p>
            <w:pPr>
              <w:spacing w:after="20"/>
            </w:pPr>
            <w:r/>
            <w:r>
              <w:rPr>
                <w:sz w:val="18"/>
              </w:rPr>
              <w:t>Ashford, Pennington &amp; Liu LLP (Diane R. Ashford, supervising partner; Kevin P. Ngo)</w:t>
            </w:r>
          </w:p>
        </w:tc>
      </w:tr>
      <w:tr>
        <w:tc>
          <w:tcPr>
            <w:tcW w:type="dxa" w:w="1728"/>
          </w:tcPr>
          <w:p>
            <w:pPr>
              <w:spacing w:after="20"/>
            </w:pPr>
            <w:r/>
            <w:r>
              <w:rPr>
                <w:sz w:val="18"/>
              </w:rPr>
              <w:t>Re</w:t>
            </w:r>
          </w:p>
        </w:tc>
        <w:tc>
          <w:tcPr>
            <w:tcW w:type="dxa" w:w="7920"/>
          </w:tcPr>
          <w:p>
            <w:pPr>
              <w:spacing w:after="20"/>
            </w:pPr>
            <w:r/>
            <w:r>
              <w:rPr>
                <w:sz w:val="18"/>
              </w:rPr>
              <w:t>Provision-by-provision deviation report – for inclusion in materials for the March 18, 2025 Board meeting</w:t>
            </w:r>
          </w:p>
        </w:tc>
      </w:tr>
      <w:tr>
        <w:tc>
          <w:tcPr>
            <w:tcW w:type="dxa" w:w="1728"/>
          </w:tcPr>
          <w:p>
            <w:pPr>
              <w:spacing w:after="20"/>
            </w:pPr>
            <w:r/>
            <w:r>
              <w:rPr>
                <w:sz w:val="18"/>
              </w:rPr>
              <w:t>Status</w:t>
            </w:r>
          </w:p>
        </w:tc>
        <w:tc>
          <w:tcPr>
            <w:tcW w:type="dxa" w:w="7920"/>
          </w:tcPr>
          <w:p>
            <w:pPr>
              <w:spacing w:after="20"/>
            </w:pPr>
            <w:r/>
            <w:r>
              <w:rPr>
                <w:sz w:val="18"/>
              </w:rPr>
              <w:t>Draft for General Counsel review (first-draft deadline: February 21, 2025). Certain conclusions are provisional pending review of the Restated Certificate of Incorporation (see Part 2.3).</w:t>
            </w:r>
          </w:p>
        </w:tc>
      </w:tr>
    </w:tbl>
    <w:p>
      <w:pPr>
        <w:spacing w:after="40"/>
      </w:pPr>
    </w:p>
    <w:p>
      <w:pPr>
        <w:pStyle w:val="Heading1"/>
      </w:pPr>
      <w:r>
        <w:t>1. Executive Summary</w:t>
      </w:r>
    </w:p>
    <w:p>
      <w:r>
        <w:rPr/>
        <w:t>At the direction of the full Board, we compared every provision of the Restated Bylaws of Verdant Health Systems, Inc. (the “Bylaws”) against each of the forty-two recommendations in the NCGC’s Best Practice Corporate Governance Guidelines (the “Guidelines”). This report identifies each Bylaw provision that deviates from, conflicts with, or fails to address a Guideline; affirmatively notes where the Bylaws already align; assesses significance on a four-tier scale; states whether each change can be made by Board-adopted bylaw amendment alone or also requires a Certificate amendment and stockholder vote; and identifies the interrelated changes that must be implemented as packages. The report is organized by Guideline category, as requested.</w:t>
      </w:r>
    </w:p>
    <w:p>
      <w:r>
        <w:rPr>
          <w:b/>
        </w:rPr>
        <w:t>Bottom line.</w:t>
      </w:r>
      <w:r>
        <w:rPr/>
        <w:t xml:space="preserve"> The Bylaws are a 2019-vintage, defensively oriented document. They align with the Guidelines on several technical points (Board size flexibility, for-cause removal while the Board is classified, mandatory director and officer indemnification and advancement), but they conflict with the Guidelines on every principal stockholder-rights topic the Board flagged: the classified board, plurality voting, written consent, the absence of a stockholder special meeting right, two supermajority thresholds, and the absence of proxy access and an exclusive forum clause. The advance notice bylaw also pre-dates the SEC’s universal proxy rule and lacks modern disclosure requirements, which is the most time-sensitive exposure because the 2025 nomination window is open from </w:t>
      </w:r>
      <w:r>
        <w:rPr>
          <w:b/>
        </w:rPr>
        <w:t>January 15 through February 14, 2025</w:t>
      </w:r>
      <w:r>
        <w:rPr/>
        <w:t>.</w:t>
      </w:r>
    </w:p>
    <w:p>
      <w:r>
        <w:rPr>
          <w:b/>
        </w:rPr>
        <w:t>Scorecard (42 Guidelines).</w:t>
      </w:r>
      <w:r>
        <w:rPr/>
        <w:t xml:space="preserve"> Consistent with Appendix A of the Guidelines, 19 of the 42 Guidelines are Bylaw and/or Certificate matters; the other 23 are directed principally to Board policies, committee charters or NASDAQ compliance (the Bylaws are neutral and do not impede them, though several touch Bylaw provisions). Highest significance rating assigned per Guideline: Critical – 4; High – 7; Medium – 4; Low – 26; fully Aligned – 1. (Guideline 4.5 is rated Critical for its disclosure component and Medium for its timing component.)</w:t>
      </w:r>
    </w:p>
    <w:p>
      <w:r>
        <w:rPr>
          <w:b/>
        </w:rPr>
        <w:t>Key conclusions for the Board:</w:t>
      </w:r>
    </w:p>
    <w:p>
      <w:pPr>
        <w:pStyle w:val="ListBullet"/>
        <w:spacing w:after="60"/>
      </w:pPr>
      <w:r>
        <w:rPr>
          <w:b/>
        </w:rPr>
        <w:t>Most changes are within the Board’s own power.</w:t>
      </w:r>
      <w:r>
        <w:rPr/>
        <w:t xml:space="preserve"> Majority voting and a resignation policy, proxy access, enhanced advance notice and universal proxy provisions, a one-third quorum, a stockholder special meeting right, an exclusive forum clause, officer appointment delegation, broader indemnification, emergency bylaws, governing law and severability can each be adopted by Board-adopted bylaw amendment (majority of the Whole Board, § 8.1), subject in several cases to confirming that the Certificate does not address the same subject.</w:t>
      </w:r>
    </w:p>
    <w:p>
      <w:pPr>
        <w:pStyle w:val="ListBullet"/>
        <w:spacing w:after="60"/>
      </w:pPr>
      <w:r>
        <w:rPr>
          <w:b/>
        </w:rPr>
        <w:t>Three subjects almost certainly require a Certificate amendment and a stockholder vote:</w:t>
      </w:r>
      <w:r>
        <w:rPr/>
        <w:t xml:space="preserve"> (i) declassification (Guideline 3.1); (ii) elimination of written consent (Guideline 5.2) – a bylaw cannot eliminate the statutory right under DGCL § 228, notwithstanding the Guideline’s phrasing that “the Bylaws should be amended”; and (iii) elimination of any supermajority provisions located in the Certificate (Guidelines 7.1–7.3), which may themselves require a supermajority vote to remove (the “bootstrapping” problem).</w:t>
      </w:r>
    </w:p>
    <w:p>
      <w:pPr>
        <w:pStyle w:val="ListBullet"/>
        <w:spacing w:after="60"/>
      </w:pPr>
      <w:r>
        <w:rPr>
          <w:b/>
        </w:rPr>
        <w:t>Six packages must move together (Part 6), four of them principal:</w:t>
      </w:r>
      <w:r>
        <w:rPr/>
        <w:t xml:space="preserve"> (A) declassification, removal, vacancy and supermajority provisions; (B) written consent, special meetings and quorum; (C) advance notice, universal proxy, proxy access and majority voting; and (D) indemnification, forum selection, governing law and severability; plus (E) supermajority/amendment mechanics and (F) officers and emergency succession. Piecemeal adoption would create internal inconsistencies described in Part 6.</w:t>
      </w:r>
    </w:p>
    <w:p>
      <w:pPr>
        <w:pStyle w:val="ListBullet"/>
        <w:spacing w:after="60"/>
      </w:pPr>
      <w:r>
        <w:rPr>
          <w:b/>
        </w:rPr>
        <w:t>Do not move the 2025 goalposts.</w:t>
      </w:r>
      <w:r>
        <w:rPr/>
        <w:t xml:space="preserve"> No change to the advance notice window or disclosure requirements should be made applicable to the 2025 annual meeting while the window is open; amendments should be adopted on a “clear day” and made effective for the 2026 annual meeting. We also recommend the NCGC revisit Guideline 4.5(a): the proposed 150–120 day window is not “expanded” (it is the same 30-day width, shifted 30 days earlier) and is outside prevailing market practice.</w:t>
      </w:r>
    </w:p>
    <w:p>
      <w:pPr>
        <w:pStyle w:val="ListBullet"/>
        <w:spacing w:after="60"/>
      </w:pPr>
      <w:r>
        <w:rPr>
          <w:b/>
        </w:rPr>
        <w:t>Two items warrant action before March 18:</w:t>
      </w:r>
      <w:r>
        <w:rPr/>
        <w:t xml:space="preserve"> adoption of an exclusive forum bylaw and of written consent procedural safeguards (a record-date request mechanism under DGCL § 213(b)). Both are Board-only actions (Part 3).</w:t>
      </w:r>
    </w:p>
    <w:p>
      <w:pPr>
        <w:pStyle w:val="ListBullet"/>
        <w:spacing w:after="60"/>
      </w:pPr>
      <w:r>
        <w:rPr>
          <w:b/>
        </w:rPr>
        <w:t>The 2025 proxy timeline is tight.</w:t>
      </w:r>
      <w:r>
        <w:rPr/>
        <w:t xml:space="preserve"> Certificate amendments for the May 14, 2025 annual meeting require prior Board approval declaring advisability (DGCL § 242(b)) and a preliminary proxy statement. We recommend the Board consider a special meeting in late February or early March to approve the Certificate proposals rather than waiting until March 18 (Part 7).</w:t>
      </w:r>
    </w:p>
    <w:p>
      <w:pPr>
        <w:pStyle w:val="Heading1"/>
      </w:pPr>
      <w:r>
        <w:t>2. Scope, Documents Reviewed and Methodology</w:t>
      </w:r>
    </w:p>
    <w:p>
      <w:pPr>
        <w:pStyle w:val="Heading2"/>
      </w:pPr>
      <w:r>
        <w:t>2.1 Documents reviewed</w:t>
      </w:r>
    </w:p>
    <w:p>
      <w:pPr>
        <w:pStyle w:val="ListBullet"/>
        <w:spacing w:after="60"/>
      </w:pPr>
      <w:r>
        <w:rPr/>
        <w:t>Restated Bylaws of Verdant Health Systems, Inc., adopted by the Board on March 8, 2019 (Articles I–IX, Certification of Adoption and an appended “Summary of Location Map”).</w:t>
      </w:r>
    </w:p>
    <w:p>
      <w:pPr>
        <w:pStyle w:val="ListBullet"/>
        <w:spacing w:after="60"/>
      </w:pPr>
      <w:r>
        <w:rPr/>
        <w:t>Best Practice Corporate Governance Guidelines adopted by the NCGC on October 18, 2024 (Sections 1–10 and Appendix A cross-reference table).</w:t>
      </w:r>
    </w:p>
    <w:p>
      <w:pPr>
        <w:pStyle w:val="ListBullet"/>
        <w:spacing w:after="60"/>
      </w:pPr>
      <w:r>
        <w:rPr/>
        <w:t>Engagement instruction from Margaret Tolliver dated January 10, 2025 (scope, areas of known concern, timeline).</w:t>
      </w:r>
    </w:p>
    <w:p>
      <w:pPr>
        <w:pStyle w:val="Heading2"/>
      </w:pPr>
      <w:r>
        <w:t>2.2 Methodology and significance framework</w:t>
      </w:r>
    </w:p>
    <w:p>
      <w:r>
        <w:rPr/>
        <w:t xml:space="preserve">Each Guideline was mapped to every Bylaw provision that addresses (or should address) its subject. Each mapping is assigned a </w:t>
      </w:r>
      <w:r>
        <w:rPr>
          <w:b/>
        </w:rPr>
        <w:t>status</w:t>
      </w:r>
      <w:r>
        <w:rPr/>
        <w:t xml:space="preserve"> (Aligned; Partially Aligned; Deviation – the Bylaws address the subject but differ from the Guideline; Conflict – the Bylaws affirmatively provide the opposite of the Guideline; Not addressed – a gap; or Policy matter – the Guideline is directed to Board policy, a committee charter or listing-rule compliance, and the Bylaws neither require nor impede it). We adopted the tiered framework suggested in the engagement instruction:</w:t>
      </w:r>
    </w:p>
    <w:tbl>
      <w:tblPr>
        <w:tblStyle w:val="TableGrid"/>
        <w:tblW w:type="auto" w:w="0"/>
        <w:jc w:val="center"/>
        <w:tblLayout w:type="fixed"/>
        <w:tblLook w:firstColumn="1" w:firstRow="1" w:lastColumn="0" w:lastRow="0" w:noHBand="0" w:noVBand="1" w:val="04A0"/>
      </w:tblPr>
      <w:tblGrid>
        <w:gridCol w:w="1584"/>
        <w:gridCol w:w="8063"/>
      </w:tblGrid>
      <w:tr>
        <w:trPr>
          <w:tblHeader w:val="true"/>
        </w:trPr>
        <w:tc>
          <w:tcPr>
            <w:tcW w:type="dxa" w:w="1584"/>
            <w:shd w:val="clear" w:color="auto" w:fill="1F2A44"/>
          </w:tcPr>
          <w:p>
            <w:r/>
            <w:r>
              <w:rPr>
                <w:b/>
                <w:color w:val="FFFFFF"/>
                <w:sz w:val="17"/>
              </w:rPr>
              <w:t>Tier</w:t>
            </w:r>
          </w:p>
        </w:tc>
        <w:tc>
          <w:tcPr>
            <w:tcW w:type="dxa" w:w="8064"/>
            <w:shd w:val="clear" w:color="auto" w:fill="1F2A44"/>
          </w:tcPr>
          <w:p>
            <w:r/>
            <w:r>
              <w:rPr>
                <w:b/>
                <w:color w:val="FFFFFF"/>
                <w:sz w:val="17"/>
              </w:rPr>
              <w:t>Meaning</w:t>
            </w:r>
          </w:p>
        </w:tc>
      </w:tr>
      <w:tr>
        <w:tc>
          <w:tcPr>
            <w:tcW w:type="dxa" w:w="1584"/>
          </w:tcPr>
          <w:p>
            <w:pPr>
              <w:spacing w:after="20"/>
            </w:pPr>
            <w:r>
              <w:rPr>
                <w:b/>
                <w:color w:val="C00000"/>
              </w:rPr>
            </w:r>
            <w:r>
              <w:rPr>
                <w:b/>
                <w:color w:val="C00000"/>
                <w:sz w:val="17"/>
              </w:rPr>
              <w:t>Critical</w:t>
            </w:r>
          </w:p>
        </w:tc>
        <w:tc>
          <w:tcPr>
            <w:tcW w:type="dxa" w:w="8064"/>
          </w:tcPr>
          <w:p>
            <w:pPr>
              <w:spacing w:after="20"/>
            </w:pPr>
            <w:r/>
            <w:r>
              <w:rPr>
                <w:sz w:val="17"/>
              </w:rPr>
              <w:t>Creates current legal or proxy-season exposure, or concerns a core stockholder-rights provision that proxy advisors and investors actively target; requires action in the 2025 cycle.</w:t>
            </w:r>
          </w:p>
        </w:tc>
      </w:tr>
      <w:tr>
        <w:tc>
          <w:tcPr>
            <w:tcW w:type="dxa" w:w="1584"/>
          </w:tcPr>
          <w:p>
            <w:pPr>
              <w:spacing w:after="20"/>
            </w:pPr>
            <w:r>
              <w:rPr>
                <w:b/>
                <w:color w:val="E46C0A"/>
              </w:rPr>
            </w:r>
            <w:r>
              <w:rPr>
                <w:b/>
                <w:color w:val="E46C0A"/>
                <w:sz w:val="17"/>
              </w:rPr>
              <w:t>High</w:t>
            </w:r>
          </w:p>
        </w:tc>
        <w:tc>
          <w:tcPr>
            <w:tcW w:type="dxa" w:w="8064"/>
            <w:shd w:val="clear" w:color="auto" w:fill="F2F4F8"/>
          </w:tcPr>
          <w:p>
            <w:pPr>
              <w:spacing w:after="20"/>
            </w:pPr>
            <w:r/>
            <w:r>
              <w:rPr>
                <w:sz w:val="17"/>
              </w:rPr>
              <w:t>Material departure from the Guidelines and market practice on a stockholder-rights or election mechanic; should be addressed in the 2025 cycle.</w:t>
            </w:r>
          </w:p>
        </w:tc>
      </w:tr>
      <w:tr>
        <w:tc>
          <w:tcPr>
            <w:tcW w:type="dxa" w:w="1584"/>
          </w:tcPr>
          <w:p>
            <w:pPr>
              <w:spacing w:after="20"/>
            </w:pPr>
            <w:r>
              <w:rPr>
                <w:b/>
                <w:color w:val="BF8F00"/>
              </w:rPr>
            </w:r>
            <w:r>
              <w:rPr>
                <w:b/>
                <w:color w:val="BF8F00"/>
                <w:sz w:val="17"/>
              </w:rPr>
              <w:t>Medium</w:t>
            </w:r>
          </w:p>
        </w:tc>
        <w:tc>
          <w:tcPr>
            <w:tcW w:type="dxa" w:w="8064"/>
          </w:tcPr>
          <w:p>
            <w:pPr>
              <w:spacing w:after="20"/>
            </w:pPr>
            <w:r/>
            <w:r>
              <w:rPr>
                <w:sz w:val="17"/>
              </w:rPr>
              <w:t>Meaningful governance or operational gap; address in the current amendment package but not time-critical.</w:t>
            </w:r>
          </w:p>
        </w:tc>
      </w:tr>
      <w:tr>
        <w:tc>
          <w:tcPr>
            <w:tcW w:type="dxa" w:w="1584"/>
          </w:tcPr>
          <w:p>
            <w:pPr>
              <w:spacing w:after="20"/>
            </w:pPr>
            <w:r>
              <w:rPr>
                <w:b/>
                <w:color w:val="4F81BD"/>
              </w:rPr>
            </w:r>
            <w:r>
              <w:rPr>
                <w:b/>
                <w:color w:val="4F81BD"/>
                <w:sz w:val="17"/>
              </w:rPr>
              <w:t>Low</w:t>
            </w:r>
          </w:p>
        </w:tc>
        <w:tc>
          <w:tcPr>
            <w:tcW w:type="dxa" w:w="8064"/>
            <w:shd w:val="clear" w:color="auto" w:fill="F2F4F8"/>
          </w:tcPr>
          <w:p>
            <w:pPr>
              <w:spacing w:after="20"/>
            </w:pPr>
            <w:r/>
            <w:r>
              <w:rPr>
                <w:sz w:val="17"/>
              </w:rPr>
              <w:t>Drafting, housekeeping or policy-level item; address in the ordinary course.</w:t>
            </w:r>
          </w:p>
        </w:tc>
      </w:tr>
      <w:tr>
        <w:tc>
          <w:tcPr>
            <w:tcW w:type="dxa" w:w="1584"/>
          </w:tcPr>
          <w:p>
            <w:pPr>
              <w:spacing w:after="20"/>
            </w:pPr>
            <w:r>
              <w:rPr>
                <w:b/>
                <w:color w:val="00804C"/>
              </w:rPr>
            </w:r>
            <w:r>
              <w:rPr>
                <w:b/>
                <w:color w:val="00804C"/>
                <w:sz w:val="17"/>
              </w:rPr>
              <w:t>Aligned</w:t>
            </w:r>
          </w:p>
        </w:tc>
        <w:tc>
          <w:tcPr>
            <w:tcW w:type="dxa" w:w="8064"/>
          </w:tcPr>
          <w:p>
            <w:pPr>
              <w:spacing w:after="20"/>
            </w:pPr>
            <w:r/>
            <w:r>
              <w:rPr>
                <w:sz w:val="17"/>
              </w:rPr>
              <w:t>Bylaws already consistent with the Guideline; no change required.</w:t>
            </w:r>
          </w:p>
        </w:tc>
      </w:tr>
    </w:tbl>
    <w:p>
      <w:pPr>
        <w:spacing w:after="40"/>
      </w:pPr>
    </w:p>
    <w:p>
      <w:r>
        <w:rPr>
          <w:b/>
        </w:rPr>
        <w:t>Implementation path codes:</w:t>
      </w:r>
      <w:r>
        <w:rPr/>
        <w:t xml:space="preserve"> </w:t>
      </w:r>
      <w:r>
        <w:rPr>
          <w:b/>
        </w:rPr>
        <w:t>B</w:t>
      </w:r>
      <w:r>
        <w:rPr/>
        <w:t xml:space="preserve"> = Board-adopted bylaw amendment (majority of the Whole Board under § 8.1; Form 8-K, Item 5.03 within four business days); </w:t>
      </w:r>
      <w:r>
        <w:rPr>
          <w:b/>
        </w:rPr>
        <w:t>C+S</w:t>
      </w:r>
      <w:r>
        <w:rPr/>
        <w:t xml:space="preserve"> = Certificate amendment requiring a Board resolution declaring advisability and stockholder approval under DGCL § 242(b) (at least a majority of the outstanding shares, or any higher vote the Certificate requires), plus conforming Bylaw changes; </w:t>
      </w:r>
      <w:r>
        <w:rPr>
          <w:b/>
        </w:rPr>
        <w:t>P</w:t>
      </w:r>
      <w:r>
        <w:rPr/>
        <w:t xml:space="preserve"> = Board policy, Corporate Governance Guidelines document or committee charter; no Bylaw change needed.</w:t>
      </w:r>
    </w:p>
    <w:p>
      <w:pPr>
        <w:pStyle w:val="Heading2"/>
      </w:pPr>
      <w:r>
        <w:t>2.3 Important limitations</w:t>
      </w:r>
    </w:p>
    <w:tbl>
      <w:tblPr>
        <w:tblStyle w:val="TableGrid"/>
        <w:tblW w:type="auto" w:w="0"/>
        <w:tblLook w:firstColumn="1" w:firstRow="1" w:lastColumn="0" w:lastRow="0" w:noHBand="0" w:noVBand="1" w:val="04A0"/>
      </w:tblPr>
      <w:tblGrid>
        <w:gridCol w:w="9648"/>
      </w:tblGrid>
      <w:tr>
        <w:tc>
          <w:tcPr>
            <w:tcW w:type="dxa" w:w="9648"/>
            <w:shd w:val="clear" w:color="auto" w:fill="FFF4E5"/>
          </w:tcPr>
          <w:p>
            <w:r/>
            <w:r>
              <w:rPr>
                <w:b/>
                <w:sz w:val="19"/>
              </w:rPr>
              <w:t>The Restated Certificate of Incorporation was not among the documents furnished for this review.</w:t>
            </w:r>
          </w:p>
          <w:p>
            <w:pPr>
              <w:spacing w:after="40"/>
            </w:pPr>
            <w:r>
              <w:rPr>
                <w:sz w:val="19"/>
              </w:rPr>
              <w:t xml:space="preserve">Ms. Tolliver’s January 10 instruction contemplated transmission of the Restated Certificate (September 15, 2015) with the Bylaws, but only the Bylaws and the Guidelines were provided. The Bylaws state (Preamble) that the Certificate controls in the event of any conflict, and several Bylaw sections are expressly “subject to” the Certificate (§§ 2.5, 3.1, 3.5, 3.10, 3.13, 8.1). Every conclusion in this report that a change can be made by Board action alone is therefore </w:t>
            </w:r>
            <w:r>
              <w:rPr>
                <w:b/>
                <w:sz w:val="19"/>
              </w:rPr>
              <w:t>provisional</w:t>
            </w:r>
            <w:r>
              <w:rPr>
                <w:sz w:val="19"/>
              </w:rPr>
              <w:t xml:space="preserve"> and assumes the Certificate does not address the same subject. Determinations marked “depends on Certificate” cannot be finalized until we review it. A checklist of Certificate provisions to confirm appears in Part 10. We request the Certificate (and any certificates of amendment or designation) immediately.</w:t>
            </w:r>
          </w:p>
        </w:tc>
      </w:tr>
    </w:tbl>
    <w:p>
      <w:pPr>
        <w:spacing w:after="40"/>
      </w:pPr>
    </w:p>
    <w:p>
      <w:pPr>
        <w:pStyle w:val="ListBullet"/>
        <w:spacing w:after="60"/>
      </w:pPr>
      <w:r>
        <w:rPr>
          <w:b/>
        </w:rPr>
        <w:t>Certification of Adoption.</w:t>
      </w:r>
      <w:r>
        <w:rPr/>
        <w:t xml:space="preserve"> The copy of the Bylaws furnished to us bears an unsigned Secretary’s certification with the signatory name blank. Please confirm the executed version and the March 8, 2019 Board resolution in the minute book.</w:t>
      </w:r>
    </w:p>
    <w:p>
      <w:pPr>
        <w:pStyle w:val="ListBullet"/>
        <w:spacing w:after="60"/>
      </w:pPr>
      <w:r>
        <w:rPr>
          <w:b/>
        </w:rPr>
        <w:t>“Summary of Location Map.”</w:t>
      </w:r>
      <w:r>
        <w:rPr/>
        <w:t xml:space="preserve"> The table appended after the certification (with a blank “Issue” column) is an annotation, not an operative Bylaw provision. We did not rely on it; our independent review identified additional issues it omits (e.g., universal proxy, the inspector of elections standard, General Counsel, governing law, severability, the written-ballot provision and several drafting defects).</w:t>
      </w:r>
    </w:p>
    <w:p>
      <w:pPr>
        <w:pStyle w:val="ListBullet"/>
        <w:spacing w:after="60"/>
      </w:pPr>
      <w:r>
        <w:rPr>
          <w:b/>
        </w:rPr>
        <w:t>Guideline count.</w:t>
      </w:r>
      <w:r>
        <w:rPr/>
        <w:t xml:space="preserve"> The Guidelines describe 42 recommendations in “ten (10) categories.” We confirm 42 Guidelines, but they fall in nine substantive categories (Sections 2–10); Section 1 is a preamble. Nothing turns on this, but the NCGC may wish to conform the description.</w:t>
      </w:r>
    </w:p>
    <w:p>
      <w:pPr>
        <w:pStyle w:val="ListBullet"/>
        <w:spacing w:after="60"/>
      </w:pPr>
      <w:r>
        <w:rPr>
          <w:b/>
        </w:rPr>
        <w:t>Advisory nature.</w:t>
      </w:r>
      <w:r>
        <w:rPr/>
        <w:t xml:space="preserve"> The Guidelines are expressly advisory (Guideline § 1.3). This report identifies where the Guidelines themselves raise legal or practical concerns the Board should weigh before implementation (Part 8).</w:t>
      </w:r>
    </w:p>
    <w:p>
      <w:pPr>
        <w:pStyle w:val="ListBullet"/>
        <w:spacing w:after="60"/>
      </w:pPr>
      <w:r>
        <w:rPr/>
        <w:t>This report addresses Delaware law and federal securities/NASDAQ requirements as we understand them; it does not reflect the Linden Proxy Advisors benchmarking report, committee charters or existing Board policies, which we have not reviewed.</w:t>
      </w:r>
    </w:p>
    <w:p>
      <w:pPr>
        <w:pStyle w:val="Heading1"/>
      </w:pPr>
      <w:r>
        <w:t>3. Expedited Matters – Immediate 2025 Proxy-Season Exposure</w:t>
      </w:r>
    </w:p>
    <w:p>
      <w:r>
        <w:rPr/>
        <w:t xml:space="preserve">Ms. Tolliver asked that we flag on an expedited basis any deviation creating immediate legal risk before the 2025 proxy season. The following items should be conveyed by interim memorandum or call </w:t>
      </w:r>
      <w:r>
        <w:rPr>
          <w:b/>
        </w:rPr>
        <w:t>by January 31, 2025</w:t>
      </w:r>
      <w:r>
        <w:rPr/>
        <w:t>, ahead of this full report.</w:t>
      </w:r>
    </w:p>
    <w:tbl>
      <w:tblPr>
        <w:tblStyle w:val="TableGrid"/>
        <w:tblW w:type="auto" w:w="0"/>
        <w:jc w:val="center"/>
        <w:tblLayout w:type="fixed"/>
        <w:tblLook w:firstColumn="1" w:firstRow="1" w:lastColumn="0" w:lastRow="0" w:noHBand="0" w:noVBand="1" w:val="04A0"/>
      </w:tblPr>
      <w:tblGrid>
        <w:gridCol w:w="503"/>
        <w:gridCol w:w="1800"/>
        <w:gridCol w:w="2880"/>
        <w:gridCol w:w="3456"/>
        <w:gridCol w:w="1007"/>
      </w:tblGrid>
      <w:tr>
        <w:trPr>
          <w:tblHeader w:val="true"/>
        </w:trPr>
        <w:tc>
          <w:tcPr>
            <w:tcW w:type="dxa" w:w="504"/>
            <w:shd w:val="clear" w:color="auto" w:fill="1F2A44"/>
          </w:tcPr>
          <w:p>
            <w:r/>
            <w:r>
              <w:rPr>
                <w:b/>
                <w:color w:val="FFFFFF"/>
                <w:sz w:val="15"/>
              </w:rPr>
              <w:t>#</w:t>
            </w:r>
          </w:p>
        </w:tc>
        <w:tc>
          <w:tcPr>
            <w:tcW w:type="dxa" w:w="1800"/>
            <w:shd w:val="clear" w:color="auto" w:fill="1F2A44"/>
          </w:tcPr>
          <w:p>
            <w:r/>
            <w:r>
              <w:rPr>
                <w:b/>
                <w:color w:val="FFFFFF"/>
                <w:sz w:val="15"/>
              </w:rPr>
              <w:t>Issue</w:t>
            </w:r>
          </w:p>
        </w:tc>
        <w:tc>
          <w:tcPr>
            <w:tcW w:type="dxa" w:w="2880"/>
            <w:shd w:val="clear" w:color="auto" w:fill="1F2A44"/>
          </w:tcPr>
          <w:p>
            <w:r/>
            <w:r>
              <w:rPr>
                <w:b/>
                <w:color w:val="FFFFFF"/>
                <w:sz w:val="15"/>
              </w:rPr>
              <w:t>Exposure</w:t>
            </w:r>
          </w:p>
        </w:tc>
        <w:tc>
          <w:tcPr>
            <w:tcW w:type="dxa" w:w="3456"/>
            <w:shd w:val="clear" w:color="auto" w:fill="1F2A44"/>
          </w:tcPr>
          <w:p>
            <w:r/>
            <w:r>
              <w:rPr>
                <w:b/>
                <w:color w:val="FFFFFF"/>
                <w:sz w:val="15"/>
              </w:rPr>
              <w:t>Recommended near-term action</w:t>
            </w:r>
          </w:p>
        </w:tc>
        <w:tc>
          <w:tcPr>
            <w:tcW w:type="dxa" w:w="1008"/>
            <w:shd w:val="clear" w:color="auto" w:fill="1F2A44"/>
          </w:tcPr>
          <w:p>
            <w:r/>
            <w:r>
              <w:rPr>
                <w:b/>
                <w:color w:val="FFFFFF"/>
                <w:sz w:val="15"/>
              </w:rPr>
              <w:t>Path</w:t>
            </w:r>
          </w:p>
        </w:tc>
      </w:tr>
      <w:tr>
        <w:tc>
          <w:tcPr>
            <w:tcW w:type="dxa" w:w="504"/>
          </w:tcPr>
          <w:p>
            <w:pPr>
              <w:spacing w:after="20"/>
            </w:pPr>
            <w:r/>
            <w:r>
              <w:rPr>
                <w:sz w:val="15"/>
              </w:rPr>
              <w:t>E-1</w:t>
            </w:r>
          </w:p>
        </w:tc>
        <w:tc>
          <w:tcPr>
            <w:tcW w:type="dxa" w:w="1800"/>
          </w:tcPr>
          <w:p>
            <w:pPr>
              <w:spacing w:after="20"/>
            </w:pPr>
            <w:r/>
            <w:r>
              <w:rPr>
                <w:sz w:val="15"/>
              </w:rPr>
              <w:t>Advance notice disclosure gaps and no universal proxy (UPC) provisions (§ 2.10; Guidelines 4.5(b), 4.6)</w:t>
            </w:r>
          </w:p>
        </w:tc>
        <w:tc>
          <w:tcPr>
            <w:tcW w:type="dxa" w:w="2880"/>
          </w:tcPr>
          <w:p>
            <w:pPr>
              <w:spacing w:after="20"/>
            </w:pPr>
            <w:r/>
            <w:r>
              <w:rPr>
                <w:sz w:val="15"/>
              </w:rPr>
              <w:t>Window opens Jan. 15, 2025 and closes at close of business Feb. 14, 2025 (120/90 days before the May 15, 2025 anniversary). A nominating stockholder need not disclose derivatives, short interests, voting arrangements, nominee compensation (“golden leash”) or relationships, and the Bylaws contain no Rule 14a-19 representation or remedy. § 2.10(f) refers to solicitation “representations required by this Section 2.10” but § 2.10 requires none.</w:t>
            </w:r>
          </w:p>
        </w:tc>
        <w:tc>
          <w:tcPr>
            <w:tcW w:type="dxa" w:w="3456"/>
          </w:tcPr>
          <w:p>
            <w:pPr>
              <w:spacing w:after="20"/>
            </w:pPr>
            <w:r/>
            <w:r>
              <w:rPr>
                <w:sz w:val="15"/>
              </w:rPr>
              <w:t>Do not amend § 2.10 for the 2025 meeting while the window is open; mid-window changes risk invalidation as inequitable (Schnell v. Chris-Craft; Coster v. UIP Cos. (Del. 2023)) and Kellner v. AIM ImmunoTech (Del. 2024) scrutiny. Rely on Rule 14a-19, which applies by its own terms (dissident notice no later than March 16, 2025; Company notice of its nominees no later than March 26, 2025). Have the proxy solicitor monitor 13D/13G and ownership changes; prepare a response protocol for any notice received. Adopt enhanced provisions on a clear day effective for 2026.</w:t>
            </w:r>
          </w:p>
        </w:tc>
        <w:tc>
          <w:tcPr>
            <w:tcW w:type="dxa" w:w="1008"/>
          </w:tcPr>
          <w:p>
            <w:pPr>
              <w:spacing w:after="20"/>
            </w:pPr>
            <w:r/>
            <w:r>
              <w:rPr>
                <w:sz w:val="15"/>
              </w:rPr>
              <w:t>B (prospective)</w:t>
            </w:r>
          </w:p>
        </w:tc>
      </w:tr>
      <w:tr>
        <w:tc>
          <w:tcPr>
            <w:tcW w:type="dxa" w:w="504"/>
            <w:shd w:val="clear" w:color="auto" w:fill="F2F4F8"/>
          </w:tcPr>
          <w:p>
            <w:pPr>
              <w:spacing w:after="20"/>
            </w:pPr>
            <w:r/>
            <w:r>
              <w:rPr>
                <w:sz w:val="15"/>
              </w:rPr>
              <w:t>E-2</w:t>
            </w:r>
          </w:p>
        </w:tc>
        <w:tc>
          <w:tcPr>
            <w:tcW w:type="dxa" w:w="1800"/>
            <w:shd w:val="clear" w:color="auto" w:fill="F2F4F8"/>
          </w:tcPr>
          <w:p>
            <w:pPr>
              <w:spacing w:after="20"/>
            </w:pPr>
            <w:r/>
            <w:r>
              <w:rPr>
                <w:sz w:val="15"/>
              </w:rPr>
              <w:t>Stockholder action by written consent permitted with no procedural safeguards (§ 2.11; Guideline 5.2)</w:t>
            </w:r>
          </w:p>
        </w:tc>
        <w:tc>
          <w:tcPr>
            <w:tcW w:type="dxa" w:w="2880"/>
            <w:shd w:val="clear" w:color="auto" w:fill="F2F4F8"/>
          </w:tcPr>
          <w:p>
            <w:pPr>
              <w:spacing w:after="20"/>
            </w:pPr>
            <w:r/>
            <w:r>
              <w:rPr>
                <w:sz w:val="15"/>
              </w:rPr>
              <w:t>Holders of the minimum votes needed at a full meeting may act at any time without a meeting, outside the advance notice regime. No Board-fixed record date mechanism; under DGCL § 213(b) the record date defaults to the first date a signed consent is delivered. Practical limits: majority of outstanding shares (41,200,001) for ordinary matters; 66⅔% (54,933,334) to amend Bylaws; 75% (61,800,000) and cause to remove directors; stockholders cannot fill vacancies (§ 3.5).</w:t>
            </w:r>
          </w:p>
        </w:tc>
        <w:tc>
          <w:tcPr>
            <w:tcW w:type="dxa" w:w="3456"/>
            <w:shd w:val="clear" w:color="auto" w:fill="F2F4F8"/>
          </w:tcPr>
          <w:p>
            <w:pPr>
              <w:spacing w:after="20"/>
            </w:pPr>
            <w:r/>
            <w:r>
              <w:rPr>
                <w:sz w:val="15"/>
              </w:rPr>
              <w:t>Adopt promptly a bylaw requiring a stockholder to request that the Board fix a consent record date (Board to act within ~10 days), with information requirements mirroring § 2.10, inspector review of consents and a short ministerial review period. Must not unreasonably delay consent action (Datapoint v. Plaza Securities (Del. 1985); Allen v. Prime Computer (Del. 1988)). Elimination itself requires a Certificate amendment (Part 5, Guideline 5.2).</w:t>
            </w:r>
          </w:p>
        </w:tc>
        <w:tc>
          <w:tcPr>
            <w:tcW w:type="dxa" w:w="1008"/>
            <w:shd w:val="clear" w:color="auto" w:fill="F2F4F8"/>
          </w:tcPr>
          <w:p>
            <w:pPr>
              <w:spacing w:after="20"/>
            </w:pPr>
            <w:r/>
            <w:r>
              <w:rPr>
                <w:sz w:val="15"/>
              </w:rPr>
              <w:t>B (interim); C+S (elimination)</w:t>
            </w:r>
          </w:p>
        </w:tc>
      </w:tr>
      <w:tr>
        <w:tc>
          <w:tcPr>
            <w:tcW w:type="dxa" w:w="504"/>
          </w:tcPr>
          <w:p>
            <w:pPr>
              <w:spacing w:after="20"/>
            </w:pPr>
            <w:r/>
            <w:r>
              <w:rPr>
                <w:sz w:val="15"/>
              </w:rPr>
              <w:t>E-3</w:t>
            </w:r>
          </w:p>
        </w:tc>
        <w:tc>
          <w:tcPr>
            <w:tcW w:type="dxa" w:w="1800"/>
          </w:tcPr>
          <w:p>
            <w:pPr>
              <w:spacing w:after="20"/>
            </w:pPr>
            <w:r/>
            <w:r>
              <w:rPr>
                <w:sz w:val="15"/>
              </w:rPr>
              <w:t>No exclusive forum provision (Guideline 6.1)</w:t>
            </w:r>
          </w:p>
        </w:tc>
        <w:tc>
          <w:tcPr>
            <w:tcW w:type="dxa" w:w="2880"/>
          </w:tcPr>
          <w:p>
            <w:pPr>
              <w:spacing w:after="20"/>
            </w:pPr>
            <w:r/>
            <w:r>
              <w:rPr>
                <w:sz w:val="15"/>
              </w:rPr>
              <w:t>Fiduciary, derivative and Securities Act claims may be filed in multiple jurisdictions, increasing defense cost and the risk of inconsistent rulings – a heightened risk if a contest or transaction develops.</w:t>
            </w:r>
          </w:p>
        </w:tc>
        <w:tc>
          <w:tcPr>
            <w:tcW w:type="dxa" w:w="3456"/>
          </w:tcPr>
          <w:p>
            <w:pPr>
              <w:spacing w:after="20"/>
            </w:pPr>
            <w:r/>
            <w:r>
              <w:rPr>
                <w:sz w:val="15"/>
              </w:rPr>
              <w:t>Board may adopt a Delaware forum and federal forum provision now (DGCL § 115; Boilermakers v. Chevron (Del. Ch. 2013); Salzberg v. Sciabacucchi (Del. 2020)). Applies to suits filed after adoption. File Form 8-K (Item 5.03). Disclose in the 2025 proxy.</w:t>
            </w:r>
          </w:p>
        </w:tc>
        <w:tc>
          <w:tcPr>
            <w:tcW w:type="dxa" w:w="1008"/>
          </w:tcPr>
          <w:p>
            <w:pPr>
              <w:spacing w:after="20"/>
            </w:pPr>
            <w:r/>
            <w:r>
              <w:rPr>
                <w:sz w:val="15"/>
              </w:rPr>
              <w:t>B</w:t>
            </w:r>
          </w:p>
        </w:tc>
      </w:tr>
      <w:tr>
        <w:tc>
          <w:tcPr>
            <w:tcW w:type="dxa" w:w="504"/>
            <w:shd w:val="clear" w:color="auto" w:fill="F2F4F8"/>
          </w:tcPr>
          <w:p>
            <w:pPr>
              <w:spacing w:after="20"/>
            </w:pPr>
            <w:r/>
            <w:r>
              <w:rPr>
                <w:sz w:val="15"/>
              </w:rPr>
              <w:t>E-4</w:t>
            </w:r>
          </w:p>
        </w:tc>
        <w:tc>
          <w:tcPr>
            <w:tcW w:type="dxa" w:w="1800"/>
            <w:shd w:val="clear" w:color="auto" w:fill="F2F4F8"/>
          </w:tcPr>
          <w:p>
            <w:pPr>
              <w:spacing w:after="20"/>
            </w:pPr>
            <w:r/>
            <w:r>
              <w:rPr>
                <w:sz w:val="15"/>
              </w:rPr>
              <w:t>2025 annual meeting calendar for Certificate proposals</w:t>
            </w:r>
          </w:p>
        </w:tc>
        <w:tc>
          <w:tcPr>
            <w:tcW w:type="dxa" w:w="2880"/>
            <w:shd w:val="clear" w:color="auto" w:fill="F2F4F8"/>
          </w:tcPr>
          <w:p>
            <w:pPr>
              <w:spacing w:after="20"/>
            </w:pPr>
            <w:r/>
            <w:r>
              <w:rPr>
                <w:sz w:val="15"/>
              </w:rPr>
              <w:t>Certificate amendments (declassification, written consent, supermajority) require Board approval declaring advisability before the proxy is filed, and a preliminary proxy (Rule 14a-6(a)) at least 10 calendar days before the definitive. For notice-and-access, the Notice must be sent by April 4, 2025 (40 days before May 14). A March 18 approval leaves little margin.</w:t>
            </w:r>
          </w:p>
        </w:tc>
        <w:tc>
          <w:tcPr>
            <w:tcW w:type="dxa" w:w="3456"/>
            <w:shd w:val="clear" w:color="auto" w:fill="F2F4F8"/>
          </w:tcPr>
          <w:p>
            <w:pPr>
              <w:spacing w:after="20"/>
            </w:pPr>
            <w:r/>
            <w:r>
              <w:rPr>
                <w:sz w:val="15"/>
              </w:rPr>
              <w:t>Begin drafting Certificate amendments and proxy proposals now; consider a special Board meeting in late February/early March to approve them; fix a record date between March 15 and May 4, 2025.</w:t>
            </w:r>
          </w:p>
        </w:tc>
        <w:tc>
          <w:tcPr>
            <w:tcW w:type="dxa" w:w="1008"/>
            <w:shd w:val="clear" w:color="auto" w:fill="F2F4F8"/>
          </w:tcPr>
          <w:p>
            <w:pPr>
              <w:spacing w:after="20"/>
            </w:pPr>
            <w:r/>
            <w:r>
              <w:rPr>
                <w:sz w:val="15"/>
              </w:rPr>
              <w:t>C+S</w:t>
            </w:r>
          </w:p>
        </w:tc>
      </w:tr>
      <w:tr>
        <w:tc>
          <w:tcPr>
            <w:tcW w:type="dxa" w:w="504"/>
          </w:tcPr>
          <w:p>
            <w:pPr>
              <w:spacing w:after="20"/>
            </w:pPr>
            <w:r/>
            <w:r>
              <w:rPr>
                <w:sz w:val="15"/>
              </w:rPr>
              <w:t>E-5</w:t>
            </w:r>
          </w:p>
        </w:tc>
        <w:tc>
          <w:tcPr>
            <w:tcW w:type="dxa" w:w="1800"/>
          </w:tcPr>
          <w:p>
            <w:pPr>
              <w:spacing w:after="20"/>
            </w:pPr>
            <w:r/>
            <w:r>
              <w:rPr>
                <w:sz w:val="15"/>
              </w:rPr>
              <w:t>Certificate not reviewed</w:t>
            </w:r>
          </w:p>
        </w:tc>
        <w:tc>
          <w:tcPr>
            <w:tcW w:type="dxa" w:w="2880"/>
          </w:tcPr>
          <w:p>
            <w:pPr>
              <w:spacing w:after="20"/>
            </w:pPr>
            <w:r/>
            <w:r>
              <w:rPr>
                <w:sz w:val="15"/>
              </w:rPr>
              <w:t>Board-only conclusions are provisional; a Certificate provision on the same subject would control (Bylaws Preamble).</w:t>
            </w:r>
          </w:p>
        </w:tc>
        <w:tc>
          <w:tcPr>
            <w:tcW w:type="dxa" w:w="3456"/>
          </w:tcPr>
          <w:p>
            <w:pPr>
              <w:spacing w:after="20"/>
            </w:pPr>
            <w:r/>
            <w:r>
              <w:rPr>
                <w:sz w:val="15"/>
              </w:rPr>
              <w:t>Transmit the Restated Certificate and any amendments/designations to AP&amp;L immediately.</w:t>
            </w:r>
          </w:p>
        </w:tc>
        <w:tc>
          <w:tcPr>
            <w:tcW w:type="dxa" w:w="1008"/>
          </w:tcPr>
          <w:p>
            <w:pPr>
              <w:spacing w:after="20"/>
            </w:pPr>
            <w:r/>
            <w:r>
              <w:rPr>
                <w:sz w:val="15"/>
              </w:rPr>
              <w:t>—</w:t>
            </w:r>
          </w:p>
        </w:tc>
      </w:tr>
    </w:tbl>
    <w:p>
      <w:pPr>
        <w:spacing w:after="40"/>
      </w:pPr>
    </w:p>
    <w:p>
      <w:pPr>
        <w:pStyle w:val="Heading1"/>
      </w:pPr>
      <w:r>
        <w:t>4. Summary Scorecard – All 42 Guidelines</w:t>
      </w:r>
    </w:p>
    <w:p>
      <w:r>
        <w:rPr/>
        <w:t>The table below summarizes each Guideline. Detailed analysis of each Guideline follows in Part 5, organized by Guideline category.</w:t>
      </w:r>
    </w:p>
    <w:tbl>
      <w:tblPr>
        <w:tblStyle w:val="TableGrid"/>
        <w:tblW w:type="auto" w:w="0"/>
        <w:jc w:val="center"/>
        <w:tblLayout w:type="fixed"/>
        <w:tblLook w:firstColumn="1" w:firstRow="1" w:lastColumn="0" w:lastRow="0" w:noHBand="0" w:noVBand="1" w:val="04A0"/>
      </w:tblPr>
      <w:tblGrid>
        <w:gridCol w:w="576"/>
        <w:gridCol w:w="2304"/>
        <w:gridCol w:w="2088"/>
        <w:gridCol w:w="1944"/>
        <w:gridCol w:w="1224"/>
        <w:gridCol w:w="1512"/>
      </w:tblGrid>
      <w:tr>
        <w:trPr>
          <w:tblHeader w:val="true"/>
        </w:trPr>
        <w:tc>
          <w:tcPr>
            <w:tcW w:type="dxa" w:w="576"/>
            <w:shd w:val="clear" w:color="auto" w:fill="1F2A44"/>
          </w:tcPr>
          <w:p>
            <w:r/>
            <w:r>
              <w:rPr>
                <w:b/>
                <w:color w:val="FFFFFF"/>
                <w:sz w:val="15"/>
              </w:rPr>
              <w:t>No.</w:t>
            </w:r>
          </w:p>
        </w:tc>
        <w:tc>
          <w:tcPr>
            <w:tcW w:type="dxa" w:w="2304"/>
            <w:shd w:val="clear" w:color="auto" w:fill="1F2A44"/>
          </w:tcPr>
          <w:p>
            <w:r/>
            <w:r>
              <w:rPr>
                <w:b/>
                <w:color w:val="FFFFFF"/>
                <w:sz w:val="15"/>
              </w:rPr>
              <w:t>Guideline</w:t>
            </w:r>
          </w:p>
        </w:tc>
        <w:tc>
          <w:tcPr>
            <w:tcW w:type="dxa" w:w="2088"/>
            <w:shd w:val="clear" w:color="auto" w:fill="1F2A44"/>
          </w:tcPr>
          <w:p>
            <w:r/>
            <w:r>
              <w:rPr>
                <w:b/>
                <w:color w:val="FFFFFF"/>
                <w:sz w:val="15"/>
              </w:rPr>
              <w:t>Bylaw provision(s)</w:t>
            </w:r>
          </w:p>
        </w:tc>
        <w:tc>
          <w:tcPr>
            <w:tcW w:type="dxa" w:w="1944"/>
            <w:shd w:val="clear" w:color="auto" w:fill="1F2A44"/>
          </w:tcPr>
          <w:p>
            <w:r/>
            <w:r>
              <w:rPr>
                <w:b/>
                <w:color w:val="FFFFFF"/>
                <w:sz w:val="15"/>
              </w:rPr>
              <w:t>Status</w:t>
            </w:r>
          </w:p>
        </w:tc>
        <w:tc>
          <w:tcPr>
            <w:tcW w:type="dxa" w:w="1224"/>
            <w:shd w:val="clear" w:color="auto" w:fill="1F2A44"/>
          </w:tcPr>
          <w:p>
            <w:r/>
            <w:r>
              <w:rPr>
                <w:b/>
                <w:color w:val="FFFFFF"/>
                <w:sz w:val="15"/>
              </w:rPr>
              <w:t>Significance</w:t>
            </w:r>
          </w:p>
        </w:tc>
        <w:tc>
          <w:tcPr>
            <w:tcW w:type="dxa" w:w="1512"/>
            <w:shd w:val="clear" w:color="auto" w:fill="1F2A44"/>
          </w:tcPr>
          <w:p>
            <w:r/>
            <w:r>
              <w:rPr>
                <w:b/>
                <w:color w:val="FFFFFF"/>
                <w:sz w:val="15"/>
              </w:rPr>
              <w:t>Path</w:t>
            </w:r>
          </w:p>
        </w:tc>
      </w:tr>
      <w:tr>
        <w:tc>
          <w:tcPr>
            <w:tcW w:type="dxa" w:w="576"/>
          </w:tcPr>
          <w:p>
            <w:pPr>
              <w:spacing w:after="20"/>
            </w:pPr>
            <w:r/>
            <w:r>
              <w:rPr>
                <w:sz w:val="15"/>
              </w:rPr>
              <w:t>2.1</w:t>
            </w:r>
          </w:p>
        </w:tc>
        <w:tc>
          <w:tcPr>
            <w:tcW w:type="dxa" w:w="2304"/>
          </w:tcPr>
          <w:p>
            <w:pPr>
              <w:spacing w:after="20"/>
            </w:pPr>
            <w:r/>
            <w:r>
              <w:rPr>
                <w:sz w:val="15"/>
              </w:rPr>
              <w:t>Independent Board Leadership</w:t>
            </w:r>
          </w:p>
        </w:tc>
        <w:tc>
          <w:tcPr>
            <w:tcW w:type="dxa" w:w="2088"/>
          </w:tcPr>
          <w:p>
            <w:pPr>
              <w:spacing w:after="20"/>
            </w:pPr>
            <w:r/>
            <w:r>
              <w:rPr>
                <w:sz w:val="15"/>
              </w:rPr>
              <w:t>§§ 2.13, 3.8, 4.3</w:t>
            </w:r>
          </w:p>
        </w:tc>
        <w:tc>
          <w:tcPr>
            <w:tcW w:type="dxa" w:w="1944"/>
          </w:tcPr>
          <w:p>
            <w:pPr>
              <w:spacing w:after="20"/>
            </w:pPr>
            <w:r/>
            <w:r>
              <w:rPr>
                <w:sz w:val="15"/>
              </w:rPr>
              <w:t>Partially Aligned</w:t>
            </w:r>
          </w:p>
        </w:tc>
        <w:tc>
          <w:tcPr>
            <w:tcW w:type="dxa" w:w="1224"/>
          </w:tcPr>
          <w:p>
            <w:pPr>
              <w:spacing w:after="20"/>
            </w:pPr>
            <w:r>
              <w:rPr>
                <w:b/>
                <w:color w:val="4F81BD"/>
              </w:rPr>
            </w:r>
            <w:r>
              <w:rPr>
                <w:b/>
                <w:color w:val="4F81BD"/>
                <w:sz w:val="15"/>
              </w:rPr>
              <w:t>Low</w:t>
            </w:r>
          </w:p>
        </w:tc>
        <w:tc>
          <w:tcPr>
            <w:tcW w:type="dxa" w:w="1512"/>
          </w:tcPr>
          <w:p>
            <w:pPr>
              <w:spacing w:after="20"/>
            </w:pPr>
            <w:r/>
            <w:r>
              <w:rPr>
                <w:sz w:val="15"/>
              </w:rPr>
              <w:t>P (optional B)</w:t>
            </w:r>
          </w:p>
        </w:tc>
      </w:tr>
      <w:tr>
        <w:tc>
          <w:tcPr>
            <w:tcW w:type="dxa" w:w="576"/>
            <w:shd w:val="clear" w:color="auto" w:fill="F2F4F8"/>
          </w:tcPr>
          <w:p>
            <w:pPr>
              <w:spacing w:after="20"/>
            </w:pPr>
            <w:r/>
            <w:r>
              <w:rPr>
                <w:sz w:val="15"/>
              </w:rPr>
              <w:t>2.2</w:t>
            </w:r>
          </w:p>
        </w:tc>
        <w:tc>
          <w:tcPr>
            <w:tcW w:type="dxa" w:w="2304"/>
            <w:shd w:val="clear" w:color="auto" w:fill="F2F4F8"/>
          </w:tcPr>
          <w:p>
            <w:pPr>
              <w:spacing w:after="20"/>
            </w:pPr>
            <w:r/>
            <w:r>
              <w:rPr>
                <w:sz w:val="15"/>
              </w:rPr>
              <w:t>Board Independence</w:t>
            </w:r>
          </w:p>
        </w:tc>
        <w:tc>
          <w:tcPr>
            <w:tcW w:type="dxa" w:w="2088"/>
            <w:shd w:val="clear" w:color="auto" w:fill="F2F4F8"/>
          </w:tcPr>
          <w:p>
            <w:pPr>
              <w:spacing w:after="20"/>
            </w:pPr>
            <w:r/>
            <w:r>
              <w:rPr>
                <w:sz w:val="15"/>
              </w:rPr>
              <w:t>Silent (§ 3.1)</w:t>
            </w:r>
          </w:p>
        </w:tc>
        <w:tc>
          <w:tcPr>
            <w:tcW w:type="dxa" w:w="1944"/>
            <w:shd w:val="clear" w:color="auto" w:fill="F2F4F8"/>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P</w:t>
            </w:r>
          </w:p>
        </w:tc>
      </w:tr>
      <w:tr>
        <w:tc>
          <w:tcPr>
            <w:tcW w:type="dxa" w:w="576"/>
          </w:tcPr>
          <w:p>
            <w:pPr>
              <w:spacing w:after="20"/>
            </w:pPr>
            <w:r/>
            <w:r>
              <w:rPr>
                <w:sz w:val="15"/>
              </w:rPr>
              <w:t>2.3</w:t>
            </w:r>
          </w:p>
        </w:tc>
        <w:tc>
          <w:tcPr>
            <w:tcW w:type="dxa" w:w="2304"/>
          </w:tcPr>
          <w:p>
            <w:pPr>
              <w:spacing w:after="20"/>
            </w:pPr>
            <w:r/>
            <w:r>
              <w:rPr>
                <w:sz w:val="15"/>
              </w:rPr>
              <w:t>Executive Sessions</w:t>
            </w:r>
          </w:p>
        </w:tc>
        <w:tc>
          <w:tcPr>
            <w:tcW w:type="dxa" w:w="2088"/>
          </w:tcPr>
          <w:p>
            <w:pPr>
              <w:spacing w:after="20"/>
            </w:pPr>
            <w:r/>
            <w:r>
              <w:rPr>
                <w:sz w:val="15"/>
              </w:rPr>
              <w:t>Silent</w:t>
            </w:r>
          </w:p>
        </w:tc>
        <w:tc>
          <w:tcPr>
            <w:tcW w:type="dxa" w:w="1944"/>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tcPr>
          <w:p>
            <w:pPr>
              <w:spacing w:after="20"/>
            </w:pPr>
            <w:r/>
            <w:r>
              <w:rPr>
                <w:sz w:val="15"/>
              </w:rPr>
              <w:t>P</w:t>
            </w:r>
          </w:p>
        </w:tc>
      </w:tr>
      <w:tr>
        <w:tc>
          <w:tcPr>
            <w:tcW w:type="dxa" w:w="576"/>
            <w:shd w:val="clear" w:color="auto" w:fill="F2F4F8"/>
          </w:tcPr>
          <w:p>
            <w:pPr>
              <w:spacing w:after="20"/>
            </w:pPr>
            <w:r/>
            <w:r>
              <w:rPr>
                <w:sz w:val="15"/>
              </w:rPr>
              <w:t>2.4</w:t>
            </w:r>
          </w:p>
        </w:tc>
        <w:tc>
          <w:tcPr>
            <w:tcW w:type="dxa" w:w="2304"/>
            <w:shd w:val="clear" w:color="auto" w:fill="F2F4F8"/>
          </w:tcPr>
          <w:p>
            <w:pPr>
              <w:spacing w:after="20"/>
            </w:pPr>
            <w:r/>
            <w:r>
              <w:rPr>
                <w:sz w:val="15"/>
              </w:rPr>
              <w:t>Board Size Evaluation</w:t>
            </w:r>
          </w:p>
        </w:tc>
        <w:tc>
          <w:tcPr>
            <w:tcW w:type="dxa" w:w="2088"/>
            <w:shd w:val="clear" w:color="auto" w:fill="F2F4F8"/>
          </w:tcPr>
          <w:p>
            <w:pPr>
              <w:spacing w:after="20"/>
            </w:pPr>
            <w:r/>
            <w:r>
              <w:rPr>
                <w:sz w:val="15"/>
              </w:rPr>
              <w:t>§ 3.1 (5–11; fixed by Board)</w:t>
            </w:r>
          </w:p>
        </w:tc>
        <w:tc>
          <w:tcPr>
            <w:tcW w:type="dxa" w:w="1944"/>
            <w:shd w:val="clear" w:color="auto" w:fill="F2F4F8"/>
          </w:tcPr>
          <w:p>
            <w:pPr>
              <w:spacing w:after="20"/>
            </w:pPr>
            <w:r/>
            <w:r>
              <w:rPr>
                <w:sz w:val="15"/>
              </w:rPr>
              <w:t>Aligned</w:t>
            </w:r>
          </w:p>
        </w:tc>
        <w:tc>
          <w:tcPr>
            <w:tcW w:type="dxa" w:w="1224"/>
          </w:tcPr>
          <w:p>
            <w:pPr>
              <w:spacing w:after="20"/>
            </w:pPr>
            <w:r>
              <w:rPr>
                <w:b/>
                <w:color w:val="00804C"/>
              </w:rPr>
            </w:r>
            <w:r>
              <w:rPr>
                <w:b/>
                <w:color w:val="00804C"/>
                <w:sz w:val="15"/>
              </w:rPr>
              <w:t>Aligned</w:t>
            </w:r>
          </w:p>
        </w:tc>
        <w:tc>
          <w:tcPr>
            <w:tcW w:type="dxa" w:w="1512"/>
            <w:shd w:val="clear" w:color="auto" w:fill="F2F4F8"/>
          </w:tcPr>
          <w:p>
            <w:pPr>
              <w:spacing w:after="20"/>
            </w:pPr>
            <w:r/>
            <w:r>
              <w:rPr>
                <w:sz w:val="15"/>
              </w:rPr>
              <w:t>P</w:t>
            </w:r>
          </w:p>
        </w:tc>
      </w:tr>
      <w:tr>
        <w:tc>
          <w:tcPr>
            <w:tcW w:type="dxa" w:w="576"/>
          </w:tcPr>
          <w:p>
            <w:pPr>
              <w:spacing w:after="20"/>
            </w:pPr>
            <w:r/>
            <w:r>
              <w:rPr>
                <w:sz w:val="15"/>
              </w:rPr>
              <w:t>2.5</w:t>
            </w:r>
          </w:p>
        </w:tc>
        <w:tc>
          <w:tcPr>
            <w:tcW w:type="dxa" w:w="2304"/>
          </w:tcPr>
          <w:p>
            <w:pPr>
              <w:spacing w:after="20"/>
            </w:pPr>
            <w:r/>
            <w:r>
              <w:rPr>
                <w:sz w:val="15"/>
              </w:rPr>
              <w:t>Director Tenure and Retirement</w:t>
            </w:r>
          </w:p>
        </w:tc>
        <w:tc>
          <w:tcPr>
            <w:tcW w:type="dxa" w:w="2088"/>
          </w:tcPr>
          <w:p>
            <w:pPr>
              <w:spacing w:after="20"/>
            </w:pPr>
            <w:r/>
            <w:r>
              <w:rPr>
                <w:sz w:val="15"/>
              </w:rPr>
              <w:t>§ 3.1 (no tenure/age qualifications)</w:t>
            </w:r>
          </w:p>
        </w:tc>
        <w:tc>
          <w:tcPr>
            <w:tcW w:type="dxa" w:w="1944"/>
          </w:tcPr>
          <w:p>
            <w:pPr>
              <w:spacing w:after="20"/>
            </w:pPr>
            <w:r/>
            <w:r>
              <w:rPr>
                <w:sz w:val="15"/>
              </w:rPr>
              <w:t>Not addressed (policy)</w:t>
            </w:r>
          </w:p>
        </w:tc>
        <w:tc>
          <w:tcPr>
            <w:tcW w:type="dxa" w:w="1224"/>
          </w:tcPr>
          <w:p>
            <w:pPr>
              <w:spacing w:after="20"/>
            </w:pPr>
            <w:r>
              <w:rPr>
                <w:b/>
                <w:color w:val="4F81BD"/>
              </w:rPr>
            </w:r>
            <w:r>
              <w:rPr>
                <w:b/>
                <w:color w:val="4F81BD"/>
                <w:sz w:val="15"/>
              </w:rPr>
              <w:t>Low</w:t>
            </w:r>
          </w:p>
        </w:tc>
        <w:tc>
          <w:tcPr>
            <w:tcW w:type="dxa" w:w="1512"/>
          </w:tcPr>
          <w:p>
            <w:pPr>
              <w:spacing w:after="20"/>
            </w:pPr>
            <w:r/>
            <w:r>
              <w:rPr>
                <w:sz w:val="15"/>
              </w:rPr>
              <w:t>P (optional B, § 141(b))</w:t>
            </w:r>
          </w:p>
        </w:tc>
      </w:tr>
      <w:tr>
        <w:tc>
          <w:tcPr>
            <w:tcW w:type="dxa" w:w="576"/>
            <w:shd w:val="clear" w:color="auto" w:fill="F2F4F8"/>
          </w:tcPr>
          <w:p>
            <w:pPr>
              <w:spacing w:after="20"/>
            </w:pPr>
            <w:r/>
            <w:r>
              <w:rPr>
                <w:sz w:val="15"/>
              </w:rPr>
              <w:t>2.6</w:t>
            </w:r>
          </w:p>
        </w:tc>
        <w:tc>
          <w:tcPr>
            <w:tcW w:type="dxa" w:w="2304"/>
            <w:shd w:val="clear" w:color="auto" w:fill="F2F4F8"/>
          </w:tcPr>
          <w:p>
            <w:pPr>
              <w:spacing w:after="20"/>
            </w:pPr>
            <w:r/>
            <w:r>
              <w:rPr>
                <w:sz w:val="15"/>
              </w:rPr>
              <w:t>Board Self-Evaluation</w:t>
            </w:r>
          </w:p>
        </w:tc>
        <w:tc>
          <w:tcPr>
            <w:tcW w:type="dxa" w:w="2088"/>
            <w:shd w:val="clear" w:color="auto" w:fill="F2F4F8"/>
          </w:tcPr>
          <w:p>
            <w:pPr>
              <w:spacing w:after="20"/>
            </w:pPr>
            <w:r/>
            <w:r>
              <w:rPr>
                <w:sz w:val="15"/>
              </w:rPr>
              <w:t>Silent</w:t>
            </w:r>
          </w:p>
        </w:tc>
        <w:tc>
          <w:tcPr>
            <w:tcW w:type="dxa" w:w="1944"/>
            <w:shd w:val="clear" w:color="auto" w:fill="F2F4F8"/>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P</w:t>
            </w:r>
          </w:p>
        </w:tc>
      </w:tr>
      <w:tr>
        <w:tc>
          <w:tcPr>
            <w:tcW w:type="dxa" w:w="576"/>
          </w:tcPr>
          <w:p>
            <w:pPr>
              <w:spacing w:after="20"/>
            </w:pPr>
            <w:r/>
            <w:r>
              <w:rPr>
                <w:sz w:val="15"/>
              </w:rPr>
              <w:t>3.1</w:t>
            </w:r>
          </w:p>
        </w:tc>
        <w:tc>
          <w:tcPr>
            <w:tcW w:type="dxa" w:w="2304"/>
          </w:tcPr>
          <w:p>
            <w:pPr>
              <w:spacing w:after="20"/>
            </w:pPr>
            <w:r/>
            <w:r>
              <w:rPr>
                <w:sz w:val="15"/>
              </w:rPr>
              <w:t>Annual Election of Directors (Declassification)</w:t>
            </w:r>
          </w:p>
        </w:tc>
        <w:tc>
          <w:tcPr>
            <w:tcW w:type="dxa" w:w="2088"/>
          </w:tcPr>
          <w:p>
            <w:pPr>
              <w:spacing w:after="20"/>
            </w:pPr>
            <w:r/>
            <w:r>
              <w:rPr>
                <w:sz w:val="15"/>
              </w:rPr>
              <w:t>§§ 3.2, 3.3, 3.5</w:t>
            </w:r>
          </w:p>
        </w:tc>
        <w:tc>
          <w:tcPr>
            <w:tcW w:type="dxa" w:w="1944"/>
          </w:tcPr>
          <w:p>
            <w:pPr>
              <w:spacing w:after="20"/>
            </w:pPr>
            <w:r/>
            <w:r>
              <w:rPr>
                <w:sz w:val="15"/>
              </w:rPr>
              <w:t>Conflict</w:t>
            </w:r>
          </w:p>
        </w:tc>
        <w:tc>
          <w:tcPr>
            <w:tcW w:type="dxa" w:w="1224"/>
          </w:tcPr>
          <w:p>
            <w:pPr>
              <w:spacing w:after="20"/>
            </w:pPr>
            <w:r>
              <w:rPr>
                <w:b/>
                <w:color w:val="C00000"/>
              </w:rPr>
            </w:r>
            <w:r>
              <w:rPr>
                <w:b/>
                <w:color w:val="C00000"/>
                <w:sz w:val="15"/>
              </w:rPr>
              <w:t>Critical</w:t>
            </w:r>
          </w:p>
        </w:tc>
        <w:tc>
          <w:tcPr>
            <w:tcW w:type="dxa" w:w="1512"/>
          </w:tcPr>
          <w:p>
            <w:pPr>
              <w:spacing w:after="20"/>
            </w:pPr>
            <w:r/>
            <w:r>
              <w:rPr>
                <w:sz w:val="15"/>
              </w:rPr>
              <w:t>C+S (expected) + conforming B</w:t>
            </w:r>
          </w:p>
        </w:tc>
      </w:tr>
      <w:tr>
        <w:tc>
          <w:tcPr>
            <w:tcW w:type="dxa" w:w="576"/>
            <w:shd w:val="clear" w:color="auto" w:fill="F2F4F8"/>
          </w:tcPr>
          <w:p>
            <w:pPr>
              <w:spacing w:after="20"/>
            </w:pPr>
            <w:r/>
            <w:r>
              <w:rPr>
                <w:sz w:val="15"/>
              </w:rPr>
              <w:t>3.2</w:t>
            </w:r>
          </w:p>
        </w:tc>
        <w:tc>
          <w:tcPr>
            <w:tcW w:type="dxa" w:w="2304"/>
            <w:shd w:val="clear" w:color="auto" w:fill="F2F4F8"/>
          </w:tcPr>
          <w:p>
            <w:pPr>
              <w:spacing w:after="20"/>
            </w:pPr>
            <w:r/>
            <w:r>
              <w:rPr>
                <w:sz w:val="15"/>
              </w:rPr>
              <w:t>Director Qualifications and Skills Matrix</w:t>
            </w:r>
          </w:p>
        </w:tc>
        <w:tc>
          <w:tcPr>
            <w:tcW w:type="dxa" w:w="2088"/>
            <w:shd w:val="clear" w:color="auto" w:fill="F2F4F8"/>
          </w:tcPr>
          <w:p>
            <w:pPr>
              <w:spacing w:after="20"/>
            </w:pPr>
            <w:r/>
            <w:r>
              <w:rPr>
                <w:sz w:val="15"/>
              </w:rPr>
              <w:t>Silent</w:t>
            </w:r>
          </w:p>
        </w:tc>
        <w:tc>
          <w:tcPr>
            <w:tcW w:type="dxa" w:w="1944"/>
            <w:shd w:val="clear" w:color="auto" w:fill="F2F4F8"/>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P (NCGC Charter)</w:t>
            </w:r>
          </w:p>
        </w:tc>
      </w:tr>
      <w:tr>
        <w:tc>
          <w:tcPr>
            <w:tcW w:type="dxa" w:w="576"/>
          </w:tcPr>
          <w:p>
            <w:pPr>
              <w:spacing w:after="20"/>
            </w:pPr>
            <w:r/>
            <w:r>
              <w:rPr>
                <w:sz w:val="15"/>
              </w:rPr>
              <w:t>3.3</w:t>
            </w:r>
          </w:p>
        </w:tc>
        <w:tc>
          <w:tcPr>
            <w:tcW w:type="dxa" w:w="2304"/>
          </w:tcPr>
          <w:p>
            <w:pPr>
              <w:spacing w:after="20"/>
            </w:pPr>
            <w:r/>
            <w:r>
              <w:rPr>
                <w:sz w:val="15"/>
              </w:rPr>
              <w:t>Board Diversity</w:t>
            </w:r>
          </w:p>
        </w:tc>
        <w:tc>
          <w:tcPr>
            <w:tcW w:type="dxa" w:w="2088"/>
          </w:tcPr>
          <w:p>
            <w:pPr>
              <w:spacing w:after="20"/>
            </w:pPr>
            <w:r/>
            <w:r>
              <w:rPr>
                <w:sz w:val="15"/>
              </w:rPr>
              <w:t>Silent</w:t>
            </w:r>
          </w:p>
        </w:tc>
        <w:tc>
          <w:tcPr>
            <w:tcW w:type="dxa" w:w="1944"/>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tcPr>
          <w:p>
            <w:pPr>
              <w:spacing w:after="20"/>
            </w:pPr>
            <w:r/>
            <w:r>
              <w:rPr>
                <w:sz w:val="15"/>
              </w:rPr>
              <w:t>P (NCGC Charter)</w:t>
            </w:r>
          </w:p>
        </w:tc>
      </w:tr>
      <w:tr>
        <w:tc>
          <w:tcPr>
            <w:tcW w:type="dxa" w:w="576"/>
            <w:shd w:val="clear" w:color="auto" w:fill="F2F4F8"/>
          </w:tcPr>
          <w:p>
            <w:pPr>
              <w:spacing w:after="20"/>
            </w:pPr>
            <w:r/>
            <w:r>
              <w:rPr>
                <w:sz w:val="15"/>
              </w:rPr>
              <w:t>3.4</w:t>
            </w:r>
          </w:p>
        </w:tc>
        <w:tc>
          <w:tcPr>
            <w:tcW w:type="dxa" w:w="2304"/>
            <w:shd w:val="clear" w:color="auto" w:fill="F2F4F8"/>
          </w:tcPr>
          <w:p>
            <w:pPr>
              <w:spacing w:after="20"/>
            </w:pPr>
            <w:r/>
            <w:r>
              <w:rPr>
                <w:sz w:val="15"/>
              </w:rPr>
              <w:t>Overboarding Limits</w:t>
            </w:r>
          </w:p>
        </w:tc>
        <w:tc>
          <w:tcPr>
            <w:tcW w:type="dxa" w:w="2088"/>
            <w:shd w:val="clear" w:color="auto" w:fill="F2F4F8"/>
          </w:tcPr>
          <w:p>
            <w:pPr>
              <w:spacing w:after="20"/>
            </w:pPr>
            <w:r/>
            <w:r>
              <w:rPr>
                <w:sz w:val="15"/>
              </w:rPr>
              <w:t>Silent</w:t>
            </w:r>
          </w:p>
        </w:tc>
        <w:tc>
          <w:tcPr>
            <w:tcW w:type="dxa" w:w="1944"/>
            <w:shd w:val="clear" w:color="auto" w:fill="F2F4F8"/>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P</w:t>
            </w:r>
          </w:p>
        </w:tc>
      </w:tr>
      <w:tr>
        <w:tc>
          <w:tcPr>
            <w:tcW w:type="dxa" w:w="576"/>
          </w:tcPr>
          <w:p>
            <w:pPr>
              <w:spacing w:after="20"/>
            </w:pPr>
            <w:r/>
            <w:r>
              <w:rPr>
                <w:sz w:val="15"/>
              </w:rPr>
              <w:t>3.5</w:t>
            </w:r>
          </w:p>
        </w:tc>
        <w:tc>
          <w:tcPr>
            <w:tcW w:type="dxa" w:w="2304"/>
          </w:tcPr>
          <w:p>
            <w:pPr>
              <w:spacing w:after="20"/>
            </w:pPr>
            <w:r/>
            <w:r>
              <w:rPr>
                <w:sz w:val="15"/>
              </w:rPr>
              <w:t>Annual Director Independence Re-evaluation</w:t>
            </w:r>
          </w:p>
        </w:tc>
        <w:tc>
          <w:tcPr>
            <w:tcW w:type="dxa" w:w="2088"/>
          </w:tcPr>
          <w:p>
            <w:pPr>
              <w:spacing w:after="20"/>
            </w:pPr>
            <w:r/>
            <w:r>
              <w:rPr>
                <w:sz w:val="15"/>
              </w:rPr>
              <w:t>Silent</w:t>
            </w:r>
          </w:p>
        </w:tc>
        <w:tc>
          <w:tcPr>
            <w:tcW w:type="dxa" w:w="1944"/>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tcPr>
          <w:p>
            <w:pPr>
              <w:spacing w:after="20"/>
            </w:pPr>
            <w:r/>
            <w:r>
              <w:rPr>
                <w:sz w:val="15"/>
              </w:rPr>
              <w:t>P</w:t>
            </w:r>
          </w:p>
        </w:tc>
      </w:tr>
      <w:tr>
        <w:tc>
          <w:tcPr>
            <w:tcW w:type="dxa" w:w="576"/>
            <w:shd w:val="clear" w:color="auto" w:fill="F2F4F8"/>
          </w:tcPr>
          <w:p>
            <w:pPr>
              <w:spacing w:after="20"/>
            </w:pPr>
            <w:r/>
            <w:r>
              <w:rPr>
                <w:sz w:val="15"/>
              </w:rPr>
              <w:t>4.1</w:t>
            </w:r>
          </w:p>
        </w:tc>
        <w:tc>
          <w:tcPr>
            <w:tcW w:type="dxa" w:w="2304"/>
            <w:shd w:val="clear" w:color="auto" w:fill="F2F4F8"/>
          </w:tcPr>
          <w:p>
            <w:pPr>
              <w:spacing w:after="20"/>
            </w:pPr>
            <w:r/>
            <w:r>
              <w:rPr>
                <w:sz w:val="15"/>
              </w:rPr>
              <w:t>Majority Voting in Uncontested Elections</w:t>
            </w:r>
          </w:p>
        </w:tc>
        <w:tc>
          <w:tcPr>
            <w:tcW w:type="dxa" w:w="2088"/>
            <w:shd w:val="clear" w:color="auto" w:fill="F2F4F8"/>
          </w:tcPr>
          <w:p>
            <w:pPr>
              <w:spacing w:after="20"/>
            </w:pPr>
            <w:r/>
            <w:r>
              <w:rPr>
                <w:sz w:val="15"/>
              </w:rPr>
              <w:t>§ 2.7 (plurality); no resignation policy</w:t>
            </w:r>
          </w:p>
        </w:tc>
        <w:tc>
          <w:tcPr>
            <w:tcW w:type="dxa" w:w="1944"/>
            <w:shd w:val="clear" w:color="auto" w:fill="F2F4F8"/>
          </w:tcPr>
          <w:p>
            <w:pPr>
              <w:spacing w:after="20"/>
            </w:pPr>
            <w:r/>
            <w:r>
              <w:rPr>
                <w:sz w:val="15"/>
              </w:rPr>
              <w:t>Conflict</w:t>
            </w:r>
          </w:p>
        </w:tc>
        <w:tc>
          <w:tcPr>
            <w:tcW w:type="dxa" w:w="1224"/>
          </w:tcPr>
          <w:p>
            <w:pPr>
              <w:spacing w:after="20"/>
            </w:pPr>
            <w:r>
              <w:rPr>
                <w:b/>
                <w:color w:val="E46C0A"/>
              </w:rPr>
            </w:r>
            <w:r>
              <w:rPr>
                <w:b/>
                <w:color w:val="E46C0A"/>
                <w:sz w:val="15"/>
              </w:rPr>
              <w:t>High</w:t>
            </w:r>
          </w:p>
        </w:tc>
        <w:tc>
          <w:tcPr>
            <w:tcW w:type="dxa" w:w="1512"/>
            <w:shd w:val="clear" w:color="auto" w:fill="F2F4F8"/>
          </w:tcPr>
          <w:p>
            <w:pPr>
              <w:spacing w:after="20"/>
            </w:pPr>
            <w:r/>
            <w:r>
              <w:rPr>
                <w:sz w:val="15"/>
              </w:rPr>
              <w:t>B (if Certificate silent)</w:t>
            </w:r>
          </w:p>
        </w:tc>
      </w:tr>
      <w:tr>
        <w:tc>
          <w:tcPr>
            <w:tcW w:type="dxa" w:w="576"/>
          </w:tcPr>
          <w:p>
            <w:pPr>
              <w:spacing w:after="20"/>
            </w:pPr>
            <w:r/>
            <w:r>
              <w:rPr>
                <w:sz w:val="15"/>
              </w:rPr>
              <w:t>4.2</w:t>
            </w:r>
          </w:p>
        </w:tc>
        <w:tc>
          <w:tcPr>
            <w:tcW w:type="dxa" w:w="2304"/>
          </w:tcPr>
          <w:p>
            <w:pPr>
              <w:spacing w:after="20"/>
            </w:pPr>
            <w:r/>
            <w:r>
              <w:rPr>
                <w:sz w:val="15"/>
              </w:rPr>
              <w:t>Director Nomination Process</w:t>
            </w:r>
          </w:p>
        </w:tc>
        <w:tc>
          <w:tcPr>
            <w:tcW w:type="dxa" w:w="2088"/>
          </w:tcPr>
          <w:p>
            <w:pPr>
              <w:spacing w:after="20"/>
            </w:pPr>
            <w:r/>
            <w:r>
              <w:rPr>
                <w:sz w:val="15"/>
              </w:rPr>
              <w:t>§ 2.10 (procedure only)</w:t>
            </w:r>
          </w:p>
        </w:tc>
        <w:tc>
          <w:tcPr>
            <w:tcW w:type="dxa" w:w="1944"/>
          </w:tcPr>
          <w:p>
            <w:pPr>
              <w:spacing w:after="20"/>
            </w:pPr>
            <w:r/>
            <w:r>
              <w:rPr>
                <w:sz w:val="15"/>
              </w:rPr>
              <w:t>Partially Aligned</w:t>
            </w:r>
          </w:p>
        </w:tc>
        <w:tc>
          <w:tcPr>
            <w:tcW w:type="dxa" w:w="1224"/>
          </w:tcPr>
          <w:p>
            <w:pPr>
              <w:spacing w:after="20"/>
            </w:pPr>
            <w:r>
              <w:rPr>
                <w:b/>
                <w:color w:val="4F81BD"/>
              </w:rPr>
            </w:r>
            <w:r>
              <w:rPr>
                <w:b/>
                <w:color w:val="4F81BD"/>
                <w:sz w:val="15"/>
              </w:rPr>
              <w:t>Low</w:t>
            </w:r>
          </w:p>
        </w:tc>
        <w:tc>
          <w:tcPr>
            <w:tcW w:type="dxa" w:w="1512"/>
          </w:tcPr>
          <w:p>
            <w:pPr>
              <w:spacing w:after="20"/>
            </w:pPr>
            <w:r/>
            <w:r>
              <w:rPr>
                <w:sz w:val="15"/>
              </w:rPr>
              <w:t>P (NCGC Charter)</w:t>
            </w:r>
          </w:p>
        </w:tc>
      </w:tr>
      <w:tr>
        <w:tc>
          <w:tcPr>
            <w:tcW w:type="dxa" w:w="576"/>
            <w:shd w:val="clear" w:color="auto" w:fill="F2F4F8"/>
          </w:tcPr>
          <w:p>
            <w:pPr>
              <w:spacing w:after="20"/>
            </w:pPr>
            <w:r/>
            <w:r>
              <w:rPr>
                <w:sz w:val="15"/>
              </w:rPr>
              <w:t>4.3</w:t>
            </w:r>
          </w:p>
        </w:tc>
        <w:tc>
          <w:tcPr>
            <w:tcW w:type="dxa" w:w="2304"/>
            <w:shd w:val="clear" w:color="auto" w:fill="F2F4F8"/>
          </w:tcPr>
          <w:p>
            <w:pPr>
              <w:spacing w:after="20"/>
            </w:pPr>
            <w:r/>
            <w:r>
              <w:rPr>
                <w:sz w:val="15"/>
              </w:rPr>
              <w:t>Proxy Access</w:t>
            </w:r>
          </w:p>
        </w:tc>
        <w:tc>
          <w:tcPr>
            <w:tcW w:type="dxa" w:w="2088"/>
            <w:shd w:val="clear" w:color="auto" w:fill="F2F4F8"/>
          </w:tcPr>
          <w:p>
            <w:pPr>
              <w:spacing w:after="20"/>
            </w:pPr>
            <w:r/>
            <w:r>
              <w:rPr>
                <w:sz w:val="15"/>
              </w:rPr>
              <w:t>Absent</w:t>
            </w:r>
          </w:p>
        </w:tc>
        <w:tc>
          <w:tcPr>
            <w:tcW w:type="dxa" w:w="1944"/>
            <w:shd w:val="clear" w:color="auto" w:fill="F2F4F8"/>
          </w:tcPr>
          <w:p>
            <w:pPr>
              <w:spacing w:after="20"/>
            </w:pPr>
            <w:r/>
            <w:r>
              <w:rPr>
                <w:sz w:val="15"/>
              </w:rPr>
              <w:t>Not addressed (gap)</w:t>
            </w:r>
          </w:p>
        </w:tc>
        <w:tc>
          <w:tcPr>
            <w:tcW w:type="dxa" w:w="1224"/>
          </w:tcPr>
          <w:p>
            <w:pPr>
              <w:spacing w:after="20"/>
            </w:pPr>
            <w:r>
              <w:rPr>
                <w:b/>
                <w:color w:val="E46C0A"/>
              </w:rPr>
            </w:r>
            <w:r>
              <w:rPr>
                <w:b/>
                <w:color w:val="E46C0A"/>
                <w:sz w:val="15"/>
              </w:rPr>
              <w:t>High</w:t>
            </w:r>
          </w:p>
        </w:tc>
        <w:tc>
          <w:tcPr>
            <w:tcW w:type="dxa" w:w="1512"/>
            <w:shd w:val="clear" w:color="auto" w:fill="F2F4F8"/>
          </w:tcPr>
          <w:p>
            <w:pPr>
              <w:spacing w:after="20"/>
            </w:pPr>
            <w:r/>
            <w:r>
              <w:rPr>
                <w:sz w:val="15"/>
              </w:rPr>
              <w:t>B</w:t>
            </w:r>
          </w:p>
        </w:tc>
      </w:tr>
      <w:tr>
        <w:tc>
          <w:tcPr>
            <w:tcW w:type="dxa" w:w="576"/>
          </w:tcPr>
          <w:p>
            <w:pPr>
              <w:spacing w:after="20"/>
            </w:pPr>
            <w:r/>
            <w:r>
              <w:rPr>
                <w:sz w:val="15"/>
              </w:rPr>
              <w:t>4.4</w:t>
            </w:r>
          </w:p>
        </w:tc>
        <w:tc>
          <w:tcPr>
            <w:tcW w:type="dxa" w:w="2304"/>
          </w:tcPr>
          <w:p>
            <w:pPr>
              <w:spacing w:after="20"/>
            </w:pPr>
            <w:r/>
            <w:r>
              <w:rPr>
                <w:sz w:val="15"/>
              </w:rPr>
              <w:t>Director Orientation and Continuing Education</w:t>
            </w:r>
          </w:p>
        </w:tc>
        <w:tc>
          <w:tcPr>
            <w:tcW w:type="dxa" w:w="2088"/>
          </w:tcPr>
          <w:p>
            <w:pPr>
              <w:spacing w:after="20"/>
            </w:pPr>
            <w:r/>
            <w:r>
              <w:rPr>
                <w:sz w:val="15"/>
              </w:rPr>
              <w:t>Silent</w:t>
            </w:r>
          </w:p>
        </w:tc>
        <w:tc>
          <w:tcPr>
            <w:tcW w:type="dxa" w:w="1944"/>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tcPr>
          <w:p>
            <w:pPr>
              <w:spacing w:after="20"/>
            </w:pPr>
            <w:r/>
            <w:r>
              <w:rPr>
                <w:sz w:val="15"/>
              </w:rPr>
              <w:t>P</w:t>
            </w:r>
          </w:p>
        </w:tc>
      </w:tr>
      <w:tr>
        <w:tc>
          <w:tcPr>
            <w:tcW w:type="dxa" w:w="576"/>
            <w:shd w:val="clear" w:color="auto" w:fill="F2F4F8"/>
          </w:tcPr>
          <w:p>
            <w:pPr>
              <w:spacing w:after="20"/>
            </w:pPr>
            <w:r/>
            <w:r>
              <w:rPr>
                <w:sz w:val="15"/>
              </w:rPr>
              <w:t>4.5</w:t>
            </w:r>
          </w:p>
        </w:tc>
        <w:tc>
          <w:tcPr>
            <w:tcW w:type="dxa" w:w="2304"/>
            <w:shd w:val="clear" w:color="auto" w:fill="F2F4F8"/>
          </w:tcPr>
          <w:p>
            <w:pPr>
              <w:spacing w:after="20"/>
            </w:pPr>
            <w:r/>
            <w:r>
              <w:rPr>
                <w:sz w:val="15"/>
              </w:rPr>
              <w:t>Enhanced Advance Notice Requirements</w:t>
            </w:r>
          </w:p>
        </w:tc>
        <w:tc>
          <w:tcPr>
            <w:tcW w:type="dxa" w:w="2088"/>
            <w:shd w:val="clear" w:color="auto" w:fill="F2F4F8"/>
          </w:tcPr>
          <w:p>
            <w:pPr>
              <w:spacing w:after="20"/>
            </w:pPr>
            <w:r/>
            <w:r>
              <w:rPr>
                <w:sz w:val="15"/>
              </w:rPr>
              <w:t>§ 2.10(b)–(e)</w:t>
            </w:r>
          </w:p>
        </w:tc>
        <w:tc>
          <w:tcPr>
            <w:tcW w:type="dxa" w:w="1944"/>
            <w:shd w:val="clear" w:color="auto" w:fill="F2F4F8"/>
          </w:tcPr>
          <w:p>
            <w:pPr>
              <w:spacing w:after="20"/>
            </w:pPr>
            <w:r/>
            <w:r>
              <w:rPr>
                <w:sz w:val="15"/>
              </w:rPr>
              <w:t>Deviation (window); Gap (disclosure)</w:t>
            </w:r>
          </w:p>
        </w:tc>
        <w:tc>
          <w:tcPr>
            <w:tcW w:type="dxa" w:w="1224"/>
          </w:tcPr>
          <w:p>
            <w:pPr>
              <w:spacing w:after="20"/>
            </w:pPr>
            <w:r>
              <w:rPr>
                <w:b/>
                <w:color w:val="C00000"/>
              </w:rPr>
            </w:r>
            <w:r>
              <w:rPr>
                <w:b/>
                <w:color w:val="C00000"/>
                <w:sz w:val="15"/>
              </w:rPr>
              <w:t>Critical (disclosure) / Medium (window)</w:t>
            </w:r>
          </w:p>
        </w:tc>
        <w:tc>
          <w:tcPr>
            <w:tcW w:type="dxa" w:w="1512"/>
            <w:shd w:val="clear" w:color="auto" w:fill="F2F4F8"/>
          </w:tcPr>
          <w:p>
            <w:pPr>
              <w:spacing w:after="20"/>
            </w:pPr>
            <w:r/>
            <w:r>
              <w:rPr>
                <w:sz w:val="15"/>
              </w:rPr>
              <w:t>B – prospective (2026 season)</w:t>
            </w:r>
          </w:p>
        </w:tc>
      </w:tr>
      <w:tr>
        <w:tc>
          <w:tcPr>
            <w:tcW w:type="dxa" w:w="576"/>
          </w:tcPr>
          <w:p>
            <w:pPr>
              <w:spacing w:after="20"/>
            </w:pPr>
            <w:r/>
            <w:r>
              <w:rPr>
                <w:sz w:val="15"/>
              </w:rPr>
              <w:t>4.6</w:t>
            </w:r>
          </w:p>
        </w:tc>
        <w:tc>
          <w:tcPr>
            <w:tcW w:type="dxa" w:w="2304"/>
          </w:tcPr>
          <w:p>
            <w:pPr>
              <w:spacing w:after="20"/>
            </w:pPr>
            <w:r/>
            <w:r>
              <w:rPr>
                <w:sz w:val="15"/>
              </w:rPr>
              <w:t>Universal Proxy Compliance</w:t>
            </w:r>
          </w:p>
        </w:tc>
        <w:tc>
          <w:tcPr>
            <w:tcW w:type="dxa" w:w="2088"/>
          </w:tcPr>
          <w:p>
            <w:pPr>
              <w:spacing w:after="20"/>
            </w:pPr>
            <w:r/>
            <w:r>
              <w:rPr>
                <w:sz w:val="15"/>
              </w:rPr>
              <w:t>§ 2.10 (pre-dates Rule 14a-19)</w:t>
            </w:r>
          </w:p>
        </w:tc>
        <w:tc>
          <w:tcPr>
            <w:tcW w:type="dxa" w:w="1944"/>
          </w:tcPr>
          <w:p>
            <w:pPr>
              <w:spacing w:after="20"/>
            </w:pPr>
            <w:r/>
            <w:r>
              <w:rPr>
                <w:sz w:val="15"/>
              </w:rPr>
              <w:t>Not addressed (gap)</w:t>
            </w:r>
          </w:p>
        </w:tc>
        <w:tc>
          <w:tcPr>
            <w:tcW w:type="dxa" w:w="1224"/>
          </w:tcPr>
          <w:p>
            <w:pPr>
              <w:spacing w:after="20"/>
            </w:pPr>
            <w:r>
              <w:rPr>
                <w:b/>
                <w:color w:val="C00000"/>
              </w:rPr>
            </w:r>
            <w:r>
              <w:rPr>
                <w:b/>
                <w:color w:val="C00000"/>
                <w:sz w:val="15"/>
              </w:rPr>
              <w:t>Critical</w:t>
            </w:r>
          </w:p>
        </w:tc>
        <w:tc>
          <w:tcPr>
            <w:tcW w:type="dxa" w:w="1512"/>
          </w:tcPr>
          <w:p>
            <w:pPr>
              <w:spacing w:after="20"/>
            </w:pPr>
            <w:r/>
            <w:r>
              <w:rPr>
                <w:sz w:val="15"/>
              </w:rPr>
              <w:t>B</w:t>
            </w:r>
          </w:p>
        </w:tc>
      </w:tr>
      <w:tr>
        <w:tc>
          <w:tcPr>
            <w:tcW w:type="dxa" w:w="576"/>
            <w:shd w:val="clear" w:color="auto" w:fill="F2F4F8"/>
          </w:tcPr>
          <w:p>
            <w:pPr>
              <w:spacing w:after="20"/>
            </w:pPr>
            <w:r/>
            <w:r>
              <w:rPr>
                <w:sz w:val="15"/>
              </w:rPr>
              <w:t>5.1</w:t>
            </w:r>
          </w:p>
        </w:tc>
        <w:tc>
          <w:tcPr>
            <w:tcW w:type="dxa" w:w="2304"/>
            <w:shd w:val="clear" w:color="auto" w:fill="F2F4F8"/>
          </w:tcPr>
          <w:p>
            <w:pPr>
              <w:spacing w:after="20"/>
            </w:pPr>
            <w:r/>
            <w:r>
              <w:rPr>
                <w:sz w:val="15"/>
              </w:rPr>
              <w:t>Stockholder Meeting Quorum</w:t>
            </w:r>
          </w:p>
        </w:tc>
        <w:tc>
          <w:tcPr>
            <w:tcW w:type="dxa" w:w="2088"/>
            <w:shd w:val="clear" w:color="auto" w:fill="F2F4F8"/>
          </w:tcPr>
          <w:p>
            <w:pPr>
              <w:spacing w:after="20"/>
            </w:pPr>
            <w:r/>
            <w:r>
              <w:rPr>
                <w:sz w:val="15"/>
              </w:rPr>
              <w:t>§ 2.5 (majority)</w:t>
            </w:r>
          </w:p>
        </w:tc>
        <w:tc>
          <w:tcPr>
            <w:tcW w:type="dxa" w:w="1944"/>
            <w:shd w:val="clear" w:color="auto" w:fill="F2F4F8"/>
          </w:tcPr>
          <w:p>
            <w:pPr>
              <w:spacing w:after="20"/>
            </w:pPr>
            <w:r/>
            <w:r>
              <w:rPr>
                <w:sz w:val="15"/>
              </w:rPr>
              <w:t>Deviation</w:t>
            </w:r>
          </w:p>
        </w:tc>
        <w:tc>
          <w:tcPr>
            <w:tcW w:type="dxa" w:w="1224"/>
          </w:tcPr>
          <w:p>
            <w:pPr>
              <w:spacing w:after="20"/>
            </w:pPr>
            <w:r>
              <w:rPr>
                <w:b/>
                <w:color w:val="BF8F00"/>
              </w:rPr>
            </w:r>
            <w:r>
              <w:rPr>
                <w:b/>
                <w:color w:val="BF8F00"/>
                <w:sz w:val="15"/>
              </w:rPr>
              <w:t>Medium</w:t>
            </w:r>
          </w:p>
        </w:tc>
        <w:tc>
          <w:tcPr>
            <w:tcW w:type="dxa" w:w="1512"/>
            <w:shd w:val="clear" w:color="auto" w:fill="F2F4F8"/>
          </w:tcPr>
          <w:p>
            <w:pPr>
              <w:spacing w:after="20"/>
            </w:pPr>
            <w:r/>
            <w:r>
              <w:rPr>
                <w:sz w:val="15"/>
              </w:rPr>
              <w:t>B (if Certificate silent)</w:t>
            </w:r>
          </w:p>
        </w:tc>
      </w:tr>
      <w:tr>
        <w:tc>
          <w:tcPr>
            <w:tcW w:type="dxa" w:w="576"/>
          </w:tcPr>
          <w:p>
            <w:pPr>
              <w:spacing w:after="20"/>
            </w:pPr>
            <w:r/>
            <w:r>
              <w:rPr>
                <w:sz w:val="15"/>
              </w:rPr>
              <w:t>5.2</w:t>
            </w:r>
          </w:p>
        </w:tc>
        <w:tc>
          <w:tcPr>
            <w:tcW w:type="dxa" w:w="2304"/>
          </w:tcPr>
          <w:p>
            <w:pPr>
              <w:spacing w:after="20"/>
            </w:pPr>
            <w:r/>
            <w:r>
              <w:rPr>
                <w:sz w:val="15"/>
              </w:rPr>
              <w:t>Elimination of Action by Written Consent</w:t>
            </w:r>
          </w:p>
        </w:tc>
        <w:tc>
          <w:tcPr>
            <w:tcW w:type="dxa" w:w="2088"/>
          </w:tcPr>
          <w:p>
            <w:pPr>
              <w:spacing w:after="20"/>
            </w:pPr>
            <w:r/>
            <w:r>
              <w:rPr>
                <w:sz w:val="15"/>
              </w:rPr>
              <w:t>§ 2.11 (consent permitted)</w:t>
            </w:r>
          </w:p>
        </w:tc>
        <w:tc>
          <w:tcPr>
            <w:tcW w:type="dxa" w:w="1944"/>
          </w:tcPr>
          <w:p>
            <w:pPr>
              <w:spacing w:after="20"/>
            </w:pPr>
            <w:r/>
            <w:r>
              <w:rPr>
                <w:sz w:val="15"/>
              </w:rPr>
              <w:t>Conflict</w:t>
            </w:r>
          </w:p>
        </w:tc>
        <w:tc>
          <w:tcPr>
            <w:tcW w:type="dxa" w:w="1224"/>
          </w:tcPr>
          <w:p>
            <w:pPr>
              <w:spacing w:after="20"/>
            </w:pPr>
            <w:r>
              <w:rPr>
                <w:b/>
                <w:color w:val="C00000"/>
              </w:rPr>
            </w:r>
            <w:r>
              <w:rPr>
                <w:b/>
                <w:color w:val="C00000"/>
                <w:sz w:val="15"/>
              </w:rPr>
              <w:t>Critical</w:t>
            </w:r>
          </w:p>
        </w:tc>
        <w:tc>
          <w:tcPr>
            <w:tcW w:type="dxa" w:w="1512"/>
          </w:tcPr>
          <w:p>
            <w:pPr>
              <w:spacing w:after="20"/>
            </w:pPr>
            <w:r/>
            <w:r>
              <w:rPr>
                <w:sz w:val="15"/>
              </w:rPr>
              <w:t>C+S (bylaw cannot eliminate); interim B procedures</w:t>
            </w:r>
          </w:p>
        </w:tc>
      </w:tr>
      <w:tr>
        <w:tc>
          <w:tcPr>
            <w:tcW w:type="dxa" w:w="576"/>
            <w:shd w:val="clear" w:color="auto" w:fill="F2F4F8"/>
          </w:tcPr>
          <w:p>
            <w:pPr>
              <w:spacing w:after="20"/>
            </w:pPr>
            <w:r/>
            <w:r>
              <w:rPr>
                <w:sz w:val="15"/>
              </w:rPr>
              <w:t>5.3</w:t>
            </w:r>
          </w:p>
        </w:tc>
        <w:tc>
          <w:tcPr>
            <w:tcW w:type="dxa" w:w="2304"/>
            <w:shd w:val="clear" w:color="auto" w:fill="F2F4F8"/>
          </w:tcPr>
          <w:p>
            <w:pPr>
              <w:spacing w:after="20"/>
            </w:pPr>
            <w:r/>
            <w:r>
              <w:rPr>
                <w:sz w:val="15"/>
              </w:rPr>
              <w:t>Stockholder Right to Call Special Meetings</w:t>
            </w:r>
          </w:p>
        </w:tc>
        <w:tc>
          <w:tcPr>
            <w:tcW w:type="dxa" w:w="2088"/>
            <w:shd w:val="clear" w:color="auto" w:fill="F2F4F8"/>
          </w:tcPr>
          <w:p>
            <w:pPr>
              <w:spacing w:after="20"/>
            </w:pPr>
            <w:r/>
            <w:r>
              <w:rPr>
                <w:sz w:val="15"/>
              </w:rPr>
              <w:t>§ 2.3 (no stockholder right)</w:t>
            </w:r>
          </w:p>
        </w:tc>
        <w:tc>
          <w:tcPr>
            <w:tcW w:type="dxa" w:w="1944"/>
            <w:shd w:val="clear" w:color="auto" w:fill="F2F4F8"/>
          </w:tcPr>
          <w:p>
            <w:pPr>
              <w:spacing w:after="20"/>
            </w:pPr>
            <w:r/>
            <w:r>
              <w:rPr>
                <w:sz w:val="15"/>
              </w:rPr>
              <w:t>Conflict</w:t>
            </w:r>
          </w:p>
        </w:tc>
        <w:tc>
          <w:tcPr>
            <w:tcW w:type="dxa" w:w="1224"/>
          </w:tcPr>
          <w:p>
            <w:pPr>
              <w:spacing w:after="20"/>
            </w:pPr>
            <w:r>
              <w:rPr>
                <w:b/>
                <w:color w:val="E46C0A"/>
              </w:rPr>
            </w:r>
            <w:r>
              <w:rPr>
                <w:b/>
                <w:color w:val="E46C0A"/>
                <w:sz w:val="15"/>
              </w:rPr>
              <w:t>High</w:t>
            </w:r>
          </w:p>
        </w:tc>
        <w:tc>
          <w:tcPr>
            <w:tcW w:type="dxa" w:w="1512"/>
            <w:shd w:val="clear" w:color="auto" w:fill="F2F4F8"/>
          </w:tcPr>
          <w:p>
            <w:pPr>
              <w:spacing w:after="20"/>
            </w:pPr>
            <w:r/>
            <w:r>
              <w:rPr>
                <w:sz w:val="15"/>
              </w:rPr>
              <w:t>B (if Certificate silent)</w:t>
            </w:r>
          </w:p>
        </w:tc>
      </w:tr>
      <w:tr>
        <w:tc>
          <w:tcPr>
            <w:tcW w:type="dxa" w:w="576"/>
          </w:tcPr>
          <w:p>
            <w:pPr>
              <w:spacing w:after="20"/>
            </w:pPr>
            <w:r/>
            <w:r>
              <w:rPr>
                <w:sz w:val="15"/>
              </w:rPr>
              <w:t>5.4</w:t>
            </w:r>
          </w:p>
        </w:tc>
        <w:tc>
          <w:tcPr>
            <w:tcW w:type="dxa" w:w="2304"/>
          </w:tcPr>
          <w:p>
            <w:pPr>
              <w:spacing w:after="20"/>
            </w:pPr>
            <w:r/>
            <w:r>
              <w:rPr>
                <w:sz w:val="15"/>
              </w:rPr>
              <w:t>Virtual Meeting Framework</w:t>
            </w:r>
          </w:p>
        </w:tc>
        <w:tc>
          <w:tcPr>
            <w:tcW w:type="dxa" w:w="2088"/>
          </w:tcPr>
          <w:p>
            <w:pPr>
              <w:spacing w:after="20"/>
            </w:pPr>
            <w:r/>
            <w:r>
              <w:rPr>
                <w:sz w:val="15"/>
              </w:rPr>
              <w:t>§§ 2.1, 2.13</w:t>
            </w:r>
          </w:p>
        </w:tc>
        <w:tc>
          <w:tcPr>
            <w:tcW w:type="dxa" w:w="1944"/>
          </w:tcPr>
          <w:p>
            <w:pPr>
              <w:spacing w:after="20"/>
            </w:pPr>
            <w:r/>
            <w:r>
              <w:rPr>
                <w:sz w:val="15"/>
              </w:rPr>
              <w:t>Partially Aligned</w:t>
            </w:r>
          </w:p>
        </w:tc>
        <w:tc>
          <w:tcPr>
            <w:tcW w:type="dxa" w:w="1224"/>
          </w:tcPr>
          <w:p>
            <w:pPr>
              <w:spacing w:after="20"/>
            </w:pPr>
            <w:r>
              <w:rPr>
                <w:b/>
                <w:color w:val="4F81BD"/>
              </w:rPr>
            </w:r>
            <w:r>
              <w:rPr>
                <w:b/>
                <w:color w:val="4F81BD"/>
                <w:sz w:val="15"/>
              </w:rPr>
              <w:t>Low</w:t>
            </w:r>
          </w:p>
        </w:tc>
        <w:tc>
          <w:tcPr>
            <w:tcW w:type="dxa" w:w="1512"/>
          </w:tcPr>
          <w:p>
            <w:pPr>
              <w:spacing w:after="20"/>
            </w:pPr>
            <w:r/>
            <w:r>
              <w:rPr>
                <w:sz w:val="15"/>
              </w:rPr>
              <w:t>P (optional B)</w:t>
            </w:r>
          </w:p>
        </w:tc>
      </w:tr>
      <w:tr>
        <w:tc>
          <w:tcPr>
            <w:tcW w:type="dxa" w:w="576"/>
            <w:shd w:val="clear" w:color="auto" w:fill="F2F4F8"/>
          </w:tcPr>
          <w:p>
            <w:pPr>
              <w:spacing w:after="20"/>
            </w:pPr>
            <w:r/>
            <w:r>
              <w:rPr>
                <w:sz w:val="15"/>
              </w:rPr>
              <w:t>5.5</w:t>
            </w:r>
          </w:p>
        </w:tc>
        <w:tc>
          <w:tcPr>
            <w:tcW w:type="dxa" w:w="2304"/>
            <w:shd w:val="clear" w:color="auto" w:fill="F2F4F8"/>
          </w:tcPr>
          <w:p>
            <w:pPr>
              <w:spacing w:after="20"/>
            </w:pPr>
            <w:r/>
            <w:r>
              <w:rPr>
                <w:sz w:val="15"/>
              </w:rPr>
              <w:t>Annual Meeting Timing</w:t>
            </w:r>
          </w:p>
        </w:tc>
        <w:tc>
          <w:tcPr>
            <w:tcW w:type="dxa" w:w="2088"/>
            <w:shd w:val="clear" w:color="auto" w:fill="F2F4F8"/>
          </w:tcPr>
          <w:p>
            <w:pPr>
              <w:spacing w:after="20"/>
            </w:pPr>
            <w:r/>
            <w:r>
              <w:rPr>
                <w:sz w:val="15"/>
              </w:rPr>
              <w:t>§§ 2.2, 7.1</w:t>
            </w:r>
          </w:p>
        </w:tc>
        <w:tc>
          <w:tcPr>
            <w:tcW w:type="dxa" w:w="1944"/>
            <w:shd w:val="clear" w:color="auto" w:fill="F2F4F8"/>
          </w:tcPr>
          <w:p>
            <w:pPr>
              <w:spacing w:after="20"/>
            </w:pPr>
            <w:r/>
            <w:r>
              <w:rPr>
                <w:sz w:val="15"/>
              </w:rPr>
              <w:t>Partially Aligned (practice consistent)</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P (optional B)</w:t>
            </w:r>
          </w:p>
        </w:tc>
      </w:tr>
      <w:tr>
        <w:tc>
          <w:tcPr>
            <w:tcW w:type="dxa" w:w="576"/>
          </w:tcPr>
          <w:p>
            <w:pPr>
              <w:spacing w:after="20"/>
            </w:pPr>
            <w:r/>
            <w:r>
              <w:rPr>
                <w:sz w:val="15"/>
              </w:rPr>
              <w:t>5.6</w:t>
            </w:r>
          </w:p>
        </w:tc>
        <w:tc>
          <w:tcPr>
            <w:tcW w:type="dxa" w:w="2304"/>
          </w:tcPr>
          <w:p>
            <w:pPr>
              <w:spacing w:after="20"/>
            </w:pPr>
            <w:r/>
            <w:r>
              <w:rPr>
                <w:sz w:val="15"/>
              </w:rPr>
              <w:t>Inspector of Elections</w:t>
            </w:r>
          </w:p>
        </w:tc>
        <w:tc>
          <w:tcPr>
            <w:tcW w:type="dxa" w:w="2088"/>
          </w:tcPr>
          <w:p>
            <w:pPr>
              <w:spacing w:after="20"/>
            </w:pPr>
            <w:r/>
            <w:r>
              <w:rPr>
                <w:sz w:val="15"/>
              </w:rPr>
              <w:t>§ 2.12 (employees permitted)</w:t>
            </w:r>
          </w:p>
        </w:tc>
        <w:tc>
          <w:tcPr>
            <w:tcW w:type="dxa" w:w="1944"/>
          </w:tcPr>
          <w:p>
            <w:pPr>
              <w:spacing w:after="20"/>
            </w:pPr>
            <w:r/>
            <w:r>
              <w:rPr>
                <w:sz w:val="15"/>
              </w:rPr>
              <w:t>Deviation</w:t>
            </w:r>
          </w:p>
        </w:tc>
        <w:tc>
          <w:tcPr>
            <w:tcW w:type="dxa" w:w="1224"/>
          </w:tcPr>
          <w:p>
            <w:pPr>
              <w:spacing w:after="20"/>
            </w:pPr>
            <w:r>
              <w:rPr>
                <w:b/>
                <w:color w:val="4F81BD"/>
              </w:rPr>
            </w:r>
            <w:r>
              <w:rPr>
                <w:b/>
                <w:color w:val="4F81BD"/>
                <w:sz w:val="15"/>
              </w:rPr>
              <w:t>Low</w:t>
            </w:r>
          </w:p>
        </w:tc>
        <w:tc>
          <w:tcPr>
            <w:tcW w:type="dxa" w:w="1512"/>
          </w:tcPr>
          <w:p>
            <w:pPr>
              <w:spacing w:after="20"/>
            </w:pPr>
            <w:r/>
            <w:r>
              <w:rPr>
                <w:sz w:val="15"/>
              </w:rPr>
              <w:t>B</w:t>
            </w:r>
          </w:p>
        </w:tc>
      </w:tr>
      <w:tr>
        <w:tc>
          <w:tcPr>
            <w:tcW w:type="dxa" w:w="576"/>
            <w:shd w:val="clear" w:color="auto" w:fill="F2F4F8"/>
          </w:tcPr>
          <w:p>
            <w:pPr>
              <w:spacing w:after="20"/>
            </w:pPr>
            <w:r/>
            <w:r>
              <w:rPr>
                <w:sz w:val="15"/>
              </w:rPr>
              <w:t>6.1</w:t>
            </w:r>
          </w:p>
        </w:tc>
        <w:tc>
          <w:tcPr>
            <w:tcW w:type="dxa" w:w="2304"/>
            <w:shd w:val="clear" w:color="auto" w:fill="F2F4F8"/>
          </w:tcPr>
          <w:p>
            <w:pPr>
              <w:spacing w:after="20"/>
            </w:pPr>
            <w:r/>
            <w:r>
              <w:rPr>
                <w:sz w:val="15"/>
              </w:rPr>
              <w:t>Exclusive Forum Selection Clause</w:t>
            </w:r>
          </w:p>
        </w:tc>
        <w:tc>
          <w:tcPr>
            <w:tcW w:type="dxa" w:w="2088"/>
            <w:shd w:val="clear" w:color="auto" w:fill="F2F4F8"/>
          </w:tcPr>
          <w:p>
            <w:pPr>
              <w:spacing w:after="20"/>
            </w:pPr>
            <w:r/>
            <w:r>
              <w:rPr>
                <w:sz w:val="15"/>
              </w:rPr>
              <w:t>Absent</w:t>
            </w:r>
          </w:p>
        </w:tc>
        <w:tc>
          <w:tcPr>
            <w:tcW w:type="dxa" w:w="1944"/>
            <w:shd w:val="clear" w:color="auto" w:fill="F2F4F8"/>
          </w:tcPr>
          <w:p>
            <w:pPr>
              <w:spacing w:after="20"/>
            </w:pPr>
            <w:r/>
            <w:r>
              <w:rPr>
                <w:sz w:val="15"/>
              </w:rPr>
              <w:t>Not addressed (gap)</w:t>
            </w:r>
          </w:p>
        </w:tc>
        <w:tc>
          <w:tcPr>
            <w:tcW w:type="dxa" w:w="1224"/>
          </w:tcPr>
          <w:p>
            <w:pPr>
              <w:spacing w:after="20"/>
            </w:pPr>
            <w:r>
              <w:rPr>
                <w:b/>
                <w:color w:val="E46C0A"/>
              </w:rPr>
            </w:r>
            <w:r>
              <w:rPr>
                <w:b/>
                <w:color w:val="E46C0A"/>
                <w:sz w:val="15"/>
              </w:rPr>
              <w:t>High</w:t>
            </w:r>
          </w:p>
        </w:tc>
        <w:tc>
          <w:tcPr>
            <w:tcW w:type="dxa" w:w="1512"/>
            <w:shd w:val="clear" w:color="auto" w:fill="F2F4F8"/>
          </w:tcPr>
          <w:p>
            <w:pPr>
              <w:spacing w:after="20"/>
            </w:pPr>
            <w:r/>
            <w:r>
              <w:rPr>
                <w:sz w:val="15"/>
              </w:rPr>
              <w:t>B</w:t>
            </w:r>
          </w:p>
        </w:tc>
      </w:tr>
      <w:tr>
        <w:tc>
          <w:tcPr>
            <w:tcW w:type="dxa" w:w="576"/>
          </w:tcPr>
          <w:p>
            <w:pPr>
              <w:spacing w:after="20"/>
            </w:pPr>
            <w:r/>
            <w:r>
              <w:rPr>
                <w:sz w:val="15"/>
              </w:rPr>
              <w:t>6.2</w:t>
            </w:r>
          </w:p>
        </w:tc>
        <w:tc>
          <w:tcPr>
            <w:tcW w:type="dxa" w:w="2304"/>
          </w:tcPr>
          <w:p>
            <w:pPr>
              <w:spacing w:after="20"/>
            </w:pPr>
            <w:r/>
            <w:r>
              <w:rPr>
                <w:sz w:val="15"/>
              </w:rPr>
              <w:t>D&amp;O Insurance</w:t>
            </w:r>
          </w:p>
        </w:tc>
        <w:tc>
          <w:tcPr>
            <w:tcW w:type="dxa" w:w="2088"/>
          </w:tcPr>
          <w:p>
            <w:pPr>
              <w:spacing w:after="20"/>
            </w:pPr>
            <w:r/>
            <w:r>
              <w:rPr>
                <w:sz w:val="15"/>
              </w:rPr>
              <w:t>§ 6.5 (permissive)</w:t>
            </w:r>
          </w:p>
        </w:tc>
        <w:tc>
          <w:tcPr>
            <w:tcW w:type="dxa" w:w="1944"/>
          </w:tcPr>
          <w:p>
            <w:pPr>
              <w:spacing w:after="20"/>
            </w:pPr>
            <w:r/>
            <w:r>
              <w:rPr>
                <w:sz w:val="15"/>
              </w:rPr>
              <w:t>Partially Aligned</w:t>
            </w:r>
          </w:p>
        </w:tc>
        <w:tc>
          <w:tcPr>
            <w:tcW w:type="dxa" w:w="1224"/>
          </w:tcPr>
          <w:p>
            <w:pPr>
              <w:spacing w:after="20"/>
            </w:pPr>
            <w:r>
              <w:rPr>
                <w:b/>
                <w:color w:val="4F81BD"/>
              </w:rPr>
            </w:r>
            <w:r>
              <w:rPr>
                <w:b/>
                <w:color w:val="4F81BD"/>
                <w:sz w:val="15"/>
              </w:rPr>
              <w:t>Low</w:t>
            </w:r>
          </w:p>
        </w:tc>
        <w:tc>
          <w:tcPr>
            <w:tcW w:type="dxa" w:w="1512"/>
          </w:tcPr>
          <w:p>
            <w:pPr>
              <w:spacing w:after="20"/>
            </w:pPr>
            <w:r/>
            <w:r>
              <w:rPr>
                <w:sz w:val="15"/>
              </w:rPr>
              <w:t>P</w:t>
            </w:r>
          </w:p>
        </w:tc>
      </w:tr>
      <w:tr>
        <w:tc>
          <w:tcPr>
            <w:tcW w:type="dxa" w:w="576"/>
            <w:shd w:val="clear" w:color="auto" w:fill="F2F4F8"/>
          </w:tcPr>
          <w:p>
            <w:pPr>
              <w:spacing w:after="20"/>
            </w:pPr>
            <w:r/>
            <w:r>
              <w:rPr>
                <w:sz w:val="15"/>
              </w:rPr>
              <w:t>6.3</w:t>
            </w:r>
          </w:p>
        </w:tc>
        <w:tc>
          <w:tcPr>
            <w:tcW w:type="dxa" w:w="2304"/>
            <w:shd w:val="clear" w:color="auto" w:fill="F2F4F8"/>
          </w:tcPr>
          <w:p>
            <w:pPr>
              <w:spacing w:after="20"/>
            </w:pPr>
            <w:r/>
            <w:r>
              <w:rPr>
                <w:sz w:val="15"/>
              </w:rPr>
              <w:t>Regulatory Cooperation</w:t>
            </w:r>
          </w:p>
        </w:tc>
        <w:tc>
          <w:tcPr>
            <w:tcW w:type="dxa" w:w="2088"/>
            <w:shd w:val="clear" w:color="auto" w:fill="F2F4F8"/>
          </w:tcPr>
          <w:p>
            <w:pPr>
              <w:spacing w:after="20"/>
            </w:pPr>
            <w:r/>
            <w:r>
              <w:rPr>
                <w:sz w:val="15"/>
              </w:rPr>
              <w:t>Silent</w:t>
            </w:r>
          </w:p>
        </w:tc>
        <w:tc>
          <w:tcPr>
            <w:tcW w:type="dxa" w:w="1944"/>
            <w:shd w:val="clear" w:color="auto" w:fill="F2F4F8"/>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P</w:t>
            </w:r>
          </w:p>
        </w:tc>
      </w:tr>
      <w:tr>
        <w:tc>
          <w:tcPr>
            <w:tcW w:type="dxa" w:w="576"/>
          </w:tcPr>
          <w:p>
            <w:pPr>
              <w:spacing w:after="20"/>
            </w:pPr>
            <w:r/>
            <w:r>
              <w:rPr>
                <w:sz w:val="15"/>
              </w:rPr>
              <w:t>7.1</w:t>
            </w:r>
          </w:p>
        </w:tc>
        <w:tc>
          <w:tcPr>
            <w:tcW w:type="dxa" w:w="2304"/>
          </w:tcPr>
          <w:p>
            <w:pPr>
              <w:spacing w:after="20"/>
            </w:pPr>
            <w:r/>
            <w:r>
              <w:rPr>
                <w:sz w:val="15"/>
              </w:rPr>
              <w:t>Elimination of Supermajority Requirements</w:t>
            </w:r>
          </w:p>
        </w:tc>
        <w:tc>
          <w:tcPr>
            <w:tcW w:type="dxa" w:w="2088"/>
          </w:tcPr>
          <w:p>
            <w:pPr>
              <w:spacing w:after="20"/>
            </w:pPr>
            <w:r/>
            <w:r>
              <w:rPr>
                <w:sz w:val="15"/>
              </w:rPr>
              <w:t>§§ 3.4 (75%), 8.1 (66⅔%); Certificate/§ 203 unknown</w:t>
            </w:r>
          </w:p>
        </w:tc>
        <w:tc>
          <w:tcPr>
            <w:tcW w:type="dxa" w:w="1944"/>
          </w:tcPr>
          <w:p>
            <w:pPr>
              <w:spacing w:after="20"/>
            </w:pPr>
            <w:r/>
            <w:r>
              <w:rPr>
                <w:sz w:val="15"/>
              </w:rPr>
              <w:t>Conflict</w:t>
            </w:r>
          </w:p>
        </w:tc>
        <w:tc>
          <w:tcPr>
            <w:tcW w:type="dxa" w:w="1224"/>
          </w:tcPr>
          <w:p>
            <w:pPr>
              <w:spacing w:after="20"/>
            </w:pPr>
            <w:r>
              <w:rPr>
                <w:b/>
                <w:color w:val="E46C0A"/>
              </w:rPr>
            </w:r>
            <w:r>
              <w:rPr>
                <w:b/>
                <w:color w:val="E46C0A"/>
                <w:sz w:val="15"/>
              </w:rPr>
              <w:t>High</w:t>
            </w:r>
          </w:p>
        </w:tc>
        <w:tc>
          <w:tcPr>
            <w:tcW w:type="dxa" w:w="1512"/>
          </w:tcPr>
          <w:p>
            <w:pPr>
              <w:spacing w:after="20"/>
            </w:pPr>
            <w:r/>
            <w:r>
              <w:rPr>
                <w:sz w:val="15"/>
              </w:rPr>
              <w:t>B for Bylaw provisions; C+S for any Certificate provisions</w:t>
            </w:r>
          </w:p>
        </w:tc>
      </w:tr>
      <w:tr>
        <w:tc>
          <w:tcPr>
            <w:tcW w:type="dxa" w:w="576"/>
            <w:shd w:val="clear" w:color="auto" w:fill="F2F4F8"/>
          </w:tcPr>
          <w:p>
            <w:pPr>
              <w:spacing w:after="20"/>
            </w:pPr>
            <w:r/>
            <w:r>
              <w:rPr>
                <w:sz w:val="15"/>
              </w:rPr>
              <w:t>7.2</w:t>
            </w:r>
          </w:p>
        </w:tc>
        <w:tc>
          <w:tcPr>
            <w:tcW w:type="dxa" w:w="2304"/>
            <w:shd w:val="clear" w:color="auto" w:fill="F2F4F8"/>
          </w:tcPr>
          <w:p>
            <w:pPr>
              <w:spacing w:after="20"/>
            </w:pPr>
            <w:r/>
            <w:r>
              <w:rPr>
                <w:sz w:val="15"/>
              </w:rPr>
              <w:t>Director Removal Standard</w:t>
            </w:r>
          </w:p>
        </w:tc>
        <w:tc>
          <w:tcPr>
            <w:tcW w:type="dxa" w:w="2088"/>
            <w:shd w:val="clear" w:color="auto" w:fill="F2F4F8"/>
          </w:tcPr>
          <w:p>
            <w:pPr>
              <w:spacing w:after="20"/>
            </w:pPr>
            <w:r/>
            <w:r>
              <w:rPr>
                <w:sz w:val="15"/>
              </w:rPr>
              <w:t>§ 3.4</w:t>
            </w:r>
          </w:p>
        </w:tc>
        <w:tc>
          <w:tcPr>
            <w:tcW w:type="dxa" w:w="1944"/>
            <w:shd w:val="clear" w:color="auto" w:fill="F2F4F8"/>
          </w:tcPr>
          <w:p>
            <w:pPr>
              <w:spacing w:after="20"/>
            </w:pPr>
            <w:r/>
            <w:r>
              <w:rPr>
                <w:sz w:val="15"/>
              </w:rPr>
              <w:t>Aligned (for cause) / Conflict (75%)</w:t>
            </w:r>
          </w:p>
        </w:tc>
        <w:tc>
          <w:tcPr>
            <w:tcW w:type="dxa" w:w="1224"/>
          </w:tcPr>
          <w:p>
            <w:pPr>
              <w:spacing w:after="20"/>
            </w:pPr>
            <w:r>
              <w:rPr>
                <w:b/>
                <w:color w:val="E46C0A"/>
              </w:rPr>
            </w:r>
            <w:r>
              <w:rPr>
                <w:b/>
                <w:color w:val="E46C0A"/>
                <w:sz w:val="15"/>
              </w:rPr>
              <w:t>High</w:t>
            </w:r>
          </w:p>
        </w:tc>
        <w:tc>
          <w:tcPr>
            <w:tcW w:type="dxa" w:w="1512"/>
            <w:shd w:val="clear" w:color="auto" w:fill="F2F4F8"/>
          </w:tcPr>
          <w:p>
            <w:pPr>
              <w:spacing w:after="20"/>
            </w:pPr>
            <w:r/>
            <w:r>
              <w:rPr>
                <w:sz w:val="15"/>
              </w:rPr>
              <w:t>B or C+S (depends on Certificate)</w:t>
            </w:r>
          </w:p>
        </w:tc>
      </w:tr>
      <w:tr>
        <w:tc>
          <w:tcPr>
            <w:tcW w:type="dxa" w:w="576"/>
          </w:tcPr>
          <w:p>
            <w:pPr>
              <w:spacing w:after="20"/>
            </w:pPr>
            <w:r/>
            <w:r>
              <w:rPr>
                <w:sz w:val="15"/>
              </w:rPr>
              <w:t>7.3</w:t>
            </w:r>
          </w:p>
        </w:tc>
        <w:tc>
          <w:tcPr>
            <w:tcW w:type="dxa" w:w="2304"/>
          </w:tcPr>
          <w:p>
            <w:pPr>
              <w:spacing w:after="20"/>
            </w:pPr>
            <w:r/>
            <w:r>
              <w:rPr>
                <w:sz w:val="15"/>
              </w:rPr>
              <w:t>Bylaw Amendment Threshold</w:t>
            </w:r>
          </w:p>
        </w:tc>
        <w:tc>
          <w:tcPr>
            <w:tcW w:type="dxa" w:w="2088"/>
          </w:tcPr>
          <w:p>
            <w:pPr>
              <w:spacing w:after="20"/>
            </w:pPr>
            <w:r/>
            <w:r>
              <w:rPr>
                <w:sz w:val="15"/>
              </w:rPr>
              <w:t>§ 8.1 (66⅔% of outstanding)</w:t>
            </w:r>
          </w:p>
        </w:tc>
        <w:tc>
          <w:tcPr>
            <w:tcW w:type="dxa" w:w="1944"/>
          </w:tcPr>
          <w:p>
            <w:pPr>
              <w:spacing w:after="20"/>
            </w:pPr>
            <w:r/>
            <w:r>
              <w:rPr>
                <w:sz w:val="15"/>
              </w:rPr>
              <w:t>Conflict</w:t>
            </w:r>
          </w:p>
        </w:tc>
        <w:tc>
          <w:tcPr>
            <w:tcW w:type="dxa" w:w="1224"/>
          </w:tcPr>
          <w:p>
            <w:pPr>
              <w:spacing w:after="20"/>
            </w:pPr>
            <w:r>
              <w:rPr>
                <w:b/>
                <w:color w:val="E46C0A"/>
              </w:rPr>
            </w:r>
            <w:r>
              <w:rPr>
                <w:b/>
                <w:color w:val="E46C0A"/>
                <w:sz w:val="15"/>
              </w:rPr>
              <w:t>High</w:t>
            </w:r>
          </w:p>
        </w:tc>
        <w:tc>
          <w:tcPr>
            <w:tcW w:type="dxa" w:w="1512"/>
          </w:tcPr>
          <w:p>
            <w:pPr>
              <w:spacing w:after="20"/>
            </w:pPr>
            <w:r/>
            <w:r>
              <w:rPr>
                <w:sz w:val="15"/>
              </w:rPr>
              <w:t>B or C+S (depends on Certificate)</w:t>
            </w:r>
          </w:p>
        </w:tc>
      </w:tr>
      <w:tr>
        <w:tc>
          <w:tcPr>
            <w:tcW w:type="dxa" w:w="576"/>
            <w:shd w:val="clear" w:color="auto" w:fill="F2F4F8"/>
          </w:tcPr>
          <w:p>
            <w:pPr>
              <w:spacing w:after="20"/>
            </w:pPr>
            <w:r/>
            <w:r>
              <w:rPr>
                <w:sz w:val="15"/>
              </w:rPr>
              <w:t>8.1</w:t>
            </w:r>
          </w:p>
        </w:tc>
        <w:tc>
          <w:tcPr>
            <w:tcW w:type="dxa" w:w="2304"/>
            <w:shd w:val="clear" w:color="auto" w:fill="F2F4F8"/>
          </w:tcPr>
          <w:p>
            <w:pPr>
              <w:spacing w:after="20"/>
            </w:pPr>
            <w:r/>
            <w:r>
              <w:rPr>
                <w:sz w:val="15"/>
              </w:rPr>
              <w:t>Required Officers</w:t>
            </w:r>
          </w:p>
        </w:tc>
        <w:tc>
          <w:tcPr>
            <w:tcW w:type="dxa" w:w="2088"/>
            <w:shd w:val="clear" w:color="auto" w:fill="F2F4F8"/>
          </w:tcPr>
          <w:p>
            <w:pPr>
              <w:spacing w:after="20"/>
            </w:pPr>
            <w:r/>
            <w:r>
              <w:rPr>
                <w:sz w:val="15"/>
              </w:rPr>
              <w:t>§ 4.1 (no General Counsel)</w:t>
            </w:r>
          </w:p>
        </w:tc>
        <w:tc>
          <w:tcPr>
            <w:tcW w:type="dxa" w:w="1944"/>
            <w:shd w:val="clear" w:color="auto" w:fill="F2F4F8"/>
          </w:tcPr>
          <w:p>
            <w:pPr>
              <w:spacing w:after="20"/>
            </w:pPr>
            <w:r/>
            <w:r>
              <w:rPr>
                <w:sz w:val="15"/>
              </w:rPr>
              <w:t>Deviation</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B</w:t>
            </w:r>
          </w:p>
        </w:tc>
      </w:tr>
      <w:tr>
        <w:tc>
          <w:tcPr>
            <w:tcW w:type="dxa" w:w="576"/>
          </w:tcPr>
          <w:p>
            <w:pPr>
              <w:spacing w:after="20"/>
            </w:pPr>
            <w:r/>
            <w:r>
              <w:rPr>
                <w:sz w:val="15"/>
              </w:rPr>
              <w:t>8.2</w:t>
            </w:r>
          </w:p>
        </w:tc>
        <w:tc>
          <w:tcPr>
            <w:tcW w:type="dxa" w:w="2304"/>
          </w:tcPr>
          <w:p>
            <w:pPr>
              <w:spacing w:after="20"/>
            </w:pPr>
            <w:r/>
            <w:r>
              <w:rPr>
                <w:sz w:val="15"/>
              </w:rPr>
              <w:t>Delegation of Officer Appointment Authority</w:t>
            </w:r>
          </w:p>
        </w:tc>
        <w:tc>
          <w:tcPr>
            <w:tcW w:type="dxa" w:w="2088"/>
          </w:tcPr>
          <w:p>
            <w:pPr>
              <w:spacing w:after="20"/>
            </w:pPr>
            <w:r/>
            <w:r>
              <w:rPr>
                <w:sz w:val="15"/>
              </w:rPr>
              <w:t>§§ 4.1, 4.2 (Board appoints all)</w:t>
            </w:r>
          </w:p>
        </w:tc>
        <w:tc>
          <w:tcPr>
            <w:tcW w:type="dxa" w:w="1944"/>
          </w:tcPr>
          <w:p>
            <w:pPr>
              <w:spacing w:after="20"/>
            </w:pPr>
            <w:r/>
            <w:r>
              <w:rPr>
                <w:sz w:val="15"/>
              </w:rPr>
              <w:t>Conflict</w:t>
            </w:r>
          </w:p>
        </w:tc>
        <w:tc>
          <w:tcPr>
            <w:tcW w:type="dxa" w:w="1224"/>
          </w:tcPr>
          <w:p>
            <w:pPr>
              <w:spacing w:after="20"/>
            </w:pPr>
            <w:r>
              <w:rPr>
                <w:b/>
                <w:color w:val="BF8F00"/>
              </w:rPr>
            </w:r>
            <w:r>
              <w:rPr>
                <w:b/>
                <w:color w:val="BF8F00"/>
                <w:sz w:val="15"/>
              </w:rPr>
              <w:t>Medium</w:t>
            </w:r>
          </w:p>
        </w:tc>
        <w:tc>
          <w:tcPr>
            <w:tcW w:type="dxa" w:w="1512"/>
          </w:tcPr>
          <w:p>
            <w:pPr>
              <w:spacing w:after="20"/>
            </w:pPr>
            <w:r/>
            <w:r>
              <w:rPr>
                <w:sz w:val="15"/>
              </w:rPr>
              <w:t>B</w:t>
            </w:r>
          </w:p>
        </w:tc>
      </w:tr>
      <w:tr>
        <w:tc>
          <w:tcPr>
            <w:tcW w:type="dxa" w:w="576"/>
            <w:shd w:val="clear" w:color="auto" w:fill="F2F4F8"/>
          </w:tcPr>
          <w:p>
            <w:pPr>
              <w:spacing w:after="20"/>
            </w:pPr>
            <w:r/>
            <w:r>
              <w:rPr>
                <w:sz w:val="15"/>
              </w:rPr>
              <w:t>8.3</w:t>
            </w:r>
          </w:p>
        </w:tc>
        <w:tc>
          <w:tcPr>
            <w:tcW w:type="dxa" w:w="2304"/>
            <w:shd w:val="clear" w:color="auto" w:fill="F2F4F8"/>
          </w:tcPr>
          <w:p>
            <w:pPr>
              <w:spacing w:after="20"/>
            </w:pPr>
            <w:r/>
            <w:r>
              <w:rPr>
                <w:sz w:val="15"/>
              </w:rPr>
              <w:t>Succession Planning</w:t>
            </w:r>
          </w:p>
        </w:tc>
        <w:tc>
          <w:tcPr>
            <w:tcW w:type="dxa" w:w="2088"/>
            <w:shd w:val="clear" w:color="auto" w:fill="F2F4F8"/>
          </w:tcPr>
          <w:p>
            <w:pPr>
              <w:spacing w:after="20"/>
            </w:pPr>
            <w:r/>
            <w:r>
              <w:rPr>
                <w:sz w:val="15"/>
              </w:rPr>
              <w:t>Silent</w:t>
            </w:r>
          </w:p>
        </w:tc>
        <w:tc>
          <w:tcPr>
            <w:tcW w:type="dxa" w:w="1944"/>
            <w:shd w:val="clear" w:color="auto" w:fill="F2F4F8"/>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P</w:t>
            </w:r>
          </w:p>
        </w:tc>
      </w:tr>
      <w:tr>
        <w:tc>
          <w:tcPr>
            <w:tcW w:type="dxa" w:w="576"/>
          </w:tcPr>
          <w:p>
            <w:pPr>
              <w:spacing w:after="20"/>
            </w:pPr>
            <w:r/>
            <w:r>
              <w:rPr>
                <w:sz w:val="15"/>
              </w:rPr>
              <w:t>8.4</w:t>
            </w:r>
          </w:p>
        </w:tc>
        <w:tc>
          <w:tcPr>
            <w:tcW w:type="dxa" w:w="2304"/>
          </w:tcPr>
          <w:p>
            <w:pPr>
              <w:spacing w:after="20"/>
            </w:pPr>
            <w:r/>
            <w:r>
              <w:rPr>
                <w:sz w:val="15"/>
              </w:rPr>
              <w:t>Clawback Policies</w:t>
            </w:r>
          </w:p>
        </w:tc>
        <w:tc>
          <w:tcPr>
            <w:tcW w:type="dxa" w:w="2088"/>
          </w:tcPr>
          <w:p>
            <w:pPr>
              <w:spacing w:after="20"/>
            </w:pPr>
            <w:r/>
            <w:r>
              <w:rPr>
                <w:sz w:val="15"/>
              </w:rPr>
              <w:t>Silent</w:t>
            </w:r>
          </w:p>
        </w:tc>
        <w:tc>
          <w:tcPr>
            <w:tcW w:type="dxa" w:w="1944"/>
          </w:tcPr>
          <w:p>
            <w:pPr>
              <w:spacing w:after="20"/>
            </w:pPr>
            <w:r/>
            <w:r>
              <w:rPr>
                <w:sz w:val="15"/>
              </w:rPr>
              <w:t>Policy matter (NASDAQ 5608)</w:t>
            </w:r>
          </w:p>
        </w:tc>
        <w:tc>
          <w:tcPr>
            <w:tcW w:type="dxa" w:w="1224"/>
          </w:tcPr>
          <w:p>
            <w:pPr>
              <w:spacing w:after="20"/>
            </w:pPr>
            <w:r>
              <w:rPr>
                <w:b/>
                <w:color w:val="4F81BD"/>
              </w:rPr>
            </w:r>
            <w:r>
              <w:rPr>
                <w:b/>
                <w:color w:val="4F81BD"/>
                <w:sz w:val="15"/>
              </w:rPr>
              <w:t>Low</w:t>
            </w:r>
          </w:p>
        </w:tc>
        <w:tc>
          <w:tcPr>
            <w:tcW w:type="dxa" w:w="1512"/>
          </w:tcPr>
          <w:p>
            <w:pPr>
              <w:spacing w:after="20"/>
            </w:pPr>
            <w:r/>
            <w:r>
              <w:rPr>
                <w:sz w:val="15"/>
              </w:rPr>
              <w:t>P – confirm</w:t>
            </w:r>
          </w:p>
        </w:tc>
      </w:tr>
      <w:tr>
        <w:tc>
          <w:tcPr>
            <w:tcW w:type="dxa" w:w="576"/>
            <w:shd w:val="clear" w:color="auto" w:fill="F2F4F8"/>
          </w:tcPr>
          <w:p>
            <w:pPr>
              <w:spacing w:after="20"/>
            </w:pPr>
            <w:r/>
            <w:r>
              <w:rPr>
                <w:sz w:val="15"/>
              </w:rPr>
              <w:t>8.5</w:t>
            </w:r>
          </w:p>
        </w:tc>
        <w:tc>
          <w:tcPr>
            <w:tcW w:type="dxa" w:w="2304"/>
            <w:shd w:val="clear" w:color="auto" w:fill="F2F4F8"/>
          </w:tcPr>
          <w:p>
            <w:pPr>
              <w:spacing w:after="20"/>
            </w:pPr>
            <w:r/>
            <w:r>
              <w:rPr>
                <w:sz w:val="15"/>
              </w:rPr>
              <w:t>Code of Business Conduct and Ethics</w:t>
            </w:r>
          </w:p>
        </w:tc>
        <w:tc>
          <w:tcPr>
            <w:tcW w:type="dxa" w:w="2088"/>
            <w:shd w:val="clear" w:color="auto" w:fill="F2F4F8"/>
          </w:tcPr>
          <w:p>
            <w:pPr>
              <w:spacing w:after="20"/>
            </w:pPr>
            <w:r/>
            <w:r>
              <w:rPr>
                <w:sz w:val="15"/>
              </w:rPr>
              <w:t>Silent</w:t>
            </w:r>
          </w:p>
        </w:tc>
        <w:tc>
          <w:tcPr>
            <w:tcW w:type="dxa" w:w="1944"/>
            <w:shd w:val="clear" w:color="auto" w:fill="F2F4F8"/>
          </w:tcPr>
          <w:p>
            <w:pPr>
              <w:spacing w:after="20"/>
            </w:pPr>
            <w:r/>
            <w:r>
              <w:rPr>
                <w:sz w:val="15"/>
              </w:rPr>
              <w:t>Policy matter (NASDAQ 5610)</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P – confirm</w:t>
            </w:r>
          </w:p>
        </w:tc>
      </w:tr>
      <w:tr>
        <w:tc>
          <w:tcPr>
            <w:tcW w:type="dxa" w:w="576"/>
          </w:tcPr>
          <w:p>
            <w:pPr>
              <w:spacing w:after="20"/>
            </w:pPr>
            <w:r/>
            <w:r>
              <w:rPr>
                <w:sz w:val="15"/>
              </w:rPr>
              <w:t>9.1</w:t>
            </w:r>
          </w:p>
        </w:tc>
        <w:tc>
          <w:tcPr>
            <w:tcW w:type="dxa" w:w="2304"/>
          </w:tcPr>
          <w:p>
            <w:pPr>
              <w:spacing w:after="20"/>
            </w:pPr>
            <w:r/>
            <w:r>
              <w:rPr>
                <w:sz w:val="15"/>
              </w:rPr>
              <w:t>Scope of Indemnification and Advancement</w:t>
            </w:r>
          </w:p>
        </w:tc>
        <w:tc>
          <w:tcPr>
            <w:tcW w:type="dxa" w:w="2088"/>
          </w:tcPr>
          <w:p>
            <w:pPr>
              <w:spacing w:after="20"/>
            </w:pPr>
            <w:r/>
            <w:r>
              <w:rPr>
                <w:sz w:val="15"/>
              </w:rPr>
              <w:t>§§ 6.1–6.6</w:t>
            </w:r>
          </w:p>
        </w:tc>
        <w:tc>
          <w:tcPr>
            <w:tcW w:type="dxa" w:w="1944"/>
          </w:tcPr>
          <w:p>
            <w:pPr>
              <w:spacing w:after="20"/>
            </w:pPr>
            <w:r/>
            <w:r>
              <w:rPr>
                <w:sz w:val="15"/>
              </w:rPr>
              <w:t>Aligned (D&amp;O, mostly) / Deviation (employees, agents)</w:t>
            </w:r>
          </w:p>
        </w:tc>
        <w:tc>
          <w:tcPr>
            <w:tcW w:type="dxa" w:w="1224"/>
          </w:tcPr>
          <w:p>
            <w:pPr>
              <w:spacing w:after="20"/>
            </w:pPr>
            <w:r>
              <w:rPr>
                <w:b/>
                <w:color w:val="BF8F00"/>
              </w:rPr>
            </w:r>
            <w:r>
              <w:rPr>
                <w:b/>
                <w:color w:val="BF8F00"/>
                <w:sz w:val="15"/>
              </w:rPr>
              <w:t>Medium</w:t>
            </w:r>
          </w:p>
        </w:tc>
        <w:tc>
          <w:tcPr>
            <w:tcW w:type="dxa" w:w="1512"/>
          </w:tcPr>
          <w:p>
            <w:pPr>
              <w:spacing w:after="20"/>
            </w:pPr>
            <w:r/>
            <w:r>
              <w:rPr>
                <w:sz w:val="15"/>
              </w:rPr>
              <w:t>B</w:t>
            </w:r>
          </w:p>
        </w:tc>
      </w:tr>
      <w:tr>
        <w:tc>
          <w:tcPr>
            <w:tcW w:type="dxa" w:w="576"/>
            <w:shd w:val="clear" w:color="auto" w:fill="F2F4F8"/>
          </w:tcPr>
          <w:p>
            <w:pPr>
              <w:spacing w:after="20"/>
            </w:pPr>
            <w:r/>
            <w:r>
              <w:rPr>
                <w:sz w:val="15"/>
              </w:rPr>
              <w:t>9.2</w:t>
            </w:r>
          </w:p>
        </w:tc>
        <w:tc>
          <w:tcPr>
            <w:tcW w:type="dxa" w:w="2304"/>
            <w:shd w:val="clear" w:color="auto" w:fill="F2F4F8"/>
          </w:tcPr>
          <w:p>
            <w:pPr>
              <w:spacing w:after="20"/>
            </w:pPr>
            <w:r/>
            <w:r>
              <w:rPr>
                <w:sz w:val="15"/>
              </w:rPr>
              <w:t>Indemnification Agreements</w:t>
            </w:r>
          </w:p>
        </w:tc>
        <w:tc>
          <w:tcPr>
            <w:tcW w:type="dxa" w:w="2088"/>
            <w:shd w:val="clear" w:color="auto" w:fill="F2F4F8"/>
          </w:tcPr>
          <w:p>
            <w:pPr>
              <w:spacing w:after="20"/>
            </w:pPr>
            <w:r/>
            <w:r>
              <w:rPr>
                <w:sz w:val="15"/>
              </w:rPr>
              <w:t>§ 6.4 (non-exclusivity)</w:t>
            </w:r>
          </w:p>
        </w:tc>
        <w:tc>
          <w:tcPr>
            <w:tcW w:type="dxa" w:w="1944"/>
            <w:shd w:val="clear" w:color="auto" w:fill="F2F4F8"/>
          </w:tcPr>
          <w:p>
            <w:pPr>
              <w:spacing w:after="20"/>
            </w:pPr>
            <w:r/>
            <w:r>
              <w:rPr>
                <w:sz w:val="15"/>
              </w:rPr>
              <w:t>Partially Aligned (accommodated)</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P (Board approves form)</w:t>
            </w:r>
          </w:p>
        </w:tc>
      </w:tr>
      <w:tr>
        <w:tc>
          <w:tcPr>
            <w:tcW w:type="dxa" w:w="576"/>
          </w:tcPr>
          <w:p>
            <w:pPr>
              <w:spacing w:after="20"/>
            </w:pPr>
            <w:r/>
            <w:r>
              <w:rPr>
                <w:sz w:val="15"/>
              </w:rPr>
              <w:t>9.3</w:t>
            </w:r>
          </w:p>
        </w:tc>
        <w:tc>
          <w:tcPr>
            <w:tcW w:type="dxa" w:w="2304"/>
          </w:tcPr>
          <w:p>
            <w:pPr>
              <w:spacing w:after="20"/>
            </w:pPr>
            <w:r/>
            <w:r>
              <w:rPr>
                <w:sz w:val="15"/>
              </w:rPr>
              <w:t>Insurance Review</w:t>
            </w:r>
          </w:p>
        </w:tc>
        <w:tc>
          <w:tcPr>
            <w:tcW w:type="dxa" w:w="2088"/>
          </w:tcPr>
          <w:p>
            <w:pPr>
              <w:spacing w:after="20"/>
            </w:pPr>
            <w:r/>
            <w:r>
              <w:rPr>
                <w:sz w:val="15"/>
              </w:rPr>
              <w:t>§ 6.5</w:t>
            </w:r>
          </w:p>
        </w:tc>
        <w:tc>
          <w:tcPr>
            <w:tcW w:type="dxa" w:w="1944"/>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tcPr>
          <w:p>
            <w:pPr>
              <w:spacing w:after="20"/>
            </w:pPr>
            <w:r/>
            <w:r>
              <w:rPr>
                <w:sz w:val="15"/>
              </w:rPr>
              <w:t>P</w:t>
            </w:r>
          </w:p>
        </w:tc>
      </w:tr>
      <w:tr>
        <w:tc>
          <w:tcPr>
            <w:tcW w:type="dxa" w:w="576"/>
            <w:shd w:val="clear" w:color="auto" w:fill="F2F4F8"/>
          </w:tcPr>
          <w:p>
            <w:pPr>
              <w:spacing w:after="20"/>
            </w:pPr>
            <w:r/>
            <w:r>
              <w:rPr>
                <w:sz w:val="15"/>
              </w:rPr>
              <w:t>10.1</w:t>
            </w:r>
          </w:p>
        </w:tc>
        <w:tc>
          <w:tcPr>
            <w:tcW w:type="dxa" w:w="2304"/>
            <w:shd w:val="clear" w:color="auto" w:fill="F2F4F8"/>
          </w:tcPr>
          <w:p>
            <w:pPr>
              <w:spacing w:after="20"/>
            </w:pPr>
            <w:r/>
            <w:r>
              <w:rPr>
                <w:sz w:val="15"/>
              </w:rPr>
              <w:t>Emergency Bylaws</w:t>
            </w:r>
          </w:p>
        </w:tc>
        <w:tc>
          <w:tcPr>
            <w:tcW w:type="dxa" w:w="2088"/>
            <w:shd w:val="clear" w:color="auto" w:fill="F2F4F8"/>
          </w:tcPr>
          <w:p>
            <w:pPr>
              <w:spacing w:after="20"/>
            </w:pPr>
            <w:r/>
            <w:r>
              <w:rPr>
                <w:sz w:val="15"/>
              </w:rPr>
              <w:t>Absent (§§ 3.9, 3.11 partial)</w:t>
            </w:r>
          </w:p>
        </w:tc>
        <w:tc>
          <w:tcPr>
            <w:tcW w:type="dxa" w:w="1944"/>
            <w:shd w:val="clear" w:color="auto" w:fill="F2F4F8"/>
          </w:tcPr>
          <w:p>
            <w:pPr>
              <w:spacing w:after="20"/>
            </w:pPr>
            <w:r/>
            <w:r>
              <w:rPr>
                <w:sz w:val="15"/>
              </w:rPr>
              <w:t>Not addressed (gap)</w:t>
            </w:r>
          </w:p>
        </w:tc>
        <w:tc>
          <w:tcPr>
            <w:tcW w:type="dxa" w:w="1224"/>
          </w:tcPr>
          <w:p>
            <w:pPr>
              <w:spacing w:after="20"/>
            </w:pPr>
            <w:r>
              <w:rPr>
                <w:b/>
                <w:color w:val="BF8F00"/>
              </w:rPr>
            </w:r>
            <w:r>
              <w:rPr>
                <w:b/>
                <w:color w:val="BF8F00"/>
                <w:sz w:val="15"/>
              </w:rPr>
              <w:t>Medium</w:t>
            </w:r>
          </w:p>
        </w:tc>
        <w:tc>
          <w:tcPr>
            <w:tcW w:type="dxa" w:w="1512"/>
            <w:shd w:val="clear" w:color="auto" w:fill="F2F4F8"/>
          </w:tcPr>
          <w:p>
            <w:pPr>
              <w:spacing w:after="20"/>
            </w:pPr>
            <w:r/>
            <w:r>
              <w:rPr>
                <w:sz w:val="15"/>
              </w:rPr>
              <w:t>B</w:t>
            </w:r>
          </w:p>
        </w:tc>
      </w:tr>
      <w:tr>
        <w:tc>
          <w:tcPr>
            <w:tcW w:type="dxa" w:w="576"/>
          </w:tcPr>
          <w:p>
            <w:pPr>
              <w:spacing w:after="20"/>
            </w:pPr>
            <w:r/>
            <w:r>
              <w:rPr>
                <w:sz w:val="15"/>
              </w:rPr>
              <w:t>10.2</w:t>
            </w:r>
          </w:p>
        </w:tc>
        <w:tc>
          <w:tcPr>
            <w:tcW w:type="dxa" w:w="2304"/>
          </w:tcPr>
          <w:p>
            <w:pPr>
              <w:spacing w:after="20"/>
            </w:pPr>
            <w:r/>
            <w:r>
              <w:rPr>
                <w:sz w:val="15"/>
              </w:rPr>
              <w:t>Governing Law</w:t>
            </w:r>
          </w:p>
        </w:tc>
        <w:tc>
          <w:tcPr>
            <w:tcW w:type="dxa" w:w="2088"/>
          </w:tcPr>
          <w:p>
            <w:pPr>
              <w:spacing w:after="20"/>
            </w:pPr>
            <w:r/>
            <w:r>
              <w:rPr>
                <w:sz w:val="15"/>
              </w:rPr>
              <w:t>Preamble; § 7.5 (no express clause)</w:t>
            </w:r>
          </w:p>
        </w:tc>
        <w:tc>
          <w:tcPr>
            <w:tcW w:type="dxa" w:w="1944"/>
          </w:tcPr>
          <w:p>
            <w:pPr>
              <w:spacing w:after="20"/>
            </w:pPr>
            <w:r/>
            <w:r>
              <w:rPr>
                <w:sz w:val="15"/>
              </w:rPr>
              <w:t>Partially Aligned</w:t>
            </w:r>
          </w:p>
        </w:tc>
        <w:tc>
          <w:tcPr>
            <w:tcW w:type="dxa" w:w="1224"/>
          </w:tcPr>
          <w:p>
            <w:pPr>
              <w:spacing w:after="20"/>
            </w:pPr>
            <w:r>
              <w:rPr>
                <w:b/>
                <w:color w:val="4F81BD"/>
              </w:rPr>
            </w:r>
            <w:r>
              <w:rPr>
                <w:b/>
                <w:color w:val="4F81BD"/>
                <w:sz w:val="15"/>
              </w:rPr>
              <w:t>Low</w:t>
            </w:r>
          </w:p>
        </w:tc>
        <w:tc>
          <w:tcPr>
            <w:tcW w:type="dxa" w:w="1512"/>
          </w:tcPr>
          <w:p>
            <w:pPr>
              <w:spacing w:after="20"/>
            </w:pPr>
            <w:r/>
            <w:r>
              <w:rPr>
                <w:sz w:val="15"/>
              </w:rPr>
              <w:t>B</w:t>
            </w:r>
          </w:p>
        </w:tc>
      </w:tr>
      <w:tr>
        <w:tc>
          <w:tcPr>
            <w:tcW w:type="dxa" w:w="576"/>
            <w:shd w:val="clear" w:color="auto" w:fill="F2F4F8"/>
          </w:tcPr>
          <w:p>
            <w:pPr>
              <w:spacing w:after="20"/>
            </w:pPr>
            <w:r/>
            <w:r>
              <w:rPr>
                <w:sz w:val="15"/>
              </w:rPr>
              <w:t>10.3</w:t>
            </w:r>
          </w:p>
        </w:tc>
        <w:tc>
          <w:tcPr>
            <w:tcW w:type="dxa" w:w="2304"/>
            <w:shd w:val="clear" w:color="auto" w:fill="F2F4F8"/>
          </w:tcPr>
          <w:p>
            <w:pPr>
              <w:spacing w:after="20"/>
            </w:pPr>
            <w:r/>
            <w:r>
              <w:rPr>
                <w:sz w:val="15"/>
              </w:rPr>
              <w:t>Severability</w:t>
            </w:r>
          </w:p>
        </w:tc>
        <w:tc>
          <w:tcPr>
            <w:tcW w:type="dxa" w:w="2088"/>
            <w:shd w:val="clear" w:color="auto" w:fill="F2F4F8"/>
          </w:tcPr>
          <w:p>
            <w:pPr>
              <w:spacing w:after="20"/>
            </w:pPr>
            <w:r/>
            <w:r>
              <w:rPr>
                <w:sz w:val="15"/>
              </w:rPr>
              <w:t>Absent</w:t>
            </w:r>
          </w:p>
        </w:tc>
        <w:tc>
          <w:tcPr>
            <w:tcW w:type="dxa" w:w="1944"/>
            <w:shd w:val="clear" w:color="auto" w:fill="F2F4F8"/>
          </w:tcPr>
          <w:p>
            <w:pPr>
              <w:spacing w:after="20"/>
            </w:pPr>
            <w:r/>
            <w:r>
              <w:rPr>
                <w:sz w:val="15"/>
              </w:rPr>
              <w:t>Not addressed (gap)</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B</w:t>
            </w:r>
          </w:p>
        </w:tc>
      </w:tr>
      <w:tr>
        <w:tc>
          <w:tcPr>
            <w:tcW w:type="dxa" w:w="576"/>
          </w:tcPr>
          <w:p>
            <w:pPr>
              <w:spacing w:after="20"/>
            </w:pPr>
            <w:r/>
            <w:r>
              <w:rPr>
                <w:sz w:val="15"/>
              </w:rPr>
              <w:t>10.4</w:t>
            </w:r>
          </w:p>
        </w:tc>
        <w:tc>
          <w:tcPr>
            <w:tcW w:type="dxa" w:w="2304"/>
          </w:tcPr>
          <w:p>
            <w:pPr>
              <w:spacing w:after="20"/>
            </w:pPr>
            <w:r/>
            <w:r>
              <w:rPr>
                <w:sz w:val="15"/>
              </w:rPr>
              <w:t>Annual Governance Review</w:t>
            </w:r>
          </w:p>
        </w:tc>
        <w:tc>
          <w:tcPr>
            <w:tcW w:type="dxa" w:w="2088"/>
          </w:tcPr>
          <w:p>
            <w:pPr>
              <w:spacing w:after="20"/>
            </w:pPr>
            <w:r/>
            <w:r>
              <w:rPr>
                <w:sz w:val="15"/>
              </w:rPr>
              <w:t>Silent</w:t>
            </w:r>
          </w:p>
        </w:tc>
        <w:tc>
          <w:tcPr>
            <w:tcW w:type="dxa" w:w="1944"/>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tcPr>
          <w:p>
            <w:pPr>
              <w:spacing w:after="20"/>
            </w:pPr>
            <w:r/>
            <w:r>
              <w:rPr>
                <w:sz w:val="15"/>
              </w:rPr>
              <w:t>P (NCGC Charter)</w:t>
            </w:r>
          </w:p>
        </w:tc>
      </w:tr>
      <w:tr>
        <w:tc>
          <w:tcPr>
            <w:tcW w:type="dxa" w:w="576"/>
            <w:shd w:val="clear" w:color="auto" w:fill="F2F4F8"/>
          </w:tcPr>
          <w:p>
            <w:pPr>
              <w:spacing w:after="20"/>
            </w:pPr>
            <w:r/>
            <w:r>
              <w:rPr>
                <w:sz w:val="15"/>
              </w:rPr>
              <w:t>10.5</w:t>
            </w:r>
          </w:p>
        </w:tc>
        <w:tc>
          <w:tcPr>
            <w:tcW w:type="dxa" w:w="2304"/>
            <w:shd w:val="clear" w:color="auto" w:fill="F2F4F8"/>
          </w:tcPr>
          <w:p>
            <w:pPr>
              <w:spacing w:after="20"/>
            </w:pPr>
            <w:r/>
            <w:r>
              <w:rPr>
                <w:sz w:val="15"/>
              </w:rPr>
              <w:t>Stockholder Engagement</w:t>
            </w:r>
          </w:p>
        </w:tc>
        <w:tc>
          <w:tcPr>
            <w:tcW w:type="dxa" w:w="2088"/>
            <w:shd w:val="clear" w:color="auto" w:fill="F2F4F8"/>
          </w:tcPr>
          <w:p>
            <w:pPr>
              <w:spacing w:after="20"/>
            </w:pPr>
            <w:r/>
            <w:r>
              <w:rPr>
                <w:sz w:val="15"/>
              </w:rPr>
              <w:t>Silent</w:t>
            </w:r>
          </w:p>
        </w:tc>
        <w:tc>
          <w:tcPr>
            <w:tcW w:type="dxa" w:w="1944"/>
            <w:shd w:val="clear" w:color="auto" w:fill="F2F4F8"/>
          </w:tcPr>
          <w:p>
            <w:pPr>
              <w:spacing w:after="20"/>
            </w:pPr>
            <w:r/>
            <w:r>
              <w:rPr>
                <w:sz w:val="15"/>
              </w:rPr>
              <w:t>Policy matter – Bylaws neutral</w:t>
            </w:r>
          </w:p>
        </w:tc>
        <w:tc>
          <w:tcPr>
            <w:tcW w:type="dxa" w:w="1224"/>
          </w:tcPr>
          <w:p>
            <w:pPr>
              <w:spacing w:after="20"/>
            </w:pPr>
            <w:r>
              <w:rPr>
                <w:b/>
                <w:color w:val="4F81BD"/>
              </w:rPr>
            </w:r>
            <w:r>
              <w:rPr>
                <w:b/>
                <w:color w:val="4F81BD"/>
                <w:sz w:val="15"/>
              </w:rPr>
              <w:t>Low</w:t>
            </w:r>
          </w:p>
        </w:tc>
        <w:tc>
          <w:tcPr>
            <w:tcW w:type="dxa" w:w="1512"/>
            <w:shd w:val="clear" w:color="auto" w:fill="F2F4F8"/>
          </w:tcPr>
          <w:p>
            <w:pPr>
              <w:spacing w:after="20"/>
            </w:pPr>
            <w:r/>
            <w:r>
              <w:rPr>
                <w:sz w:val="15"/>
              </w:rPr>
              <w:t>P</w:t>
            </w:r>
          </w:p>
        </w:tc>
      </w:tr>
    </w:tbl>
    <w:p>
      <w:pPr>
        <w:spacing w:after="40"/>
      </w:pPr>
    </w:p>
    <w:p>
      <w:pPr>
        <w:pStyle w:val="Heading1"/>
      </w:pPr>
      <w:r>
        <w:t>5. Detailed Analysis by Guideline Category</w:t>
      </w:r>
    </w:p>
    <w:p>
      <w:r>
        <w:rPr/>
        <w:t>Each entry identifies the Bylaw provision and the corresponding Guideline, describes the current language and the recommended standard, assesses significance, states the implementation path, and identifies interrelated deviations. Share figures use the 82,400,000 shares of Common Stock outstanding cited in Guideline § 1.3.</w:t>
      </w:r>
    </w:p>
    <w:p>
      <w:pPr>
        <w:pStyle w:val="Heading2"/>
      </w:pPr>
      <w:r>
        <w:t>Category A – Board Leadership and Independence (Guidelines 2.1–2.6)</w:t>
      </w:r>
    </w:p>
    <w:p>
      <w:r>
        <w:rPr/>
        <w:t>These Guidelines are directed to Board policy (Appendix A). The Bylaws neither require nor impede them, with one minor point under Guideline 2.1.</w:t>
      </w:r>
    </w:p>
    <w:p>
      <w:pPr>
        <w:pStyle w:val="Heading3"/>
      </w:pPr>
      <w:r>
        <w:t>Guideline 2.1 – Independent Board Leadership  |  Bylaws §§ 2.13, 3.8, 4.3</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 xml:space="preserve">§ 4.3 creates the office of Chair of the Board (presides at Board and stockholder meetings) but imposes no independence requirement and does not provide for a Lead Director. If the Chair is absent, the </w:t>
            </w:r>
            <w:r>
              <w:rPr>
                <w:b/>
                <w:sz w:val="17"/>
              </w:rPr>
              <w:t>CEO</w:t>
            </w:r>
            <w:r>
              <w:rPr>
                <w:sz w:val="17"/>
              </w:rPr>
              <w:t xml:space="preserve"> presides at Board and stockholder meetings (§§ 2.13, 4.3). § 3.8 allows the Chair, the CEO or any two directors to call special Board meetings.</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Independent, non-executive Chair; if the Chair is not independent, an independent Lead Director with authority to call meetings of independent directors, set executive-session agendas and act as liaison.</w:t>
            </w:r>
          </w:p>
        </w:tc>
      </w:tr>
      <w:tr>
        <w:tc>
          <w:tcPr>
            <w:tcW w:type="dxa" w:w="1944"/>
          </w:tcPr>
          <w:p>
            <w:pPr>
              <w:spacing w:after="20"/>
            </w:pPr>
            <w:r/>
            <w:r>
              <w:rPr>
                <w:sz w:val="17"/>
              </w:rPr>
              <w:t>Status / significance</w:t>
            </w:r>
          </w:p>
        </w:tc>
        <w:tc>
          <w:tcPr>
            <w:tcW w:type="dxa" w:w="7704"/>
          </w:tcPr>
          <w:p>
            <w:pPr>
              <w:spacing w:after="20"/>
            </w:pPr>
            <w:r/>
            <w:r>
              <w:rPr>
                <w:b/>
                <w:sz w:val="17"/>
              </w:rPr>
              <w:t>Partially Aligned – Low.</w:t>
            </w:r>
            <w:r>
              <w:rPr>
                <w:sz w:val="17"/>
              </w:rPr>
              <w:t xml:space="preserve"> The Company’s current practice (separate non-executive Chair) satisfies the Guideline; the Bylaws simply do not codify it. The CEO-presides fallback is in mild tension with the Guideline’s objective.</w:t>
            </w:r>
          </w:p>
        </w:tc>
      </w:tr>
      <w:tr>
        <w:tc>
          <w:tcPr>
            <w:tcW w:type="dxa" w:w="1944"/>
            <w:shd w:val="clear" w:color="auto" w:fill="F2F4F8"/>
          </w:tcPr>
          <w:p>
            <w:pPr>
              <w:spacing w:after="20"/>
            </w:pPr>
            <w:r/>
            <w:r>
              <w:rPr>
                <w:sz w:val="17"/>
              </w:rPr>
              <w:t>Implementation</w:t>
            </w:r>
          </w:p>
        </w:tc>
        <w:tc>
          <w:tcPr>
            <w:tcW w:type="dxa" w:w="7704"/>
            <w:shd w:val="clear" w:color="auto" w:fill="F2F4F8"/>
          </w:tcPr>
          <w:p>
            <w:pPr>
              <w:spacing w:after="20"/>
            </w:pPr>
            <w:r/>
            <w:r>
              <w:rPr>
                <w:b/>
                <w:sz w:val="17"/>
              </w:rPr>
              <w:t>P</w:t>
            </w:r>
            <w:r>
              <w:rPr>
                <w:sz w:val="17"/>
              </w:rPr>
              <w:t xml:space="preserve"> – adopt in the Board’s Corporate Governance Guidelines. Optional </w:t>
            </w:r>
            <w:r>
              <w:rPr>
                <w:b/>
                <w:sz w:val="17"/>
              </w:rPr>
              <w:t>B</w:t>
            </w:r>
            <w:r>
              <w:rPr>
                <w:sz w:val="17"/>
              </w:rPr>
              <w:t>: amend § 4.3 to provide for a Lead Independent Director whenever the Chair is not independent, and to have the Lead Director (or an independent director chosen by the Board) preside at Board meetings in the Chair’s absence. Recommend avoiding a rigid bylaw mandate for an independent Chair, which would constrain future leadership flexibility.</w:t>
            </w:r>
          </w:p>
        </w:tc>
      </w:tr>
      <w:tr>
        <w:tc>
          <w:tcPr>
            <w:tcW w:type="dxa" w:w="1944"/>
          </w:tcPr>
          <w:p>
            <w:pPr>
              <w:spacing w:after="20"/>
            </w:pPr>
            <w:r/>
            <w:r>
              <w:rPr>
                <w:sz w:val="17"/>
              </w:rPr>
              <w:t>Interrelated</w:t>
            </w:r>
          </w:p>
        </w:tc>
        <w:tc>
          <w:tcPr>
            <w:tcW w:type="dxa" w:w="7704"/>
          </w:tcPr>
          <w:p>
            <w:pPr>
              <w:spacing w:after="20"/>
            </w:pPr>
            <w:r/>
            <w:r>
              <w:rPr>
                <w:sz w:val="17"/>
              </w:rPr>
              <w:t>Guideline 2.3 (executive sessions presided over by Chair/Lead Director); Guideline 10.1(d) (emergency lines of succession).</w:t>
            </w:r>
          </w:p>
        </w:tc>
      </w:tr>
    </w:tbl>
    <w:p>
      <w:pPr>
        <w:spacing w:after="40"/>
      </w:pPr>
    </w:p>
    <w:tbl>
      <w:tblPr>
        <w:tblStyle w:val="TableGrid"/>
        <w:tblW w:type="auto" w:w="0"/>
        <w:jc w:val="center"/>
        <w:tblLayout w:type="fixed"/>
        <w:tblLook w:firstColumn="1" w:firstRow="1" w:lastColumn="0" w:lastRow="0" w:noHBand="0" w:noVBand="1" w:val="04A0"/>
      </w:tblPr>
      <w:tblGrid>
        <w:gridCol w:w="1944"/>
        <w:gridCol w:w="2736"/>
        <w:gridCol w:w="1655"/>
        <w:gridCol w:w="3311"/>
      </w:tblGrid>
      <w:tr>
        <w:trPr>
          <w:tblHeader w:val="true"/>
        </w:trPr>
        <w:tc>
          <w:tcPr>
            <w:tcW w:type="dxa" w:w="1944"/>
            <w:shd w:val="clear" w:color="auto" w:fill="1F2A44"/>
          </w:tcPr>
          <w:p>
            <w:r/>
            <w:r>
              <w:rPr>
                <w:b/>
                <w:color w:val="FFFFFF"/>
                <w:sz w:val="16"/>
              </w:rPr>
              <w:t>Guideline</w:t>
            </w:r>
          </w:p>
        </w:tc>
        <w:tc>
          <w:tcPr>
            <w:tcW w:type="dxa" w:w="2736"/>
            <w:shd w:val="clear" w:color="auto" w:fill="1F2A44"/>
          </w:tcPr>
          <w:p>
            <w:r/>
            <w:r>
              <w:rPr>
                <w:b/>
                <w:color w:val="FFFFFF"/>
                <w:sz w:val="16"/>
              </w:rPr>
              <w:t>Bylaw treatment</w:t>
            </w:r>
          </w:p>
        </w:tc>
        <w:tc>
          <w:tcPr>
            <w:tcW w:type="dxa" w:w="1656"/>
            <w:shd w:val="clear" w:color="auto" w:fill="1F2A44"/>
          </w:tcPr>
          <w:p>
            <w:r/>
            <w:r>
              <w:rPr>
                <w:b/>
                <w:color w:val="FFFFFF"/>
                <w:sz w:val="16"/>
              </w:rPr>
              <w:t>Status / significance</w:t>
            </w:r>
          </w:p>
        </w:tc>
        <w:tc>
          <w:tcPr>
            <w:tcW w:type="dxa" w:w="3312"/>
            <w:shd w:val="clear" w:color="auto" w:fill="1F2A44"/>
          </w:tcPr>
          <w:p>
            <w:r/>
            <w:r>
              <w:rPr>
                <w:b/>
                <w:color w:val="FFFFFF"/>
                <w:sz w:val="16"/>
              </w:rPr>
              <w:t>Recommended action</w:t>
            </w:r>
          </w:p>
        </w:tc>
      </w:tr>
      <w:tr>
        <w:tc>
          <w:tcPr>
            <w:tcW w:type="dxa" w:w="1944"/>
          </w:tcPr>
          <w:p>
            <w:pPr>
              <w:spacing w:after="20"/>
            </w:pPr>
            <w:r/>
            <w:r>
              <w:rPr>
                <w:sz w:val="16"/>
              </w:rPr>
              <w:t>2.2 Board Independence (≥ two-thirds independent; ≤ one management director)</w:t>
            </w:r>
          </w:p>
        </w:tc>
        <w:tc>
          <w:tcPr>
            <w:tcW w:type="dxa" w:w="2736"/>
          </w:tcPr>
          <w:p>
            <w:pPr>
              <w:spacing w:after="20"/>
            </w:pPr>
            <w:r/>
            <w:r>
              <w:rPr>
                <w:sz w:val="16"/>
              </w:rPr>
              <w:t>Silent. § 3.1 sets size only.</w:t>
            </w:r>
          </w:p>
        </w:tc>
        <w:tc>
          <w:tcPr>
            <w:tcW w:type="dxa" w:w="1656"/>
          </w:tcPr>
          <w:p>
            <w:pPr>
              <w:spacing w:after="20"/>
            </w:pPr>
            <w:r/>
            <w:r>
              <w:rPr>
                <w:sz w:val="16"/>
              </w:rPr>
              <w:t>Policy – Low</w:t>
            </w:r>
          </w:p>
        </w:tc>
        <w:tc>
          <w:tcPr>
            <w:tcW w:type="dxa" w:w="3312"/>
          </w:tcPr>
          <w:p>
            <w:pPr>
              <w:spacing w:after="20"/>
            </w:pPr>
            <w:r/>
            <w:r>
              <w:rPr>
                <w:sz w:val="16"/>
              </w:rPr>
              <w:t>Adopt in Board governance guidelines. NASDAQ Rule 5605(b)(1) requires only a majority; on a nine-member Board two-thirds = 6 independent directors. Optional § 141(b) qualification bylaw not recommended (inflexible).</w:t>
            </w:r>
          </w:p>
        </w:tc>
      </w:tr>
      <w:tr>
        <w:tc>
          <w:tcPr>
            <w:tcW w:type="dxa" w:w="1944"/>
            <w:shd w:val="clear" w:color="auto" w:fill="F2F4F8"/>
          </w:tcPr>
          <w:p>
            <w:pPr>
              <w:spacing w:after="20"/>
            </w:pPr>
            <w:r/>
            <w:r>
              <w:rPr>
                <w:sz w:val="16"/>
              </w:rPr>
              <w:t>2.3 Executive Sessions (quarterly; Chair/Lead Director presides)</w:t>
            </w:r>
          </w:p>
        </w:tc>
        <w:tc>
          <w:tcPr>
            <w:tcW w:type="dxa" w:w="2736"/>
            <w:shd w:val="clear" w:color="auto" w:fill="F2F4F8"/>
          </w:tcPr>
          <w:p>
            <w:pPr>
              <w:spacing w:after="20"/>
            </w:pPr>
            <w:r/>
            <w:r>
              <w:rPr>
                <w:sz w:val="16"/>
              </w:rPr>
              <w:t>Silent.</w:t>
            </w:r>
          </w:p>
        </w:tc>
        <w:tc>
          <w:tcPr>
            <w:tcW w:type="dxa" w:w="1656"/>
            <w:shd w:val="clear" w:color="auto" w:fill="F2F4F8"/>
          </w:tcPr>
          <w:p>
            <w:pPr>
              <w:spacing w:after="20"/>
            </w:pPr>
            <w:r/>
            <w:r>
              <w:rPr>
                <w:sz w:val="16"/>
              </w:rPr>
              <w:t>Policy – Low</w:t>
            </w:r>
          </w:p>
        </w:tc>
        <w:tc>
          <w:tcPr>
            <w:tcW w:type="dxa" w:w="3312"/>
            <w:shd w:val="clear" w:color="auto" w:fill="F2F4F8"/>
          </w:tcPr>
          <w:p>
            <w:pPr>
              <w:spacing w:after="20"/>
            </w:pPr>
            <w:r/>
            <w:r>
              <w:rPr>
                <w:sz w:val="16"/>
              </w:rPr>
              <w:t>Board policy. Exceeds NASDAQ Rule 5605(b)(2) (regularly scheduled sessions; at least twice yearly per IM-5605-2).</w:t>
            </w:r>
          </w:p>
        </w:tc>
      </w:tr>
      <w:tr>
        <w:tc>
          <w:tcPr>
            <w:tcW w:type="dxa" w:w="1944"/>
          </w:tcPr>
          <w:p>
            <w:pPr>
              <w:spacing w:after="20"/>
            </w:pPr>
            <w:r/>
            <w:r>
              <w:rPr>
                <w:sz w:val="16"/>
              </w:rPr>
              <w:t>2.4 Board Size Evaluation</w:t>
            </w:r>
          </w:p>
        </w:tc>
        <w:tc>
          <w:tcPr>
            <w:tcW w:type="dxa" w:w="2736"/>
          </w:tcPr>
          <w:p>
            <w:pPr>
              <w:spacing w:after="20"/>
            </w:pPr>
            <w:r/>
            <w:r>
              <w:rPr>
                <w:sz w:val="16"/>
              </w:rPr>
              <w:t>§ 3.1: 5 to 11 directors, exact number fixed exclusively by resolution of a majority of the Whole Board.</w:t>
            </w:r>
          </w:p>
        </w:tc>
        <w:tc>
          <w:tcPr>
            <w:tcW w:type="dxa" w:w="1656"/>
          </w:tcPr>
          <w:p>
            <w:pPr>
              <w:spacing w:after="20"/>
            </w:pPr>
            <w:r/>
            <w:r>
              <w:rPr>
                <w:b/>
                <w:sz w:val="16"/>
              </w:rPr>
              <w:t>Aligned</w:t>
            </w:r>
          </w:p>
        </w:tc>
        <w:tc>
          <w:tcPr>
            <w:tcW w:type="dxa" w:w="3312"/>
          </w:tcPr>
          <w:p>
            <w:pPr>
              <w:spacing w:after="20"/>
            </w:pPr>
            <w:r/>
            <w:r>
              <w:rPr>
                <w:sz w:val="16"/>
              </w:rPr>
              <w:t>No Bylaw change. The range gives the Board flexibility to act on periodic evaluations. Note interaction with proxy access cap (Guideline 4.3) and two-thirds independence (Guideline 2.2).</w:t>
            </w:r>
          </w:p>
        </w:tc>
      </w:tr>
      <w:tr>
        <w:tc>
          <w:tcPr>
            <w:tcW w:type="dxa" w:w="1944"/>
            <w:shd w:val="clear" w:color="auto" w:fill="F2F4F8"/>
          </w:tcPr>
          <w:p>
            <w:pPr>
              <w:spacing w:after="20"/>
            </w:pPr>
            <w:r/>
            <w:r>
              <w:rPr>
                <w:sz w:val="16"/>
              </w:rPr>
              <w:t>2.5 Director Tenure and Retirement</w:t>
            </w:r>
          </w:p>
        </w:tc>
        <w:tc>
          <w:tcPr>
            <w:tcW w:type="dxa" w:w="2736"/>
            <w:shd w:val="clear" w:color="auto" w:fill="F2F4F8"/>
          </w:tcPr>
          <w:p>
            <w:pPr>
              <w:spacing w:after="20"/>
            </w:pPr>
            <w:r/>
            <w:r>
              <w:rPr>
                <w:sz w:val="16"/>
              </w:rPr>
              <w:t>§ 3.1: directors need not be stockholders or Delaware residents; no age/term limits.</w:t>
            </w:r>
          </w:p>
        </w:tc>
        <w:tc>
          <w:tcPr>
            <w:tcW w:type="dxa" w:w="1656"/>
            <w:shd w:val="clear" w:color="auto" w:fill="F2F4F8"/>
          </w:tcPr>
          <w:p>
            <w:pPr>
              <w:spacing w:after="20"/>
            </w:pPr>
            <w:r/>
            <w:r>
              <w:rPr>
                <w:sz w:val="16"/>
              </w:rPr>
              <w:t>Not addressed (policy) – Low</w:t>
            </w:r>
          </w:p>
        </w:tc>
        <w:tc>
          <w:tcPr>
            <w:tcW w:type="dxa" w:w="3312"/>
            <w:shd w:val="clear" w:color="auto" w:fill="F2F4F8"/>
          </w:tcPr>
          <w:p>
            <w:pPr>
              <w:spacing w:after="20"/>
            </w:pPr>
            <w:r/>
            <w:r>
              <w:rPr>
                <w:sz w:val="16"/>
              </w:rPr>
              <w:t>Board policy preferred. A qualification bylaw is permissible under DGCL § 141(b) but should not apply to sitting directors mid-term.</w:t>
            </w:r>
          </w:p>
        </w:tc>
      </w:tr>
      <w:tr>
        <w:tc>
          <w:tcPr>
            <w:tcW w:type="dxa" w:w="1944"/>
          </w:tcPr>
          <w:p>
            <w:pPr>
              <w:spacing w:after="20"/>
            </w:pPr>
            <w:r/>
            <w:r>
              <w:rPr>
                <w:sz w:val="16"/>
              </w:rPr>
              <w:t>2.6 Board Self-Evaluation</w:t>
            </w:r>
          </w:p>
        </w:tc>
        <w:tc>
          <w:tcPr>
            <w:tcW w:type="dxa" w:w="2736"/>
          </w:tcPr>
          <w:p>
            <w:pPr>
              <w:spacing w:after="20"/>
            </w:pPr>
            <w:r/>
            <w:r>
              <w:rPr>
                <w:sz w:val="16"/>
              </w:rPr>
              <w:t>Silent.</w:t>
            </w:r>
          </w:p>
        </w:tc>
        <w:tc>
          <w:tcPr>
            <w:tcW w:type="dxa" w:w="1656"/>
          </w:tcPr>
          <w:p>
            <w:pPr>
              <w:spacing w:after="20"/>
            </w:pPr>
            <w:r/>
            <w:r>
              <w:rPr>
                <w:sz w:val="16"/>
              </w:rPr>
              <w:t>Policy – Low</w:t>
            </w:r>
          </w:p>
        </w:tc>
        <w:tc>
          <w:tcPr>
            <w:tcW w:type="dxa" w:w="3312"/>
          </w:tcPr>
          <w:p>
            <w:pPr>
              <w:spacing w:after="20"/>
            </w:pPr>
            <w:r/>
            <w:r>
              <w:rPr>
                <w:sz w:val="16"/>
              </w:rPr>
              <w:t>Board policy / committee charters; NCGC to oversee.</w:t>
            </w:r>
          </w:p>
        </w:tc>
      </w:tr>
    </w:tbl>
    <w:p>
      <w:pPr>
        <w:spacing w:after="40"/>
      </w:pPr>
    </w:p>
    <w:p>
      <w:pPr>
        <w:pStyle w:val="Heading2"/>
      </w:pPr>
      <w:r>
        <w:t>Category B – Board Structure and Composition (Guidelines 3.1–3.5)</w:t>
      </w:r>
    </w:p>
    <w:p>
      <w:pPr>
        <w:pStyle w:val="Heading3"/>
      </w:pPr>
      <w:r>
        <w:t>Guideline 3.1 – Annual Election of Directors (Declassification)  |  Bylaws §§ 3.2, 3.3, 3.5 (and § 3.4)</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 3.2 divides the Board into Classes I, II and III, “as nearly equal in number as reasonably possible,” each serving three-year staggered terms; § 3.3 lets the Board assign new directorships and vacancy appointees to any class; § 3.5 provides that a vacancy appointee serves the remainder of the full term of the class. § 3.2 still contains the initial Class I/II/III phase-in language, which is stale.</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Declassify; all directors stand for one-year terms; phase in over remaining class terms so all directors stand annually no later than the third annual meeting after adoption.</w:t>
            </w:r>
          </w:p>
        </w:tc>
      </w:tr>
      <w:tr>
        <w:tc>
          <w:tcPr>
            <w:tcW w:type="dxa" w:w="1944"/>
          </w:tcPr>
          <w:p>
            <w:pPr>
              <w:spacing w:after="20"/>
            </w:pPr>
            <w:r/>
            <w:r>
              <w:rPr>
                <w:sz w:val="17"/>
              </w:rPr>
              <w:t>Status / significance</w:t>
            </w:r>
          </w:p>
        </w:tc>
        <w:tc>
          <w:tcPr>
            <w:tcW w:type="dxa" w:w="7704"/>
          </w:tcPr>
          <w:p>
            <w:pPr>
              <w:spacing w:after="20"/>
            </w:pPr>
            <w:r/>
            <w:r>
              <w:rPr>
                <w:b/>
                <w:sz w:val="17"/>
              </w:rPr>
              <w:t>Conflict – Critical.</w:t>
            </w:r>
            <w:r>
              <w:rPr>
                <w:sz w:val="17"/>
              </w:rPr>
              <w:t xml:space="preserve"> Stockholders cannot replace a Board majority at a single annual meeting. Proxy advisors and investors have repeatedly flagged the structure, and it compounds the plurality standard, the for-cause/75% removal provision and the Board’s exclusive vacancy power.</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Under DGCL § 141(d), a classified board may be created only by the certificate of incorporation, an initial bylaw, or a bylaw adopted by the stockholders. The 2019 Bylaws were adopted by the Board alone; the classified structure is therefore valid only if it is set forth in the Certificate (the IPO-era Certificate very likely contains it) or traces to an initial or stockholder-adopted bylaw. </w:t>
            </w:r>
            <w:r>
              <w:rPr>
                <w:b/>
                <w:sz w:val="17"/>
              </w:rPr>
              <w:t>This must be confirmed:</w:t>
            </w:r>
            <w:r>
              <w:rPr>
                <w:sz w:val="17"/>
              </w:rPr>
              <w:t xml:space="preserve"> if the Certificate does not provide for classification, § 3.2 may be unenforceable, the Board would not be “classified,” and the § 141(k)(1) for-cause removal protection in § 3.4 would fall away. Assuming the Certificate provides for classification, declassification requires a Certificate amendment approved by the Board and by at least a majority of the outstanding shares (41,200,001 shares) – or any greater vote the Certificate prescribes – under DGCL § 242(b). Directors’ existing terms should not be shortened involuntarily (cf. Airgas, Inc. v. Air Products &amp; Chemicals, Inc. (Del. 2010)), which is why a phase-in is customary.</w:t>
            </w:r>
          </w:p>
        </w:tc>
      </w:tr>
      <w:tr>
        <w:tc>
          <w:tcPr>
            <w:tcW w:type="dxa" w:w="1944"/>
          </w:tcPr>
          <w:p>
            <w:pPr>
              <w:spacing w:after="20"/>
            </w:pPr>
            <w:r/>
            <w:r>
              <w:rPr>
                <w:sz w:val="17"/>
              </w:rPr>
              <w:t>Implementation</w:t>
            </w:r>
          </w:p>
        </w:tc>
        <w:tc>
          <w:tcPr>
            <w:tcW w:type="dxa" w:w="7704"/>
          </w:tcPr>
          <w:p>
            <w:pPr>
              <w:spacing w:after="20"/>
            </w:pPr>
            <w:r/>
            <w:r>
              <w:rPr>
                <w:b/>
                <w:sz w:val="17"/>
              </w:rPr>
              <w:t>C+S + conforming B.</w:t>
            </w:r>
            <w:r>
              <w:rPr>
                <w:sz w:val="17"/>
              </w:rPr>
              <w:t xml:space="preserve"> Recommended phase-in if approved at the May 14, 2025 meeting: directors elected at the 2025 meeting serve the three-year terms for which they were nominated (or the proposal may provide that they serve until 2026); beginning with the 2026 annual meeting, each class whose term expires is elected to a one-year term; at the 2028 annual meeting all directors stand annually (the third annual meeting after adoption, consistent with the Guideline). Individual directors may volunteer to shorten terms to accelerate. Conforming Bylaw amendments to §§ 3.2, 3.3 (eliminate class assignment), 3.4 (removal) and 3.5 (vacancy appointee to serve until next annual meeting) should be adopted contingent on the Certificate amendment becoming effective, with express transition language. Any preferred-stock director rights should be carved out (5,000,000 preferred shares authorized).</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 A</w:t>
            </w:r>
            <w:r>
              <w:rPr>
                <w:sz w:val="17"/>
              </w:rPr>
              <w:t xml:space="preserve"> – Guideline 7.2 (removal standard changes upon declassification), 7.1 (supermajority), 4.1 (majority voting), 4.3 (proxy access cap), § 3.5 vacancies.</w:t>
            </w:r>
          </w:p>
        </w:tc>
      </w:tr>
    </w:tbl>
    <w:p>
      <w:pPr>
        <w:spacing w:after="40"/>
      </w:pPr>
    </w:p>
    <w:tbl>
      <w:tblPr>
        <w:tblStyle w:val="TableGrid"/>
        <w:tblW w:type="auto" w:w="0"/>
        <w:jc w:val="center"/>
        <w:tblLayout w:type="fixed"/>
        <w:tblLook w:firstColumn="1" w:firstRow="1" w:lastColumn="0" w:lastRow="0" w:noHBand="0" w:noVBand="1" w:val="04A0"/>
      </w:tblPr>
      <w:tblGrid>
        <w:gridCol w:w="1944"/>
        <w:gridCol w:w="2736"/>
        <w:gridCol w:w="1655"/>
        <w:gridCol w:w="3311"/>
      </w:tblGrid>
      <w:tr>
        <w:trPr>
          <w:tblHeader w:val="true"/>
        </w:trPr>
        <w:tc>
          <w:tcPr>
            <w:tcW w:type="dxa" w:w="1944"/>
            <w:shd w:val="clear" w:color="auto" w:fill="1F2A44"/>
          </w:tcPr>
          <w:p>
            <w:r/>
            <w:r>
              <w:rPr>
                <w:b/>
                <w:color w:val="FFFFFF"/>
                <w:sz w:val="16"/>
              </w:rPr>
              <w:t>Guideline</w:t>
            </w:r>
          </w:p>
        </w:tc>
        <w:tc>
          <w:tcPr>
            <w:tcW w:type="dxa" w:w="2736"/>
            <w:shd w:val="clear" w:color="auto" w:fill="1F2A44"/>
          </w:tcPr>
          <w:p>
            <w:r/>
            <w:r>
              <w:rPr>
                <w:b/>
                <w:color w:val="FFFFFF"/>
                <w:sz w:val="16"/>
              </w:rPr>
              <w:t>Bylaw treatment</w:t>
            </w:r>
          </w:p>
        </w:tc>
        <w:tc>
          <w:tcPr>
            <w:tcW w:type="dxa" w:w="1656"/>
            <w:shd w:val="clear" w:color="auto" w:fill="1F2A44"/>
          </w:tcPr>
          <w:p>
            <w:r/>
            <w:r>
              <w:rPr>
                <w:b/>
                <w:color w:val="FFFFFF"/>
                <w:sz w:val="16"/>
              </w:rPr>
              <w:t>Status / significance</w:t>
            </w:r>
          </w:p>
        </w:tc>
        <w:tc>
          <w:tcPr>
            <w:tcW w:type="dxa" w:w="3312"/>
            <w:shd w:val="clear" w:color="auto" w:fill="1F2A44"/>
          </w:tcPr>
          <w:p>
            <w:r/>
            <w:r>
              <w:rPr>
                <w:b/>
                <w:color w:val="FFFFFF"/>
                <w:sz w:val="16"/>
              </w:rPr>
              <w:t>Recommended action</w:t>
            </w:r>
          </w:p>
        </w:tc>
      </w:tr>
      <w:tr>
        <w:tc>
          <w:tcPr>
            <w:tcW w:type="dxa" w:w="1944"/>
          </w:tcPr>
          <w:p>
            <w:pPr>
              <w:spacing w:after="20"/>
            </w:pPr>
            <w:r/>
            <w:r>
              <w:rPr>
                <w:sz w:val="16"/>
              </w:rPr>
              <w:t>3.2 Skills Matrix</w:t>
            </w:r>
          </w:p>
        </w:tc>
        <w:tc>
          <w:tcPr>
            <w:tcW w:type="dxa" w:w="2736"/>
          </w:tcPr>
          <w:p>
            <w:pPr>
              <w:spacing w:after="20"/>
            </w:pPr>
            <w:r/>
            <w:r>
              <w:rPr>
                <w:sz w:val="16"/>
              </w:rPr>
              <w:t>Silent.</w:t>
            </w:r>
          </w:p>
        </w:tc>
        <w:tc>
          <w:tcPr>
            <w:tcW w:type="dxa" w:w="1656"/>
          </w:tcPr>
          <w:p>
            <w:pPr>
              <w:spacing w:after="20"/>
            </w:pPr>
            <w:r/>
            <w:r>
              <w:rPr>
                <w:sz w:val="16"/>
              </w:rPr>
              <w:t>Policy – Low</w:t>
            </w:r>
          </w:p>
        </w:tc>
        <w:tc>
          <w:tcPr>
            <w:tcW w:type="dxa" w:w="3312"/>
          </w:tcPr>
          <w:p>
            <w:pPr>
              <w:spacing w:after="20"/>
            </w:pPr>
            <w:r/>
            <w:r>
              <w:rPr>
                <w:sz w:val="16"/>
              </w:rPr>
              <w:t>NCGC Charter; disclose matrix in proxy.</w:t>
            </w:r>
          </w:p>
        </w:tc>
      </w:tr>
      <w:tr>
        <w:tc>
          <w:tcPr>
            <w:tcW w:type="dxa" w:w="1944"/>
            <w:shd w:val="clear" w:color="auto" w:fill="F2F4F8"/>
          </w:tcPr>
          <w:p>
            <w:pPr>
              <w:spacing w:after="20"/>
            </w:pPr>
            <w:r/>
            <w:r>
              <w:rPr>
                <w:sz w:val="16"/>
              </w:rPr>
              <w:t>3.3 Board Diversity</w:t>
            </w:r>
          </w:p>
        </w:tc>
        <w:tc>
          <w:tcPr>
            <w:tcW w:type="dxa" w:w="2736"/>
            <w:shd w:val="clear" w:color="auto" w:fill="F2F4F8"/>
          </w:tcPr>
          <w:p>
            <w:pPr>
              <w:spacing w:after="20"/>
            </w:pPr>
            <w:r/>
            <w:r>
              <w:rPr>
                <w:sz w:val="16"/>
              </w:rPr>
              <w:t>Silent.</w:t>
            </w:r>
          </w:p>
        </w:tc>
        <w:tc>
          <w:tcPr>
            <w:tcW w:type="dxa" w:w="1656"/>
            <w:shd w:val="clear" w:color="auto" w:fill="F2F4F8"/>
          </w:tcPr>
          <w:p>
            <w:pPr>
              <w:spacing w:after="20"/>
            </w:pPr>
            <w:r/>
            <w:r>
              <w:rPr>
                <w:sz w:val="16"/>
              </w:rPr>
              <w:t>Policy – Low</w:t>
            </w:r>
          </w:p>
        </w:tc>
        <w:tc>
          <w:tcPr>
            <w:tcW w:type="dxa" w:w="3312"/>
            <w:shd w:val="clear" w:color="auto" w:fill="F2F4F8"/>
          </w:tcPr>
          <w:p>
            <w:pPr>
              <w:spacing w:after="20"/>
            </w:pPr>
            <w:r/>
            <w:r>
              <w:rPr>
                <w:sz w:val="16"/>
              </w:rPr>
              <w:t>NCGC Charter / search protocol. Note: NASDAQ’s board diversity disclosure rule (Rule 5605(f)/5606) was vacated by the Fifth Circuit (Alliance for Fair Board Recruitment v. SEC, en banc, Dec. 2024); the Guideline remains a voluntary policy and should be framed accordingly.</w:t>
            </w:r>
          </w:p>
        </w:tc>
      </w:tr>
      <w:tr>
        <w:tc>
          <w:tcPr>
            <w:tcW w:type="dxa" w:w="1944"/>
          </w:tcPr>
          <w:p>
            <w:pPr>
              <w:spacing w:after="20"/>
            </w:pPr>
            <w:r/>
            <w:r>
              <w:rPr>
                <w:sz w:val="16"/>
              </w:rPr>
              <w:t>3.4 Overboarding (4 boards; CEO 2)</w:t>
            </w:r>
          </w:p>
        </w:tc>
        <w:tc>
          <w:tcPr>
            <w:tcW w:type="dxa" w:w="2736"/>
          </w:tcPr>
          <w:p>
            <w:pPr>
              <w:spacing w:after="20"/>
            </w:pPr>
            <w:r/>
            <w:r>
              <w:rPr>
                <w:sz w:val="16"/>
              </w:rPr>
              <w:t>Silent.</w:t>
            </w:r>
          </w:p>
        </w:tc>
        <w:tc>
          <w:tcPr>
            <w:tcW w:type="dxa" w:w="1656"/>
          </w:tcPr>
          <w:p>
            <w:pPr>
              <w:spacing w:after="20"/>
            </w:pPr>
            <w:r/>
            <w:r>
              <w:rPr>
                <w:sz w:val="16"/>
              </w:rPr>
              <w:t>Policy – Low</w:t>
            </w:r>
          </w:p>
        </w:tc>
        <w:tc>
          <w:tcPr>
            <w:tcW w:type="dxa" w:w="3312"/>
          </w:tcPr>
          <w:p>
            <w:pPr>
              <w:spacing w:after="20"/>
            </w:pPr>
            <w:r/>
            <w:r>
              <w:rPr>
                <w:sz w:val="16"/>
              </w:rPr>
              <w:t>Board policy; § 141(b) qualification bylaw not recommended.</w:t>
            </w:r>
          </w:p>
        </w:tc>
      </w:tr>
      <w:tr>
        <w:tc>
          <w:tcPr>
            <w:tcW w:type="dxa" w:w="1944"/>
            <w:shd w:val="clear" w:color="auto" w:fill="F2F4F8"/>
          </w:tcPr>
          <w:p>
            <w:pPr>
              <w:spacing w:after="20"/>
            </w:pPr>
            <w:r/>
            <w:r>
              <w:rPr>
                <w:sz w:val="16"/>
              </w:rPr>
              <w:t>3.5 Annual Independence Re-evaluation</w:t>
            </w:r>
          </w:p>
        </w:tc>
        <w:tc>
          <w:tcPr>
            <w:tcW w:type="dxa" w:w="2736"/>
            <w:shd w:val="clear" w:color="auto" w:fill="F2F4F8"/>
          </w:tcPr>
          <w:p>
            <w:pPr>
              <w:spacing w:after="20"/>
            </w:pPr>
            <w:r/>
            <w:r>
              <w:rPr>
                <w:sz w:val="16"/>
              </w:rPr>
              <w:t>Silent.</w:t>
            </w:r>
          </w:p>
        </w:tc>
        <w:tc>
          <w:tcPr>
            <w:tcW w:type="dxa" w:w="1656"/>
            <w:shd w:val="clear" w:color="auto" w:fill="F2F4F8"/>
          </w:tcPr>
          <w:p>
            <w:pPr>
              <w:spacing w:after="20"/>
            </w:pPr>
            <w:r/>
            <w:r>
              <w:rPr>
                <w:sz w:val="16"/>
              </w:rPr>
              <w:t>Policy – Low</w:t>
            </w:r>
          </w:p>
        </w:tc>
        <w:tc>
          <w:tcPr>
            <w:tcW w:type="dxa" w:w="3312"/>
            <w:shd w:val="clear" w:color="auto" w:fill="F2F4F8"/>
          </w:tcPr>
          <w:p>
            <w:pPr>
              <w:spacing w:after="20"/>
            </w:pPr>
            <w:r/>
            <w:r>
              <w:rPr>
                <w:sz w:val="16"/>
              </w:rPr>
              <w:t>Board policy; annual D&amp;O questionnaire.</w:t>
            </w:r>
          </w:p>
        </w:tc>
      </w:tr>
    </w:tbl>
    <w:p>
      <w:pPr>
        <w:spacing w:after="40"/>
      </w:pPr>
    </w:p>
    <w:p>
      <w:pPr>
        <w:pStyle w:val="Heading2"/>
      </w:pPr>
      <w:r>
        <w:t>Category C – Director Elections and Nominations (Guidelines 4.1–4.6)</w:t>
      </w:r>
    </w:p>
    <w:p>
      <w:pPr>
        <w:pStyle w:val="Heading3"/>
      </w:pPr>
      <w:r>
        <w:t>Guideline 4.1 – Majority Voting in Uncontested Elections; Resignation Policy  |  Bylaws § 2.7 (and §§ 3.2, 3.6)</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 2.7: “Directors shall be elected by a plurality of the votes of shares present in person or represented by proxy at the meeting and entitled to vote on the election of directors.” No director resignation policy. § 3.6 permits resignation effective on a future date or event.</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Majority of votes cast (“for” exceeds “against”; abstentions and broker non-votes excluded) in uncontested elections; plurality in contested elections. Resignation policy: tender within five business days after certification; NCGC recommends; Board acts and discloses (press release or Form 8-K) within 90 days after certification.</w:t>
            </w:r>
          </w:p>
        </w:tc>
      </w:tr>
      <w:tr>
        <w:tc>
          <w:tcPr>
            <w:tcW w:type="dxa" w:w="1944"/>
          </w:tcPr>
          <w:p>
            <w:pPr>
              <w:spacing w:after="20"/>
            </w:pPr>
            <w:r/>
            <w:r>
              <w:rPr>
                <w:sz w:val="17"/>
              </w:rPr>
              <w:t>Status / significance</w:t>
            </w:r>
          </w:p>
        </w:tc>
        <w:tc>
          <w:tcPr>
            <w:tcW w:type="dxa" w:w="7704"/>
          </w:tcPr>
          <w:p>
            <w:pPr>
              <w:spacing w:after="20"/>
            </w:pPr>
            <w:r/>
            <w:r>
              <w:rPr>
                <w:b/>
                <w:sz w:val="17"/>
              </w:rPr>
              <w:t>Conflict – High.</w:t>
            </w:r>
            <w:r>
              <w:rPr>
                <w:sz w:val="17"/>
              </w:rPr>
              <w:t xml:space="preserve"> A nominee can be elected with a single “for” vote; no resignation mechanism exists.</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DGCL § 216 permits the bylaws to specify the vote required to elect directors; the plurality default in § 216(3) applies only absent such a provision. If adopted by the Board, the standard may later be changed by the Board; if adopted (or ratified) by stockholders, § 216 provides that the Board may not further amend or repeal it. Because a director who fails to receive a majority remains in office as a holdover until a successor is elected (DGCL § 141(b)), the resignation component is essential. We recommend strengthening the Guideline’s post-election tender mechanism with an </w:t>
            </w:r>
            <w:r>
              <w:rPr>
                <w:b/>
                <w:sz w:val="17"/>
              </w:rPr>
              <w:t>advance, irrevocable conditional resignation</w:t>
            </w:r>
            <w:r>
              <w:rPr>
                <w:sz w:val="17"/>
              </w:rPr>
              <w:t xml:space="preserve"> delivered as a condition of nomination, which DGCL § 141(b) expressly permits (“a resignation which is conditioned upon the director failing to receive a specified vote for reelection … may provide that it is irrevocable”). “Contested” should be determined as of a fixed date (e.g., the tenth day before the Company first mails its notice of meeting), with a universal-proxy-compatible definition, so that a nominee withdrawn late does not toggle the standard.</w:t>
            </w:r>
          </w:p>
        </w:tc>
      </w:tr>
      <w:tr>
        <w:tc>
          <w:tcPr>
            <w:tcW w:type="dxa" w:w="1944"/>
          </w:tcPr>
          <w:p>
            <w:pPr>
              <w:spacing w:after="20"/>
            </w:pPr>
            <w:r/>
            <w:r>
              <w:rPr>
                <w:sz w:val="17"/>
              </w:rPr>
              <w:t>Implementation</w:t>
            </w:r>
          </w:p>
        </w:tc>
        <w:tc>
          <w:tcPr>
            <w:tcW w:type="dxa" w:w="7704"/>
          </w:tcPr>
          <w:p>
            <w:pPr>
              <w:spacing w:after="20"/>
            </w:pPr>
            <w:r/>
            <w:r>
              <w:rPr>
                <w:b/>
                <w:sz w:val="17"/>
              </w:rPr>
              <w:t>B</w:t>
            </w:r>
            <w:r>
              <w:rPr>
                <w:sz w:val="17"/>
              </w:rPr>
              <w:t xml:space="preserve"> (assuming the Certificate does not prescribe plurality voting; if it does, </w:t>
            </w:r>
            <w:r>
              <w:rPr>
                <w:b/>
                <w:sz w:val="17"/>
              </w:rPr>
              <w:t>C+S</w:t>
            </w:r>
            <w:r>
              <w:rPr>
                <w:sz w:val="17"/>
              </w:rPr>
              <w:t>). Can be adopted at the March 18 meeting and made effective for the May 14, 2025 annual meeting (a change favorable to stockholders, adopted after the nomination window closes, and disclosed in the proxy). Resignation policy can sit in the Bylaws (preferred by the Guideline) or Board governance guidelines; Form 8-K Item 5.07/8.01 disclosure of the Board’s decision.</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 C</w:t>
            </w:r>
            <w:r>
              <w:rPr>
                <w:sz w:val="17"/>
              </w:rPr>
              <w:t xml:space="preserve"> – Guidelines 4.3 and 4.6 (contested/uncontested definition under universal proxy), 3.1 (declassification), 5.1 (quorum); Guideline 2.7 voting standard for “all other matters” unchanged.</w:t>
            </w:r>
          </w:p>
        </w:tc>
      </w:tr>
    </w:tbl>
    <w:p>
      <w:pPr>
        <w:spacing w:after="40"/>
      </w:pPr>
    </w:p>
    <w:tbl>
      <w:tblPr>
        <w:tblStyle w:val="TableGrid"/>
        <w:tblW w:type="auto" w:w="0"/>
        <w:jc w:val="center"/>
        <w:tblLayout w:type="fixed"/>
        <w:tblLook w:firstColumn="1" w:firstRow="1" w:lastColumn="0" w:lastRow="0" w:noHBand="0" w:noVBand="1" w:val="04A0"/>
      </w:tblPr>
      <w:tblGrid>
        <w:gridCol w:w="1944"/>
        <w:gridCol w:w="2736"/>
        <w:gridCol w:w="1655"/>
        <w:gridCol w:w="3311"/>
      </w:tblGrid>
      <w:tr>
        <w:trPr>
          <w:tblHeader w:val="true"/>
        </w:trPr>
        <w:tc>
          <w:tcPr>
            <w:tcW w:type="dxa" w:w="1944"/>
            <w:shd w:val="clear" w:color="auto" w:fill="1F2A44"/>
          </w:tcPr>
          <w:p>
            <w:r/>
            <w:r>
              <w:rPr>
                <w:b/>
                <w:color w:val="FFFFFF"/>
                <w:sz w:val="16"/>
              </w:rPr>
              <w:t>Guideline</w:t>
            </w:r>
          </w:p>
        </w:tc>
        <w:tc>
          <w:tcPr>
            <w:tcW w:type="dxa" w:w="2736"/>
            <w:shd w:val="clear" w:color="auto" w:fill="1F2A44"/>
          </w:tcPr>
          <w:p>
            <w:r/>
            <w:r>
              <w:rPr>
                <w:b/>
                <w:color w:val="FFFFFF"/>
                <w:sz w:val="16"/>
              </w:rPr>
              <w:t>Bylaw treatment</w:t>
            </w:r>
          </w:p>
        </w:tc>
        <w:tc>
          <w:tcPr>
            <w:tcW w:type="dxa" w:w="1656"/>
            <w:shd w:val="clear" w:color="auto" w:fill="1F2A44"/>
          </w:tcPr>
          <w:p>
            <w:r/>
            <w:r>
              <w:rPr>
                <w:b/>
                <w:color w:val="FFFFFF"/>
                <w:sz w:val="16"/>
              </w:rPr>
              <w:t>Status / significance</w:t>
            </w:r>
          </w:p>
        </w:tc>
        <w:tc>
          <w:tcPr>
            <w:tcW w:type="dxa" w:w="3312"/>
            <w:shd w:val="clear" w:color="auto" w:fill="1F2A44"/>
          </w:tcPr>
          <w:p>
            <w:r/>
            <w:r>
              <w:rPr>
                <w:b/>
                <w:color w:val="FFFFFF"/>
                <w:sz w:val="16"/>
              </w:rPr>
              <w:t>Recommended action</w:t>
            </w:r>
          </w:p>
        </w:tc>
      </w:tr>
      <w:tr>
        <w:tc>
          <w:tcPr>
            <w:tcW w:type="dxa" w:w="1944"/>
          </w:tcPr>
          <w:p>
            <w:pPr>
              <w:spacing w:after="20"/>
            </w:pPr>
            <w:r/>
            <w:r>
              <w:rPr>
                <w:sz w:val="16"/>
              </w:rPr>
              <w:t>4.2 Director Nomination Process</w:t>
            </w:r>
          </w:p>
        </w:tc>
        <w:tc>
          <w:tcPr>
            <w:tcW w:type="dxa" w:w="2736"/>
          </w:tcPr>
          <w:p>
            <w:pPr>
              <w:spacing w:after="20"/>
            </w:pPr>
            <w:r/>
            <w:r>
              <w:rPr>
                <w:sz w:val="16"/>
              </w:rPr>
              <w:t>§ 2.10 provides the procedure for stockholder nominations; no evaluation criteria.</w:t>
            </w:r>
          </w:p>
        </w:tc>
        <w:tc>
          <w:tcPr>
            <w:tcW w:type="dxa" w:w="1656"/>
          </w:tcPr>
          <w:p>
            <w:pPr>
              <w:spacing w:after="20"/>
            </w:pPr>
            <w:r/>
            <w:r>
              <w:rPr>
                <w:sz w:val="16"/>
              </w:rPr>
              <w:t>Partially Aligned – Low</w:t>
            </w:r>
          </w:p>
        </w:tc>
        <w:tc>
          <w:tcPr>
            <w:tcW w:type="dxa" w:w="3312"/>
          </w:tcPr>
          <w:p>
            <w:pPr>
              <w:spacing w:after="20"/>
            </w:pPr>
            <w:r/>
            <w:r>
              <w:rPr>
                <w:sz w:val="16"/>
              </w:rPr>
              <w:t>NCGC Charter: document criteria and the policy for considering stockholder-recommended candidates (also a Reg. S-K Item 407(c) disclosure item).</w:t>
            </w:r>
          </w:p>
        </w:tc>
      </w:tr>
    </w:tbl>
    <w:p>
      <w:pPr>
        <w:spacing w:after="40"/>
      </w:pPr>
    </w:p>
    <w:p>
      <w:pPr>
        <w:pStyle w:val="Heading3"/>
      </w:pPr>
      <w:r>
        <w:t>Guideline 4.3 – Proxy Access  |  No Bylaw provision</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None. § 2.10 permits stockholder nominations only via the stockholder’s own proxy solicitation (now facilitated by Rule 14a-19 universal proxy cards).</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Up to 20 stockholders holding ≥ 3% of outstanding Common Stock continuously for ≥ 3 years may include nominees for the greater of 20% of the Board (rounded down) or two, with customary procedural requirements (information, holding-intent representations, nominee independence and willingness-to-serve representations, restrictions on undisclosed compensation).</w:t>
            </w:r>
          </w:p>
        </w:tc>
      </w:tr>
      <w:tr>
        <w:tc>
          <w:tcPr>
            <w:tcW w:type="dxa" w:w="1944"/>
          </w:tcPr>
          <w:p>
            <w:pPr>
              <w:spacing w:after="20"/>
            </w:pPr>
            <w:r/>
            <w:r>
              <w:rPr>
                <w:sz w:val="17"/>
              </w:rPr>
              <w:t>Status / significance</w:t>
            </w:r>
          </w:p>
        </w:tc>
        <w:tc>
          <w:tcPr>
            <w:tcW w:type="dxa" w:w="7704"/>
          </w:tcPr>
          <w:p>
            <w:pPr>
              <w:spacing w:after="20"/>
            </w:pPr>
            <w:r/>
            <w:r>
              <w:rPr>
                <w:b/>
                <w:sz w:val="17"/>
              </w:rPr>
              <w:t>Not addressed – High.</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DGCL § 112 expressly authorizes proxy access bylaws. Eligibility at the 3% threshold = </w:t>
            </w:r>
            <w:r>
              <w:rPr>
                <w:b/>
                <w:sz w:val="17"/>
              </w:rPr>
              <w:t>2,472,000 shares</w:t>
            </w:r>
            <w:r>
              <w:rPr>
                <w:sz w:val="17"/>
              </w:rPr>
              <w:t xml:space="preserve">. Two features of the Bylaws affect the Guideline’s illustration: (1) </w:t>
            </w:r>
            <w:r>
              <w:rPr>
                <w:b/>
                <w:sz w:val="17"/>
              </w:rPr>
              <w:t>Board size.</w:t>
            </w:r>
            <w:r>
              <w:rPr>
                <w:sz w:val="17"/>
              </w:rPr>
              <w:t xml:space="preserve"> The Guideline assumes nine directors (20% = 1.8 → 1; greater of 1 or 2 = 2). Because § 3.1 permits 5–11 directors, 20% rounded down never exceeds two (11 × 20% = 2.2 → 2), so the cap is effectively a fixed two nominees across the permitted range – which is 40% of a five-member Board. (2) </w:t>
            </w:r>
            <w:r>
              <w:rPr>
                <w:b/>
                <w:sz w:val="17"/>
              </w:rPr>
              <w:t>Classified board.</w:t>
            </w:r>
            <w:r>
              <w:rPr>
                <w:sz w:val="17"/>
              </w:rPr>
              <w:t xml:space="preserve"> While the Board is classified, only about one-third of seats (three of nine) are up each year; two access nominees would represent two-thirds of the seats being elected. The NCGC should decide whether to apply the Guideline literally or to limit the cap to a percentage of seats up for election during the classified period (a modification of the Guideline that the NCGC would need to approve). Customary provisions should also cover: counting of incumbent access nominees, the definition of “ownership” (net long, recall of loaned shares), a nomination window (typically 150–120 days before the anniversary of the prior-year proxy mailing), exclusion of nominees who fail to receive 25% support, and coordination with Rule 14a-19 (a proxy access nominator may not also run a universal proxy solicitation).</w:t>
            </w:r>
          </w:p>
        </w:tc>
      </w:tr>
      <w:tr>
        <w:tc>
          <w:tcPr>
            <w:tcW w:type="dxa" w:w="1944"/>
          </w:tcPr>
          <w:p>
            <w:pPr>
              <w:spacing w:after="20"/>
            </w:pPr>
            <w:r/>
            <w:r>
              <w:rPr>
                <w:sz w:val="17"/>
              </w:rPr>
              <w:t>Implementation</w:t>
            </w:r>
          </w:p>
        </w:tc>
        <w:tc>
          <w:tcPr>
            <w:tcW w:type="dxa" w:w="7704"/>
          </w:tcPr>
          <w:p>
            <w:pPr>
              <w:spacing w:after="20"/>
            </w:pPr>
            <w:r/>
            <w:r>
              <w:rPr>
                <w:b/>
                <w:sz w:val="17"/>
              </w:rPr>
              <w:t>B.</w:t>
            </w:r>
            <w:r>
              <w:rPr>
                <w:sz w:val="17"/>
              </w:rPr>
              <w:t xml:space="preserve"> Adopt in the March package, effective for the </w:t>
            </w:r>
            <w:r>
              <w:rPr>
                <w:b/>
                <w:sz w:val="17"/>
              </w:rPr>
              <w:t>2026</w:t>
            </w:r>
            <w:r>
              <w:rPr>
                <w:sz w:val="17"/>
              </w:rPr>
              <w:t xml:space="preserve"> annual meeting (the 2025 access window has passed).</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 C</w:t>
            </w:r>
            <w:r>
              <w:rPr>
                <w:sz w:val="17"/>
              </w:rPr>
              <w:t xml:space="preserve"> – Guidelines 4.5, 4.6, 4.1; Package A (classified board).</w:t>
            </w:r>
          </w:p>
        </w:tc>
      </w:tr>
    </w:tbl>
    <w:p>
      <w:pPr>
        <w:spacing w:after="40"/>
      </w:pPr>
    </w:p>
    <w:p>
      <w:pPr>
        <w:pStyle w:val="Heading3"/>
      </w:pPr>
      <w:r>
        <w:t>Guideline 4.4 – Director Orientation and Continuing Education</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Bylaws / status</w:t>
            </w:r>
          </w:p>
        </w:tc>
        <w:tc>
          <w:tcPr>
            <w:tcW w:type="dxa" w:w="7704"/>
          </w:tcPr>
          <w:p>
            <w:pPr>
              <w:spacing w:after="20"/>
            </w:pPr>
            <w:r/>
            <w:r>
              <w:rPr>
                <w:sz w:val="17"/>
              </w:rPr>
              <w:t xml:space="preserve">Silent. </w:t>
            </w:r>
            <w:r>
              <w:rPr>
                <w:b/>
                <w:sz w:val="17"/>
              </w:rPr>
              <w:t>Policy – Low.</w:t>
            </w:r>
            <w:r>
              <w:rPr>
                <w:sz w:val="17"/>
              </w:rPr>
              <w:t xml:space="preserve"> Board policy; no Bylaw change.</w:t>
            </w:r>
          </w:p>
        </w:tc>
      </w:tr>
    </w:tbl>
    <w:p>
      <w:pPr>
        <w:spacing w:after="40"/>
      </w:pPr>
    </w:p>
    <w:p>
      <w:pPr>
        <w:pStyle w:val="Heading3"/>
      </w:pPr>
      <w:r>
        <w:t>Guideline 4.5 – Enhanced Advance Notice Requirements  |  Bylaws § 2.10(b), (c), (d), (e)</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 – timing</w:t>
            </w:r>
          </w:p>
        </w:tc>
        <w:tc>
          <w:tcPr>
            <w:tcW w:type="dxa" w:w="7704"/>
          </w:tcPr>
          <w:p>
            <w:pPr>
              <w:spacing w:after="20"/>
            </w:pPr>
            <w:r/>
            <w:r>
              <w:rPr>
                <w:sz w:val="17"/>
              </w:rPr>
              <w:t>§ 2.10(b): notice not earlier than the close of business on the 120th day and not later than the close of business on the 90th day before the first anniversary of the prior annual meeting; if the meeting is more than 30 days before or more than 70 days after the anniversary, 120 days before the meeting / later of 90 days before or 10 days after public announcement. No new window on adjournment or postponement. § 2.10(e) applies the same 120/90 framework to special meetings.</w:t>
            </w:r>
          </w:p>
        </w:tc>
      </w:tr>
      <w:tr>
        <w:tc>
          <w:tcPr>
            <w:tcW w:type="dxa" w:w="1944"/>
            <w:shd w:val="clear" w:color="auto" w:fill="F2F4F8"/>
          </w:tcPr>
          <w:p>
            <w:pPr>
              <w:spacing w:after="20"/>
            </w:pPr>
            <w:r/>
            <w:r>
              <w:rPr>
                <w:sz w:val="17"/>
              </w:rPr>
              <w:t>Current Bylaws – disclosure</w:t>
            </w:r>
          </w:p>
        </w:tc>
        <w:tc>
          <w:tcPr>
            <w:tcW w:type="dxa" w:w="7704"/>
            <w:shd w:val="clear" w:color="auto" w:fill="F2F4F8"/>
          </w:tcPr>
          <w:p>
            <w:pPr>
              <w:spacing w:after="20"/>
            </w:pPr>
            <w:r/>
            <w:r>
              <w:rPr>
                <w:sz w:val="17"/>
              </w:rPr>
              <w:t xml:space="preserve">Proposals (§ 2.10(c)): description and text, name/address, shares owned, arrangements “in connection with the proposal,” material interest. Nominations (§ 2.10(d)): nominee name, age, address, occupation, shares owned, Regulation 14A information and consent to be named and serve; nominating stockholder name/address and shares owned. </w:t>
            </w:r>
            <w:r>
              <w:rPr>
                <w:b/>
                <w:sz w:val="17"/>
              </w:rPr>
              <w:t>No</w:t>
            </w:r>
            <w:r>
              <w:rPr>
                <w:sz w:val="17"/>
              </w:rPr>
              <w:t xml:space="preserve"> disclosure of derivative positions, short interests, voting agreements or proxies, nominee compensation arrangements, or stockholder–nominee relationships; no “associated person” concept; no nominee questionnaire; no obligation to update information as of the record date.</w:t>
            </w:r>
          </w:p>
        </w:tc>
      </w:tr>
      <w:tr>
        <w:tc>
          <w:tcPr>
            <w:tcW w:type="dxa" w:w="1944"/>
          </w:tcPr>
          <w:p>
            <w:pPr>
              <w:spacing w:after="20"/>
            </w:pPr>
            <w:r/>
            <w:r>
              <w:rPr>
                <w:sz w:val="17"/>
              </w:rPr>
              <w:t>Guideline standard</w:t>
            </w:r>
          </w:p>
        </w:tc>
        <w:tc>
          <w:tcPr>
            <w:tcW w:type="dxa" w:w="7704"/>
          </w:tcPr>
          <w:p>
            <w:pPr>
              <w:spacing w:after="20"/>
            </w:pPr>
            <w:r/>
            <w:r>
              <w:rPr>
                <w:sz w:val="17"/>
              </w:rPr>
              <w:t>(a) Window not earlier than the 150th day and not later than the 120th day before the anniversary; (b) disclosure of (i) derivatives, (ii) short interests, (iii) voting arrangements, (iv) performance-related fees or compensation between the stockholder/associated persons and the nominee, and (v) material relationships between the stockholder and nominee.</w:t>
            </w:r>
          </w:p>
        </w:tc>
      </w:tr>
      <w:tr>
        <w:tc>
          <w:tcPr>
            <w:tcW w:type="dxa" w:w="1944"/>
            <w:shd w:val="clear" w:color="auto" w:fill="F2F4F8"/>
          </w:tcPr>
          <w:p>
            <w:pPr>
              <w:spacing w:after="20"/>
            </w:pPr>
            <w:r/>
            <w:r>
              <w:rPr>
                <w:sz w:val="17"/>
              </w:rPr>
              <w:t>Status / significance</w:t>
            </w:r>
          </w:p>
        </w:tc>
        <w:tc>
          <w:tcPr>
            <w:tcW w:type="dxa" w:w="7704"/>
            <w:shd w:val="clear" w:color="auto" w:fill="F2F4F8"/>
          </w:tcPr>
          <w:p>
            <w:pPr>
              <w:spacing w:after="20"/>
            </w:pPr>
            <w:r/>
            <w:r>
              <w:rPr>
                <w:b/>
                <w:sz w:val="17"/>
              </w:rPr>
              <w:t>4.5(a) Deviation – Medium. 4.5(b) Not addressed – Critical</w:t>
            </w:r>
            <w:r>
              <w:rPr>
                <w:sz w:val="17"/>
              </w:rPr>
              <w:t xml:space="preserve"> (immediate 2025 exposure; see E-1).</w:t>
            </w:r>
          </w:p>
        </w:tc>
      </w:tr>
      <w:tr>
        <w:tc>
          <w:tcPr>
            <w:tcW w:type="dxa" w:w="1944"/>
          </w:tcPr>
          <w:p>
            <w:pPr>
              <w:spacing w:after="20"/>
            </w:pPr>
            <w:r/>
            <w:r>
              <w:rPr>
                <w:sz w:val="17"/>
              </w:rPr>
              <w:t>Analysis – window</w:t>
            </w:r>
          </w:p>
        </w:tc>
        <w:tc>
          <w:tcPr>
            <w:tcW w:type="dxa" w:w="7704"/>
          </w:tcPr>
          <w:p>
            <w:pPr>
              <w:spacing w:after="20"/>
            </w:pPr>
            <w:r/>
            <w:r>
              <w:rPr>
                <w:sz w:val="17"/>
              </w:rPr>
              <w:t xml:space="preserve">The Guideline describes the 150–120 day window as “expanded” and “wider.” It is not: both the current window (120–90) and the proposed window (150–120) are </w:t>
            </w:r>
            <w:r>
              <w:rPr>
                <w:b/>
                <w:sz w:val="17"/>
              </w:rPr>
              <w:t>30 days wide</w:t>
            </w:r>
            <w:r>
              <w:rPr>
                <w:sz w:val="17"/>
              </w:rPr>
              <w:t xml:space="preserve">; the proposal shifts the window 30 days earlier. A 120–90 window is the prevailing market standard; a 150–120 window for ordinary nominations is uncommon (it is typical of proxy access, not advance notice) and would require dissidents to commit roughly five months before the meeting. Advance notice bylaws are reviewed for both legal validity and equitable application, and the Delaware Supreme Court in Kellner v. AIM ImmunoTech (2024) confirmed that provisions adopted or applied for an inequitable purpose, or that are unreasonable in scope, will not be enforced. We recommend the NCGC reconsider 4.5(a) and either retain 120–90 or document a business justification. Applied to the 2026 meeting (assuming a May 14, 2025 meeting), the Guideline window would run </w:t>
            </w:r>
            <w:r>
              <w:rPr>
                <w:b/>
                <w:sz w:val="17"/>
              </w:rPr>
              <w:t>December 15, 2025 – January 14, 2026</w:t>
            </w:r>
            <w:r>
              <w:rPr>
                <w:sz w:val="17"/>
              </w:rPr>
              <w:t xml:space="preserve">, versus </w:t>
            </w:r>
            <w:r>
              <w:rPr>
                <w:b/>
                <w:sz w:val="17"/>
              </w:rPr>
              <w:t>January 14 – February 13, 2026</w:t>
            </w:r>
            <w:r>
              <w:rPr>
                <w:sz w:val="17"/>
              </w:rPr>
              <w:t xml:space="preserve"> under the current Bylaws. Applied to 2025 it would have closed on January 15, 2025 – the day the current window opens – illustrating why no change can be applied to the 2025 cycle.</w:t>
            </w:r>
          </w:p>
        </w:tc>
      </w:tr>
      <w:tr>
        <w:tc>
          <w:tcPr>
            <w:tcW w:type="dxa" w:w="1944"/>
            <w:shd w:val="clear" w:color="auto" w:fill="F2F4F8"/>
          </w:tcPr>
          <w:p>
            <w:pPr>
              <w:spacing w:after="20"/>
            </w:pPr>
            <w:r/>
            <w:r>
              <w:rPr>
                <w:sz w:val="17"/>
              </w:rPr>
              <w:t>Analysis – disclosure</w:t>
            </w:r>
          </w:p>
        </w:tc>
        <w:tc>
          <w:tcPr>
            <w:tcW w:type="dxa" w:w="7704"/>
            <w:shd w:val="clear" w:color="auto" w:fill="F2F4F8"/>
          </w:tcPr>
          <w:p>
            <w:pPr>
              <w:spacing w:after="20"/>
            </w:pPr>
            <w:r/>
            <w:r>
              <w:rPr>
                <w:sz w:val="17"/>
              </w:rPr>
              <w:t>Items (i)–(v) are market-standard and should be adopted. Drafting should be precise and proportionate – in Kellner the Delaware Supreme Court held several of AIM’s provisions unenforceable (including its expansive “agreements, arrangements or understandings” disclosure requirement), so each new disclosure item should be tied to a legitimate informational need. Recommend defined “Stockholder Associated Person,” a nominee questionnaire and representation agreement, a duty to update as of the record date and ten business days before the meeting, and a severability clause specific to § 2.10 (Guideline 10.3). Also correct the dangling cross-reference in § 2.10(f) to solicitation “representations required by this Section 2.10” (none exist).</w:t>
            </w:r>
          </w:p>
        </w:tc>
      </w:tr>
      <w:tr>
        <w:tc>
          <w:tcPr>
            <w:tcW w:type="dxa" w:w="1944"/>
          </w:tcPr>
          <w:p>
            <w:pPr>
              <w:spacing w:after="20"/>
            </w:pPr>
            <w:r/>
            <w:r>
              <w:rPr>
                <w:sz w:val="17"/>
              </w:rPr>
              <w:t>Implementation</w:t>
            </w:r>
          </w:p>
        </w:tc>
        <w:tc>
          <w:tcPr>
            <w:tcW w:type="dxa" w:w="7704"/>
          </w:tcPr>
          <w:p>
            <w:pPr>
              <w:spacing w:after="20"/>
            </w:pPr>
            <w:r/>
            <w:r>
              <w:rPr>
                <w:b/>
                <w:sz w:val="17"/>
              </w:rPr>
              <w:t>B</w:t>
            </w:r>
            <w:r>
              <w:rPr>
                <w:sz w:val="17"/>
              </w:rPr>
              <w:t>, adopted on a “clear day” (no pending contest) and effective for the 2026 annual meeting; not to be applied to the open 2025 window.</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 C</w:t>
            </w:r>
            <w:r>
              <w:rPr>
                <w:sz w:val="17"/>
              </w:rPr>
              <w:t xml:space="preserve"> – Guidelines 4.6 (UPC), 4.3 (proxy access eligibility and disclosure should mirror § 2.10), 5.3 (special meeting requests should require the same information), 5.2 (consent solicitations).</w:t>
            </w:r>
          </w:p>
        </w:tc>
      </w:tr>
    </w:tbl>
    <w:p>
      <w:pPr>
        <w:spacing w:after="40"/>
      </w:pPr>
    </w:p>
    <w:p>
      <w:pPr>
        <w:pStyle w:val="Heading3"/>
      </w:pPr>
      <w:r>
        <w:t>Guideline 4.6 – Universal Proxy Compliance  |  Bylaws § 2.10</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Adopted in 2019, before Rule 14a-19 became effective (August 31, 2022). § 2.10 contains no Rule 14a-19 provisions.</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Review and update advance notice and election procedures for consistency with Rule 14a-19.</w:t>
            </w:r>
          </w:p>
        </w:tc>
      </w:tr>
      <w:tr>
        <w:tc>
          <w:tcPr>
            <w:tcW w:type="dxa" w:w="1944"/>
          </w:tcPr>
          <w:p>
            <w:pPr>
              <w:spacing w:after="20"/>
            </w:pPr>
            <w:r/>
            <w:r>
              <w:rPr>
                <w:sz w:val="17"/>
              </w:rPr>
              <w:t>Status / significance</w:t>
            </w:r>
          </w:p>
        </w:tc>
        <w:tc>
          <w:tcPr>
            <w:tcW w:type="dxa" w:w="7704"/>
          </w:tcPr>
          <w:p>
            <w:pPr>
              <w:spacing w:after="20"/>
            </w:pPr>
            <w:r/>
            <w:r>
              <w:rPr>
                <w:b/>
                <w:sz w:val="17"/>
              </w:rPr>
              <w:t>Not addressed – Critical.</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Rule 14a-19 applies of its own force: a dissident must give notice of its nominees no later than 60 calendar days before the anniversary (March 16, 2025 for the 2025 meeting – later than the Bylaw deadline of February 14, which therefore governs timing) and must solicit holders of at least 67% of the voting power; the Company must notify the dissident of its nominees by March 26, 2025. Without Bylaw provisions, however, the Company lacks a contractual basis to (i) require a written representation of intent to comply with Rule 14a-19, (ii) require reasonable evidence of compliance at least five business days before the meeting, (iii) disregard proxies for nominees if the stockholder fails to comply, (iv) limit the number of nominees to the number of seats up for election, and (v) require nominee consent to be named in </w:t>
            </w:r>
            <w:r>
              <w:rPr>
                <w:b/>
                <w:sz w:val="17"/>
              </w:rPr>
              <w:t>all</w:t>
            </w:r>
            <w:r>
              <w:rPr>
                <w:sz w:val="17"/>
              </w:rPr>
              <w:t xml:space="preserve"> proxy statements and cards (§ 2.10(d)(i)(D) refers only to “the proxy statement”). Recommend also reserving the white proxy card color for the Company’s exclusive use.</w:t>
            </w:r>
          </w:p>
        </w:tc>
      </w:tr>
      <w:tr>
        <w:tc>
          <w:tcPr>
            <w:tcW w:type="dxa" w:w="1944"/>
          </w:tcPr>
          <w:p>
            <w:pPr>
              <w:spacing w:after="20"/>
            </w:pPr>
            <w:r/>
            <w:r>
              <w:rPr>
                <w:sz w:val="17"/>
              </w:rPr>
              <w:t>Implementation</w:t>
            </w:r>
          </w:p>
        </w:tc>
        <w:tc>
          <w:tcPr>
            <w:tcW w:type="dxa" w:w="7704"/>
          </w:tcPr>
          <w:p>
            <w:pPr>
              <w:spacing w:after="20"/>
            </w:pPr>
            <w:r/>
            <w:r>
              <w:rPr>
                <w:b/>
                <w:sz w:val="17"/>
              </w:rPr>
              <w:t>B</w:t>
            </w:r>
            <w:r>
              <w:rPr>
                <w:sz w:val="17"/>
              </w:rPr>
              <w:t xml:space="preserve"> – same timing as Guideline 4.5; adopt for 2026, rely on Rule 14a-19 for 2025.</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 C</w:t>
            </w:r>
            <w:r>
              <w:rPr>
                <w:sz w:val="17"/>
              </w:rPr>
              <w:t xml:space="preserve"> – Guidelines 4.5, 4.1 (contested-election definition), 4.3 (access nominees vs. UPC).</w:t>
            </w:r>
          </w:p>
        </w:tc>
      </w:tr>
    </w:tbl>
    <w:p>
      <w:pPr>
        <w:spacing w:after="40"/>
      </w:pPr>
    </w:p>
    <w:p>
      <w:pPr>
        <w:pStyle w:val="Heading2"/>
      </w:pPr>
      <w:r>
        <w:t>Category D – Stockholder Meetings and Voting (Guidelines 5.1–5.6)</w:t>
      </w:r>
    </w:p>
    <w:p>
      <w:pPr>
        <w:pStyle w:val="Heading3"/>
      </w:pPr>
      <w:r>
        <w:t>Guideline 5.1 – Stockholder Meeting Quorum  |  Bylaws § 2.5</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 xml:space="preserve">Quorum is a </w:t>
            </w:r>
            <w:r>
              <w:rPr>
                <w:b/>
                <w:sz w:val="17"/>
              </w:rPr>
              <w:t>majority</w:t>
            </w:r>
            <w:r>
              <w:rPr>
                <w:sz w:val="17"/>
              </w:rPr>
              <w:t xml:space="preserve"> of shares issued, outstanding and entitled to vote (41,200,001 shares), “except as otherwise provided by the DGCL or the Certificate.” Chair or majority of shares present may adjourn.</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One-third of outstanding shares entitled to vote (27,466,667 shares).</w:t>
            </w:r>
          </w:p>
        </w:tc>
      </w:tr>
      <w:tr>
        <w:tc>
          <w:tcPr>
            <w:tcW w:type="dxa" w:w="1944"/>
          </w:tcPr>
          <w:p>
            <w:pPr>
              <w:spacing w:after="20"/>
            </w:pPr>
            <w:r/>
            <w:r>
              <w:rPr>
                <w:sz w:val="17"/>
              </w:rPr>
              <w:t>Status / significance</w:t>
            </w:r>
          </w:p>
        </w:tc>
        <w:tc>
          <w:tcPr>
            <w:tcW w:type="dxa" w:w="7704"/>
          </w:tcPr>
          <w:p>
            <w:pPr>
              <w:spacing w:after="20"/>
            </w:pPr>
            <w:r/>
            <w:r>
              <w:rPr>
                <w:b/>
                <w:sz w:val="17"/>
              </w:rPr>
              <w:t>Deviation – Medium.</w:t>
            </w:r>
            <w:r>
              <w:rPr>
                <w:sz w:val="17"/>
              </w:rPr>
              <w:t xml:space="preserve"> The adjournment mechanics in §§ 2.5–2.6 are consistent with the Guideline’s objective and DGCL §§ 216 and 222.</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DGCL § 216 permits the certificate or bylaws to set quorum at not less than one-third; </w:t>
            </w:r>
            <w:r>
              <w:rPr>
                <w:b/>
                <w:sz w:val="17"/>
              </w:rPr>
              <w:t>NASDAQ Rule 5620(c)</w:t>
            </w:r>
            <w:r>
              <w:rPr>
                <w:sz w:val="17"/>
              </w:rPr>
              <w:t xml:space="preserve"> independently requires a quorum of at least 33⅓% of outstanding voting shares. One-third is therefore the floor under both regimes and no lower threshold is available. Interaction to note for the Board: § 2.7 decides “all other matters” by a majority of shares present and entitled to vote. With a one-third quorum, such matters could be approved by as few as </w:t>
            </w:r>
            <w:r>
              <w:rPr>
                <w:b/>
                <w:sz w:val="17"/>
              </w:rPr>
              <w:t>13,733,334 shares (about 16.7% of outstanding)</w:t>
            </w:r>
            <w:r>
              <w:rPr>
                <w:sz w:val="17"/>
              </w:rPr>
              <w:t>. Combined with a 25% stockholder special meeting right (Guideline 5.3), a small group could call a meeting and carry ordinary-vote items at a low-turnout meeting. Matters requiring a majority of outstanding shares (Certificate amendments, Bylaw amendments under Guideline 7.3, director removal) are unaffected. The Board may wish to (i) retain a majority quorum for stockholder-requested special meetings, or (ii) accept the lower threshold given institutional turnout (typically well above one-third).</w:t>
            </w:r>
          </w:p>
        </w:tc>
      </w:tr>
      <w:tr>
        <w:tc>
          <w:tcPr>
            <w:tcW w:type="dxa" w:w="1944"/>
          </w:tcPr>
          <w:p>
            <w:pPr>
              <w:spacing w:after="20"/>
            </w:pPr>
            <w:r/>
            <w:r>
              <w:rPr>
                <w:sz w:val="17"/>
              </w:rPr>
              <w:t>Implementation</w:t>
            </w:r>
          </w:p>
        </w:tc>
        <w:tc>
          <w:tcPr>
            <w:tcW w:type="dxa" w:w="7704"/>
          </w:tcPr>
          <w:p>
            <w:pPr>
              <w:spacing w:after="20"/>
            </w:pPr>
            <w:r/>
            <w:r>
              <w:rPr>
                <w:b/>
                <w:sz w:val="17"/>
              </w:rPr>
              <w:t>B</w:t>
            </w:r>
            <w:r>
              <w:rPr>
                <w:sz w:val="17"/>
              </w:rPr>
              <w:t xml:space="preserve"> (if the Certificate does not fix quorum); can be effective for the 2025 annual meeting.</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 B</w:t>
            </w:r>
            <w:r>
              <w:rPr>
                <w:sz w:val="17"/>
              </w:rPr>
              <w:t xml:space="preserve"> – Guidelines 5.3, 5.2; § 2.7 vote standards.</w:t>
            </w:r>
          </w:p>
        </w:tc>
      </w:tr>
    </w:tbl>
    <w:p>
      <w:pPr>
        <w:spacing w:after="40"/>
      </w:pPr>
    </w:p>
    <w:p>
      <w:pPr>
        <w:pStyle w:val="Heading3"/>
      </w:pPr>
      <w:r>
        <w:t>Guideline 5.2 – Elimination of Stockholder Action by Written Consent  |  Bylaws § 2.11</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 2.11 affirmatively permits stockholder action without a meeting by written consent of holders of the minimum votes necessary at a meeting at which all shares were present, with prompt notice to non-consenting holders and a 60-day validity period (tracking DGCL § 228). No consent record-date procedure, information requirements or inspector review.</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All stockholder action must be taken at a duly called meeting; no action by written consent. Must be paired with a stockholder special meeting right (Guideline 5.3).</w:t>
            </w:r>
          </w:p>
        </w:tc>
      </w:tr>
      <w:tr>
        <w:tc>
          <w:tcPr>
            <w:tcW w:type="dxa" w:w="1944"/>
          </w:tcPr>
          <w:p>
            <w:pPr>
              <w:spacing w:after="20"/>
            </w:pPr>
            <w:r/>
            <w:r>
              <w:rPr>
                <w:sz w:val="17"/>
              </w:rPr>
              <w:t>Status / significance</w:t>
            </w:r>
          </w:p>
        </w:tc>
        <w:tc>
          <w:tcPr>
            <w:tcW w:type="dxa" w:w="7704"/>
          </w:tcPr>
          <w:p>
            <w:pPr>
              <w:spacing w:after="20"/>
            </w:pPr>
            <w:r/>
            <w:r>
              <w:rPr>
                <w:b/>
                <w:sz w:val="17"/>
              </w:rPr>
              <w:t>Conflict – Critical</w:t>
            </w:r>
            <w:r>
              <w:rPr>
                <w:sz w:val="17"/>
              </w:rPr>
              <w:t xml:space="preserve"> (and see E-2).</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b/>
                <w:sz w:val="17"/>
              </w:rPr>
              <w:t>A bylaw cannot achieve this Guideline.</w:t>
            </w:r>
            <w:r>
              <w:rPr>
                <w:sz w:val="17"/>
              </w:rPr>
              <w:t xml:space="preserve"> DGCL § 228(a) grants stockholders the right to act by written consent “unless otherwise provided in the certificate of incorporation.” Only the Certificate can eliminate or restrict the right; Delaware courts have invalidated bylaws that impede it (Datapoint Corp. v. Plaza Securities Co. (Del. 1985); Allen v. Prime Computer (Del. 1988)). The Guideline’s phrasing (“the Bylaws should be amended”) and its implementation note (“may require amendment to both the Bylaws and the Certificate”; certificate amendment “would provide the most robust protection”) understate the requirement: a Certificate amendment approved by stockholders is </w:t>
            </w:r>
            <w:r>
              <w:rPr>
                <w:b/>
                <w:sz w:val="17"/>
              </w:rPr>
              <w:t>required</w:t>
            </w:r>
            <w:r>
              <w:rPr>
                <w:sz w:val="17"/>
              </w:rPr>
              <w:t>. Deleting § 2.11 from the Bylaws alone would leave the statutory right intact. If the Certificate already prohibits written consent, § 2.11 conflicts with it and is ineffective (Bylaws Preamble). Proxy-advisor considerations: ISS’s benchmark policy generally recommends against management proposals to restrict or eliminate written consent, and investors who accept elimination often expect a special meeting right at a threshold lower than 25% (commonly 10–15%); the Board should anticipate opposition and the difficulty of obtaining a majority of outstanding shares (41,200,001).</w:t>
            </w:r>
          </w:p>
        </w:tc>
      </w:tr>
      <w:tr>
        <w:tc>
          <w:tcPr>
            <w:tcW w:type="dxa" w:w="1944"/>
          </w:tcPr>
          <w:p>
            <w:pPr>
              <w:spacing w:after="20"/>
            </w:pPr>
            <w:r/>
            <w:r>
              <w:rPr>
                <w:sz w:val="17"/>
              </w:rPr>
              <w:t>How § 2.3 and § 2.11 operate together today (response to Mr. Engstrom)</w:t>
            </w:r>
          </w:p>
        </w:tc>
        <w:tc>
          <w:tcPr>
            <w:tcW w:type="dxa" w:w="7704"/>
          </w:tcPr>
          <w:p>
            <w:pPr>
              <w:spacing w:after="20"/>
            </w:pPr>
            <w:r/>
            <w:r>
              <w:rPr>
                <w:sz w:val="17"/>
              </w:rPr>
              <w:t xml:space="preserve">Today the two provisions operate as alternatives: § 2.3 denies stockholders any right to call a special meeting, so written consent under § 2.11 is the </w:t>
            </w:r>
            <w:r>
              <w:rPr>
                <w:b/>
                <w:sz w:val="17"/>
              </w:rPr>
              <w:t>only</w:t>
            </w:r>
            <w:r>
              <w:rPr>
                <w:sz w:val="17"/>
              </w:rPr>
              <w:t xml:space="preserve"> way stockholders can act between annual meetings. Consent action requires a majority (or higher) of </w:t>
            </w:r>
            <w:r>
              <w:rPr>
                <w:b/>
                <w:sz w:val="17"/>
              </w:rPr>
              <w:t>outstanding</w:t>
            </w:r>
            <w:r>
              <w:rPr>
                <w:sz w:val="17"/>
              </w:rPr>
              <w:t xml:space="preserve"> shares, not of shares present, and bypasses the advance notice regime, deliberation and notice to all holders until after the fact. Its reach is limited by other provisions – stockholders cannot fill vacancies (§ 3.5), removal requires cause and 75% (§ 3.4), and Bylaw amendments require 66⅔% (§ 8.1) – but a majority holder group could act on any matter requiring only a majority. If written consent is eliminated without simultaneously adopting a stockholder special meeting right, stockholders would have </w:t>
            </w:r>
            <w:r>
              <w:rPr>
                <w:b/>
                <w:sz w:val="17"/>
              </w:rPr>
              <w:t>no</w:t>
            </w:r>
            <w:r>
              <w:rPr>
                <w:sz w:val="17"/>
              </w:rPr>
              <w:t xml:space="preserve"> mechanism to act between annual meetings – the outcome Guidelines 5.2 and 5.3 expressly seek to avoid. Conversely, adopting a special meeting right while keeping consent gives stockholders both tools.</w:t>
            </w:r>
          </w:p>
        </w:tc>
      </w:tr>
      <w:tr>
        <w:tc>
          <w:tcPr>
            <w:tcW w:type="dxa" w:w="1944"/>
            <w:shd w:val="clear" w:color="auto" w:fill="F2F4F8"/>
          </w:tcPr>
          <w:p>
            <w:pPr>
              <w:spacing w:after="20"/>
            </w:pPr>
            <w:r/>
            <w:r>
              <w:rPr>
                <w:sz w:val="17"/>
              </w:rPr>
              <w:t>Implementation</w:t>
            </w:r>
          </w:p>
        </w:tc>
        <w:tc>
          <w:tcPr>
            <w:tcW w:type="dxa" w:w="7704"/>
            <w:shd w:val="clear" w:color="auto" w:fill="F2F4F8"/>
          </w:tcPr>
          <w:p>
            <w:pPr>
              <w:spacing w:after="20"/>
            </w:pPr>
            <w:r/>
            <w:r>
              <w:rPr>
                <w:b/>
                <w:sz w:val="17"/>
              </w:rPr>
              <w:t>C+S</w:t>
            </w:r>
            <w:r>
              <w:rPr>
                <w:sz w:val="17"/>
              </w:rPr>
              <w:t xml:space="preserve"> for elimination (Board resolution declaring advisability + majority of outstanding, or higher Certificate vote); delete § 2.11 and add a conforming meeting-only provision effective upon the Certificate amendment. </w:t>
            </w:r>
            <w:r>
              <w:rPr>
                <w:b/>
                <w:sz w:val="17"/>
              </w:rPr>
              <w:t>Interim B:</w:t>
            </w:r>
            <w:r>
              <w:rPr>
                <w:sz w:val="17"/>
              </w:rPr>
              <w:t xml:space="preserve"> adopt the consent record-date request and procedural bylaw described in E-2 now. </w:t>
            </w:r>
            <w:r>
              <w:rPr>
                <w:b/>
                <w:sz w:val="17"/>
              </w:rPr>
              <w:t>Sequencing:</w:t>
            </w:r>
            <w:r>
              <w:rPr>
                <w:sz w:val="17"/>
              </w:rPr>
              <w:t xml:space="preserve"> the special meeting right (Guideline 5.3) should be in effect </w:t>
            </w:r>
            <w:r>
              <w:rPr>
                <w:b/>
                <w:sz w:val="17"/>
              </w:rPr>
              <w:t>no later than</w:t>
            </w:r>
            <w:r>
              <w:rPr>
                <w:sz w:val="17"/>
              </w:rPr>
              <w:t xml:space="preserve"> the effective time of the Certificate amendment – we recommend adopting it at the March meeting so it is in place when stockholders vote on elimination.</w:t>
            </w:r>
          </w:p>
        </w:tc>
      </w:tr>
      <w:tr>
        <w:tc>
          <w:tcPr>
            <w:tcW w:type="dxa" w:w="1944"/>
          </w:tcPr>
          <w:p>
            <w:pPr>
              <w:spacing w:after="20"/>
            </w:pPr>
            <w:r/>
            <w:r>
              <w:rPr>
                <w:sz w:val="17"/>
              </w:rPr>
              <w:t>Interrelated</w:t>
            </w:r>
          </w:p>
        </w:tc>
        <w:tc>
          <w:tcPr>
            <w:tcW w:type="dxa" w:w="7704"/>
          </w:tcPr>
          <w:p>
            <w:pPr>
              <w:spacing w:after="20"/>
            </w:pPr>
            <w:r/>
            <w:r>
              <w:rPr>
                <w:b/>
                <w:sz w:val="17"/>
              </w:rPr>
              <w:t>Package B</w:t>
            </w:r>
            <w:r>
              <w:rPr>
                <w:sz w:val="17"/>
              </w:rPr>
              <w:t xml:space="preserve"> – Guidelines 5.3, 5.1, 4.5; Package A (removal and vacancy).</w:t>
            </w:r>
          </w:p>
        </w:tc>
      </w:tr>
    </w:tbl>
    <w:p>
      <w:pPr>
        <w:spacing w:after="40"/>
      </w:pPr>
    </w:p>
    <w:p>
      <w:pPr>
        <w:pStyle w:val="Heading3"/>
      </w:pPr>
      <w:r>
        <w:t>Guideline 5.3 – Stockholder Right to Call Special Meetings  |  Bylaws § 2.3 (and § 2.10(e))</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Special meetings may be called “only” by the Chair, the CEO, or the Board by majority of the Whole Board; “No other person or persons shall be entitled to call a special meeting.” Business is limited to the purposes in the notice.</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Holders of record of ≥ 25% of outstanding Common Stock (20,600,000 shares) may call a special meeting, with safeguards: (a) written request stating purposes and text of resolutions; (b) evidence of ownership; (c) no stockholder-called meeting if the Board has called or will call a meeting within 90 days covering substantially the same matters; (d) 90-day cooling-off period on the same subject.</w:t>
            </w:r>
          </w:p>
        </w:tc>
      </w:tr>
      <w:tr>
        <w:tc>
          <w:tcPr>
            <w:tcW w:type="dxa" w:w="1944"/>
          </w:tcPr>
          <w:p>
            <w:pPr>
              <w:spacing w:after="20"/>
            </w:pPr>
            <w:r/>
            <w:r>
              <w:rPr>
                <w:sz w:val="17"/>
              </w:rPr>
              <w:t>Status / significance</w:t>
            </w:r>
          </w:p>
        </w:tc>
        <w:tc>
          <w:tcPr>
            <w:tcW w:type="dxa" w:w="7704"/>
          </w:tcPr>
          <w:p>
            <w:pPr>
              <w:spacing w:after="20"/>
            </w:pPr>
            <w:r/>
            <w:r>
              <w:rPr>
                <w:b/>
                <w:sz w:val="17"/>
              </w:rPr>
              <w:t>Conflict – High.</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DGCL § 211(d) permits special meetings to be called by the Board or any person authorized by the certificate or the bylaws, so a stockholder right can be conferred by Bylaw – </w:t>
            </w:r>
            <w:r>
              <w:rPr>
                <w:b/>
                <w:sz w:val="17"/>
              </w:rPr>
              <w:t>unless</w:t>
            </w:r>
            <w:r>
              <w:rPr>
                <w:sz w:val="17"/>
              </w:rPr>
              <w:t xml:space="preserve"> the Certificate limits who may call special meetings (common in IPO-era certificates), in which case a Certificate amendment is needed. Drafting points: (1) the Guideline is internally inconsistent – the recommendation refers to stockholders “of record,” while safeguard (b) refers to “record or beneficial ownership”; we recommend a net-long beneficial ownership standard with record-holder requests on behalf of beneficial owners; (2) requests should require the same information as § 2.10 (Guideline 4.5) and be revoked if ownership falls below 25%; (3) add customary exclusions (e.g., matters not proper for stockholder action, requests in a window before the anniversary of the prior annual meeting, requests in violation of law); (4) § 2.10(e) should be extended so that, at a stockholder-requested meeting, director nominations may be made only if the request so provides; (5) the Board should retain the power to fix the date (within ~90 days of a valid request) and record date. A 25% threshold is within market practice; the Board may weigh a lower threshold (e.g., 15–20%) if it pursues written consent elimination.</w:t>
            </w:r>
          </w:p>
        </w:tc>
      </w:tr>
      <w:tr>
        <w:tc>
          <w:tcPr>
            <w:tcW w:type="dxa" w:w="1944"/>
          </w:tcPr>
          <w:p>
            <w:pPr>
              <w:spacing w:after="20"/>
            </w:pPr>
            <w:r/>
            <w:r>
              <w:rPr>
                <w:sz w:val="17"/>
              </w:rPr>
              <w:t>Implementation</w:t>
            </w:r>
          </w:p>
        </w:tc>
        <w:tc>
          <w:tcPr>
            <w:tcW w:type="dxa" w:w="7704"/>
          </w:tcPr>
          <w:p>
            <w:pPr>
              <w:spacing w:after="20"/>
            </w:pPr>
            <w:r/>
            <w:r>
              <w:rPr>
                <w:b/>
                <w:sz w:val="17"/>
              </w:rPr>
              <w:t>B</w:t>
            </w:r>
            <w:r>
              <w:rPr>
                <w:sz w:val="17"/>
              </w:rPr>
              <w:t xml:space="preserve"> (subject to Certificate review); adopt at the March meeting.</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 B</w:t>
            </w:r>
            <w:r>
              <w:rPr>
                <w:sz w:val="17"/>
              </w:rPr>
              <w:t xml:space="preserve"> – Guidelines 5.2 (pairing), 5.1 (quorum at stockholder-called meetings), 4.5 (information requirements).</w:t>
            </w:r>
          </w:p>
        </w:tc>
      </w:tr>
    </w:tbl>
    <w:p>
      <w:pPr>
        <w:spacing w:after="40"/>
      </w:pPr>
    </w:p>
    <w:p>
      <w:pPr>
        <w:pStyle w:val="Heading3"/>
      </w:pPr>
      <w:r>
        <w:t>Guideline 5.4 – Virtual Meeting Framework  |  Bylaws §§ 2.1, 2.13, 2.6</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 / status</w:t>
            </w:r>
          </w:p>
        </w:tc>
        <w:tc>
          <w:tcPr>
            <w:tcW w:type="dxa" w:w="7704"/>
          </w:tcPr>
          <w:p>
            <w:pPr>
              <w:spacing w:after="20"/>
            </w:pPr>
            <w:r/>
            <w:r>
              <w:rPr>
                <w:sz w:val="17"/>
              </w:rPr>
              <w:t xml:space="preserve">§ 2.1 authorizes remote-only meetings under DGCL § 211(a)(2); § 2.13 gives the chair power to set rules of conduct. No express participation-equivalence commitment. </w:t>
            </w:r>
            <w:r>
              <w:rPr>
                <w:b/>
                <w:sz w:val="17"/>
              </w:rPr>
              <w:t>Partially Aligned – Low.</w:t>
            </w:r>
          </w:p>
        </w:tc>
      </w:tr>
      <w:tr>
        <w:tc>
          <w:tcPr>
            <w:tcW w:type="dxa" w:w="1944"/>
            <w:shd w:val="clear" w:color="auto" w:fill="F2F4F8"/>
          </w:tcPr>
          <w:p>
            <w:pPr>
              <w:spacing w:after="20"/>
            </w:pPr>
            <w:r/>
            <w:r>
              <w:rPr>
                <w:sz w:val="17"/>
              </w:rPr>
              <w:t>Recommendation</w:t>
            </w:r>
          </w:p>
        </w:tc>
        <w:tc>
          <w:tcPr>
            <w:tcW w:type="dxa" w:w="7704"/>
            <w:shd w:val="clear" w:color="auto" w:fill="F2F4F8"/>
          </w:tcPr>
          <w:p>
            <w:pPr>
              <w:spacing w:after="20"/>
            </w:pPr>
            <w:r/>
            <w:r>
              <w:rPr>
                <w:b/>
                <w:sz w:val="17"/>
              </w:rPr>
              <w:t>P</w:t>
            </w:r>
            <w:r>
              <w:rPr>
                <w:sz w:val="17"/>
              </w:rPr>
              <w:t xml:space="preserve">: adopt and publish rules of conduct ensuring equivalent ability to ask questions and vote. Optional </w:t>
            </w:r>
            <w:r>
              <w:rPr>
                <w:b/>
                <w:sz w:val="17"/>
              </w:rPr>
              <w:t>B</w:t>
            </w:r>
            <w:r>
              <w:rPr>
                <w:sz w:val="17"/>
              </w:rPr>
              <w:t>: confirm in § 2.13 that rules for virtual/hybrid meetings will afford stockholders a reasonable opportunity to participate, consistent with § 211(a)(2), and update § 2.6 to permit adjournment notice by display on the remote platform (DGCL § 222(c), as amended 2022).</w:t>
            </w:r>
          </w:p>
        </w:tc>
      </w:tr>
    </w:tbl>
    <w:p>
      <w:pPr>
        <w:spacing w:after="40"/>
      </w:pPr>
    </w:p>
    <w:p>
      <w:pPr>
        <w:pStyle w:val="Heading3"/>
      </w:pPr>
      <w:r>
        <w:t>Guideline 5.5 – Annual Meeting Timing  |  Bylaws §§ 2.2, 7.1</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 / status</w:t>
            </w:r>
          </w:p>
        </w:tc>
        <w:tc>
          <w:tcPr>
            <w:tcW w:type="dxa" w:w="7704"/>
          </w:tcPr>
          <w:p>
            <w:pPr>
              <w:spacing w:after="20"/>
            </w:pPr>
            <w:r/>
            <w:r>
              <w:rPr>
                <w:sz w:val="17"/>
              </w:rPr>
              <w:t xml:space="preserve">§ 2.2 leaves the date to the Board; fiscal year ends December 31 (§ 7.1). Recent practice (May 15, 2024; May 14, 2025 planned) is within six months. </w:t>
            </w:r>
            <w:r>
              <w:rPr>
                <w:b/>
                <w:sz w:val="17"/>
              </w:rPr>
              <w:t>Partially Aligned – Low.</w:t>
            </w:r>
          </w:p>
        </w:tc>
      </w:tr>
      <w:tr>
        <w:tc>
          <w:tcPr>
            <w:tcW w:type="dxa" w:w="1944"/>
            <w:shd w:val="clear" w:color="auto" w:fill="F2F4F8"/>
          </w:tcPr>
          <w:p>
            <w:pPr>
              <w:spacing w:after="20"/>
            </w:pPr>
            <w:r/>
            <w:r>
              <w:rPr>
                <w:sz w:val="17"/>
              </w:rPr>
              <w:t>Recommendation</w:t>
            </w:r>
          </w:p>
        </w:tc>
        <w:tc>
          <w:tcPr>
            <w:tcW w:type="dxa" w:w="7704"/>
            <w:shd w:val="clear" w:color="auto" w:fill="F2F4F8"/>
          </w:tcPr>
          <w:p>
            <w:pPr>
              <w:spacing w:after="20"/>
            </w:pPr>
            <w:r/>
            <w:r>
              <w:rPr>
                <w:b/>
                <w:sz w:val="17"/>
              </w:rPr>
              <w:t>P</w:t>
            </w:r>
            <w:r>
              <w:rPr>
                <w:sz w:val="17"/>
              </w:rPr>
              <w:t xml:space="preserve"> – Board policy. A Bylaw mandate is optional; if adopted, include flexibility for postponement (cf. DGCL § 211(c) 13-month backstop; NASDAQ Rule 5620(a) requires a meeting within one year after fiscal year-end).</w:t>
            </w:r>
          </w:p>
        </w:tc>
      </w:tr>
    </w:tbl>
    <w:p>
      <w:pPr>
        <w:spacing w:after="40"/>
      </w:pPr>
    </w:p>
    <w:p>
      <w:pPr>
        <w:pStyle w:val="Heading3"/>
      </w:pPr>
      <w:r>
        <w:t>Guideline 5.6 – Inspector of Elections  |  Bylaws § 2.12</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The Corporation “may, and shall if required by law,” appoint inspectors, “who may be employees of the Corporation.”</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Appoint one or more inspectors for each meeting, independent of the Company, its officers and directors.</w:t>
            </w:r>
          </w:p>
        </w:tc>
      </w:tr>
      <w:tr>
        <w:tc>
          <w:tcPr>
            <w:tcW w:type="dxa" w:w="1944"/>
          </w:tcPr>
          <w:p>
            <w:pPr>
              <w:spacing w:after="20"/>
            </w:pPr>
            <w:r/>
            <w:r>
              <w:rPr>
                <w:sz w:val="17"/>
              </w:rPr>
              <w:t>Status / significance</w:t>
            </w:r>
          </w:p>
        </w:tc>
        <w:tc>
          <w:tcPr>
            <w:tcW w:type="dxa" w:w="7704"/>
          </w:tcPr>
          <w:p>
            <w:pPr>
              <w:spacing w:after="20"/>
            </w:pPr>
            <w:r/>
            <w:r>
              <w:rPr>
                <w:b/>
                <w:sz w:val="17"/>
              </w:rPr>
              <w:t>Deviation – Low.</w:t>
            </w:r>
            <w:r>
              <w:rPr>
                <w:sz w:val="17"/>
              </w:rPr>
              <w:t xml:space="preserve"> Because VHSI is NASDAQ-listed, DGCL § 231(a) already requires the appointment of inspectors (so the “may” language is outdated), but § 231 permits employees to serve. Allowing employees is the deviation.</w:t>
            </w:r>
          </w:p>
        </w:tc>
      </w:tr>
      <w:tr>
        <w:tc>
          <w:tcPr>
            <w:tcW w:type="dxa" w:w="1944"/>
            <w:shd w:val="clear" w:color="auto" w:fill="F2F4F8"/>
          </w:tcPr>
          <w:p>
            <w:pPr>
              <w:spacing w:after="20"/>
            </w:pPr>
            <w:r/>
            <w:r>
              <w:rPr>
                <w:sz w:val="17"/>
              </w:rPr>
              <w:t>Implementation</w:t>
            </w:r>
          </w:p>
        </w:tc>
        <w:tc>
          <w:tcPr>
            <w:tcW w:type="dxa" w:w="7704"/>
            <w:shd w:val="clear" w:color="auto" w:fill="F2F4F8"/>
          </w:tcPr>
          <w:p>
            <w:pPr>
              <w:spacing w:after="20"/>
            </w:pPr>
            <w:r/>
            <w:r>
              <w:rPr>
                <w:b/>
                <w:sz w:val="17"/>
              </w:rPr>
              <w:t>B</w:t>
            </w:r>
            <w:r>
              <w:rPr>
                <w:sz w:val="17"/>
              </w:rPr>
              <w:t xml:space="preserve"> – amend § 2.12 to require appointment of one or more independent inspectors (e.g., a professional tabulator) for every meeting, with independent alternates, and to require independent inspectors to review consents under § 2.11 while it remains in effect.</w:t>
            </w:r>
          </w:p>
        </w:tc>
      </w:tr>
      <w:tr>
        <w:tc>
          <w:tcPr>
            <w:tcW w:type="dxa" w:w="1944"/>
          </w:tcPr>
          <w:p>
            <w:pPr>
              <w:spacing w:after="20"/>
            </w:pPr>
            <w:r/>
            <w:r>
              <w:rPr>
                <w:sz w:val="17"/>
              </w:rPr>
              <w:t>Interrelated</w:t>
            </w:r>
          </w:p>
        </w:tc>
        <w:tc>
          <w:tcPr>
            <w:tcW w:type="dxa" w:w="7704"/>
          </w:tcPr>
          <w:p>
            <w:pPr>
              <w:spacing w:after="20"/>
            </w:pPr>
            <w:r/>
            <w:r>
              <w:rPr>
                <w:sz w:val="17"/>
              </w:rPr>
              <w:t>Guidelines 5.2 (consent review), 4.1 (certification date triggers resignation policy).</w:t>
            </w:r>
          </w:p>
        </w:tc>
      </w:tr>
    </w:tbl>
    <w:p>
      <w:pPr>
        <w:spacing w:after="40"/>
      </w:pPr>
    </w:p>
    <w:p>
      <w:pPr>
        <w:pStyle w:val="Heading2"/>
      </w:pPr>
      <w:r>
        <w:t>Category E – Litigation Governance and Forum Selection (Guidelines 6.1–6.3)</w:t>
      </w:r>
    </w:p>
    <w:p>
      <w:pPr>
        <w:pStyle w:val="Heading3"/>
      </w:pPr>
      <w:r>
        <w:t>Guideline 6.1 – Exclusive Forum Selection Clause  |  No Bylaw provision</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None.</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(a) Delaware forum (Court of Chancery; fallback to other Delaware state court, then the District of Delaware) for derivative, fiduciary-duty, DGCL/Certificate/Bylaw and internal-affairs claims; (b) federal district courts as exclusive forum for Securities Act of 1933 claims; Company may consent to alternative forum.</w:t>
            </w:r>
          </w:p>
        </w:tc>
      </w:tr>
      <w:tr>
        <w:tc>
          <w:tcPr>
            <w:tcW w:type="dxa" w:w="1944"/>
          </w:tcPr>
          <w:p>
            <w:pPr>
              <w:spacing w:after="20"/>
            </w:pPr>
            <w:r/>
            <w:r>
              <w:rPr>
                <w:sz w:val="17"/>
              </w:rPr>
              <w:t>Status / significance</w:t>
            </w:r>
          </w:p>
        </w:tc>
        <w:tc>
          <w:tcPr>
            <w:tcW w:type="dxa" w:w="7704"/>
          </w:tcPr>
          <w:p>
            <w:pPr>
              <w:spacing w:after="20"/>
            </w:pPr>
            <w:r/>
            <w:r>
              <w:rPr>
                <w:b/>
                <w:sz w:val="17"/>
              </w:rPr>
              <w:t>Not addressed – High</w:t>
            </w:r>
            <w:r>
              <w:rPr>
                <w:sz w:val="17"/>
              </w:rPr>
              <w:t xml:space="preserve"> (immediate risk; see E-3).</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Board-adopted forum bylaws are facially valid (Boilermakers v. Chevron (Del. Ch. 2013)); DGCL § 115 (2015) authorizes Delaware forum provisions for “internal corporate claims” but prohibits provisions barring suit in Delaware courts – the Guideline’s fallback structure complies. Federal forum provisions for Securities Act claims are facially valid (Salzberg v. Sciabacucchi (Del. 2020)). Drafting points: (i) expressly carve out claims within exclusive federal jurisdiction (e.g., Exchange Act claims) from the Delaware provision; (ii) add a “deemed notice and consent” clause binding holders of any interest in Company stock; (iii) include claims for indemnification/advancement under Article VI within the Delaware provision; (iv) do </w:t>
            </w:r>
            <w:r>
              <w:rPr>
                <w:b/>
                <w:sz w:val="17"/>
              </w:rPr>
              <w:t>not</w:t>
            </w:r>
            <w:r>
              <w:rPr>
                <w:sz w:val="17"/>
              </w:rPr>
              <w:t xml:space="preserve"> include fee-shifting, which DGCL §§ 102(f) and 109(b) prohibit for internal corporate claims; (v) include severability. The Guideline’s suggestion to also place the clause in the Certificate is optional and would require a stockholder vote; we view the Bylaw as sufficient. Some proxy advisors scrutinize unilateral adoption; disclosure of the rationale in the 2025 proxy is recommended.</w:t>
            </w:r>
          </w:p>
        </w:tc>
      </w:tr>
      <w:tr>
        <w:tc>
          <w:tcPr>
            <w:tcW w:type="dxa" w:w="1944"/>
          </w:tcPr>
          <w:p>
            <w:pPr>
              <w:spacing w:after="20"/>
            </w:pPr>
            <w:r/>
            <w:r>
              <w:rPr>
                <w:sz w:val="17"/>
              </w:rPr>
              <w:t>Implementation</w:t>
            </w:r>
          </w:p>
        </w:tc>
        <w:tc>
          <w:tcPr>
            <w:tcW w:type="dxa" w:w="7704"/>
          </w:tcPr>
          <w:p>
            <w:pPr>
              <w:spacing w:after="20"/>
            </w:pPr>
            <w:r/>
            <w:r>
              <w:rPr>
                <w:b/>
                <w:sz w:val="17"/>
              </w:rPr>
              <w:t>B</w:t>
            </w:r>
            <w:r>
              <w:rPr>
                <w:sz w:val="17"/>
              </w:rPr>
              <w:t xml:space="preserve"> – adopt now (before March 18 if possible); Form 8-K Item 5.03.</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 D</w:t>
            </w:r>
            <w:r>
              <w:rPr>
                <w:sz w:val="17"/>
              </w:rPr>
              <w:t xml:space="preserve"> – Guideline 9.1 (advancement suits), 10.3 (severability), 10.2 (governing law).</w:t>
            </w:r>
          </w:p>
        </w:tc>
      </w:tr>
    </w:tbl>
    <w:p>
      <w:pPr>
        <w:spacing w:after="40"/>
      </w:pPr>
    </w:p>
    <w:tbl>
      <w:tblPr>
        <w:tblStyle w:val="TableGrid"/>
        <w:tblW w:type="auto" w:w="0"/>
        <w:jc w:val="center"/>
        <w:tblLayout w:type="fixed"/>
        <w:tblLook w:firstColumn="1" w:firstRow="1" w:lastColumn="0" w:lastRow="0" w:noHBand="0" w:noVBand="1" w:val="04A0"/>
      </w:tblPr>
      <w:tblGrid>
        <w:gridCol w:w="1944"/>
        <w:gridCol w:w="2736"/>
        <w:gridCol w:w="1655"/>
        <w:gridCol w:w="3311"/>
      </w:tblGrid>
      <w:tr>
        <w:trPr>
          <w:tblHeader w:val="true"/>
        </w:trPr>
        <w:tc>
          <w:tcPr>
            <w:tcW w:type="dxa" w:w="1944"/>
            <w:shd w:val="clear" w:color="auto" w:fill="1F2A44"/>
          </w:tcPr>
          <w:p>
            <w:r/>
            <w:r>
              <w:rPr>
                <w:b/>
                <w:color w:val="FFFFFF"/>
                <w:sz w:val="16"/>
              </w:rPr>
              <w:t>Guideline</w:t>
            </w:r>
          </w:p>
        </w:tc>
        <w:tc>
          <w:tcPr>
            <w:tcW w:type="dxa" w:w="2736"/>
            <w:shd w:val="clear" w:color="auto" w:fill="1F2A44"/>
          </w:tcPr>
          <w:p>
            <w:r/>
            <w:r>
              <w:rPr>
                <w:b/>
                <w:color w:val="FFFFFF"/>
                <w:sz w:val="16"/>
              </w:rPr>
              <w:t>Bylaw treatment</w:t>
            </w:r>
          </w:p>
        </w:tc>
        <w:tc>
          <w:tcPr>
            <w:tcW w:type="dxa" w:w="1656"/>
            <w:shd w:val="clear" w:color="auto" w:fill="1F2A44"/>
          </w:tcPr>
          <w:p>
            <w:r/>
            <w:r>
              <w:rPr>
                <w:b/>
                <w:color w:val="FFFFFF"/>
                <w:sz w:val="16"/>
              </w:rPr>
              <w:t>Status / significance</w:t>
            </w:r>
          </w:p>
        </w:tc>
        <w:tc>
          <w:tcPr>
            <w:tcW w:type="dxa" w:w="3312"/>
            <w:shd w:val="clear" w:color="auto" w:fill="1F2A44"/>
          </w:tcPr>
          <w:p>
            <w:r/>
            <w:r>
              <w:rPr>
                <w:b/>
                <w:color w:val="FFFFFF"/>
                <w:sz w:val="16"/>
              </w:rPr>
              <w:t>Recommended action</w:t>
            </w:r>
          </w:p>
        </w:tc>
      </w:tr>
      <w:tr>
        <w:tc>
          <w:tcPr>
            <w:tcW w:type="dxa" w:w="1944"/>
          </w:tcPr>
          <w:p>
            <w:pPr>
              <w:spacing w:after="20"/>
            </w:pPr>
            <w:r/>
            <w:r>
              <w:rPr>
                <w:sz w:val="16"/>
              </w:rPr>
              <w:t>6.2 D&amp;O Insurance</w:t>
            </w:r>
          </w:p>
        </w:tc>
        <w:tc>
          <w:tcPr>
            <w:tcW w:type="dxa" w:w="2736"/>
          </w:tcPr>
          <w:p>
            <w:pPr>
              <w:spacing w:after="20"/>
            </w:pPr>
            <w:r/>
            <w:r>
              <w:rPr>
                <w:sz w:val="16"/>
              </w:rPr>
              <w:t>§ 6.5: Corporation “may” maintain insurance (DGCL § 145(g)).</w:t>
            </w:r>
          </w:p>
        </w:tc>
        <w:tc>
          <w:tcPr>
            <w:tcW w:type="dxa" w:w="1656"/>
          </w:tcPr>
          <w:p>
            <w:pPr>
              <w:spacing w:after="20"/>
            </w:pPr>
            <w:r/>
            <w:r>
              <w:rPr>
                <w:sz w:val="16"/>
              </w:rPr>
              <w:t>Partially Aligned – Low</w:t>
            </w:r>
          </w:p>
        </w:tc>
        <w:tc>
          <w:tcPr>
            <w:tcW w:type="dxa" w:w="3312"/>
          </w:tcPr>
          <w:p>
            <w:pPr>
              <w:spacing w:after="20"/>
            </w:pPr>
            <w:r/>
            <w:r>
              <w:rPr>
                <w:sz w:val="16"/>
              </w:rPr>
              <w:t>Bylaw permissive language is appropriate; maintenance and annual review are Board/Audit Committee policy (see 9.3).</w:t>
            </w:r>
          </w:p>
        </w:tc>
      </w:tr>
      <w:tr>
        <w:tc>
          <w:tcPr>
            <w:tcW w:type="dxa" w:w="1944"/>
            <w:shd w:val="clear" w:color="auto" w:fill="F2F4F8"/>
          </w:tcPr>
          <w:p>
            <w:pPr>
              <w:spacing w:after="20"/>
            </w:pPr>
            <w:r/>
            <w:r>
              <w:rPr>
                <w:sz w:val="16"/>
              </w:rPr>
              <w:t>6.3 Regulatory Cooperation</w:t>
            </w:r>
          </w:p>
        </w:tc>
        <w:tc>
          <w:tcPr>
            <w:tcW w:type="dxa" w:w="2736"/>
            <w:shd w:val="clear" w:color="auto" w:fill="F2F4F8"/>
          </w:tcPr>
          <w:p>
            <w:pPr>
              <w:spacing w:after="20"/>
            </w:pPr>
            <w:r/>
            <w:r>
              <w:rPr>
                <w:sz w:val="16"/>
              </w:rPr>
              <w:t>Silent.</w:t>
            </w:r>
          </w:p>
        </w:tc>
        <w:tc>
          <w:tcPr>
            <w:tcW w:type="dxa" w:w="1656"/>
            <w:shd w:val="clear" w:color="auto" w:fill="F2F4F8"/>
          </w:tcPr>
          <w:p>
            <w:pPr>
              <w:spacing w:after="20"/>
            </w:pPr>
            <w:r/>
            <w:r>
              <w:rPr>
                <w:sz w:val="16"/>
              </w:rPr>
              <w:t>Policy – Low</w:t>
            </w:r>
          </w:p>
        </w:tc>
        <w:tc>
          <w:tcPr>
            <w:tcW w:type="dxa" w:w="3312"/>
            <w:shd w:val="clear" w:color="auto" w:fill="F2F4F8"/>
          </w:tcPr>
          <w:p>
            <w:pPr>
              <w:spacing w:after="20"/>
            </w:pPr>
            <w:r/>
            <w:r>
              <w:rPr>
                <w:sz w:val="16"/>
              </w:rPr>
              <w:t>Board/Compliance Committee policy (SEC, HHS/OIG, OCR (HIPAA), state agencies). Coordinate with Guideline 9.1 (advancement for employees in investigations).</w:t>
            </w:r>
          </w:p>
        </w:tc>
      </w:tr>
    </w:tbl>
    <w:p>
      <w:pPr>
        <w:spacing w:after="40"/>
      </w:pPr>
    </w:p>
    <w:p>
      <w:pPr>
        <w:pStyle w:val="Heading2"/>
      </w:pPr>
      <w:r>
        <w:t>Category F – Voting Standards and Amendment Provisions (Guidelines 7.1–7.3)</w:t>
      </w:r>
    </w:p>
    <w:p>
      <w:pPr>
        <w:pStyle w:val="Heading3"/>
      </w:pPr>
      <w:r>
        <w:t>Guideline 7.1 – Elimination of Supermajority Voting Requirements  |  Bylaws §§ 3.4, 8.1; Certificate; DGCL § 203</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Two supermajority provisions: § 3.4 (75% of outstanding to remove directors – 61,800,000 shares) and § 8.1 (66⅔% of outstanding for stockholder Bylaw amendments – 54,933,334 shares). The Bylaws contain no supermajority for Certificate amendments or business combinations; whether the Certificate does is unknown.</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Eliminate all supermajority requirements in the Bylaws and Certificate (stockholder Bylaw amendments, director removal, Certificate amendments, business combinations) in favor of simple majority.</w:t>
            </w:r>
          </w:p>
        </w:tc>
      </w:tr>
      <w:tr>
        <w:tc>
          <w:tcPr>
            <w:tcW w:type="dxa" w:w="1944"/>
          </w:tcPr>
          <w:p>
            <w:pPr>
              <w:spacing w:after="20"/>
            </w:pPr>
            <w:r/>
            <w:r>
              <w:rPr>
                <w:sz w:val="17"/>
              </w:rPr>
              <w:t>Status / significance</w:t>
            </w:r>
          </w:p>
        </w:tc>
        <w:tc>
          <w:tcPr>
            <w:tcW w:type="dxa" w:w="7704"/>
          </w:tcPr>
          <w:p>
            <w:pPr>
              <w:spacing w:after="20"/>
            </w:pPr>
            <w:r/>
            <w:r>
              <w:rPr>
                <w:b/>
                <w:sz w:val="17"/>
              </w:rPr>
              <w:t>Conflict – High.</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b/>
                <w:sz w:val="17"/>
              </w:rPr>
              <w:t>Bylaw-level thresholds</w:t>
            </w:r>
            <w:r>
              <w:rPr>
                <w:sz w:val="17"/>
              </w:rPr>
              <w:t xml:space="preserve"> can be reduced by the Board under § 8.1 and DGCL § 109(a), provided the Certificate does not itself prescribe them. IPO-era certificates frequently replicate both thresholds; if so, the Certificate controls and a </w:t>
            </w:r>
            <w:r>
              <w:rPr>
                <w:b/>
                <w:sz w:val="17"/>
              </w:rPr>
              <w:t>C+S</w:t>
            </w:r>
            <w:r>
              <w:rPr>
                <w:sz w:val="17"/>
              </w:rPr>
              <w:t xml:space="preserve"> amendment is required. </w:t>
            </w:r>
            <w:r>
              <w:rPr>
                <w:b/>
                <w:sz w:val="17"/>
              </w:rPr>
              <w:t>Bootstrapping:</w:t>
            </w:r>
            <w:r>
              <w:rPr>
                <w:sz w:val="17"/>
              </w:rPr>
              <w:t xml:space="preserve"> if the Certificate requires 66⅔% (or 75%) to amend the provision being eliminated, the amendment needs that supermajority of the outstanding shares – a substantial hurdle given retail ownership and broker non-votes (brokers cannot vote uninstructed shares on Certificate amendments of this type). Mitigants: engage a proxy solicitor early; consider a lower-threshold “sunset” structure; and, if the first attempt fails, re-propose (investors and proxy advisors typically credit good-faith efforts). </w:t>
            </w:r>
            <w:r>
              <w:rPr>
                <w:b/>
                <w:sz w:val="17"/>
              </w:rPr>
              <w:t>DGCL § 203</w:t>
            </w:r>
            <w:r>
              <w:rPr>
                <w:sz w:val="17"/>
              </w:rPr>
              <w:t xml:space="preserve"> imposes a statutory 66⅔%-of-disinterested-shares vote for certain business combinations with an interested stockholder within three years; Guideline 7.1(d) would extend to § 203 only if the Board elects to opt out via a stockholder-approved Certificate amendment, which under § 203(b)(3) becomes effective 12 months after adoption. We recommend the Board consider retaining § 203 protection (it is not typically viewed as a supermajority provision by proxy advisors) and that the NCGC clarify its intent.</w:t>
            </w:r>
          </w:p>
        </w:tc>
      </w:tr>
      <w:tr>
        <w:tc>
          <w:tcPr>
            <w:tcW w:type="dxa" w:w="1944"/>
          </w:tcPr>
          <w:p>
            <w:pPr>
              <w:spacing w:after="20"/>
            </w:pPr>
            <w:r/>
            <w:r>
              <w:rPr>
                <w:sz w:val="17"/>
              </w:rPr>
              <w:t>Implementation</w:t>
            </w:r>
          </w:p>
        </w:tc>
        <w:tc>
          <w:tcPr>
            <w:tcW w:type="dxa" w:w="7704"/>
          </w:tcPr>
          <w:p>
            <w:pPr>
              <w:spacing w:after="20"/>
            </w:pPr>
            <w:r/>
            <w:r>
              <w:rPr>
                <w:b/>
                <w:sz w:val="17"/>
              </w:rPr>
              <w:t>B</w:t>
            </w:r>
            <w:r>
              <w:rPr>
                <w:sz w:val="17"/>
              </w:rPr>
              <w:t xml:space="preserve"> for §§ 3.4 and 8.1 if Bylaw-only; </w:t>
            </w:r>
            <w:r>
              <w:rPr>
                <w:b/>
                <w:sz w:val="17"/>
              </w:rPr>
              <w:t>C+S</w:t>
            </w:r>
            <w:r>
              <w:rPr>
                <w:sz w:val="17"/>
              </w:rPr>
              <w:t xml:space="preserve"> for Certificate provisions. Under the SEC’s unbundling rule (Rule 14a-4(a)(3)), each material Certificate change should be presented as a separate proposal; proposals may be cross-conditioned with clear disclosure.</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Packages A and B</w:t>
            </w:r>
            <w:r>
              <w:rPr>
                <w:sz w:val="17"/>
              </w:rPr>
              <w:t xml:space="preserve"> – Guidelines 7.2, 7.3, 3.1, 5.2.</w:t>
            </w:r>
          </w:p>
        </w:tc>
      </w:tr>
    </w:tbl>
    <w:p>
      <w:pPr>
        <w:spacing w:after="40"/>
      </w:pPr>
    </w:p>
    <w:p>
      <w:pPr>
        <w:pStyle w:val="Heading3"/>
      </w:pPr>
      <w:r>
        <w:t>Guideline 7.2 – Director Removal Standard  |  Bylaws § 3.4</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“Any director, or the entire Board … may be removed from office only for cause by the affirmative vote of the holders of at least seventy-five percent (75%) of the outstanding shares … .” “Cause” is defined narrowly (felony conviction; judicial declaration of unsound mind; gross dereliction of duty; dishonest act constituting breach of trust). The section states it is “subject to and consistent with Section 141(k)(1).”</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(a) While classified: for-cause removal, consistent with § 141(k)(1); (b) upon declassification: removal with or without cause; in all cases by a simple majority of outstanding shares.</w:t>
            </w:r>
          </w:p>
        </w:tc>
      </w:tr>
      <w:tr>
        <w:tc>
          <w:tcPr>
            <w:tcW w:type="dxa" w:w="1944"/>
          </w:tcPr>
          <w:p>
            <w:pPr>
              <w:spacing w:after="20"/>
            </w:pPr>
            <w:r/>
            <w:r>
              <w:rPr>
                <w:sz w:val="17"/>
              </w:rPr>
              <w:t>Status / significance</w:t>
            </w:r>
          </w:p>
        </w:tc>
        <w:tc>
          <w:tcPr>
            <w:tcW w:type="dxa" w:w="7704"/>
          </w:tcPr>
          <w:p>
            <w:pPr>
              <w:spacing w:after="20"/>
            </w:pPr>
            <w:r/>
            <w:r>
              <w:rPr>
                <w:b/>
                <w:sz w:val="17"/>
              </w:rPr>
              <w:t>Aligned</w:t>
            </w:r>
            <w:r>
              <w:rPr>
                <w:sz w:val="17"/>
              </w:rPr>
              <w:t xml:space="preserve"> as to the for-cause standard while the Board is classified (Guideline 7.2(a)); </w:t>
            </w:r>
            <w:r>
              <w:rPr>
                <w:b/>
                <w:sz w:val="17"/>
              </w:rPr>
              <w:t>Conflict – High</w:t>
            </w:r>
            <w:r>
              <w:rPr>
                <w:sz w:val="17"/>
              </w:rPr>
              <w:t xml:space="preserve"> as to the 75% threshold.</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DGCL § 141(k) provides for removal by “the holders of a majority of the shares then entitled to vote at an election of directors,” with for-cause-only removal for classified boards unless the certificate otherwise provides. The statement that § 3.4 is “consistent with § 141(k)(1)” is accurate only as to cause; the 75% vote departs from the statutory majority. A higher removal vote can be imposed by the Certificate (DGCL § 102(b)(4)), but the enforceability of a removal supermajority located </w:t>
            </w:r>
            <w:r>
              <w:rPr>
                <w:b/>
                <w:sz w:val="17"/>
              </w:rPr>
              <w:t>only</w:t>
            </w:r>
            <w:r>
              <w:rPr>
                <w:sz w:val="17"/>
              </w:rPr>
              <w:t xml:space="preserve"> in the Bylaws is doubtful (DGCL § 109(b) – bylaws may not be inconsistent with law). The narrow contractual definition of “cause” is not required by the Guidelines; Delaware common law already requires notice and an opportunity to be heard before removal for cause (Campbell v. Loew’s (Del. Ch. 1957)), and the Board should consider whether to retain or conform the definition. </w:t>
            </w:r>
            <w:r>
              <w:rPr>
                <w:b/>
                <w:sz w:val="17"/>
              </w:rPr>
              <w:t>Upon declassification</w:t>
            </w:r>
            <w:r>
              <w:rPr>
                <w:sz w:val="17"/>
              </w:rPr>
              <w:t xml:space="preserve"> the for-cause limitation must be eliminated: the Court of Chancery held in In re VAALCO Energy (Del. Ch. 2015) that for-cause-only removal provisions are invalid for a non-classified board. Transition drafting should address directors serving out pre-existing three-year terms during the phase-in.</w:t>
            </w:r>
          </w:p>
        </w:tc>
      </w:tr>
      <w:tr>
        <w:tc>
          <w:tcPr>
            <w:tcW w:type="dxa" w:w="1944"/>
          </w:tcPr>
          <w:p>
            <w:pPr>
              <w:spacing w:after="20"/>
            </w:pPr>
            <w:r/>
            <w:r>
              <w:rPr>
                <w:sz w:val="17"/>
              </w:rPr>
              <w:t>Implementation</w:t>
            </w:r>
          </w:p>
        </w:tc>
        <w:tc>
          <w:tcPr>
            <w:tcW w:type="dxa" w:w="7704"/>
          </w:tcPr>
          <w:p>
            <w:pPr>
              <w:spacing w:after="20"/>
            </w:pPr>
            <w:r/>
            <w:r>
              <w:rPr>
                <w:sz w:val="17"/>
              </w:rPr>
              <w:t xml:space="preserve">Step 1 (now): reduce 75% to a majority of outstanding – </w:t>
            </w:r>
            <w:r>
              <w:rPr>
                <w:b/>
                <w:sz w:val="17"/>
              </w:rPr>
              <w:t>B</w:t>
            </w:r>
            <w:r>
              <w:rPr>
                <w:sz w:val="17"/>
              </w:rPr>
              <w:t xml:space="preserve"> if the threshold is only in the Bylaws; </w:t>
            </w:r>
            <w:r>
              <w:rPr>
                <w:b/>
                <w:sz w:val="17"/>
              </w:rPr>
              <w:t>C+S</w:t>
            </w:r>
            <w:r>
              <w:rPr>
                <w:sz w:val="17"/>
              </w:rPr>
              <w:t xml:space="preserve"> if in the Certificate. Step 2: remove the for-cause limitation effective upon full declassification – </w:t>
            </w:r>
            <w:r>
              <w:rPr>
                <w:b/>
                <w:sz w:val="17"/>
              </w:rPr>
              <w:t>C+S</w:t>
            </w:r>
            <w:r>
              <w:rPr>
                <w:sz w:val="17"/>
              </w:rPr>
              <w:t xml:space="preserve"> together with Guideline 3.1, plus conforming </w:t>
            </w:r>
            <w:r>
              <w:rPr>
                <w:b/>
                <w:sz w:val="17"/>
              </w:rPr>
              <w:t>B</w:t>
            </w:r>
            <w:r>
              <w:rPr>
                <w:sz w:val="17"/>
              </w:rPr>
              <w:t>.</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 A</w:t>
            </w:r>
            <w:r>
              <w:rPr>
                <w:sz w:val="17"/>
              </w:rPr>
              <w:t xml:space="preserve"> – Guidelines 3.1, 7.1; § 3.5 (vacancy filling after removal).</w:t>
            </w:r>
          </w:p>
        </w:tc>
      </w:tr>
    </w:tbl>
    <w:p>
      <w:pPr>
        <w:spacing w:after="40"/>
      </w:pPr>
    </w:p>
    <w:p>
      <w:pPr>
        <w:pStyle w:val="Heading3"/>
      </w:pPr>
      <w:r>
        <w:t>Guideline 7.3 – Bylaw Amendment Threshold  |  Bylaws § 8.1</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Board may amend by majority of the Whole Board (subject to the Certificate). Stockholders may amend only by 66⅔% of the outstanding shares, with the proposed amendment described in the meeting notice.</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Stockholder amendment by simple majority of outstanding shares, provided the amendment is described in the notice of meeting.</w:t>
            </w:r>
          </w:p>
        </w:tc>
      </w:tr>
      <w:tr>
        <w:tc>
          <w:tcPr>
            <w:tcW w:type="dxa" w:w="1944"/>
          </w:tcPr>
          <w:p>
            <w:pPr>
              <w:spacing w:after="20"/>
            </w:pPr>
            <w:r/>
            <w:r>
              <w:rPr>
                <w:sz w:val="17"/>
              </w:rPr>
              <w:t>Status / significance</w:t>
            </w:r>
          </w:p>
        </w:tc>
        <w:tc>
          <w:tcPr>
            <w:tcW w:type="dxa" w:w="7704"/>
          </w:tcPr>
          <w:p>
            <w:pPr>
              <w:spacing w:after="20"/>
            </w:pPr>
            <w:r/>
            <w:r>
              <w:rPr>
                <w:b/>
                <w:sz w:val="17"/>
              </w:rPr>
              <w:t>Conflict – High</w:t>
            </w:r>
            <w:r>
              <w:rPr>
                <w:sz w:val="17"/>
              </w:rPr>
              <w:t xml:space="preserve"> as to threshold; </w:t>
            </w:r>
            <w:r>
              <w:rPr>
                <w:b/>
                <w:sz w:val="17"/>
              </w:rPr>
              <w:t>Aligned</w:t>
            </w:r>
            <w:r>
              <w:rPr>
                <w:sz w:val="17"/>
              </w:rPr>
              <w:t xml:space="preserve"> as to the notice requirement and the Board’s concurrent amendment power.</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If the 66⅔% threshold exists only in § 8.1, the Board can reduce it. If the Certificate also specifies it (or confers Bylaw-amendment power on the Board on conditions), </w:t>
            </w:r>
            <w:r>
              <w:rPr>
                <w:b/>
                <w:sz w:val="17"/>
              </w:rPr>
              <w:t>C+S</w:t>
            </w:r>
            <w:r>
              <w:rPr>
                <w:sz w:val="17"/>
              </w:rPr>
              <w:t xml:space="preserve"> is required, with the bootstrapping issue described under 7.1. The Guideline’s majority-of-outstanding standard (not votes cast) is consistent with DGCL § 242 practice. Note: if stockholders later amend the director-election vote standard, DGCL § 216 bars the Board from changing it.</w:t>
            </w:r>
          </w:p>
        </w:tc>
      </w:tr>
      <w:tr>
        <w:tc>
          <w:tcPr>
            <w:tcW w:type="dxa" w:w="1944"/>
          </w:tcPr>
          <w:p>
            <w:pPr>
              <w:spacing w:after="20"/>
            </w:pPr>
            <w:r/>
            <w:r>
              <w:rPr>
                <w:sz w:val="17"/>
              </w:rPr>
              <w:t>Implementation</w:t>
            </w:r>
          </w:p>
        </w:tc>
        <w:tc>
          <w:tcPr>
            <w:tcW w:type="dxa" w:w="7704"/>
          </w:tcPr>
          <w:p>
            <w:pPr>
              <w:spacing w:after="20"/>
            </w:pPr>
            <w:r/>
            <w:r>
              <w:rPr>
                <w:b/>
                <w:sz w:val="17"/>
              </w:rPr>
              <w:t>B</w:t>
            </w:r>
            <w:r>
              <w:rPr>
                <w:sz w:val="17"/>
              </w:rPr>
              <w:t xml:space="preserve"> or </w:t>
            </w:r>
            <w:r>
              <w:rPr>
                <w:b/>
                <w:sz w:val="17"/>
              </w:rPr>
              <w:t>C+S</w:t>
            </w:r>
            <w:r>
              <w:rPr>
                <w:sz w:val="17"/>
              </w:rPr>
              <w:t xml:space="preserve"> (depends on Certificate); bundle any Certificate change in the same proxy as the other Certificate proposals, as the Guideline recommends.</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sz w:val="17"/>
              </w:rPr>
              <w:t>Guideline 7.1; Package C (stockholder ability to amend advance notice/proxy access bylaws).</w:t>
            </w:r>
          </w:p>
        </w:tc>
      </w:tr>
    </w:tbl>
    <w:p>
      <w:pPr>
        <w:spacing w:after="40"/>
      </w:pPr>
    </w:p>
    <w:p>
      <w:pPr>
        <w:pStyle w:val="Heading2"/>
      </w:pPr>
      <w:r>
        <w:t>Category G – Officers (Guidelines 8.1–8.5)</w:t>
      </w:r>
    </w:p>
    <w:p>
      <w:pPr>
        <w:pStyle w:val="Heading3"/>
      </w:pPr>
      <w:r>
        <w:t>Guideline 8.1 – Required Officers  |  Bylaws § 4.1</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Required officers: CEO, President (may be the CEO), CFO, Secretary and Treasurer.</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CEO, CFO, General Counsel and Corporate Secretary at all times.</w:t>
            </w:r>
          </w:p>
        </w:tc>
      </w:tr>
      <w:tr>
        <w:tc>
          <w:tcPr>
            <w:tcW w:type="dxa" w:w="1944"/>
          </w:tcPr>
          <w:p>
            <w:pPr>
              <w:spacing w:after="20"/>
            </w:pPr>
            <w:r/>
            <w:r>
              <w:rPr>
                <w:sz w:val="17"/>
              </w:rPr>
              <w:t>Status / significance</w:t>
            </w:r>
          </w:p>
        </w:tc>
        <w:tc>
          <w:tcPr>
            <w:tcW w:type="dxa" w:w="7704"/>
          </w:tcPr>
          <w:p>
            <w:pPr>
              <w:spacing w:after="20"/>
            </w:pPr>
            <w:r/>
            <w:r>
              <w:rPr>
                <w:b/>
                <w:sz w:val="17"/>
              </w:rPr>
              <w:t>Deviation – Low.</w:t>
            </w:r>
            <w:r>
              <w:rPr>
                <w:sz w:val="17"/>
              </w:rPr>
              <w:t xml:space="preserve"> The Bylaws do not require (or describe the duties of) a General Counsel. The CEO, CFO and Secretary requirements align (the Bylaws use “Secretary” rather than “Corporate Secretary”); President and Treasurer are additional and not inconsistent.</w:t>
            </w:r>
          </w:p>
        </w:tc>
      </w:tr>
      <w:tr>
        <w:tc>
          <w:tcPr>
            <w:tcW w:type="dxa" w:w="1944"/>
            <w:shd w:val="clear" w:color="auto" w:fill="F2F4F8"/>
          </w:tcPr>
          <w:p>
            <w:pPr>
              <w:spacing w:after="20"/>
            </w:pPr>
            <w:r/>
            <w:r>
              <w:rPr>
                <w:sz w:val="17"/>
              </w:rPr>
              <w:t>Implementation</w:t>
            </w:r>
          </w:p>
        </w:tc>
        <w:tc>
          <w:tcPr>
            <w:tcW w:type="dxa" w:w="7704"/>
            <w:shd w:val="clear" w:color="auto" w:fill="F2F4F8"/>
          </w:tcPr>
          <w:p>
            <w:pPr>
              <w:spacing w:after="20"/>
            </w:pPr>
            <w:r/>
            <w:r>
              <w:rPr>
                <w:b/>
                <w:sz w:val="17"/>
              </w:rPr>
              <w:t>B</w:t>
            </w:r>
            <w:r>
              <w:rPr>
                <w:sz w:val="17"/>
              </w:rPr>
              <w:t xml:space="preserve"> – add General Counsel as a required officer with a duties section; provide for interim designation upon vacancy so the “at all times” requirement is achievable.</w:t>
            </w:r>
          </w:p>
        </w:tc>
      </w:tr>
      <w:tr>
        <w:tc>
          <w:tcPr>
            <w:tcW w:type="dxa" w:w="1944"/>
          </w:tcPr>
          <w:p>
            <w:pPr>
              <w:spacing w:after="20"/>
            </w:pPr>
            <w:r/>
            <w:r>
              <w:rPr>
                <w:sz w:val="17"/>
              </w:rPr>
              <w:t>Interrelated</w:t>
            </w:r>
          </w:p>
        </w:tc>
        <w:tc>
          <w:tcPr>
            <w:tcW w:type="dxa" w:w="7704"/>
          </w:tcPr>
          <w:p>
            <w:pPr>
              <w:spacing w:after="20"/>
            </w:pPr>
            <w:r/>
            <w:r>
              <w:rPr>
                <w:sz w:val="17"/>
              </w:rPr>
              <w:t>Guideline 8.2 (Board retains appointment of the four core officers); 10.1(d) (succession).</w:t>
            </w:r>
          </w:p>
        </w:tc>
      </w:tr>
    </w:tbl>
    <w:p>
      <w:pPr>
        <w:spacing w:after="40"/>
      </w:pPr>
    </w:p>
    <w:p>
      <w:pPr>
        <w:pStyle w:val="Heading3"/>
      </w:pPr>
      <w:r>
        <w:t>Guideline 8.2 – Delegation of Officer Appointment Authority  |  Bylaws §§ 4.1, 4.2</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“The officers of the Corporation shall be appointed by the Board of Directors” and, again, “All officers shall be appointed by the Board of Directors.” Removal and vacancy-filling are Board-only (§ 4.2).</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CEO may appoint officers at Vice President level and below without Board approval; Board retains exclusive authority to appoint and set compensation of the CEO, CFO, General Counsel and Corporate Secretary.</w:t>
            </w:r>
          </w:p>
        </w:tc>
      </w:tr>
      <w:tr>
        <w:tc>
          <w:tcPr>
            <w:tcW w:type="dxa" w:w="1944"/>
          </w:tcPr>
          <w:p>
            <w:pPr>
              <w:spacing w:after="20"/>
            </w:pPr>
            <w:r/>
            <w:r>
              <w:rPr>
                <w:sz w:val="17"/>
              </w:rPr>
              <w:t>Status / significance</w:t>
            </w:r>
          </w:p>
        </w:tc>
        <w:tc>
          <w:tcPr>
            <w:tcW w:type="dxa" w:w="7704"/>
          </w:tcPr>
          <w:p>
            <w:pPr>
              <w:spacing w:after="20"/>
            </w:pPr>
            <w:r/>
            <w:r>
              <w:rPr>
                <w:b/>
                <w:sz w:val="17"/>
              </w:rPr>
              <w:t>Conflict – Medium.</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DGCL § 142(a) permits officers to be chosen in the manner prescribed by the bylaws or Board resolution, so delegation is permissible by Bylaw. Points to address: (1) the Guideline does not say who appoints the </w:t>
            </w:r>
            <w:r>
              <w:rPr>
                <w:b/>
                <w:sz w:val="17"/>
              </w:rPr>
              <w:t>President</w:t>
            </w:r>
            <w:r>
              <w:rPr>
                <w:sz w:val="17"/>
              </w:rPr>
              <w:t xml:space="preserve"> and </w:t>
            </w:r>
            <w:r>
              <w:rPr>
                <w:b/>
                <w:sz w:val="17"/>
              </w:rPr>
              <w:t>Treasurer</w:t>
            </w:r>
            <w:r>
              <w:rPr>
                <w:sz w:val="17"/>
              </w:rPr>
              <w:t xml:space="preserve"> (Bylaw-required officers) – recommend Board retention; (2) carve out any officer who is an “executive officer” or Section 16 officer (e.g., a Vice President serving as principal accounting officer), whose compensation must be determined or recommended by the independent Compensation Committee under NASDAQ Rule 5605(d); the Guideline’s reservation of compensation-setting to the Board for only four officers should be read subject to that rule; (3) give the CEO a corresponding removal power for officers the CEO appoints, without limiting the Board’s power under § 4.2.</w:t>
            </w:r>
          </w:p>
        </w:tc>
      </w:tr>
      <w:tr>
        <w:tc>
          <w:tcPr>
            <w:tcW w:type="dxa" w:w="1944"/>
          </w:tcPr>
          <w:p>
            <w:pPr>
              <w:spacing w:after="20"/>
            </w:pPr>
            <w:r/>
            <w:r>
              <w:rPr>
                <w:sz w:val="17"/>
              </w:rPr>
              <w:t>Implementation</w:t>
            </w:r>
          </w:p>
        </w:tc>
        <w:tc>
          <w:tcPr>
            <w:tcW w:type="dxa" w:w="7704"/>
          </w:tcPr>
          <w:p>
            <w:pPr>
              <w:spacing w:after="20"/>
            </w:pPr>
            <w:r/>
            <w:r>
              <w:rPr>
                <w:b/>
                <w:sz w:val="17"/>
              </w:rPr>
              <w:t>B</w:t>
            </w:r>
            <w:r>
              <w:rPr>
                <w:sz w:val="17"/>
              </w:rPr>
              <w:t>.</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sz w:val="17"/>
              </w:rPr>
              <w:t>Guideline 8.1; Compensation Committee charter.</w:t>
            </w:r>
          </w:p>
        </w:tc>
      </w:tr>
    </w:tbl>
    <w:p>
      <w:pPr>
        <w:spacing w:after="40"/>
      </w:pPr>
    </w:p>
    <w:tbl>
      <w:tblPr>
        <w:tblStyle w:val="TableGrid"/>
        <w:tblW w:type="auto" w:w="0"/>
        <w:jc w:val="center"/>
        <w:tblLayout w:type="fixed"/>
        <w:tblLook w:firstColumn="1" w:firstRow="1" w:lastColumn="0" w:lastRow="0" w:noHBand="0" w:noVBand="1" w:val="04A0"/>
      </w:tblPr>
      <w:tblGrid>
        <w:gridCol w:w="1944"/>
        <w:gridCol w:w="2736"/>
        <w:gridCol w:w="1655"/>
        <w:gridCol w:w="3311"/>
      </w:tblGrid>
      <w:tr>
        <w:trPr>
          <w:tblHeader w:val="true"/>
        </w:trPr>
        <w:tc>
          <w:tcPr>
            <w:tcW w:type="dxa" w:w="1944"/>
            <w:shd w:val="clear" w:color="auto" w:fill="1F2A44"/>
          </w:tcPr>
          <w:p>
            <w:r/>
            <w:r>
              <w:rPr>
                <w:b/>
                <w:color w:val="FFFFFF"/>
                <w:sz w:val="16"/>
              </w:rPr>
              <w:t>Guideline</w:t>
            </w:r>
          </w:p>
        </w:tc>
        <w:tc>
          <w:tcPr>
            <w:tcW w:type="dxa" w:w="2736"/>
            <w:shd w:val="clear" w:color="auto" w:fill="1F2A44"/>
          </w:tcPr>
          <w:p>
            <w:r/>
            <w:r>
              <w:rPr>
                <w:b/>
                <w:color w:val="FFFFFF"/>
                <w:sz w:val="16"/>
              </w:rPr>
              <w:t>Bylaw treatment</w:t>
            </w:r>
          </w:p>
        </w:tc>
        <w:tc>
          <w:tcPr>
            <w:tcW w:type="dxa" w:w="1656"/>
            <w:shd w:val="clear" w:color="auto" w:fill="1F2A44"/>
          </w:tcPr>
          <w:p>
            <w:r/>
            <w:r>
              <w:rPr>
                <w:b/>
                <w:color w:val="FFFFFF"/>
                <w:sz w:val="16"/>
              </w:rPr>
              <w:t>Status / significance</w:t>
            </w:r>
          </w:p>
        </w:tc>
        <w:tc>
          <w:tcPr>
            <w:tcW w:type="dxa" w:w="3312"/>
            <w:shd w:val="clear" w:color="auto" w:fill="1F2A44"/>
          </w:tcPr>
          <w:p>
            <w:r/>
            <w:r>
              <w:rPr>
                <w:b/>
                <w:color w:val="FFFFFF"/>
                <w:sz w:val="16"/>
              </w:rPr>
              <w:t>Recommended action</w:t>
            </w:r>
          </w:p>
        </w:tc>
      </w:tr>
      <w:tr>
        <w:tc>
          <w:tcPr>
            <w:tcW w:type="dxa" w:w="1944"/>
          </w:tcPr>
          <w:p>
            <w:pPr>
              <w:spacing w:after="20"/>
            </w:pPr>
            <w:r/>
            <w:r>
              <w:rPr>
                <w:sz w:val="16"/>
              </w:rPr>
              <w:t>8.3 Succession Planning</w:t>
            </w:r>
          </w:p>
        </w:tc>
        <w:tc>
          <w:tcPr>
            <w:tcW w:type="dxa" w:w="2736"/>
          </w:tcPr>
          <w:p>
            <w:pPr>
              <w:spacing w:after="20"/>
            </w:pPr>
            <w:r/>
            <w:r>
              <w:rPr>
                <w:sz w:val="16"/>
              </w:rPr>
              <w:t>Silent.</w:t>
            </w:r>
          </w:p>
        </w:tc>
        <w:tc>
          <w:tcPr>
            <w:tcW w:type="dxa" w:w="1656"/>
          </w:tcPr>
          <w:p>
            <w:pPr>
              <w:spacing w:after="20"/>
            </w:pPr>
            <w:r/>
            <w:r>
              <w:rPr>
                <w:sz w:val="16"/>
              </w:rPr>
              <w:t>Policy – Low</w:t>
            </w:r>
          </w:p>
        </w:tc>
        <w:tc>
          <w:tcPr>
            <w:tcW w:type="dxa" w:w="3312"/>
          </w:tcPr>
          <w:p>
            <w:pPr>
              <w:spacing w:after="20"/>
            </w:pPr>
            <w:r/>
            <w:r>
              <w:rPr>
                <w:sz w:val="16"/>
              </w:rPr>
              <w:t>Board/NCGC; integrate with emergency succession (10.1(d)).</w:t>
            </w:r>
          </w:p>
        </w:tc>
      </w:tr>
      <w:tr>
        <w:tc>
          <w:tcPr>
            <w:tcW w:type="dxa" w:w="1944"/>
            <w:shd w:val="clear" w:color="auto" w:fill="F2F4F8"/>
          </w:tcPr>
          <w:p>
            <w:pPr>
              <w:spacing w:after="20"/>
            </w:pPr>
            <w:r/>
            <w:r>
              <w:rPr>
                <w:sz w:val="16"/>
              </w:rPr>
              <w:t>8.4 Clawback Policies</w:t>
            </w:r>
          </w:p>
        </w:tc>
        <w:tc>
          <w:tcPr>
            <w:tcW w:type="dxa" w:w="2736"/>
            <w:shd w:val="clear" w:color="auto" w:fill="F2F4F8"/>
          </w:tcPr>
          <w:p>
            <w:pPr>
              <w:spacing w:after="20"/>
            </w:pPr>
            <w:r/>
            <w:r>
              <w:rPr>
                <w:sz w:val="16"/>
              </w:rPr>
              <w:t>Silent.</w:t>
            </w:r>
          </w:p>
        </w:tc>
        <w:tc>
          <w:tcPr>
            <w:tcW w:type="dxa" w:w="1656"/>
            <w:shd w:val="clear" w:color="auto" w:fill="F2F4F8"/>
          </w:tcPr>
          <w:p>
            <w:pPr>
              <w:spacing w:after="20"/>
            </w:pPr>
            <w:r/>
            <w:r>
              <w:rPr>
                <w:sz w:val="16"/>
              </w:rPr>
              <w:t>Policy – Low (confirm compliance)</w:t>
            </w:r>
          </w:p>
        </w:tc>
        <w:tc>
          <w:tcPr>
            <w:tcW w:type="dxa" w:w="3312"/>
            <w:shd w:val="clear" w:color="auto" w:fill="F2F4F8"/>
          </w:tcPr>
          <w:p>
            <w:pPr>
              <w:spacing w:after="20"/>
            </w:pPr>
            <w:r/>
            <w:r>
              <w:rPr>
                <w:sz w:val="16"/>
              </w:rPr>
              <w:t>NASDAQ Rule 5608 and Exchange Act Rule 10D-1 required adoption of a compliant policy by December 1, 2023; confirm it was adopted and filed as an exhibit to the Form 10-K.</w:t>
            </w:r>
          </w:p>
        </w:tc>
      </w:tr>
      <w:tr>
        <w:tc>
          <w:tcPr>
            <w:tcW w:type="dxa" w:w="1944"/>
          </w:tcPr>
          <w:p>
            <w:pPr>
              <w:spacing w:after="20"/>
            </w:pPr>
            <w:r/>
            <w:r>
              <w:rPr>
                <w:sz w:val="16"/>
              </w:rPr>
              <w:t>8.5 Code of Business Conduct and Ethics</w:t>
            </w:r>
          </w:p>
        </w:tc>
        <w:tc>
          <w:tcPr>
            <w:tcW w:type="dxa" w:w="2736"/>
          </w:tcPr>
          <w:p>
            <w:pPr>
              <w:spacing w:after="20"/>
            </w:pPr>
            <w:r/>
            <w:r>
              <w:rPr>
                <w:sz w:val="16"/>
              </w:rPr>
              <w:t>Silent.</w:t>
            </w:r>
          </w:p>
        </w:tc>
        <w:tc>
          <w:tcPr>
            <w:tcW w:type="dxa" w:w="1656"/>
          </w:tcPr>
          <w:p>
            <w:pPr>
              <w:spacing w:after="20"/>
            </w:pPr>
            <w:r/>
            <w:r>
              <w:rPr>
                <w:sz w:val="16"/>
              </w:rPr>
              <w:t>Policy – Low (confirm compliance)</w:t>
            </w:r>
          </w:p>
        </w:tc>
        <w:tc>
          <w:tcPr>
            <w:tcW w:type="dxa" w:w="3312"/>
          </w:tcPr>
          <w:p>
            <w:pPr>
              <w:spacing w:after="20"/>
            </w:pPr>
            <w:r/>
            <w:r>
              <w:rPr>
                <w:sz w:val="16"/>
              </w:rPr>
              <w:t>Required by NASDAQ Rule 5610; confirm content and website posting; waivers for directors/executive officers require disclosure.</w:t>
            </w:r>
          </w:p>
        </w:tc>
      </w:tr>
    </w:tbl>
    <w:p>
      <w:pPr>
        <w:spacing w:after="40"/>
      </w:pPr>
    </w:p>
    <w:p>
      <w:pPr>
        <w:pStyle w:val="Heading2"/>
      </w:pPr>
      <w:r>
        <w:t>Category H – Indemnification and Insurance (Guidelines 9.1–9.3)</w:t>
      </w:r>
    </w:p>
    <w:p>
      <w:pPr>
        <w:pStyle w:val="Heading3"/>
      </w:pPr>
      <w:r>
        <w:t>Guideline 9.1 – Scope of Indemnification and Advancement  |  Bylaws §§ 6.1–6.6</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 xml:space="preserve">§ 6.1: mandatory indemnification, to the fullest extent permitted by the DGCL, of persons who are or were </w:t>
            </w:r>
            <w:r>
              <w:rPr>
                <w:b/>
                <w:sz w:val="17"/>
              </w:rPr>
              <w:t>directors or officers</w:t>
            </w:r>
            <w:r>
              <w:rPr>
                <w:sz w:val="17"/>
              </w:rPr>
              <w:t xml:space="preserve">, or who, </w:t>
            </w:r>
            <w:r>
              <w:rPr>
                <w:b/>
                <w:sz w:val="17"/>
              </w:rPr>
              <w:t>while serving as a director or officer of the Corporation</w:t>
            </w:r>
            <w:r>
              <w:rPr>
                <w:sz w:val="17"/>
              </w:rPr>
              <w:t xml:space="preserve">, serve at its request with another enterprise; excludes Proceedings initiated by the indemnitee unless Board-authorized (except § 6.3 claims). § 6.2: mandatory advancement for directors and officers “in defending” a Proceeding, subject to an undertaking; advancement for employees and agents is </w:t>
            </w:r>
            <w:r>
              <w:rPr>
                <w:b/>
                <w:sz w:val="17"/>
              </w:rPr>
              <w:t>discretionary</w:t>
            </w:r>
            <w:r>
              <w:rPr>
                <w:sz w:val="17"/>
              </w:rPr>
              <w:t>. § 6.3: 60-day claim period, fee-shifting for successful claimants, burden on the Corporation. § 6.4 non-exclusivity; § 6.5 insurance; § 6.6 vested contract rights, no retroactive impairment.</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Mandatory indemnification and advancement, to the fullest extent of DGCL § 145, for (a) directors and officers and persons serving at the Company’s request as directors or officers of another enterprise, and (b) employees and agents and persons serving at the Company’s request as employees or agents of another enterprise.</w:t>
            </w:r>
          </w:p>
        </w:tc>
      </w:tr>
      <w:tr>
        <w:tc>
          <w:tcPr>
            <w:tcW w:type="dxa" w:w="1944"/>
          </w:tcPr>
          <w:p>
            <w:pPr>
              <w:spacing w:after="20"/>
            </w:pPr>
            <w:r/>
            <w:r>
              <w:rPr>
                <w:sz w:val="17"/>
              </w:rPr>
              <w:t>Status / significance</w:t>
            </w:r>
          </w:p>
        </w:tc>
        <w:tc>
          <w:tcPr>
            <w:tcW w:type="dxa" w:w="7704"/>
          </w:tcPr>
          <w:p>
            <w:pPr>
              <w:spacing w:after="20"/>
            </w:pPr>
            <w:r/>
            <w:r>
              <w:rPr>
                <w:b/>
                <w:sz w:val="17"/>
              </w:rPr>
              <w:t>Aligned (substantially) – directors and officers. Deviation – Medium – employees and agents.</w:t>
            </w:r>
            <w:r>
              <w:rPr>
                <w:sz w:val="17"/>
              </w:rPr>
              <w:t xml:space="preserve"> §§ 6.3 and 6.6 are consistent with best practice and with DGCL § 145(f) (rights may not be eliminated after the act or omission occurs unless the provision then in effect expressly so authorized).</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Gaps against 9.1(a): § 6.1 covers outside service only if the person is concurrently a Company director or officer, whereas the Guideline covers anyone serving at the Company’s request as a director or officer of another enterprise (e.g., an employee seconded as a subsidiary or joint-venture director). § 6.2 covers only expenses “in defending,” not witness or investigative participation. Gaps against 9.1(b): no indemnification and only discretionary advancement for employees and agents (DGCL § 145(e) permits advancement to them on terms the corporation deems appropriate). Considerations before adopting 9.1(b) as written: (i) </w:t>
            </w:r>
            <w:r>
              <w:rPr>
                <w:b/>
                <w:sz w:val="17"/>
              </w:rPr>
              <w:t>cost and control</w:t>
            </w:r>
            <w:r>
              <w:rPr>
                <w:sz w:val="17"/>
              </w:rPr>
              <w:t xml:space="preserve"> – mandatory advancement to all employees and “agents” (which could include contractors and outside advisers) creates an uncapped obligation enforceable in summary proceedings in the Court of Chancery; (ii) </w:t>
            </w:r>
            <w:r>
              <w:rPr>
                <w:b/>
                <w:sz w:val="17"/>
              </w:rPr>
              <w:t>healthcare-regulatory context</w:t>
            </w:r>
            <w:r>
              <w:rPr>
                <w:sz w:val="17"/>
              </w:rPr>
              <w:t xml:space="preserve"> – employees may be subjects of HHS-OIG, DOJ False Claims Act or HIPAA investigations in which mandatory advancement could fund adverse parties or complicate cooperation credit; (iii) D&amp;O insurance may not cover employee advancement. We recommend mandatory coverage for employees serving at the Company’s request in director/officer-equivalent roles at other enterprises, and for employees generally with Board or General Counsel determination rights and customary exclusions (e.g., Proceedings brought by the Company), or confirmation by the NCGC that literal adoption is intended. Note also that the Guideline’s implementation note overstates protection: the Board can amend Article VI prospectively under § 8.1; § 6.6 and § 145(f) protect only accrued rights – which is why individual agreements (Guideline 9.2) are recommended.</w:t>
            </w:r>
          </w:p>
        </w:tc>
      </w:tr>
      <w:tr>
        <w:tc>
          <w:tcPr>
            <w:tcW w:type="dxa" w:w="1944"/>
          </w:tcPr>
          <w:p>
            <w:pPr>
              <w:spacing w:after="20"/>
            </w:pPr>
            <w:r/>
            <w:r>
              <w:rPr>
                <w:sz w:val="17"/>
              </w:rPr>
              <w:t>Implementation</w:t>
            </w:r>
          </w:p>
        </w:tc>
        <w:tc>
          <w:tcPr>
            <w:tcW w:type="dxa" w:w="7704"/>
          </w:tcPr>
          <w:p>
            <w:pPr>
              <w:spacing w:after="20"/>
            </w:pPr>
            <w:r/>
            <w:r>
              <w:rPr>
                <w:b/>
                <w:sz w:val="17"/>
              </w:rPr>
              <w:t>B</w:t>
            </w:r>
            <w:r>
              <w:rPr>
                <w:sz w:val="17"/>
              </w:rPr>
              <w:t>.</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b/>
                <w:sz w:val="17"/>
              </w:rPr>
              <w:t>Package D</w:t>
            </w:r>
            <w:r>
              <w:rPr>
                <w:sz w:val="17"/>
              </w:rPr>
              <w:t xml:space="preserve"> – Guidelines 9.2, 9.3, 6.2, 6.1; consider an officer exculpation Certificate amendment (DGCL § 102(b)(7), as amended 2022) for the 2025 proxy (Part 9).</w:t>
            </w:r>
          </w:p>
        </w:tc>
      </w:tr>
    </w:tbl>
    <w:p>
      <w:pPr>
        <w:spacing w:after="40"/>
      </w:pPr>
    </w:p>
    <w:tbl>
      <w:tblPr>
        <w:tblStyle w:val="TableGrid"/>
        <w:tblW w:type="auto" w:w="0"/>
        <w:jc w:val="center"/>
        <w:tblLayout w:type="fixed"/>
        <w:tblLook w:firstColumn="1" w:firstRow="1" w:lastColumn="0" w:lastRow="0" w:noHBand="0" w:noVBand="1" w:val="04A0"/>
      </w:tblPr>
      <w:tblGrid>
        <w:gridCol w:w="1944"/>
        <w:gridCol w:w="2736"/>
        <w:gridCol w:w="1655"/>
        <w:gridCol w:w="3311"/>
      </w:tblGrid>
      <w:tr>
        <w:trPr>
          <w:tblHeader w:val="true"/>
        </w:trPr>
        <w:tc>
          <w:tcPr>
            <w:tcW w:type="dxa" w:w="1944"/>
            <w:shd w:val="clear" w:color="auto" w:fill="1F2A44"/>
          </w:tcPr>
          <w:p>
            <w:r/>
            <w:r>
              <w:rPr>
                <w:b/>
                <w:color w:val="FFFFFF"/>
                <w:sz w:val="16"/>
              </w:rPr>
              <w:t>Guideline</w:t>
            </w:r>
          </w:p>
        </w:tc>
        <w:tc>
          <w:tcPr>
            <w:tcW w:type="dxa" w:w="2736"/>
            <w:shd w:val="clear" w:color="auto" w:fill="1F2A44"/>
          </w:tcPr>
          <w:p>
            <w:r/>
            <w:r>
              <w:rPr>
                <w:b/>
                <w:color w:val="FFFFFF"/>
                <w:sz w:val="16"/>
              </w:rPr>
              <w:t>Bylaw treatment</w:t>
            </w:r>
          </w:p>
        </w:tc>
        <w:tc>
          <w:tcPr>
            <w:tcW w:type="dxa" w:w="1656"/>
            <w:shd w:val="clear" w:color="auto" w:fill="1F2A44"/>
          </w:tcPr>
          <w:p>
            <w:r/>
            <w:r>
              <w:rPr>
                <w:b/>
                <w:color w:val="FFFFFF"/>
                <w:sz w:val="16"/>
              </w:rPr>
              <w:t>Status / significance</w:t>
            </w:r>
          </w:p>
        </w:tc>
        <w:tc>
          <w:tcPr>
            <w:tcW w:type="dxa" w:w="3312"/>
            <w:shd w:val="clear" w:color="auto" w:fill="1F2A44"/>
          </w:tcPr>
          <w:p>
            <w:r/>
            <w:r>
              <w:rPr>
                <w:b/>
                <w:color w:val="FFFFFF"/>
                <w:sz w:val="16"/>
              </w:rPr>
              <w:t>Recommended action</w:t>
            </w:r>
          </w:p>
        </w:tc>
      </w:tr>
      <w:tr>
        <w:tc>
          <w:tcPr>
            <w:tcW w:type="dxa" w:w="1944"/>
          </w:tcPr>
          <w:p>
            <w:pPr>
              <w:spacing w:after="20"/>
            </w:pPr>
            <w:r/>
            <w:r>
              <w:rPr>
                <w:sz w:val="16"/>
              </w:rPr>
              <w:t>9.2 Indemnification Agreements</w:t>
            </w:r>
          </w:p>
        </w:tc>
        <w:tc>
          <w:tcPr>
            <w:tcW w:type="dxa" w:w="2736"/>
          </w:tcPr>
          <w:p>
            <w:pPr>
              <w:spacing w:after="20"/>
            </w:pPr>
            <w:r/>
            <w:r>
              <w:rPr>
                <w:sz w:val="16"/>
              </w:rPr>
              <w:t>§ 6.4 preserves rights under any “agreement.” Bylaws do not require agreements.</w:t>
            </w:r>
          </w:p>
        </w:tc>
        <w:tc>
          <w:tcPr>
            <w:tcW w:type="dxa" w:w="1656"/>
          </w:tcPr>
          <w:p>
            <w:pPr>
              <w:spacing w:after="20"/>
            </w:pPr>
            <w:r/>
            <w:r>
              <w:rPr>
                <w:sz w:val="16"/>
              </w:rPr>
              <w:t>Partially Aligned – Low</w:t>
            </w:r>
          </w:p>
        </w:tc>
        <w:tc>
          <w:tcPr>
            <w:tcW w:type="dxa" w:w="3312"/>
          </w:tcPr>
          <w:p>
            <w:pPr>
              <w:spacing w:after="20"/>
            </w:pPr>
            <w:r/>
            <w:r>
              <w:rPr>
                <w:sz w:val="16"/>
              </w:rPr>
              <w:t>Board approves a form agreement “at least as favorable” as Article VI; confirm which directors/officers have agreements; update to match amended Article VI.</w:t>
            </w:r>
          </w:p>
        </w:tc>
      </w:tr>
      <w:tr>
        <w:tc>
          <w:tcPr>
            <w:tcW w:type="dxa" w:w="1944"/>
            <w:shd w:val="clear" w:color="auto" w:fill="F2F4F8"/>
          </w:tcPr>
          <w:p>
            <w:pPr>
              <w:spacing w:after="20"/>
            </w:pPr>
            <w:r/>
            <w:r>
              <w:rPr>
                <w:sz w:val="16"/>
              </w:rPr>
              <w:t>9.3 Insurance Review</w:t>
            </w:r>
          </w:p>
        </w:tc>
        <w:tc>
          <w:tcPr>
            <w:tcW w:type="dxa" w:w="2736"/>
            <w:shd w:val="clear" w:color="auto" w:fill="F2F4F8"/>
          </w:tcPr>
          <w:p>
            <w:pPr>
              <w:spacing w:after="20"/>
            </w:pPr>
            <w:r/>
            <w:r>
              <w:rPr>
                <w:sz w:val="16"/>
              </w:rPr>
              <w:t>§ 6.5 permissive insurance.</w:t>
            </w:r>
          </w:p>
        </w:tc>
        <w:tc>
          <w:tcPr>
            <w:tcW w:type="dxa" w:w="1656"/>
            <w:shd w:val="clear" w:color="auto" w:fill="F2F4F8"/>
          </w:tcPr>
          <w:p>
            <w:pPr>
              <w:spacing w:after="20"/>
            </w:pPr>
            <w:r/>
            <w:r>
              <w:rPr>
                <w:sz w:val="16"/>
              </w:rPr>
              <w:t>Policy – Low</w:t>
            </w:r>
          </w:p>
        </w:tc>
        <w:tc>
          <w:tcPr>
            <w:tcW w:type="dxa" w:w="3312"/>
            <w:shd w:val="clear" w:color="auto" w:fill="F2F4F8"/>
          </w:tcPr>
          <w:p>
            <w:pPr>
              <w:spacing w:after="20"/>
            </w:pPr>
            <w:r/>
            <w:r>
              <w:rPr>
                <w:sz w:val="16"/>
              </w:rPr>
              <w:t>GC annual review and report to Board/Audit Committee.</w:t>
            </w:r>
          </w:p>
        </w:tc>
      </w:tr>
    </w:tbl>
    <w:p>
      <w:pPr>
        <w:spacing w:after="40"/>
      </w:pPr>
    </w:p>
    <w:p>
      <w:pPr>
        <w:pStyle w:val="Heading2"/>
      </w:pPr>
      <w:r>
        <w:t>Category I – Emergency Provisions and Miscellaneous (Guidelines 10.1–10.5)</w:t>
      </w:r>
    </w:p>
    <w:p>
      <w:pPr>
        <w:pStyle w:val="Heading3"/>
      </w:pPr>
      <w:r>
        <w:t>Guideline 10.1 – Emergency Bylaws  |  No Bylaw provision (§§ 3.8, 3.9, 3.11 relevant)</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w:t>
            </w:r>
          </w:p>
        </w:tc>
        <w:tc>
          <w:tcPr>
            <w:tcW w:type="dxa" w:w="7704"/>
          </w:tcPr>
          <w:p>
            <w:pPr>
              <w:spacing w:after="20"/>
            </w:pPr>
            <w:r/>
            <w:r>
              <w:rPr>
                <w:sz w:val="17"/>
              </w:rPr>
              <w:t>No emergency bylaws. § 3.9 requires a majority of the total authorized number of directors for a Board quorum; § 3.11 permits telephone/communications participation; § 3.8 requires 24 hours’ notice of special meetings; §§ 4.3 and 4.10 provide limited succession for the Chair and Secretary/Treasurer.</w:t>
            </w:r>
          </w:p>
        </w:tc>
      </w:tr>
      <w:tr>
        <w:tc>
          <w:tcPr>
            <w:tcW w:type="dxa" w:w="1944"/>
            <w:shd w:val="clear" w:color="auto" w:fill="F2F4F8"/>
          </w:tcPr>
          <w:p>
            <w:pPr>
              <w:spacing w:after="20"/>
            </w:pPr>
            <w:r/>
            <w:r>
              <w:rPr>
                <w:sz w:val="17"/>
              </w:rPr>
              <w:t>Guideline standard</w:t>
            </w:r>
          </w:p>
        </w:tc>
        <w:tc>
          <w:tcPr>
            <w:tcW w:type="dxa" w:w="7704"/>
            <w:shd w:val="clear" w:color="auto" w:fill="F2F4F8"/>
          </w:tcPr>
          <w:p>
            <w:pPr>
              <w:spacing w:after="20"/>
            </w:pPr>
            <w:r/>
            <w:r>
              <w:rPr>
                <w:sz w:val="17"/>
              </w:rPr>
              <w:t>DGCL § 110 emergency bylaws addressing (a) calling/conducting meetings by any available means; (b) designation of officers or others to act as directors; (c) reduced quorum (directors present); (d) officer lines of succession; (e) no liability for good-faith action except willful misconduct; broad definition of emergency including pandemic and cyberattack.</w:t>
            </w:r>
          </w:p>
        </w:tc>
      </w:tr>
      <w:tr>
        <w:tc>
          <w:tcPr>
            <w:tcW w:type="dxa" w:w="1944"/>
          </w:tcPr>
          <w:p>
            <w:pPr>
              <w:spacing w:after="20"/>
            </w:pPr>
            <w:r/>
            <w:r>
              <w:rPr>
                <w:sz w:val="17"/>
              </w:rPr>
              <w:t>Status / significance</w:t>
            </w:r>
          </w:p>
        </w:tc>
        <w:tc>
          <w:tcPr>
            <w:tcW w:type="dxa" w:w="7704"/>
          </w:tcPr>
          <w:p>
            <w:pPr>
              <w:spacing w:after="20"/>
            </w:pPr>
            <w:r/>
            <w:r>
              <w:rPr>
                <w:b/>
                <w:sz w:val="17"/>
              </w:rPr>
              <w:t>Not addressed – Medium.</w:t>
            </w:r>
            <w:r>
              <w:rPr>
                <w:sz w:val="17"/>
              </w:rPr>
              <w:t xml:space="preserve"> Heightened importance for a healthcare IT provider whose systems support clinical operations; a cyberattack is a realistic scenario.</w:t>
            </w:r>
          </w:p>
        </w:tc>
      </w:tr>
      <w:tr>
        <w:tc>
          <w:tcPr>
            <w:tcW w:type="dxa" w:w="1944"/>
            <w:shd w:val="clear" w:color="auto" w:fill="F2F4F8"/>
          </w:tcPr>
          <w:p>
            <w:pPr>
              <w:spacing w:after="20"/>
            </w:pPr>
            <w:r/>
            <w:r>
              <w:rPr>
                <w:sz w:val="17"/>
              </w:rPr>
              <w:t>Analysis</w:t>
            </w:r>
          </w:p>
        </w:tc>
        <w:tc>
          <w:tcPr>
            <w:tcW w:type="dxa" w:w="7704"/>
            <w:shd w:val="clear" w:color="auto" w:fill="F2F4F8"/>
          </w:tcPr>
          <w:p>
            <w:pPr>
              <w:spacing w:after="20"/>
            </w:pPr>
            <w:r/>
            <w:r>
              <w:rPr>
                <w:sz w:val="17"/>
              </w:rPr>
              <w:t xml:space="preserve">DGCL § 110 authorizes the Board to adopt emergency bylaws effective during an emergency resulting from an attack, nuclear disaster, catastrophe or other similar emergency condition (including a pandemic or declared national emergency) “as a result of which a quorum of the board of directors or a standing committee thereof cannot readily be convened.” § 110(d) provides the no-liability protection in Guideline 10.1(e). The Guideline’s definition (“any event that makes it impracticable for the Board to convene a meeting in the manner otherwise required”) is </w:t>
            </w:r>
            <w:r>
              <w:rPr>
                <w:b/>
                <w:sz w:val="17"/>
              </w:rPr>
              <w:t>broader than the statute</w:t>
            </w:r>
            <w:r>
              <w:rPr>
                <w:sz w:val="17"/>
              </w:rPr>
              <w:t>; to preserve the statutory protections, the definition should be tied to the § 110 quorum condition (a cyberattack qualifies when it prevents a quorum from readily convening). Even without emergency bylaws, § 110(i) (added 2020) gives the Board limited emergency powers over stockholder meetings (e.g., changing to remote communication, postponement).</w:t>
            </w:r>
          </w:p>
        </w:tc>
      </w:tr>
      <w:tr>
        <w:tc>
          <w:tcPr>
            <w:tcW w:type="dxa" w:w="1944"/>
          </w:tcPr>
          <w:p>
            <w:pPr>
              <w:spacing w:after="20"/>
            </w:pPr>
            <w:r/>
            <w:r>
              <w:rPr>
                <w:sz w:val="17"/>
              </w:rPr>
              <w:t>Implementation</w:t>
            </w:r>
          </w:p>
        </w:tc>
        <w:tc>
          <w:tcPr>
            <w:tcW w:type="dxa" w:w="7704"/>
          </w:tcPr>
          <w:p>
            <w:pPr>
              <w:spacing w:after="20"/>
            </w:pPr>
            <w:r/>
            <w:r>
              <w:rPr>
                <w:b/>
                <w:sz w:val="17"/>
              </w:rPr>
              <w:t>B</w:t>
            </w:r>
            <w:r>
              <w:rPr>
                <w:sz w:val="17"/>
              </w:rPr>
              <w:t xml:space="preserve"> (DGCL § 110 expressly permits Board adoption).</w:t>
            </w:r>
          </w:p>
        </w:tc>
      </w:tr>
      <w:tr>
        <w:tc>
          <w:tcPr>
            <w:tcW w:type="dxa" w:w="1944"/>
            <w:shd w:val="clear" w:color="auto" w:fill="F2F4F8"/>
          </w:tcPr>
          <w:p>
            <w:pPr>
              <w:spacing w:after="20"/>
            </w:pPr>
            <w:r/>
            <w:r>
              <w:rPr>
                <w:sz w:val="17"/>
              </w:rPr>
              <w:t>Interrelated</w:t>
            </w:r>
          </w:p>
        </w:tc>
        <w:tc>
          <w:tcPr>
            <w:tcW w:type="dxa" w:w="7704"/>
            <w:shd w:val="clear" w:color="auto" w:fill="F2F4F8"/>
          </w:tcPr>
          <w:p>
            <w:pPr>
              <w:spacing w:after="20"/>
            </w:pPr>
            <w:r/>
            <w:r>
              <w:rPr>
                <w:sz w:val="17"/>
              </w:rPr>
              <w:t>Guidelines 8.1, 8.3 (succession), 2.1 (presiding director); Board quorum § 3.9.</w:t>
            </w:r>
          </w:p>
        </w:tc>
      </w:tr>
    </w:tbl>
    <w:p>
      <w:pPr>
        <w:spacing w:after="40"/>
      </w:pPr>
    </w:p>
    <w:p>
      <w:pPr>
        <w:pStyle w:val="Heading3"/>
      </w:pPr>
      <w:r>
        <w:t>Guideline 10.2 – Governing Law  |  Preamble; § 7.5</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 / status</w:t>
            </w:r>
          </w:p>
        </w:tc>
        <w:tc>
          <w:tcPr>
            <w:tcW w:type="dxa" w:w="7704"/>
          </w:tcPr>
          <w:p>
            <w:pPr>
              <w:spacing w:after="20"/>
            </w:pPr>
            <w:r/>
            <w:r>
              <w:rPr>
                <w:sz w:val="17"/>
              </w:rPr>
              <w:t xml:space="preserve">The Preamble states the Bylaws are subject to the DGCL; § 7.5 applies DGCL rules of construction. There is no express governing-law clause. </w:t>
            </w:r>
            <w:r>
              <w:rPr>
                <w:b/>
                <w:sz w:val="17"/>
              </w:rPr>
              <w:t>Partially Aligned – Low.</w:t>
            </w:r>
            <w:r>
              <w:rPr>
                <w:sz w:val="17"/>
              </w:rPr>
              <w:t xml:space="preserve"> The internal affairs doctrine already applies Delaware law; an express clause adds certainty.</w:t>
            </w:r>
          </w:p>
        </w:tc>
      </w:tr>
      <w:tr>
        <w:tc>
          <w:tcPr>
            <w:tcW w:type="dxa" w:w="1944"/>
            <w:shd w:val="clear" w:color="auto" w:fill="F2F4F8"/>
          </w:tcPr>
          <w:p>
            <w:pPr>
              <w:spacing w:after="20"/>
            </w:pPr>
            <w:r/>
            <w:r>
              <w:rPr>
                <w:sz w:val="17"/>
              </w:rPr>
              <w:t>Implementation</w:t>
            </w:r>
          </w:p>
        </w:tc>
        <w:tc>
          <w:tcPr>
            <w:tcW w:type="dxa" w:w="7704"/>
            <w:shd w:val="clear" w:color="auto" w:fill="F2F4F8"/>
          </w:tcPr>
          <w:p>
            <w:pPr>
              <w:spacing w:after="20"/>
            </w:pPr>
            <w:r/>
            <w:r>
              <w:rPr>
                <w:b/>
                <w:sz w:val="17"/>
              </w:rPr>
              <w:t>B</w:t>
            </w:r>
            <w:r>
              <w:rPr>
                <w:sz w:val="17"/>
              </w:rPr>
              <w:t xml:space="preserve"> – add an express Delaware governing-law clause without regard to conflicts principles; coordinate with Guideline 6.1.</w:t>
            </w:r>
          </w:p>
        </w:tc>
      </w:tr>
    </w:tbl>
    <w:p>
      <w:pPr>
        <w:spacing w:after="40"/>
      </w:pPr>
    </w:p>
    <w:p>
      <w:pPr>
        <w:pStyle w:val="Heading3"/>
      </w:pPr>
      <w:r>
        <w:t>Guideline 10.3 – Severability  |  None</w:t>
      </w:r>
    </w:p>
    <w:tbl>
      <w:tblPr>
        <w:tblStyle w:val="TableGrid"/>
        <w:tblW w:type="auto" w:w="0"/>
        <w:jc w:val="center"/>
        <w:tblLayout w:type="fixed"/>
        <w:tblLook w:firstColumn="1" w:firstRow="1" w:lastColumn="0" w:lastRow="0" w:noHBand="0" w:noVBand="1" w:val="04A0"/>
      </w:tblPr>
      <w:tblGrid>
        <w:gridCol w:w="1944"/>
        <w:gridCol w:w="7703"/>
      </w:tblGrid>
      <w:tr>
        <w:trPr>
          <w:tblHeader w:val="true"/>
        </w:trPr>
        <w:tc>
          <w:tcPr>
            <w:tcW w:type="dxa" w:w="1944"/>
            <w:shd w:val="clear" w:color="auto" w:fill="1F2A44"/>
          </w:tcPr>
          <w:p>
            <w:r/>
            <w:r>
              <w:rPr>
                <w:b/>
                <w:color w:val="FFFFFF"/>
                <w:sz w:val="17"/>
              </w:rPr>
              <w:t>Element</w:t>
            </w:r>
          </w:p>
        </w:tc>
        <w:tc>
          <w:tcPr>
            <w:tcW w:type="dxa" w:w="7704"/>
            <w:shd w:val="clear" w:color="auto" w:fill="1F2A44"/>
          </w:tcPr>
          <w:p>
            <w:r/>
            <w:r>
              <w:rPr>
                <w:b/>
                <w:color w:val="FFFFFF"/>
                <w:sz w:val="17"/>
              </w:rPr>
              <w:t>Analysis</w:t>
            </w:r>
          </w:p>
        </w:tc>
      </w:tr>
      <w:tr>
        <w:tc>
          <w:tcPr>
            <w:tcW w:type="dxa" w:w="1944"/>
          </w:tcPr>
          <w:p>
            <w:pPr>
              <w:spacing w:after="20"/>
            </w:pPr>
            <w:r/>
            <w:r>
              <w:rPr>
                <w:sz w:val="17"/>
              </w:rPr>
              <w:t>Current Bylaws / status</w:t>
            </w:r>
          </w:p>
        </w:tc>
        <w:tc>
          <w:tcPr>
            <w:tcW w:type="dxa" w:w="7704"/>
          </w:tcPr>
          <w:p>
            <w:pPr>
              <w:spacing w:after="20"/>
            </w:pPr>
            <w:r/>
            <w:r>
              <w:rPr>
                <w:sz w:val="17"/>
              </w:rPr>
              <w:t xml:space="preserve">No severability provision. </w:t>
            </w:r>
            <w:r>
              <w:rPr>
                <w:b/>
                <w:sz w:val="17"/>
              </w:rPr>
              <w:t>Not addressed – Low</w:t>
            </w:r>
            <w:r>
              <w:rPr>
                <w:sz w:val="17"/>
              </w:rPr>
              <w:t>, but its importance rises once forum, advance notice, proxy access and special meeting provisions are added (cf. Kellner, where individual advance notice provisions were struck).</w:t>
            </w:r>
          </w:p>
        </w:tc>
      </w:tr>
      <w:tr>
        <w:tc>
          <w:tcPr>
            <w:tcW w:type="dxa" w:w="1944"/>
            <w:shd w:val="clear" w:color="auto" w:fill="F2F4F8"/>
          </w:tcPr>
          <w:p>
            <w:pPr>
              <w:spacing w:after="20"/>
            </w:pPr>
            <w:r/>
            <w:r>
              <w:rPr>
                <w:sz w:val="17"/>
              </w:rPr>
              <w:t>Implementation</w:t>
            </w:r>
          </w:p>
        </w:tc>
        <w:tc>
          <w:tcPr>
            <w:tcW w:type="dxa" w:w="7704"/>
            <w:shd w:val="clear" w:color="auto" w:fill="F2F4F8"/>
          </w:tcPr>
          <w:p>
            <w:pPr>
              <w:spacing w:after="20"/>
            </w:pPr>
            <w:r/>
            <w:r>
              <w:rPr>
                <w:b/>
                <w:sz w:val="17"/>
              </w:rPr>
              <w:t>B</w:t>
            </w:r>
            <w:r>
              <w:rPr>
                <w:sz w:val="17"/>
              </w:rPr>
              <w:t xml:space="preserve"> – add a general severability clause and provision-specific severability in §§ 2.10 and the new forum section.</w:t>
            </w:r>
          </w:p>
        </w:tc>
      </w:tr>
    </w:tbl>
    <w:p>
      <w:pPr>
        <w:spacing w:after="40"/>
      </w:pPr>
    </w:p>
    <w:tbl>
      <w:tblPr>
        <w:tblStyle w:val="TableGrid"/>
        <w:tblW w:type="auto" w:w="0"/>
        <w:jc w:val="center"/>
        <w:tblLayout w:type="fixed"/>
        <w:tblLook w:firstColumn="1" w:firstRow="1" w:lastColumn="0" w:lastRow="0" w:noHBand="0" w:noVBand="1" w:val="04A0"/>
      </w:tblPr>
      <w:tblGrid>
        <w:gridCol w:w="1944"/>
        <w:gridCol w:w="2736"/>
        <w:gridCol w:w="1655"/>
        <w:gridCol w:w="3311"/>
      </w:tblGrid>
      <w:tr>
        <w:trPr>
          <w:tblHeader w:val="true"/>
        </w:trPr>
        <w:tc>
          <w:tcPr>
            <w:tcW w:type="dxa" w:w="1944"/>
            <w:shd w:val="clear" w:color="auto" w:fill="1F2A44"/>
          </w:tcPr>
          <w:p>
            <w:r/>
            <w:r>
              <w:rPr>
                <w:b/>
                <w:color w:val="FFFFFF"/>
                <w:sz w:val="16"/>
              </w:rPr>
              <w:t>Guideline</w:t>
            </w:r>
          </w:p>
        </w:tc>
        <w:tc>
          <w:tcPr>
            <w:tcW w:type="dxa" w:w="2736"/>
            <w:shd w:val="clear" w:color="auto" w:fill="1F2A44"/>
          </w:tcPr>
          <w:p>
            <w:r/>
            <w:r>
              <w:rPr>
                <w:b/>
                <w:color w:val="FFFFFF"/>
                <w:sz w:val="16"/>
              </w:rPr>
              <w:t>Bylaw treatment</w:t>
            </w:r>
          </w:p>
        </w:tc>
        <w:tc>
          <w:tcPr>
            <w:tcW w:type="dxa" w:w="1656"/>
            <w:shd w:val="clear" w:color="auto" w:fill="1F2A44"/>
          </w:tcPr>
          <w:p>
            <w:r/>
            <w:r>
              <w:rPr>
                <w:b/>
                <w:color w:val="FFFFFF"/>
                <w:sz w:val="16"/>
              </w:rPr>
              <w:t>Status / significance</w:t>
            </w:r>
          </w:p>
        </w:tc>
        <w:tc>
          <w:tcPr>
            <w:tcW w:type="dxa" w:w="3312"/>
            <w:shd w:val="clear" w:color="auto" w:fill="1F2A44"/>
          </w:tcPr>
          <w:p>
            <w:r/>
            <w:r>
              <w:rPr>
                <w:b/>
                <w:color w:val="FFFFFF"/>
                <w:sz w:val="16"/>
              </w:rPr>
              <w:t>Recommended action</w:t>
            </w:r>
          </w:p>
        </w:tc>
      </w:tr>
      <w:tr>
        <w:tc>
          <w:tcPr>
            <w:tcW w:type="dxa" w:w="1944"/>
          </w:tcPr>
          <w:p>
            <w:pPr>
              <w:spacing w:after="20"/>
            </w:pPr>
            <w:r/>
            <w:r>
              <w:rPr>
                <w:sz w:val="16"/>
              </w:rPr>
              <w:t>10.4 Annual Governance Review</w:t>
            </w:r>
          </w:p>
        </w:tc>
        <w:tc>
          <w:tcPr>
            <w:tcW w:type="dxa" w:w="2736"/>
          </w:tcPr>
          <w:p>
            <w:pPr>
              <w:spacing w:after="20"/>
            </w:pPr>
            <w:r/>
            <w:r>
              <w:rPr>
                <w:sz w:val="16"/>
              </w:rPr>
              <w:t>Silent.</w:t>
            </w:r>
          </w:p>
        </w:tc>
        <w:tc>
          <w:tcPr>
            <w:tcW w:type="dxa" w:w="1656"/>
          </w:tcPr>
          <w:p>
            <w:pPr>
              <w:spacing w:after="20"/>
            </w:pPr>
            <w:r/>
            <w:r>
              <w:rPr>
                <w:sz w:val="16"/>
              </w:rPr>
              <w:t>Policy – Low</w:t>
            </w:r>
          </w:p>
        </w:tc>
        <w:tc>
          <w:tcPr>
            <w:tcW w:type="dxa" w:w="3312"/>
          </w:tcPr>
          <w:p>
            <w:pPr>
              <w:spacing w:after="20"/>
            </w:pPr>
            <w:r/>
            <w:r>
              <w:rPr>
                <w:sz w:val="16"/>
              </w:rPr>
              <w:t>NCGC Charter; report by first regular Board meeting after fiscal year-end (Dec. 31 year-end, § 7.1).</w:t>
            </w:r>
          </w:p>
        </w:tc>
      </w:tr>
      <w:tr>
        <w:tc>
          <w:tcPr>
            <w:tcW w:type="dxa" w:w="1944"/>
            <w:shd w:val="clear" w:color="auto" w:fill="F2F4F8"/>
          </w:tcPr>
          <w:p>
            <w:pPr>
              <w:spacing w:after="20"/>
            </w:pPr>
            <w:r/>
            <w:r>
              <w:rPr>
                <w:sz w:val="16"/>
              </w:rPr>
              <w:t>10.5 Stockholder Engagement</w:t>
            </w:r>
          </w:p>
        </w:tc>
        <w:tc>
          <w:tcPr>
            <w:tcW w:type="dxa" w:w="2736"/>
            <w:shd w:val="clear" w:color="auto" w:fill="F2F4F8"/>
          </w:tcPr>
          <w:p>
            <w:pPr>
              <w:spacing w:after="20"/>
            </w:pPr>
            <w:r/>
            <w:r>
              <w:rPr>
                <w:sz w:val="16"/>
              </w:rPr>
              <w:t>Silent.</w:t>
            </w:r>
          </w:p>
        </w:tc>
        <w:tc>
          <w:tcPr>
            <w:tcW w:type="dxa" w:w="1656"/>
            <w:shd w:val="clear" w:color="auto" w:fill="F2F4F8"/>
          </w:tcPr>
          <w:p>
            <w:pPr>
              <w:spacing w:after="20"/>
            </w:pPr>
            <w:r/>
            <w:r>
              <w:rPr>
                <w:sz w:val="16"/>
              </w:rPr>
              <w:t>Policy – Low</w:t>
            </w:r>
          </w:p>
        </w:tc>
        <w:tc>
          <w:tcPr>
            <w:tcW w:type="dxa" w:w="3312"/>
            <w:shd w:val="clear" w:color="auto" w:fill="F2F4F8"/>
          </w:tcPr>
          <w:p>
            <w:pPr>
              <w:spacing w:after="20"/>
            </w:pPr>
            <w:r/>
            <w:r>
              <w:rPr>
                <w:sz w:val="16"/>
              </w:rPr>
              <w:t>Board policy; off-season outreach will be essential to obtain the votes for the Certificate proposals (Part 7).</w:t>
            </w:r>
          </w:p>
        </w:tc>
      </w:tr>
    </w:tbl>
    <w:p>
      <w:pPr>
        <w:spacing w:after="40"/>
      </w:pPr>
    </w:p>
    <w:p>
      <w:pPr>
        <w:pStyle w:val="Heading1"/>
      </w:pPr>
      <w:r>
        <w:t>6. Interrelated Deviations – Packages to Be Implemented Together</w:t>
      </w:r>
    </w:p>
    <w:p>
      <w:r>
        <w:rPr/>
        <w:t>The Board specifically asked us to identify deviations that should be addressed as a package. Adopting any element of these packages in isolation would create internal inconsistencies or unintended consequences.</w:t>
      </w:r>
    </w:p>
    <w:tbl>
      <w:tblPr>
        <w:tblStyle w:val="TableGrid"/>
        <w:tblW w:type="auto" w:w="0"/>
        <w:jc w:val="center"/>
        <w:tblLayout w:type="fixed"/>
        <w:tblLook w:firstColumn="1" w:firstRow="1" w:lastColumn="0" w:lastRow="0" w:noHBand="0" w:noVBand="1" w:val="04A0"/>
      </w:tblPr>
      <w:tblGrid>
        <w:gridCol w:w="1584"/>
        <w:gridCol w:w="2376"/>
        <w:gridCol w:w="4248"/>
        <w:gridCol w:w="1440"/>
      </w:tblGrid>
      <w:tr>
        <w:trPr>
          <w:tblHeader w:val="true"/>
        </w:trPr>
        <w:tc>
          <w:tcPr>
            <w:tcW w:type="dxa" w:w="1584"/>
            <w:shd w:val="clear" w:color="auto" w:fill="1F2A44"/>
          </w:tcPr>
          <w:p>
            <w:r/>
            <w:r>
              <w:rPr>
                <w:b/>
                <w:color w:val="FFFFFF"/>
                <w:sz w:val="16"/>
              </w:rPr>
              <w:t>Package</w:t>
            </w:r>
          </w:p>
        </w:tc>
        <w:tc>
          <w:tcPr>
            <w:tcW w:type="dxa" w:w="2376"/>
            <w:shd w:val="clear" w:color="auto" w:fill="1F2A44"/>
          </w:tcPr>
          <w:p>
            <w:r/>
            <w:r>
              <w:rPr>
                <w:b/>
                <w:color w:val="FFFFFF"/>
                <w:sz w:val="16"/>
              </w:rPr>
              <w:t>Elements (Guideline / Bylaw §)</w:t>
            </w:r>
          </w:p>
        </w:tc>
        <w:tc>
          <w:tcPr>
            <w:tcW w:type="dxa" w:w="4248"/>
            <w:shd w:val="clear" w:color="auto" w:fill="1F2A44"/>
          </w:tcPr>
          <w:p>
            <w:r/>
            <w:r>
              <w:rPr>
                <w:b/>
                <w:color w:val="FFFFFF"/>
                <w:sz w:val="16"/>
              </w:rPr>
              <w:t>Why they must move together</w:t>
            </w:r>
          </w:p>
        </w:tc>
        <w:tc>
          <w:tcPr>
            <w:tcW w:type="dxa" w:w="1440"/>
            <w:shd w:val="clear" w:color="auto" w:fill="1F2A44"/>
          </w:tcPr>
          <w:p>
            <w:r/>
            <w:r>
              <w:rPr>
                <w:b/>
                <w:color w:val="FFFFFF"/>
                <w:sz w:val="16"/>
              </w:rPr>
              <w:t>Path</w:t>
            </w:r>
          </w:p>
        </w:tc>
      </w:tr>
      <w:tr>
        <w:tc>
          <w:tcPr>
            <w:tcW w:type="dxa" w:w="1584"/>
          </w:tcPr>
          <w:p>
            <w:pPr>
              <w:spacing w:after="20"/>
            </w:pPr>
            <w:r/>
            <w:r>
              <w:rPr>
                <w:b/>
                <w:sz w:val="16"/>
              </w:rPr>
              <w:t>A. Board accountability</w:t>
            </w:r>
          </w:p>
        </w:tc>
        <w:tc>
          <w:tcPr>
            <w:tcW w:type="dxa" w:w="2376"/>
          </w:tcPr>
          <w:p>
            <w:pPr>
              <w:spacing w:after="20"/>
            </w:pPr>
            <w:r/>
            <w:r>
              <w:rPr>
                <w:sz w:val="16"/>
              </w:rPr>
              <w:t>3.1 declassification (§§ 3.2, 3.3); 7.2 removal (§ 3.4); 7.1 supermajority (§ 3.4); vacancies (§ 3.5); 4.1 majority voting (§ 2.7); 4.3 proxy access cap</w:t>
            </w:r>
          </w:p>
        </w:tc>
        <w:tc>
          <w:tcPr>
            <w:tcW w:type="dxa" w:w="4248"/>
          </w:tcPr>
          <w:p>
            <w:pPr>
              <w:spacing w:after="20"/>
            </w:pPr>
            <w:r/>
            <w:r>
              <w:rPr>
                <w:sz w:val="16"/>
              </w:rPr>
              <w:t>Declassification changes the statutory removal standard (§ 141(k)(1) for-cause protection ends; VAALCO); vacancy appointees must serve until the next annual meeting rather than the remainder of a class term; the 75% removal threshold must fall regardless (7.2(ii)); majority voting and proxy access caps should be calibrated to annual elections. Removing for-cause protection before declassification is unnecessary; keeping it after declassification is invalid.</w:t>
            </w:r>
          </w:p>
        </w:tc>
        <w:tc>
          <w:tcPr>
            <w:tcW w:type="dxa" w:w="1440"/>
          </w:tcPr>
          <w:p>
            <w:pPr>
              <w:spacing w:after="20"/>
            </w:pPr>
            <w:r/>
            <w:r>
              <w:rPr>
                <w:sz w:val="16"/>
              </w:rPr>
              <w:t>C+S (Certificate) + conforming B, with phase-in transition language</w:t>
            </w:r>
          </w:p>
        </w:tc>
      </w:tr>
      <w:tr>
        <w:tc>
          <w:tcPr>
            <w:tcW w:type="dxa" w:w="1584"/>
            <w:shd w:val="clear" w:color="auto" w:fill="F2F4F8"/>
          </w:tcPr>
          <w:p>
            <w:pPr>
              <w:spacing w:after="20"/>
            </w:pPr>
            <w:r/>
            <w:r>
              <w:rPr>
                <w:b/>
                <w:sz w:val="16"/>
              </w:rPr>
              <w:t>B. Stockholder action between meetings</w:t>
            </w:r>
          </w:p>
        </w:tc>
        <w:tc>
          <w:tcPr>
            <w:tcW w:type="dxa" w:w="2376"/>
            <w:shd w:val="clear" w:color="auto" w:fill="F2F4F8"/>
          </w:tcPr>
          <w:p>
            <w:pPr>
              <w:spacing w:after="20"/>
            </w:pPr>
            <w:r/>
            <w:r>
              <w:rPr>
                <w:sz w:val="16"/>
              </w:rPr>
              <w:t>5.2 written consent (§ 2.11); 5.3 special meetings (§ 2.3, § 2.10(e)); 5.1 quorum (§ 2.5); interim consent procedures</w:t>
            </w:r>
          </w:p>
        </w:tc>
        <w:tc>
          <w:tcPr>
            <w:tcW w:type="dxa" w:w="4248"/>
            <w:shd w:val="clear" w:color="auto" w:fill="F2F4F8"/>
          </w:tcPr>
          <w:p>
            <w:pPr>
              <w:spacing w:after="20"/>
            </w:pPr>
            <w:r/>
            <w:r>
              <w:rPr>
                <w:sz w:val="16"/>
              </w:rPr>
              <w:t>Today written consent is the only intermeeting tool (§ 2.3 bars stockholder-called meetings). Eliminating consent before a special meeting right exists would leave stockholders with no mechanism, contrary to both Guidelines and likely to draw proxy-advisor opposition. A one-third quorum combined with a 25% call right lowers the effective approval threshold for ordinary matters at stockholder-called meetings to ~16.7% of outstanding.</w:t>
            </w:r>
          </w:p>
        </w:tc>
        <w:tc>
          <w:tcPr>
            <w:tcW w:type="dxa" w:w="1440"/>
            <w:shd w:val="clear" w:color="auto" w:fill="F2F4F8"/>
          </w:tcPr>
          <w:p>
            <w:pPr>
              <w:spacing w:after="20"/>
            </w:pPr>
            <w:r/>
            <w:r>
              <w:rPr>
                <w:sz w:val="16"/>
              </w:rPr>
              <w:t>B (5.3, 5.1, interim) now; C+S (5.2) at 2025 meeting</w:t>
            </w:r>
          </w:p>
        </w:tc>
      </w:tr>
      <w:tr>
        <w:tc>
          <w:tcPr>
            <w:tcW w:type="dxa" w:w="1584"/>
          </w:tcPr>
          <w:p>
            <w:pPr>
              <w:spacing w:after="20"/>
            </w:pPr>
            <w:r/>
            <w:r>
              <w:rPr>
                <w:b/>
                <w:sz w:val="16"/>
              </w:rPr>
              <w:t>C. Nominations and elections</w:t>
            </w:r>
          </w:p>
        </w:tc>
        <w:tc>
          <w:tcPr>
            <w:tcW w:type="dxa" w:w="2376"/>
          </w:tcPr>
          <w:p>
            <w:pPr>
              <w:spacing w:after="20"/>
            </w:pPr>
            <w:r/>
            <w:r>
              <w:rPr>
                <w:sz w:val="16"/>
              </w:rPr>
              <w:t>4.5 advance notice (§ 2.10); 4.6 UPC; 4.3 proxy access; 4.1 majority voting; 5.3 special-meeting request information</w:t>
            </w:r>
          </w:p>
        </w:tc>
        <w:tc>
          <w:tcPr>
            <w:tcW w:type="dxa" w:w="4248"/>
          </w:tcPr>
          <w:p>
            <w:pPr>
              <w:spacing w:after="20"/>
            </w:pPr>
            <w:r/>
            <w:r>
              <w:rPr>
                <w:sz w:val="16"/>
              </w:rPr>
              <w:t>Disclosure requirements, nominee questionnaires and representation agreements should be identical across advance-notice, proxy-access and special-meeting-request nominations; the contested/uncontested definition for majority voting must work with universal proxy cards; proxy access and Rule 14a-19 solicitations must be mutually exclusive. All should take effect for the same (2026) nomination cycle.</w:t>
            </w:r>
          </w:p>
        </w:tc>
        <w:tc>
          <w:tcPr>
            <w:tcW w:type="dxa" w:w="1440"/>
          </w:tcPr>
          <w:p>
            <w:pPr>
              <w:spacing w:after="20"/>
            </w:pPr>
            <w:r/>
            <w:r>
              <w:rPr>
                <w:sz w:val="16"/>
              </w:rPr>
              <w:t>B (prospective)</w:t>
            </w:r>
          </w:p>
        </w:tc>
      </w:tr>
      <w:tr>
        <w:tc>
          <w:tcPr>
            <w:tcW w:type="dxa" w:w="1584"/>
            <w:shd w:val="clear" w:color="auto" w:fill="F2F4F8"/>
          </w:tcPr>
          <w:p>
            <w:pPr>
              <w:spacing w:after="20"/>
            </w:pPr>
            <w:r/>
            <w:r>
              <w:rPr>
                <w:b/>
                <w:sz w:val="16"/>
              </w:rPr>
              <w:t>D. Litigation and indemnification</w:t>
            </w:r>
          </w:p>
        </w:tc>
        <w:tc>
          <w:tcPr>
            <w:tcW w:type="dxa" w:w="2376"/>
            <w:shd w:val="clear" w:color="auto" w:fill="F2F4F8"/>
          </w:tcPr>
          <w:p>
            <w:pPr>
              <w:spacing w:after="20"/>
            </w:pPr>
            <w:r/>
            <w:r>
              <w:rPr>
                <w:sz w:val="16"/>
              </w:rPr>
              <w:t>6.1 forum; 9.1 indemnification/advancement (Art. VI); 9.2 agreements; 6.2/9.3 insurance; 10.2 governing law; 10.3 severability; optional § 102(b)(7) officer exculpation</w:t>
            </w:r>
          </w:p>
        </w:tc>
        <w:tc>
          <w:tcPr>
            <w:tcW w:type="dxa" w:w="4248"/>
            <w:shd w:val="clear" w:color="auto" w:fill="F2F4F8"/>
          </w:tcPr>
          <w:p>
            <w:pPr>
              <w:spacing w:after="20"/>
            </w:pPr>
            <w:r/>
            <w:r>
              <w:rPr>
                <w:sz w:val="16"/>
              </w:rPr>
              <w:t>Advancement and indemnification suits should be channeled to the Court of Chancery; expanded employee coverage should be matched to insurance and agreements; severability protects the forum clause.</w:t>
            </w:r>
          </w:p>
        </w:tc>
        <w:tc>
          <w:tcPr>
            <w:tcW w:type="dxa" w:w="1440"/>
            <w:shd w:val="clear" w:color="auto" w:fill="F2F4F8"/>
          </w:tcPr>
          <w:p>
            <w:pPr>
              <w:spacing w:after="20"/>
            </w:pPr>
            <w:r/>
            <w:r>
              <w:rPr>
                <w:sz w:val="16"/>
              </w:rPr>
              <w:t>B (plus optional C+S for exculpation)</w:t>
            </w:r>
          </w:p>
        </w:tc>
      </w:tr>
      <w:tr>
        <w:tc>
          <w:tcPr>
            <w:tcW w:type="dxa" w:w="1584"/>
          </w:tcPr>
          <w:p>
            <w:pPr>
              <w:spacing w:after="20"/>
            </w:pPr>
            <w:r/>
            <w:r>
              <w:rPr>
                <w:b/>
                <w:sz w:val="16"/>
              </w:rPr>
              <w:t>E. Supermajority and amendment mechanics</w:t>
            </w:r>
          </w:p>
        </w:tc>
        <w:tc>
          <w:tcPr>
            <w:tcW w:type="dxa" w:w="2376"/>
          </w:tcPr>
          <w:p>
            <w:pPr>
              <w:spacing w:after="20"/>
            </w:pPr>
            <w:r/>
            <w:r>
              <w:rPr>
                <w:sz w:val="16"/>
              </w:rPr>
              <w:t>7.1, 7.2, 7.3 (§§ 3.4, 8.1; Certificate)</w:t>
            </w:r>
          </w:p>
        </w:tc>
        <w:tc>
          <w:tcPr>
            <w:tcW w:type="dxa" w:w="4248"/>
          </w:tcPr>
          <w:p>
            <w:pPr>
              <w:spacing w:after="20"/>
            </w:pPr>
            <w:r/>
            <w:r>
              <w:rPr>
                <w:sz w:val="16"/>
              </w:rPr>
              <w:t>If both Bylaw and Certificate contain the thresholds, changing only the Bylaw has no effect (the Certificate controls). Certificate supermajority provisions may require a supermajority to remove (bootstrapping); separate proposals required under the unbundling rule.</w:t>
            </w:r>
          </w:p>
        </w:tc>
        <w:tc>
          <w:tcPr>
            <w:tcW w:type="dxa" w:w="1440"/>
          </w:tcPr>
          <w:p>
            <w:pPr>
              <w:spacing w:after="20"/>
            </w:pPr>
            <w:r/>
            <w:r>
              <w:rPr>
                <w:sz w:val="16"/>
              </w:rPr>
              <w:t>B and/or C+S</w:t>
            </w:r>
          </w:p>
        </w:tc>
      </w:tr>
      <w:tr>
        <w:tc>
          <w:tcPr>
            <w:tcW w:type="dxa" w:w="1584"/>
            <w:shd w:val="clear" w:color="auto" w:fill="F2F4F8"/>
          </w:tcPr>
          <w:p>
            <w:pPr>
              <w:spacing w:after="20"/>
            </w:pPr>
            <w:r/>
            <w:r>
              <w:rPr>
                <w:b/>
                <w:sz w:val="16"/>
              </w:rPr>
              <w:t>F. Officers and continuity</w:t>
            </w:r>
          </w:p>
        </w:tc>
        <w:tc>
          <w:tcPr>
            <w:tcW w:type="dxa" w:w="2376"/>
            <w:shd w:val="clear" w:color="auto" w:fill="F2F4F8"/>
          </w:tcPr>
          <w:p>
            <w:pPr>
              <w:spacing w:after="20"/>
            </w:pPr>
            <w:r/>
            <w:r>
              <w:rPr>
                <w:sz w:val="16"/>
              </w:rPr>
              <w:t>8.1, 8.2 (§§ 4.1, 4.2); 10.1(d) emergency succession; 2.1 presiding director</w:t>
            </w:r>
          </w:p>
        </w:tc>
        <w:tc>
          <w:tcPr>
            <w:tcW w:type="dxa" w:w="4248"/>
            <w:shd w:val="clear" w:color="auto" w:fill="F2F4F8"/>
          </w:tcPr>
          <w:p>
            <w:pPr>
              <w:spacing w:after="20"/>
            </w:pPr>
            <w:r/>
            <w:r>
              <w:rPr>
                <w:sz w:val="16"/>
              </w:rPr>
              <w:t>Required-officer list, delegated appointment authority and emergency lines of succession should use the same officer titles and hierarchy.</w:t>
            </w:r>
          </w:p>
        </w:tc>
        <w:tc>
          <w:tcPr>
            <w:tcW w:type="dxa" w:w="1440"/>
            <w:shd w:val="clear" w:color="auto" w:fill="F2F4F8"/>
          </w:tcPr>
          <w:p>
            <w:pPr>
              <w:spacing w:after="20"/>
            </w:pPr>
            <w:r/>
            <w:r>
              <w:rPr>
                <w:sz w:val="16"/>
              </w:rPr>
              <w:t>B</w:t>
            </w:r>
          </w:p>
        </w:tc>
      </w:tr>
    </w:tbl>
    <w:p>
      <w:pPr>
        <w:spacing w:after="40"/>
      </w:pPr>
    </w:p>
    <w:p>
      <w:pPr>
        <w:pStyle w:val="Heading1"/>
      </w:pPr>
      <w:r>
        <w:t>7. Implementation Roadmap and 2025 Calendar</w:t>
      </w:r>
    </w:p>
    <w:p>
      <w:pPr>
        <w:pStyle w:val="Heading2"/>
      </w:pPr>
      <w:r>
        <w:t>7.1 Key dates</w:t>
      </w:r>
    </w:p>
    <w:tbl>
      <w:tblPr>
        <w:tblStyle w:val="TableGrid"/>
        <w:tblW w:type="auto" w:w="0"/>
        <w:jc w:val="center"/>
        <w:tblLayout w:type="fixed"/>
        <w:tblLook w:firstColumn="1" w:firstRow="1" w:lastColumn="0" w:lastRow="0" w:noHBand="0" w:noVBand="1" w:val="04A0"/>
      </w:tblPr>
      <w:tblGrid>
        <w:gridCol w:w="2160"/>
        <w:gridCol w:w="5328"/>
        <w:gridCol w:w="2160"/>
      </w:tblGrid>
      <w:tr>
        <w:trPr>
          <w:tblHeader w:val="true"/>
        </w:trPr>
        <w:tc>
          <w:tcPr>
            <w:tcW w:type="dxa" w:w="2160"/>
            <w:shd w:val="clear" w:color="auto" w:fill="1F2A44"/>
          </w:tcPr>
          <w:p>
            <w:r/>
            <w:r>
              <w:rPr>
                <w:b/>
                <w:color w:val="FFFFFF"/>
                <w:sz w:val="16"/>
              </w:rPr>
              <w:t>Date</w:t>
            </w:r>
          </w:p>
        </w:tc>
        <w:tc>
          <w:tcPr>
            <w:tcW w:type="dxa" w:w="5328"/>
            <w:shd w:val="clear" w:color="auto" w:fill="1F2A44"/>
          </w:tcPr>
          <w:p>
            <w:r/>
            <w:r>
              <w:rPr>
                <w:b/>
                <w:color w:val="FFFFFF"/>
                <w:sz w:val="16"/>
              </w:rPr>
              <w:t>Event / deadline</w:t>
            </w:r>
          </w:p>
        </w:tc>
        <w:tc>
          <w:tcPr>
            <w:tcW w:type="dxa" w:w="2160"/>
            <w:shd w:val="clear" w:color="auto" w:fill="1F2A44"/>
          </w:tcPr>
          <w:p>
            <w:r/>
            <w:r>
              <w:rPr>
                <w:b/>
                <w:color w:val="FFFFFF"/>
                <w:sz w:val="16"/>
              </w:rPr>
              <w:t>Source</w:t>
            </w:r>
          </w:p>
        </w:tc>
      </w:tr>
      <w:tr>
        <w:tc>
          <w:tcPr>
            <w:tcW w:type="dxa" w:w="2160"/>
          </w:tcPr>
          <w:p>
            <w:pPr>
              <w:spacing w:after="20"/>
            </w:pPr>
            <w:r/>
            <w:r>
              <w:rPr>
                <w:sz w:val="16"/>
              </w:rPr>
              <w:t>Jan. 15, 2025</w:t>
            </w:r>
          </w:p>
        </w:tc>
        <w:tc>
          <w:tcPr>
            <w:tcW w:type="dxa" w:w="5328"/>
          </w:tcPr>
          <w:p>
            <w:pPr>
              <w:spacing w:after="20"/>
            </w:pPr>
            <w:r/>
            <w:r>
              <w:rPr>
                <w:sz w:val="16"/>
              </w:rPr>
              <w:t>2025 advance notice window opens (120 days before May 15, 2025 anniversary)</w:t>
            </w:r>
          </w:p>
        </w:tc>
        <w:tc>
          <w:tcPr>
            <w:tcW w:type="dxa" w:w="2160"/>
          </w:tcPr>
          <w:p>
            <w:pPr>
              <w:spacing w:after="20"/>
            </w:pPr>
            <w:r/>
            <w:r>
              <w:rPr>
                <w:sz w:val="16"/>
              </w:rPr>
              <w:t>Bylaws § 2.10(b)</w:t>
            </w:r>
          </w:p>
        </w:tc>
      </w:tr>
      <w:tr>
        <w:tc>
          <w:tcPr>
            <w:tcW w:type="dxa" w:w="2160"/>
            <w:shd w:val="clear" w:color="auto" w:fill="F2F4F8"/>
          </w:tcPr>
          <w:p>
            <w:pPr>
              <w:spacing w:after="20"/>
            </w:pPr>
            <w:r/>
            <w:r>
              <w:rPr>
                <w:sz w:val="16"/>
              </w:rPr>
              <w:t>By Jan. 31, 2025</w:t>
            </w:r>
          </w:p>
        </w:tc>
        <w:tc>
          <w:tcPr>
            <w:tcW w:type="dxa" w:w="5328"/>
            <w:shd w:val="clear" w:color="auto" w:fill="F2F4F8"/>
          </w:tcPr>
          <w:p>
            <w:pPr>
              <w:spacing w:after="20"/>
            </w:pPr>
            <w:r/>
            <w:r>
              <w:rPr>
                <w:sz w:val="16"/>
              </w:rPr>
              <w:t>Interim memo on Expedited Matters E-1 to E-5</w:t>
            </w:r>
          </w:p>
        </w:tc>
        <w:tc>
          <w:tcPr>
            <w:tcW w:type="dxa" w:w="2160"/>
            <w:shd w:val="clear" w:color="auto" w:fill="F2F4F8"/>
          </w:tcPr>
          <w:p>
            <w:pPr>
              <w:spacing w:after="20"/>
            </w:pPr>
            <w:r/>
            <w:r>
              <w:rPr>
                <w:sz w:val="16"/>
              </w:rPr>
              <w:t>Engagement instruction</w:t>
            </w:r>
          </w:p>
        </w:tc>
      </w:tr>
      <w:tr>
        <w:tc>
          <w:tcPr>
            <w:tcW w:type="dxa" w:w="2160"/>
          </w:tcPr>
          <w:p>
            <w:pPr>
              <w:spacing w:after="20"/>
            </w:pPr>
            <w:r/>
            <w:r>
              <w:rPr>
                <w:sz w:val="16"/>
              </w:rPr>
              <w:t>Feb. 14, 2025 (COB)</w:t>
            </w:r>
          </w:p>
        </w:tc>
        <w:tc>
          <w:tcPr>
            <w:tcW w:type="dxa" w:w="5328"/>
          </w:tcPr>
          <w:p>
            <w:pPr>
              <w:spacing w:after="20"/>
            </w:pPr>
            <w:r/>
            <w:r>
              <w:rPr>
                <w:sz w:val="16"/>
              </w:rPr>
              <w:t>2025 advance notice window closes (90 days before anniversary)</w:t>
            </w:r>
          </w:p>
        </w:tc>
        <w:tc>
          <w:tcPr>
            <w:tcW w:type="dxa" w:w="2160"/>
          </w:tcPr>
          <w:p>
            <w:pPr>
              <w:spacing w:after="20"/>
            </w:pPr>
            <w:r/>
            <w:r>
              <w:rPr>
                <w:sz w:val="16"/>
              </w:rPr>
              <w:t>Bylaws § 2.10(b)</w:t>
            </w:r>
          </w:p>
        </w:tc>
      </w:tr>
      <w:tr>
        <w:tc>
          <w:tcPr>
            <w:tcW w:type="dxa" w:w="2160"/>
            <w:shd w:val="clear" w:color="auto" w:fill="F2F4F8"/>
          </w:tcPr>
          <w:p>
            <w:pPr>
              <w:spacing w:after="20"/>
            </w:pPr>
            <w:r/>
            <w:r>
              <w:rPr>
                <w:sz w:val="16"/>
              </w:rPr>
              <w:t>Feb. 21, 2025</w:t>
            </w:r>
          </w:p>
        </w:tc>
        <w:tc>
          <w:tcPr>
            <w:tcW w:type="dxa" w:w="5328"/>
            <w:shd w:val="clear" w:color="auto" w:fill="F2F4F8"/>
          </w:tcPr>
          <w:p>
            <w:pPr>
              <w:spacing w:after="20"/>
            </w:pPr>
            <w:r/>
            <w:r>
              <w:rPr>
                <w:sz w:val="16"/>
              </w:rPr>
              <w:t>First draft of this report due</w:t>
            </w:r>
          </w:p>
        </w:tc>
        <w:tc>
          <w:tcPr>
            <w:tcW w:type="dxa" w:w="2160"/>
            <w:shd w:val="clear" w:color="auto" w:fill="F2F4F8"/>
          </w:tcPr>
          <w:p>
            <w:pPr>
              <w:spacing w:after="20"/>
            </w:pPr>
            <w:r/>
            <w:r>
              <w:rPr>
                <w:sz w:val="16"/>
              </w:rPr>
              <w:t>Engagement instruction</w:t>
            </w:r>
          </w:p>
        </w:tc>
      </w:tr>
      <w:tr>
        <w:tc>
          <w:tcPr>
            <w:tcW w:type="dxa" w:w="2160"/>
          </w:tcPr>
          <w:p>
            <w:pPr>
              <w:spacing w:after="20"/>
            </w:pPr>
            <w:r/>
            <w:r>
              <w:rPr>
                <w:sz w:val="16"/>
              </w:rPr>
              <w:t>Late Feb./early Mar. 2025 (recommended)</w:t>
            </w:r>
          </w:p>
        </w:tc>
        <w:tc>
          <w:tcPr>
            <w:tcW w:type="dxa" w:w="5328"/>
          </w:tcPr>
          <w:p>
            <w:pPr>
              <w:spacing w:after="20"/>
            </w:pPr>
            <w:r/>
            <w:r>
              <w:rPr>
                <w:sz w:val="16"/>
              </w:rPr>
              <w:t>Special Board meeting to approve Certificate amendments and declare advisability; adopt forum and consent-procedure bylaws if not already adopted</w:t>
            </w:r>
          </w:p>
        </w:tc>
        <w:tc>
          <w:tcPr>
            <w:tcW w:type="dxa" w:w="2160"/>
          </w:tcPr>
          <w:p>
            <w:pPr>
              <w:spacing w:after="20"/>
            </w:pPr>
            <w:r/>
            <w:r>
              <w:rPr>
                <w:sz w:val="16"/>
              </w:rPr>
              <w:t>DGCL § 242(b); Part 3</w:t>
            </w:r>
          </w:p>
        </w:tc>
      </w:tr>
      <w:tr>
        <w:tc>
          <w:tcPr>
            <w:tcW w:type="dxa" w:w="2160"/>
            <w:shd w:val="clear" w:color="auto" w:fill="F2F4F8"/>
          </w:tcPr>
          <w:p>
            <w:pPr>
              <w:spacing w:after="20"/>
            </w:pPr>
            <w:r/>
            <w:r>
              <w:rPr>
                <w:sz w:val="16"/>
              </w:rPr>
              <w:t>Mar. 15 – May 4, 2025</w:t>
            </w:r>
          </w:p>
        </w:tc>
        <w:tc>
          <w:tcPr>
            <w:tcW w:type="dxa" w:w="5328"/>
            <w:shd w:val="clear" w:color="auto" w:fill="F2F4F8"/>
          </w:tcPr>
          <w:p>
            <w:pPr>
              <w:spacing w:after="20"/>
            </w:pPr>
            <w:r/>
            <w:r>
              <w:rPr>
                <w:sz w:val="16"/>
              </w:rPr>
              <w:t>Permissible record date range for a May 14 meeting (10–60 days)</w:t>
            </w:r>
          </w:p>
        </w:tc>
        <w:tc>
          <w:tcPr>
            <w:tcW w:type="dxa" w:w="2160"/>
            <w:shd w:val="clear" w:color="auto" w:fill="F2F4F8"/>
          </w:tcPr>
          <w:p>
            <w:pPr>
              <w:spacing w:after="20"/>
            </w:pPr>
            <w:r/>
            <w:r>
              <w:rPr>
                <w:sz w:val="16"/>
              </w:rPr>
              <w:t>DGCL § 213(a); Bylaws § 2.8</w:t>
            </w:r>
          </w:p>
        </w:tc>
      </w:tr>
      <w:tr>
        <w:tc>
          <w:tcPr>
            <w:tcW w:type="dxa" w:w="2160"/>
          </w:tcPr>
          <w:p>
            <w:pPr>
              <w:spacing w:after="20"/>
            </w:pPr>
            <w:r/>
            <w:r>
              <w:rPr>
                <w:sz w:val="16"/>
              </w:rPr>
              <w:t>Mar. 16, 2025</w:t>
            </w:r>
          </w:p>
        </w:tc>
        <w:tc>
          <w:tcPr>
            <w:tcW w:type="dxa" w:w="5328"/>
          </w:tcPr>
          <w:p>
            <w:pPr>
              <w:spacing w:after="20"/>
            </w:pPr>
            <w:r/>
            <w:r>
              <w:rPr>
                <w:sz w:val="16"/>
              </w:rPr>
              <w:t>Rule 14a-19 dissident notice deadline (60 days before anniversary)</w:t>
            </w:r>
          </w:p>
        </w:tc>
        <w:tc>
          <w:tcPr>
            <w:tcW w:type="dxa" w:w="2160"/>
          </w:tcPr>
          <w:p>
            <w:pPr>
              <w:spacing w:after="20"/>
            </w:pPr>
            <w:r/>
            <w:r>
              <w:rPr>
                <w:sz w:val="16"/>
              </w:rPr>
              <w:t>Rule 14a-19(b)(1)</w:t>
            </w:r>
          </w:p>
        </w:tc>
      </w:tr>
      <w:tr>
        <w:tc>
          <w:tcPr>
            <w:tcW w:type="dxa" w:w="2160"/>
            <w:shd w:val="clear" w:color="auto" w:fill="F2F4F8"/>
          </w:tcPr>
          <w:p>
            <w:pPr>
              <w:spacing w:after="20"/>
            </w:pPr>
            <w:r/>
            <w:r>
              <w:rPr>
                <w:sz w:val="16"/>
              </w:rPr>
              <w:t>Mar. 18, 2025</w:t>
            </w:r>
          </w:p>
        </w:tc>
        <w:tc>
          <w:tcPr>
            <w:tcW w:type="dxa" w:w="5328"/>
            <w:shd w:val="clear" w:color="auto" w:fill="F2F4F8"/>
          </w:tcPr>
          <w:p>
            <w:pPr>
              <w:spacing w:after="20"/>
            </w:pPr>
            <w:r/>
            <w:r>
              <w:rPr>
                <w:sz w:val="16"/>
              </w:rPr>
              <w:t>Regular Board meeting – adopt Board-only bylaw package (Part 7.2)</w:t>
            </w:r>
          </w:p>
        </w:tc>
        <w:tc>
          <w:tcPr>
            <w:tcW w:type="dxa" w:w="2160"/>
            <w:shd w:val="clear" w:color="auto" w:fill="F2F4F8"/>
          </w:tcPr>
          <w:p>
            <w:pPr>
              <w:spacing w:after="20"/>
            </w:pPr>
            <w:r/>
            <w:r>
              <w:rPr>
                <w:sz w:val="16"/>
              </w:rPr>
              <w:t>Engagement instruction</w:t>
            </w:r>
          </w:p>
        </w:tc>
      </w:tr>
      <w:tr>
        <w:tc>
          <w:tcPr>
            <w:tcW w:type="dxa" w:w="2160"/>
          </w:tcPr>
          <w:p>
            <w:pPr>
              <w:spacing w:after="20"/>
            </w:pPr>
            <w:r/>
            <w:r>
              <w:rPr>
                <w:sz w:val="16"/>
              </w:rPr>
              <w:t>Mar. 26, 2025</w:t>
            </w:r>
          </w:p>
        </w:tc>
        <w:tc>
          <w:tcPr>
            <w:tcW w:type="dxa" w:w="5328"/>
          </w:tcPr>
          <w:p>
            <w:pPr>
              <w:spacing w:after="20"/>
            </w:pPr>
            <w:r/>
            <w:r>
              <w:rPr>
                <w:sz w:val="16"/>
              </w:rPr>
              <w:t>Company notice of its nominees to any dissident (50 days before anniversary)</w:t>
            </w:r>
          </w:p>
        </w:tc>
        <w:tc>
          <w:tcPr>
            <w:tcW w:type="dxa" w:w="2160"/>
          </w:tcPr>
          <w:p>
            <w:pPr>
              <w:spacing w:after="20"/>
            </w:pPr>
            <w:r/>
            <w:r>
              <w:rPr>
                <w:sz w:val="16"/>
              </w:rPr>
              <w:t>Rule 14a-19(d)</w:t>
            </w:r>
          </w:p>
        </w:tc>
      </w:tr>
      <w:tr>
        <w:tc>
          <w:tcPr>
            <w:tcW w:type="dxa" w:w="2160"/>
            <w:shd w:val="clear" w:color="auto" w:fill="F2F4F8"/>
          </w:tcPr>
          <w:p>
            <w:pPr>
              <w:spacing w:after="20"/>
            </w:pPr>
            <w:r/>
            <w:r>
              <w:rPr>
                <w:sz w:val="16"/>
              </w:rPr>
              <w:t>~Mar. 20–25, 2025</w:t>
            </w:r>
          </w:p>
        </w:tc>
        <w:tc>
          <w:tcPr>
            <w:tcW w:type="dxa" w:w="5328"/>
            <w:shd w:val="clear" w:color="auto" w:fill="F2F4F8"/>
          </w:tcPr>
          <w:p>
            <w:pPr>
              <w:spacing w:after="20"/>
            </w:pPr>
            <w:r/>
            <w:r>
              <w:rPr>
                <w:sz w:val="16"/>
              </w:rPr>
              <w:t>File preliminary proxy (required where Certificate amendments are proposed)</w:t>
            </w:r>
          </w:p>
        </w:tc>
        <w:tc>
          <w:tcPr>
            <w:tcW w:type="dxa" w:w="2160"/>
            <w:shd w:val="clear" w:color="auto" w:fill="F2F4F8"/>
          </w:tcPr>
          <w:p>
            <w:pPr>
              <w:spacing w:after="20"/>
            </w:pPr>
            <w:r/>
            <w:r>
              <w:rPr>
                <w:sz w:val="16"/>
              </w:rPr>
              <w:t>Rule 14a-6(a)</w:t>
            </w:r>
          </w:p>
        </w:tc>
      </w:tr>
      <w:tr>
        <w:tc>
          <w:tcPr>
            <w:tcW w:type="dxa" w:w="2160"/>
          </w:tcPr>
          <w:p>
            <w:pPr>
              <w:spacing w:after="20"/>
            </w:pPr>
            <w:r/>
            <w:r>
              <w:rPr>
                <w:sz w:val="16"/>
              </w:rPr>
              <w:t>Apr. 4, 2025</w:t>
            </w:r>
          </w:p>
        </w:tc>
        <w:tc>
          <w:tcPr>
            <w:tcW w:type="dxa" w:w="5328"/>
          </w:tcPr>
          <w:p>
            <w:pPr>
              <w:spacing w:after="20"/>
            </w:pPr>
            <w:r/>
            <w:r>
              <w:rPr>
                <w:sz w:val="16"/>
              </w:rPr>
              <w:t>Latest date to send Notice of Internet Availability for May 14 meeting (40 days)</w:t>
            </w:r>
          </w:p>
        </w:tc>
        <w:tc>
          <w:tcPr>
            <w:tcW w:type="dxa" w:w="2160"/>
          </w:tcPr>
          <w:p>
            <w:pPr>
              <w:spacing w:after="20"/>
            </w:pPr>
            <w:r/>
            <w:r>
              <w:rPr>
                <w:sz w:val="16"/>
              </w:rPr>
              <w:t>Rule 14a-16</w:t>
            </w:r>
          </w:p>
        </w:tc>
      </w:tr>
      <w:tr>
        <w:tc>
          <w:tcPr>
            <w:tcW w:type="dxa" w:w="2160"/>
            <w:shd w:val="clear" w:color="auto" w:fill="F2F4F8"/>
          </w:tcPr>
          <w:p>
            <w:pPr>
              <w:spacing w:after="20"/>
            </w:pPr>
            <w:r/>
            <w:r>
              <w:rPr>
                <w:sz w:val="16"/>
              </w:rPr>
              <w:t>May 14, 2025</w:t>
            </w:r>
          </w:p>
        </w:tc>
        <w:tc>
          <w:tcPr>
            <w:tcW w:type="dxa" w:w="5328"/>
            <w:shd w:val="clear" w:color="auto" w:fill="F2F4F8"/>
          </w:tcPr>
          <w:p>
            <w:pPr>
              <w:spacing w:after="20"/>
            </w:pPr>
            <w:r/>
            <w:r>
              <w:rPr>
                <w:sz w:val="16"/>
              </w:rPr>
              <w:t>2025 Annual Meeting – Certificate proposals voted on; file certificates of amendment promptly after approval</w:t>
            </w:r>
          </w:p>
        </w:tc>
        <w:tc>
          <w:tcPr>
            <w:tcW w:type="dxa" w:w="2160"/>
            <w:shd w:val="clear" w:color="auto" w:fill="F2F4F8"/>
          </w:tcPr>
          <w:p>
            <w:pPr>
              <w:spacing w:after="20"/>
            </w:pPr>
            <w:r/>
            <w:r>
              <w:rPr>
                <w:sz w:val="16"/>
              </w:rPr>
              <w:t>DGCL §§ 242, 103</w:t>
            </w:r>
          </w:p>
        </w:tc>
      </w:tr>
      <w:tr>
        <w:tc>
          <w:tcPr>
            <w:tcW w:type="dxa" w:w="2160"/>
          </w:tcPr>
          <w:p>
            <w:pPr>
              <w:spacing w:after="20"/>
            </w:pPr>
            <w:r/>
            <w:r>
              <w:rPr>
                <w:sz w:val="16"/>
              </w:rPr>
              <w:t>Dec. 15, 2025 – Jan. 14, 2026</w:t>
            </w:r>
          </w:p>
        </w:tc>
        <w:tc>
          <w:tcPr>
            <w:tcW w:type="dxa" w:w="5328"/>
          </w:tcPr>
          <w:p>
            <w:pPr>
              <w:spacing w:after="20"/>
            </w:pPr>
            <w:r/>
            <w:r>
              <w:rPr>
                <w:sz w:val="16"/>
              </w:rPr>
              <w:t xml:space="preserve">2026 advance notice window </w:t>
            </w:r>
            <w:r>
              <w:rPr>
                <w:b/>
                <w:sz w:val="16"/>
              </w:rPr>
              <w:t>if</w:t>
            </w:r>
            <w:r>
              <w:rPr>
                <w:sz w:val="16"/>
              </w:rPr>
              <w:t xml:space="preserve"> Guideline 4.5(a) (150–120) is adopted</w:t>
            </w:r>
          </w:p>
        </w:tc>
        <w:tc>
          <w:tcPr>
            <w:tcW w:type="dxa" w:w="2160"/>
          </w:tcPr>
          <w:p>
            <w:pPr>
              <w:spacing w:after="20"/>
            </w:pPr>
            <w:r/>
            <w:r>
              <w:rPr>
                <w:sz w:val="16"/>
              </w:rPr>
              <w:t>Guideline 4.5(a)</w:t>
            </w:r>
          </w:p>
        </w:tc>
      </w:tr>
      <w:tr>
        <w:tc>
          <w:tcPr>
            <w:tcW w:type="dxa" w:w="2160"/>
            <w:shd w:val="clear" w:color="auto" w:fill="F2F4F8"/>
          </w:tcPr>
          <w:p>
            <w:pPr>
              <w:spacing w:after="20"/>
            </w:pPr>
            <w:r/>
            <w:r>
              <w:rPr>
                <w:sz w:val="16"/>
              </w:rPr>
              <w:t>Jan. 14 – Feb. 13, 2026</w:t>
            </w:r>
          </w:p>
        </w:tc>
        <w:tc>
          <w:tcPr>
            <w:tcW w:type="dxa" w:w="5328"/>
            <w:shd w:val="clear" w:color="auto" w:fill="F2F4F8"/>
          </w:tcPr>
          <w:p>
            <w:pPr>
              <w:spacing w:after="20"/>
            </w:pPr>
            <w:r/>
            <w:r>
              <w:rPr>
                <w:sz w:val="16"/>
              </w:rPr>
              <w:t>2026 advance notice window if current 120–90 standard is retained</w:t>
            </w:r>
          </w:p>
        </w:tc>
        <w:tc>
          <w:tcPr>
            <w:tcW w:type="dxa" w:w="2160"/>
            <w:shd w:val="clear" w:color="auto" w:fill="F2F4F8"/>
          </w:tcPr>
          <w:p>
            <w:pPr>
              <w:spacing w:after="20"/>
            </w:pPr>
            <w:r/>
            <w:r>
              <w:rPr>
                <w:sz w:val="16"/>
              </w:rPr>
              <w:t>Bylaws § 2.10(b)</w:t>
            </w:r>
          </w:p>
        </w:tc>
      </w:tr>
      <w:tr>
        <w:tc>
          <w:tcPr>
            <w:tcW w:type="dxa" w:w="2160"/>
          </w:tcPr>
          <w:p>
            <w:pPr>
              <w:spacing w:after="20"/>
            </w:pPr>
            <w:r/>
            <w:r>
              <w:rPr>
                <w:sz w:val="16"/>
              </w:rPr>
              <w:t>2026–2028 annual meetings</w:t>
            </w:r>
          </w:p>
        </w:tc>
        <w:tc>
          <w:tcPr>
            <w:tcW w:type="dxa" w:w="5328"/>
          </w:tcPr>
          <w:p>
            <w:pPr>
              <w:spacing w:after="20"/>
            </w:pPr>
            <w:r/>
            <w:r>
              <w:rPr>
                <w:sz w:val="16"/>
              </w:rPr>
              <w:t>Declassification phase-in; fully annual elections at the 2028 meeting</w:t>
            </w:r>
          </w:p>
        </w:tc>
        <w:tc>
          <w:tcPr>
            <w:tcW w:type="dxa" w:w="2160"/>
          </w:tcPr>
          <w:p>
            <w:pPr>
              <w:spacing w:after="20"/>
            </w:pPr>
            <w:r/>
            <w:r>
              <w:rPr>
                <w:sz w:val="16"/>
              </w:rPr>
              <w:t>Guideline 3.1</w:t>
            </w:r>
          </w:p>
        </w:tc>
      </w:tr>
    </w:tbl>
    <w:p>
      <w:pPr>
        <w:spacing w:after="40"/>
      </w:pPr>
    </w:p>
    <w:p>
      <w:pPr>
        <w:pStyle w:val="Heading2"/>
      </w:pPr>
      <w:r>
        <w:t>7.2 Track 1 – Board-adopted bylaw amendments (no stockholder vote)</w:t>
      </w:r>
    </w:p>
    <w:p>
      <w:pPr>
        <w:pStyle w:val="ListBullet"/>
        <w:spacing w:after="60"/>
      </w:pPr>
      <w:r>
        <w:rPr>
          <w:b/>
        </w:rPr>
        <w:t>Now (before March 18):</w:t>
      </w:r>
      <w:r>
        <w:rPr/>
        <w:t xml:space="preserve"> exclusive forum provision (6.1); written-consent record-date and procedural bylaw (interim, 5.2/E-2).</w:t>
      </w:r>
    </w:p>
    <w:p>
      <w:pPr>
        <w:pStyle w:val="ListBullet"/>
        <w:spacing w:after="60"/>
      </w:pPr>
      <w:r>
        <w:rPr>
          <w:b/>
        </w:rPr>
        <w:t>March 18 package (effective on adoption unless noted):</w:t>
      </w:r>
      <w:r>
        <w:rPr/>
        <w:t xml:space="preserve"> majority voting with irrevocable conditional resignation policy, effective for the 2025 election (4.1); one-third quorum (5.1); stockholder special meeting right at 25% with safeguards (5.3); reduction of the 75% removal vote and 66⅔% Bylaw-amendment vote to a majority of outstanding shares, if Bylaw-only (7.1–7.3); independent inspectors (5.6); General Counsel as required officer and CEO delegation of VP-and-below appointments (8.1, 8.2); expanded indemnification/advancement (9.1); emergency bylaws (10.1); governing law and severability (10.2, 10.3); housekeeping (Part 9).</w:t>
      </w:r>
    </w:p>
    <w:p>
      <w:pPr>
        <w:pStyle w:val="ListBullet"/>
        <w:spacing w:after="60"/>
      </w:pPr>
      <w:r>
        <w:rPr>
          <w:b/>
        </w:rPr>
        <w:t>March 18 package, effective for the 2026 annual meeting:</w:t>
      </w:r>
      <w:r>
        <w:rPr/>
        <w:t xml:space="preserve"> enhanced advance notice disclosures and window decision (4.5); universal proxy provisions (4.6); proxy access (4.3).</w:t>
      </w:r>
    </w:p>
    <w:p>
      <w:pPr>
        <w:pStyle w:val="ListBullet"/>
        <w:spacing w:after="60"/>
      </w:pPr>
      <w:r>
        <w:rPr>
          <w:b/>
        </w:rPr>
        <w:t>Contingent conforming amendments</w:t>
      </w:r>
      <w:r>
        <w:rPr/>
        <w:t xml:space="preserve"> effective only upon Certificate amendments: §§ 3.2–3.5 (declassification/removal/vacancies) and deletion of § 2.11.</w:t>
      </w:r>
    </w:p>
    <w:p>
      <w:pPr>
        <w:pStyle w:val="ListBullet"/>
        <w:spacing w:after="60"/>
      </w:pPr>
      <w:r>
        <w:rPr/>
        <w:t>Each Bylaw amendment requires a Form 8-K (Item 5.03) within four business days and disclosure in the 2025 proxy statement.</w:t>
      </w:r>
    </w:p>
    <w:p>
      <w:pPr>
        <w:pStyle w:val="Heading2"/>
      </w:pPr>
      <w:r>
        <w:t>7.3 Track 2 – Certificate amendments requiring stockholder approval (2025 annual meeting)</w:t>
      </w:r>
    </w:p>
    <w:p>
      <w:pPr>
        <w:pStyle w:val="ListBullet"/>
        <w:spacing w:after="60"/>
      </w:pPr>
      <w:r>
        <w:rPr/>
        <w:t>Proposal 1 – Declassification with 2026–2028 phase-in and conforming removal standard (3.1, 7.2(b)).</w:t>
      </w:r>
    </w:p>
    <w:p>
      <w:pPr>
        <w:pStyle w:val="ListBullet"/>
        <w:spacing w:after="60"/>
      </w:pPr>
      <w:r>
        <w:rPr/>
        <w:t>Proposal 2 – Elimination of stockholder action by written consent (5.2), presented only if the special meeting right is in effect.</w:t>
      </w:r>
    </w:p>
    <w:p>
      <w:pPr>
        <w:pStyle w:val="ListBullet"/>
        <w:spacing w:after="60"/>
      </w:pPr>
      <w:r>
        <w:rPr/>
        <w:t>Proposal(s) 3 – Elimination of any Certificate supermajority provisions (7.1, 7.3), one proposal per material provision.</w:t>
      </w:r>
    </w:p>
    <w:p>
      <w:pPr>
        <w:pStyle w:val="ListBullet"/>
        <w:spacing w:after="60"/>
      </w:pPr>
      <w:r>
        <w:rPr/>
        <w:t>Optional – Officer exculpation under DGCL § 102(b)(7) (not a Guideline item; frequently paired); DGCL § 203 opt-out only if the NCGC intends 7.1(d) to reach it.</w:t>
      </w:r>
    </w:p>
    <w:p>
      <w:pPr>
        <w:pStyle w:val="ListBullet"/>
        <w:spacing w:after="60"/>
      </w:pPr>
      <w:r>
        <w:rPr/>
        <w:t>Vote required: majority of outstanding shares (41,200,001) unless the Certificate requires more (e.g., 66⅔% = 54,933,334; 75% = 61,800,000). Engage a proxy solicitor and conduct targeted outreach (Guideline 10.5).</w:t>
      </w:r>
    </w:p>
    <w:p>
      <w:pPr>
        <w:pStyle w:val="Heading2"/>
      </w:pPr>
      <w:r>
        <w:t>7.4 Track 3 – Board policies and charters</w:t>
      </w:r>
    </w:p>
    <w:p>
      <w:r>
        <w:rPr/>
        <w:t>Guidelines 2.1–2.6, 3.2–3.5, 4.2, 4.4, 5.4, 5.5, 6.2, 6.3, 8.3–8.5, 9.2, 9.3, 10.4 and 10.5 should be implemented through the Board’s Corporate Governance Guidelines and the NCGC, Audit and Compensation Committee charters. Several (clawback, code of conduct, executive sessions, independence) also implicate NASDAQ requirements and should be confirmed as already in place.</w:t>
      </w:r>
    </w:p>
    <w:p>
      <w:pPr>
        <w:pStyle w:val="Heading1"/>
      </w:pPr>
      <w:r>
        <w:t>8. Issues in the Guidelines Themselves Requiring NCGC Attention</w:t>
      </w:r>
    </w:p>
    <w:p>
      <w:r>
        <w:rPr/>
        <w:t>In the course of the comparison we identified points where the Guidelines, as drafted, are legally inaccurate, internally inconsistent or would benefit from clarification before implementation:</w:t>
      </w:r>
    </w:p>
    <w:tbl>
      <w:tblPr>
        <w:tblStyle w:val="TableGrid"/>
        <w:tblW w:type="auto" w:w="0"/>
        <w:jc w:val="center"/>
        <w:tblLayout w:type="fixed"/>
        <w:tblLook w:firstColumn="1" w:firstRow="1" w:lastColumn="0" w:lastRow="0" w:noHBand="0" w:noVBand="1" w:val="04A0"/>
      </w:tblPr>
      <w:tblGrid>
        <w:gridCol w:w="1152"/>
        <w:gridCol w:w="4896"/>
        <w:gridCol w:w="3600"/>
      </w:tblGrid>
      <w:tr>
        <w:trPr>
          <w:tblHeader w:val="true"/>
        </w:trPr>
        <w:tc>
          <w:tcPr>
            <w:tcW w:type="dxa" w:w="1152"/>
            <w:shd w:val="clear" w:color="auto" w:fill="1F2A44"/>
          </w:tcPr>
          <w:p>
            <w:r/>
            <w:r>
              <w:rPr>
                <w:b/>
                <w:color w:val="FFFFFF"/>
                <w:sz w:val="16"/>
              </w:rPr>
              <w:t>Guideline</w:t>
            </w:r>
          </w:p>
        </w:tc>
        <w:tc>
          <w:tcPr>
            <w:tcW w:type="dxa" w:w="4896"/>
            <w:shd w:val="clear" w:color="auto" w:fill="1F2A44"/>
          </w:tcPr>
          <w:p>
            <w:r/>
            <w:r>
              <w:rPr>
                <w:b/>
                <w:color w:val="FFFFFF"/>
                <w:sz w:val="16"/>
              </w:rPr>
              <w:t>Issue</w:t>
            </w:r>
          </w:p>
        </w:tc>
        <w:tc>
          <w:tcPr>
            <w:tcW w:type="dxa" w:w="3600"/>
            <w:shd w:val="clear" w:color="auto" w:fill="1F2A44"/>
          </w:tcPr>
          <w:p>
            <w:r/>
            <w:r>
              <w:rPr>
                <w:b/>
                <w:color w:val="FFFFFF"/>
                <w:sz w:val="16"/>
              </w:rPr>
              <w:t>Recommendation</w:t>
            </w:r>
          </w:p>
        </w:tc>
      </w:tr>
      <w:tr>
        <w:tc>
          <w:tcPr>
            <w:tcW w:type="dxa" w:w="1152"/>
          </w:tcPr>
          <w:p>
            <w:pPr>
              <w:spacing w:after="20"/>
            </w:pPr>
            <w:r/>
            <w:r>
              <w:rPr>
                <w:sz w:val="16"/>
              </w:rPr>
              <w:t>4.5(a)</w:t>
            </w:r>
          </w:p>
        </w:tc>
        <w:tc>
          <w:tcPr>
            <w:tcW w:type="dxa" w:w="4896"/>
          </w:tcPr>
          <w:p>
            <w:pPr>
              <w:spacing w:after="20"/>
            </w:pPr>
            <w:r/>
            <w:r>
              <w:rPr>
                <w:sz w:val="16"/>
              </w:rPr>
              <w:t>Describes 150–120 days as an “expanded” and “wider” window; it is the same 30-day width shifted earlier. 150–120 is off-market for ordinary advance notice and increases challenge risk.</w:t>
            </w:r>
          </w:p>
        </w:tc>
        <w:tc>
          <w:tcPr>
            <w:tcW w:type="dxa" w:w="3600"/>
          </w:tcPr>
          <w:p>
            <w:pPr>
              <w:spacing w:after="20"/>
            </w:pPr>
            <w:r/>
            <w:r>
              <w:rPr>
                <w:sz w:val="16"/>
              </w:rPr>
              <w:t>Correct the description; reconsider retaining 120–90 (market) or document justification; apply only prospectively.</w:t>
            </w:r>
          </w:p>
        </w:tc>
      </w:tr>
      <w:tr>
        <w:tc>
          <w:tcPr>
            <w:tcW w:type="dxa" w:w="1152"/>
            <w:shd w:val="clear" w:color="auto" w:fill="F2F4F8"/>
          </w:tcPr>
          <w:p>
            <w:pPr>
              <w:spacing w:after="20"/>
            </w:pPr>
            <w:r/>
            <w:r>
              <w:rPr>
                <w:sz w:val="16"/>
              </w:rPr>
              <w:t>5.2</w:t>
            </w:r>
          </w:p>
        </w:tc>
        <w:tc>
          <w:tcPr>
            <w:tcW w:type="dxa" w:w="4896"/>
            <w:shd w:val="clear" w:color="auto" w:fill="F2F4F8"/>
          </w:tcPr>
          <w:p>
            <w:pPr>
              <w:spacing w:after="20"/>
            </w:pPr>
            <w:r/>
            <w:r>
              <w:rPr>
                <w:sz w:val="16"/>
              </w:rPr>
              <w:t>States “the Bylaws should be amended” to eliminate written consent and that a Certificate amendment “may” be required. Under DGCL § 228(a) only the Certificate can eliminate the right.</w:t>
            </w:r>
          </w:p>
        </w:tc>
        <w:tc>
          <w:tcPr>
            <w:tcW w:type="dxa" w:w="3600"/>
            <w:shd w:val="clear" w:color="auto" w:fill="F2F4F8"/>
          </w:tcPr>
          <w:p>
            <w:pPr>
              <w:spacing w:after="20"/>
            </w:pPr>
            <w:r/>
            <w:r>
              <w:rPr>
                <w:sz w:val="16"/>
              </w:rPr>
              <w:t>Revise to require a Certificate amendment and stockholder approval.</w:t>
            </w:r>
          </w:p>
        </w:tc>
      </w:tr>
      <w:tr>
        <w:tc>
          <w:tcPr>
            <w:tcW w:type="dxa" w:w="1152"/>
          </w:tcPr>
          <w:p>
            <w:pPr>
              <w:spacing w:after="20"/>
            </w:pPr>
            <w:r/>
            <w:r>
              <w:rPr>
                <w:sz w:val="16"/>
              </w:rPr>
              <w:t>5.3</w:t>
            </w:r>
          </w:p>
        </w:tc>
        <w:tc>
          <w:tcPr>
            <w:tcW w:type="dxa" w:w="4896"/>
          </w:tcPr>
          <w:p>
            <w:pPr>
              <w:spacing w:after="20"/>
            </w:pPr>
            <w:r/>
            <w:r>
              <w:rPr>
                <w:sz w:val="16"/>
              </w:rPr>
              <w:t>Recommendation refers to holders “of record”; safeguard (b) refers to “record or beneficial ownership.”</w:t>
            </w:r>
          </w:p>
        </w:tc>
        <w:tc>
          <w:tcPr>
            <w:tcW w:type="dxa" w:w="3600"/>
          </w:tcPr>
          <w:p>
            <w:pPr>
              <w:spacing w:after="20"/>
            </w:pPr>
            <w:r/>
            <w:r>
              <w:rPr>
                <w:sz w:val="16"/>
              </w:rPr>
              <w:t>Adopt a net-long beneficial ownership standard.</w:t>
            </w:r>
          </w:p>
        </w:tc>
      </w:tr>
      <w:tr>
        <w:tc>
          <w:tcPr>
            <w:tcW w:type="dxa" w:w="1152"/>
            <w:shd w:val="clear" w:color="auto" w:fill="F2F4F8"/>
          </w:tcPr>
          <w:p>
            <w:pPr>
              <w:spacing w:after="20"/>
            </w:pPr>
            <w:r/>
            <w:r>
              <w:rPr>
                <w:sz w:val="16"/>
              </w:rPr>
              <w:t>4.3</w:t>
            </w:r>
          </w:p>
        </w:tc>
        <w:tc>
          <w:tcPr>
            <w:tcW w:type="dxa" w:w="4896"/>
            <w:shd w:val="clear" w:color="auto" w:fill="F2F4F8"/>
          </w:tcPr>
          <w:p>
            <w:pPr>
              <w:spacing w:after="20"/>
            </w:pPr>
            <w:r/>
            <w:r>
              <w:rPr>
                <w:sz w:val="16"/>
              </w:rPr>
              <w:t>Illustration assumes nine directors; under § 3.1 (5–11) the “20%” prong never exceeds two, and with a classified board two nominees = two-thirds of seats up for election.</w:t>
            </w:r>
          </w:p>
        </w:tc>
        <w:tc>
          <w:tcPr>
            <w:tcW w:type="dxa" w:w="3600"/>
            <w:shd w:val="clear" w:color="auto" w:fill="F2F4F8"/>
          </w:tcPr>
          <w:p>
            <w:pPr>
              <w:spacing w:after="20"/>
            </w:pPr>
            <w:r/>
            <w:r>
              <w:rPr>
                <w:sz w:val="16"/>
              </w:rPr>
              <w:t>Confirm intended cap; consider classified-board calibration.</w:t>
            </w:r>
          </w:p>
        </w:tc>
      </w:tr>
      <w:tr>
        <w:tc>
          <w:tcPr>
            <w:tcW w:type="dxa" w:w="1152"/>
          </w:tcPr>
          <w:p>
            <w:pPr>
              <w:spacing w:after="20"/>
            </w:pPr>
            <w:r/>
            <w:r>
              <w:rPr>
                <w:sz w:val="16"/>
              </w:rPr>
              <w:t>5.1</w:t>
            </w:r>
          </w:p>
        </w:tc>
        <w:tc>
          <w:tcPr>
            <w:tcW w:type="dxa" w:w="4896"/>
          </w:tcPr>
          <w:p>
            <w:pPr>
              <w:spacing w:after="20"/>
            </w:pPr>
            <w:r/>
            <w:r>
              <w:rPr>
                <w:sz w:val="16"/>
              </w:rPr>
              <w:t>One-third quorum is the floor under both DGCL § 216 and NASDAQ Rule 5620(c); lower ordinary-vote threshold when combined with 5.3.</w:t>
            </w:r>
          </w:p>
        </w:tc>
        <w:tc>
          <w:tcPr>
            <w:tcW w:type="dxa" w:w="3600"/>
          </w:tcPr>
          <w:p>
            <w:pPr>
              <w:spacing w:after="20"/>
            </w:pPr>
            <w:r/>
            <w:r>
              <w:rPr>
                <w:sz w:val="16"/>
              </w:rPr>
              <w:t>Note interaction; consider majority quorum for stockholder-requested meetings.</w:t>
            </w:r>
          </w:p>
        </w:tc>
      </w:tr>
      <w:tr>
        <w:tc>
          <w:tcPr>
            <w:tcW w:type="dxa" w:w="1152"/>
            <w:shd w:val="clear" w:color="auto" w:fill="F2F4F8"/>
          </w:tcPr>
          <w:p>
            <w:pPr>
              <w:spacing w:after="20"/>
            </w:pPr>
            <w:r/>
            <w:r>
              <w:rPr>
                <w:sz w:val="16"/>
              </w:rPr>
              <w:t>7.1(d)</w:t>
            </w:r>
          </w:p>
        </w:tc>
        <w:tc>
          <w:tcPr>
            <w:tcW w:type="dxa" w:w="4896"/>
            <w:shd w:val="clear" w:color="auto" w:fill="F2F4F8"/>
          </w:tcPr>
          <w:p>
            <w:pPr>
              <w:spacing w:after="20"/>
            </w:pPr>
            <w:r/>
            <w:r>
              <w:rPr>
                <w:sz w:val="16"/>
              </w:rPr>
              <w:t>“Business combinations” could be read to include DGCL § 203, an opt-out from which requires a stockholder-approved Certificate amendment effective 12 months later.</w:t>
            </w:r>
          </w:p>
        </w:tc>
        <w:tc>
          <w:tcPr>
            <w:tcW w:type="dxa" w:w="3600"/>
            <w:shd w:val="clear" w:color="auto" w:fill="F2F4F8"/>
          </w:tcPr>
          <w:p>
            <w:pPr>
              <w:spacing w:after="20"/>
            </w:pPr>
            <w:r/>
            <w:r>
              <w:rPr>
                <w:sz w:val="16"/>
              </w:rPr>
              <w:t>Clarify whether § 203 is intended to be within scope.</w:t>
            </w:r>
          </w:p>
        </w:tc>
      </w:tr>
      <w:tr>
        <w:tc>
          <w:tcPr>
            <w:tcW w:type="dxa" w:w="1152"/>
          </w:tcPr>
          <w:p>
            <w:pPr>
              <w:spacing w:after="20"/>
            </w:pPr>
            <w:r/>
            <w:r>
              <w:rPr>
                <w:sz w:val="16"/>
              </w:rPr>
              <w:t>8.2</w:t>
            </w:r>
          </w:p>
        </w:tc>
        <w:tc>
          <w:tcPr>
            <w:tcW w:type="dxa" w:w="4896"/>
          </w:tcPr>
          <w:p>
            <w:pPr>
              <w:spacing w:after="20"/>
            </w:pPr>
            <w:r/>
            <w:r>
              <w:rPr>
                <w:sz w:val="16"/>
              </w:rPr>
              <w:t>Silent on President and Treasurer; Board-only compensation-setting for four officers must yield to NASDAQ Rule 5605(d) Compensation Committee authority over executive officers.</w:t>
            </w:r>
          </w:p>
        </w:tc>
        <w:tc>
          <w:tcPr>
            <w:tcW w:type="dxa" w:w="3600"/>
          </w:tcPr>
          <w:p>
            <w:pPr>
              <w:spacing w:after="20"/>
            </w:pPr>
            <w:r/>
            <w:r>
              <w:rPr>
                <w:sz w:val="16"/>
              </w:rPr>
              <w:t>Carve out executive/Section 16 officers from CEO delegation.</w:t>
            </w:r>
          </w:p>
        </w:tc>
      </w:tr>
      <w:tr>
        <w:tc>
          <w:tcPr>
            <w:tcW w:type="dxa" w:w="1152"/>
            <w:shd w:val="clear" w:color="auto" w:fill="F2F4F8"/>
          </w:tcPr>
          <w:p>
            <w:pPr>
              <w:spacing w:after="20"/>
            </w:pPr>
            <w:r/>
            <w:r>
              <w:rPr>
                <w:sz w:val="16"/>
              </w:rPr>
              <w:t>9.1</w:t>
            </w:r>
          </w:p>
        </w:tc>
        <w:tc>
          <w:tcPr>
            <w:tcW w:type="dxa" w:w="4896"/>
            <w:shd w:val="clear" w:color="auto" w:fill="F2F4F8"/>
          </w:tcPr>
          <w:p>
            <w:pPr>
              <w:spacing w:after="20"/>
            </w:pPr>
            <w:r/>
            <w:r>
              <w:rPr>
                <w:sz w:val="16"/>
              </w:rPr>
              <w:t>Implementation note states mandatory indemnification “cannot be unilaterally revoked by the Board”; the Board may amend Article VI prospectively (§ 8.1), with only accrued rights protected (§ 6.6; DGCL § 145(f)). Mandatory advancement for all employees and agents raises cost and regulatory-investigation concerns.</w:t>
            </w:r>
          </w:p>
        </w:tc>
        <w:tc>
          <w:tcPr>
            <w:tcW w:type="dxa" w:w="3600"/>
            <w:shd w:val="clear" w:color="auto" w:fill="F2F4F8"/>
          </w:tcPr>
          <w:p>
            <w:pPr>
              <w:spacing w:after="20"/>
            </w:pPr>
            <w:r/>
            <w:r>
              <w:rPr>
                <w:sz w:val="16"/>
              </w:rPr>
              <w:t>Correct the note; consider tailored employee coverage; rely on 9.2 agreements for certainty.</w:t>
            </w:r>
          </w:p>
        </w:tc>
      </w:tr>
      <w:tr>
        <w:tc>
          <w:tcPr>
            <w:tcW w:type="dxa" w:w="1152"/>
          </w:tcPr>
          <w:p>
            <w:pPr>
              <w:spacing w:after="20"/>
            </w:pPr>
            <w:r/>
            <w:r>
              <w:rPr>
                <w:sz w:val="16"/>
              </w:rPr>
              <w:t>10.1</w:t>
            </w:r>
          </w:p>
        </w:tc>
        <w:tc>
          <w:tcPr>
            <w:tcW w:type="dxa" w:w="4896"/>
          </w:tcPr>
          <w:p>
            <w:pPr>
              <w:spacing w:after="20"/>
            </w:pPr>
            <w:r/>
            <w:r>
              <w:rPr>
                <w:sz w:val="16"/>
              </w:rPr>
              <w:t>Definition of “emergency” is broader than DGCL § 110, which requires that a quorum cannot readily be convened.</w:t>
            </w:r>
          </w:p>
        </w:tc>
        <w:tc>
          <w:tcPr>
            <w:tcW w:type="dxa" w:w="3600"/>
          </w:tcPr>
          <w:p>
            <w:pPr>
              <w:spacing w:after="20"/>
            </w:pPr>
            <w:r/>
            <w:r>
              <w:rPr>
                <w:sz w:val="16"/>
              </w:rPr>
              <w:t>Tie definition to § 110 to preserve statutory liability protection.</w:t>
            </w:r>
          </w:p>
        </w:tc>
      </w:tr>
      <w:tr>
        <w:tc>
          <w:tcPr>
            <w:tcW w:type="dxa" w:w="1152"/>
            <w:shd w:val="clear" w:color="auto" w:fill="F2F4F8"/>
          </w:tcPr>
          <w:p>
            <w:pPr>
              <w:spacing w:after="20"/>
            </w:pPr>
            <w:r/>
            <w:r>
              <w:rPr>
                <w:sz w:val="16"/>
              </w:rPr>
              <w:t>3.3</w:t>
            </w:r>
          </w:p>
        </w:tc>
        <w:tc>
          <w:tcPr>
            <w:tcW w:type="dxa" w:w="4896"/>
            <w:shd w:val="clear" w:color="auto" w:fill="F2F4F8"/>
          </w:tcPr>
          <w:p>
            <w:pPr>
              <w:spacing w:after="20"/>
            </w:pPr>
            <w:r/>
            <w:r>
              <w:rPr>
                <w:sz w:val="16"/>
              </w:rPr>
              <w:t>Board diversity: NASDAQ’s diversity disclosure rule was vacated (5th Cir. en banc, Dec. 2024).</w:t>
            </w:r>
          </w:p>
        </w:tc>
        <w:tc>
          <w:tcPr>
            <w:tcW w:type="dxa" w:w="3600"/>
            <w:shd w:val="clear" w:color="auto" w:fill="F2F4F8"/>
          </w:tcPr>
          <w:p>
            <w:pPr>
              <w:spacing w:after="20"/>
            </w:pPr>
            <w:r/>
            <w:r>
              <w:rPr>
                <w:sz w:val="16"/>
              </w:rPr>
              <w:t>Frame as voluntary policy.</w:t>
            </w:r>
          </w:p>
        </w:tc>
      </w:tr>
      <w:tr>
        <w:tc>
          <w:tcPr>
            <w:tcW w:type="dxa" w:w="1152"/>
          </w:tcPr>
          <w:p>
            <w:pPr>
              <w:spacing w:after="20"/>
            </w:pPr>
            <w:r/>
            <w:r>
              <w:rPr>
                <w:sz w:val="16"/>
              </w:rPr>
              <w:t>§ 1.3</w:t>
            </w:r>
          </w:p>
        </w:tc>
        <w:tc>
          <w:tcPr>
            <w:tcW w:type="dxa" w:w="4896"/>
          </w:tcPr>
          <w:p>
            <w:pPr>
              <w:spacing w:after="20"/>
            </w:pPr>
            <w:r/>
            <w:r>
              <w:rPr>
                <w:sz w:val="16"/>
              </w:rPr>
              <w:t>Describes “ten (10) categories”; there are nine substantive categories (Sections 2–10).</w:t>
            </w:r>
          </w:p>
        </w:tc>
        <w:tc>
          <w:tcPr>
            <w:tcW w:type="dxa" w:w="3600"/>
          </w:tcPr>
          <w:p>
            <w:pPr>
              <w:spacing w:after="20"/>
            </w:pPr>
            <w:r/>
            <w:r>
              <w:rPr>
                <w:sz w:val="16"/>
              </w:rPr>
              <w:t>Conform.</w:t>
            </w:r>
          </w:p>
        </w:tc>
      </w:tr>
    </w:tbl>
    <w:p>
      <w:pPr>
        <w:spacing w:after="40"/>
      </w:pPr>
    </w:p>
    <w:p>
      <w:pPr>
        <w:pStyle w:val="Heading1"/>
      </w:pPr>
      <w:r>
        <w:t>9. Additional Observations Beyond the Guidelines</w:t>
      </w:r>
    </w:p>
    <w:p>
      <w:r>
        <w:rPr/>
        <w:t>The following Bylaw issues are not the subject of a specific Guideline but should be corrected in the same amendment package:</w:t>
      </w:r>
    </w:p>
    <w:p>
      <w:pPr>
        <w:pStyle w:val="ListBullet"/>
        <w:spacing w:after="60"/>
      </w:pPr>
      <w:r>
        <w:rPr>
          <w:b/>
        </w:rPr>
        <w:t>Written ballot (§ 3.2, last sentence).</w:t>
      </w:r>
      <w:r>
        <w:rPr/>
        <w:t xml:space="preserve"> States that director elections “need not be by written ballot unless the Bylaws … so provide.” DGCL § 211(e) requires written ballots </w:t>
      </w:r>
      <w:r>
        <w:rPr>
          <w:b/>
        </w:rPr>
        <w:t>unless the Certificate</w:t>
      </w:r>
      <w:r>
        <w:rPr/>
        <w:t xml:space="preserve"> provides otherwise (electronic transmission may satisfy the requirement if authorized by the Board). Confirm the Certificate and conform.</w:t>
      </w:r>
    </w:p>
    <w:p>
      <w:pPr>
        <w:pStyle w:val="ListBullet"/>
        <w:spacing w:after="60"/>
      </w:pPr>
      <w:r>
        <w:rPr>
          <w:b/>
        </w:rPr>
        <w:t>Dangling solicitation reference (§ 2.10(f)).</w:t>
      </w:r>
      <w:r>
        <w:rPr/>
        <w:t xml:space="preserve"> Refers to solicitation representations “required by this Section 2.10”; none are required. Cure through the Guideline 4.6 amendments.</w:t>
      </w:r>
    </w:p>
    <w:p>
      <w:pPr>
        <w:pStyle w:val="ListBullet"/>
        <w:spacing w:after="60"/>
      </w:pPr>
      <w:r>
        <w:rPr>
          <w:b/>
        </w:rPr>
        <w:t>Validity of classification (§ 3.2).</w:t>
      </w:r>
      <w:r>
        <w:rPr/>
        <w:t xml:space="preserve"> Confirm the Certificate establishes the classified board (DGCL § 141(d)); otherwise the Board-adopted 2019 Bylaws alone may not validly classify the Board.</w:t>
      </w:r>
    </w:p>
    <w:p>
      <w:pPr>
        <w:pStyle w:val="ListBullet"/>
        <w:spacing w:after="60"/>
      </w:pPr>
      <w:r>
        <w:rPr>
          <w:b/>
        </w:rPr>
        <w:t>Removal supermajority location (§ 3.4).</w:t>
      </w:r>
      <w:r>
        <w:rPr/>
        <w:t xml:space="preserve"> A 75% removal vote is of doubtful validity if it appears only in the Bylaws (DGCL §§ 141(k), 109(b)); a further reason to reduce it now.</w:t>
      </w:r>
    </w:p>
    <w:p>
      <w:pPr>
        <w:pStyle w:val="ListBullet"/>
        <w:spacing w:after="60"/>
      </w:pPr>
      <w:r>
        <w:rPr>
          <w:b/>
        </w:rPr>
        <w:t>Stale initial-class language (§ 3.2).</w:t>
      </w:r>
      <w:r>
        <w:rPr/>
        <w:t xml:space="preserve"> Delete the IPO-era initial term provisions.</w:t>
      </w:r>
    </w:p>
    <w:p>
      <w:pPr>
        <w:pStyle w:val="ListBullet"/>
        <w:spacing w:after="60"/>
      </w:pPr>
      <w:r>
        <w:rPr>
          <w:b/>
        </w:rPr>
        <w:t>Stockholder list (§ 2.9).</w:t>
      </w:r>
      <w:r>
        <w:rPr/>
        <w:t xml:space="preserve"> DGCL § 219 (as amended in 2022) no longer requires the list to be available during the meeting; the Bylaw may be simplified.</w:t>
      </w:r>
    </w:p>
    <w:p>
      <w:pPr>
        <w:pStyle w:val="ListBullet"/>
        <w:spacing w:after="60"/>
      </w:pPr>
      <w:r>
        <w:rPr>
          <w:b/>
        </w:rPr>
        <w:t>Adjournment notice for virtual meetings (§ 2.6).</w:t>
      </w:r>
      <w:r>
        <w:rPr/>
        <w:t xml:space="preserve"> Conform to DGCL § 222(c) (2022) to permit display on the remote communication platform.</w:t>
      </w:r>
    </w:p>
    <w:p>
      <w:pPr>
        <w:pStyle w:val="ListBullet"/>
        <w:spacing w:after="60"/>
      </w:pPr>
      <w:r>
        <w:rPr>
          <w:b/>
        </w:rPr>
        <w:t>Consent record date.</w:t>
      </w:r>
      <w:r>
        <w:rPr/>
        <w:t xml:space="preserve"> No Bylaw implements DGCL § 213(b) for consent solicitations (see E-2).</w:t>
      </w:r>
    </w:p>
    <w:p>
      <w:pPr>
        <w:pStyle w:val="ListBullet"/>
        <w:spacing w:after="60"/>
      </w:pPr>
      <w:r>
        <w:rPr>
          <w:b/>
        </w:rPr>
        <w:t>Officer exculpation.</w:t>
      </w:r>
      <w:r>
        <w:rPr/>
        <w:t xml:space="preserve"> DGCL § 102(b)(7) (2022) permits exculpation of senior officers for direct claims of breach of the duty of care; adopting it requires a Certificate amendment and could be added to the 2025 ballot alongside the governance proposals.</w:t>
      </w:r>
    </w:p>
    <w:p>
      <w:pPr>
        <w:pStyle w:val="ListBullet"/>
        <w:spacing w:after="60"/>
      </w:pPr>
      <w:r>
        <w:rPr>
          <w:b/>
        </w:rPr>
        <w:t>Board quorum (§ 3.9).</w:t>
      </w:r>
      <w:r>
        <w:rPr/>
        <w:t xml:space="preserve"> A majority of the total authorized number of directors – appropriate generally; addressed for emergencies by Guideline 10.1.</w:t>
      </w:r>
    </w:p>
    <w:p>
      <w:pPr>
        <w:pStyle w:val="Heading1"/>
      </w:pPr>
      <w:r>
        <w:t>10. Certificate of Incorporation Review Checklist</w:t>
      </w:r>
    </w:p>
    <w:p>
      <w:r>
        <w:rPr/>
        <w:t>Upon receipt of the Restated Certificate (and any amendments or certificates of designation), we will confirm each of the following, which determine whether the corresponding change is Board-only (B) or requires a stockholder vote (C+S):</w:t>
      </w:r>
    </w:p>
    <w:tbl>
      <w:tblPr>
        <w:tblStyle w:val="TableGrid"/>
        <w:tblW w:type="auto" w:w="0"/>
        <w:jc w:val="center"/>
        <w:tblLayout w:type="fixed"/>
        <w:tblLook w:firstColumn="1" w:firstRow="1" w:lastColumn="0" w:lastRow="0" w:noHBand="0" w:noVBand="1" w:val="04A0"/>
      </w:tblPr>
      <w:tblGrid>
        <w:gridCol w:w="4320"/>
        <w:gridCol w:w="1872"/>
        <w:gridCol w:w="3456"/>
      </w:tblGrid>
      <w:tr>
        <w:trPr>
          <w:tblHeader w:val="true"/>
        </w:trPr>
        <w:tc>
          <w:tcPr>
            <w:tcW w:type="dxa" w:w="4320"/>
            <w:shd w:val="clear" w:color="auto" w:fill="1F2A44"/>
          </w:tcPr>
          <w:p>
            <w:r/>
            <w:r>
              <w:rPr>
                <w:b/>
                <w:color w:val="FFFFFF"/>
                <w:sz w:val="16"/>
              </w:rPr>
              <w:t>Certificate item to confirm</w:t>
            </w:r>
          </w:p>
        </w:tc>
        <w:tc>
          <w:tcPr>
            <w:tcW w:type="dxa" w:w="1872"/>
            <w:shd w:val="clear" w:color="auto" w:fill="1F2A44"/>
          </w:tcPr>
          <w:p>
            <w:r/>
            <w:r>
              <w:rPr>
                <w:b/>
                <w:color w:val="FFFFFF"/>
                <w:sz w:val="16"/>
              </w:rPr>
              <w:t>Affects Guideline(s)</w:t>
            </w:r>
          </w:p>
        </w:tc>
        <w:tc>
          <w:tcPr>
            <w:tcW w:type="dxa" w:w="3456"/>
            <w:shd w:val="clear" w:color="auto" w:fill="1F2A44"/>
          </w:tcPr>
          <w:p>
            <w:r/>
            <w:r>
              <w:rPr>
                <w:b/>
                <w:color w:val="FFFFFF"/>
                <w:sz w:val="16"/>
              </w:rPr>
              <w:t>If present</w:t>
            </w:r>
          </w:p>
        </w:tc>
      </w:tr>
      <w:tr>
        <w:tc>
          <w:tcPr>
            <w:tcW w:type="dxa" w:w="4320"/>
          </w:tcPr>
          <w:p>
            <w:pPr>
              <w:spacing w:after="20"/>
            </w:pPr>
            <w:r/>
            <w:r>
              <w:rPr>
                <w:sz w:val="16"/>
              </w:rPr>
              <w:t>Classified board / class terms</w:t>
            </w:r>
          </w:p>
        </w:tc>
        <w:tc>
          <w:tcPr>
            <w:tcW w:type="dxa" w:w="1872"/>
          </w:tcPr>
          <w:p>
            <w:pPr>
              <w:spacing w:after="20"/>
            </w:pPr>
            <w:r/>
            <w:r>
              <w:rPr>
                <w:sz w:val="16"/>
              </w:rPr>
              <w:t>3.1, 7.2</w:t>
            </w:r>
          </w:p>
        </w:tc>
        <w:tc>
          <w:tcPr>
            <w:tcW w:type="dxa" w:w="3456"/>
          </w:tcPr>
          <w:p>
            <w:pPr>
              <w:spacing w:after="20"/>
            </w:pPr>
            <w:r/>
            <w:r>
              <w:rPr>
                <w:sz w:val="16"/>
              </w:rPr>
              <w:t>C+S required for declassification</w:t>
            </w:r>
          </w:p>
        </w:tc>
      </w:tr>
      <w:tr>
        <w:tc>
          <w:tcPr>
            <w:tcW w:type="dxa" w:w="4320"/>
            <w:shd w:val="clear" w:color="auto" w:fill="F2F4F8"/>
          </w:tcPr>
          <w:p>
            <w:pPr>
              <w:spacing w:after="20"/>
            </w:pPr>
            <w:r/>
            <w:r>
              <w:rPr>
                <w:sz w:val="16"/>
              </w:rPr>
              <w:t>Director removal standard and vote</w:t>
            </w:r>
          </w:p>
        </w:tc>
        <w:tc>
          <w:tcPr>
            <w:tcW w:type="dxa" w:w="1872"/>
            <w:shd w:val="clear" w:color="auto" w:fill="F2F4F8"/>
          </w:tcPr>
          <w:p>
            <w:pPr>
              <w:spacing w:after="20"/>
            </w:pPr>
            <w:r/>
            <w:r>
              <w:rPr>
                <w:sz w:val="16"/>
              </w:rPr>
              <w:t>7.1, 7.2</w:t>
            </w:r>
          </w:p>
        </w:tc>
        <w:tc>
          <w:tcPr>
            <w:tcW w:type="dxa" w:w="3456"/>
            <w:shd w:val="clear" w:color="auto" w:fill="F2F4F8"/>
          </w:tcPr>
          <w:p>
            <w:pPr>
              <w:spacing w:after="20"/>
            </w:pPr>
            <w:r/>
            <w:r>
              <w:rPr>
                <w:sz w:val="16"/>
              </w:rPr>
              <w:t>C+S to reduce 75% or remove for-cause</w:t>
            </w:r>
          </w:p>
        </w:tc>
      </w:tr>
      <w:tr>
        <w:tc>
          <w:tcPr>
            <w:tcW w:type="dxa" w:w="4320"/>
          </w:tcPr>
          <w:p>
            <w:pPr>
              <w:spacing w:after="20"/>
            </w:pPr>
            <w:r/>
            <w:r>
              <w:rPr>
                <w:sz w:val="16"/>
              </w:rPr>
              <w:t>Vacancy-filling and Board-size provisions</w:t>
            </w:r>
          </w:p>
        </w:tc>
        <w:tc>
          <w:tcPr>
            <w:tcW w:type="dxa" w:w="1872"/>
          </w:tcPr>
          <w:p>
            <w:pPr>
              <w:spacing w:after="20"/>
            </w:pPr>
            <w:r/>
            <w:r>
              <w:rPr>
                <w:sz w:val="16"/>
              </w:rPr>
              <w:t>3.1, 4.3</w:t>
            </w:r>
          </w:p>
        </w:tc>
        <w:tc>
          <w:tcPr>
            <w:tcW w:type="dxa" w:w="3456"/>
          </w:tcPr>
          <w:p>
            <w:pPr>
              <w:spacing w:after="20"/>
            </w:pPr>
            <w:r/>
            <w:r>
              <w:rPr>
                <w:sz w:val="16"/>
              </w:rPr>
              <w:t>Conforming C+S may be needed</w:t>
            </w:r>
          </w:p>
        </w:tc>
      </w:tr>
      <w:tr>
        <w:tc>
          <w:tcPr>
            <w:tcW w:type="dxa" w:w="4320"/>
            <w:shd w:val="clear" w:color="auto" w:fill="F2F4F8"/>
          </w:tcPr>
          <w:p>
            <w:pPr>
              <w:spacing w:after="20"/>
            </w:pPr>
            <w:r/>
            <w:r>
              <w:rPr>
                <w:sz w:val="16"/>
              </w:rPr>
              <w:t>Prohibition or restriction of written consent</w:t>
            </w:r>
          </w:p>
        </w:tc>
        <w:tc>
          <w:tcPr>
            <w:tcW w:type="dxa" w:w="1872"/>
            <w:shd w:val="clear" w:color="auto" w:fill="F2F4F8"/>
          </w:tcPr>
          <w:p>
            <w:pPr>
              <w:spacing w:after="20"/>
            </w:pPr>
            <w:r/>
            <w:r>
              <w:rPr>
                <w:sz w:val="16"/>
              </w:rPr>
              <w:t>5.2</w:t>
            </w:r>
          </w:p>
        </w:tc>
        <w:tc>
          <w:tcPr>
            <w:tcW w:type="dxa" w:w="3456"/>
            <w:shd w:val="clear" w:color="auto" w:fill="F2F4F8"/>
          </w:tcPr>
          <w:p>
            <w:pPr>
              <w:spacing w:after="20"/>
            </w:pPr>
            <w:r/>
            <w:r>
              <w:rPr>
                <w:sz w:val="16"/>
              </w:rPr>
              <w:t>If already prohibited, § 2.11 is ineffective and the Guideline may already be met</w:t>
            </w:r>
          </w:p>
        </w:tc>
      </w:tr>
      <w:tr>
        <w:tc>
          <w:tcPr>
            <w:tcW w:type="dxa" w:w="4320"/>
          </w:tcPr>
          <w:p>
            <w:pPr>
              <w:spacing w:after="20"/>
            </w:pPr>
            <w:r/>
            <w:r>
              <w:rPr>
                <w:sz w:val="16"/>
              </w:rPr>
              <w:t>Who may call special meetings</w:t>
            </w:r>
          </w:p>
        </w:tc>
        <w:tc>
          <w:tcPr>
            <w:tcW w:type="dxa" w:w="1872"/>
          </w:tcPr>
          <w:p>
            <w:pPr>
              <w:spacing w:after="20"/>
            </w:pPr>
            <w:r/>
            <w:r>
              <w:rPr>
                <w:sz w:val="16"/>
              </w:rPr>
              <w:t>5.3</w:t>
            </w:r>
          </w:p>
        </w:tc>
        <w:tc>
          <w:tcPr>
            <w:tcW w:type="dxa" w:w="3456"/>
          </w:tcPr>
          <w:p>
            <w:pPr>
              <w:spacing w:after="20"/>
            </w:pPr>
            <w:r/>
            <w:r>
              <w:rPr>
                <w:sz w:val="16"/>
              </w:rPr>
              <w:t>C+S needed if limited to Board/Chair/CEO</w:t>
            </w:r>
          </w:p>
        </w:tc>
      </w:tr>
      <w:tr>
        <w:tc>
          <w:tcPr>
            <w:tcW w:type="dxa" w:w="4320"/>
            <w:shd w:val="clear" w:color="auto" w:fill="F2F4F8"/>
          </w:tcPr>
          <w:p>
            <w:pPr>
              <w:spacing w:after="20"/>
            </w:pPr>
            <w:r/>
            <w:r>
              <w:rPr>
                <w:sz w:val="16"/>
              </w:rPr>
              <w:t>Quorum or director-election vote standard</w:t>
            </w:r>
          </w:p>
        </w:tc>
        <w:tc>
          <w:tcPr>
            <w:tcW w:type="dxa" w:w="1872"/>
            <w:shd w:val="clear" w:color="auto" w:fill="F2F4F8"/>
          </w:tcPr>
          <w:p>
            <w:pPr>
              <w:spacing w:after="20"/>
            </w:pPr>
            <w:r/>
            <w:r>
              <w:rPr>
                <w:sz w:val="16"/>
              </w:rPr>
              <w:t>5.1, 4.1</w:t>
            </w:r>
          </w:p>
        </w:tc>
        <w:tc>
          <w:tcPr>
            <w:tcW w:type="dxa" w:w="3456"/>
            <w:shd w:val="clear" w:color="auto" w:fill="F2F4F8"/>
          </w:tcPr>
          <w:p>
            <w:pPr>
              <w:spacing w:after="20"/>
            </w:pPr>
            <w:r/>
            <w:r>
              <w:rPr>
                <w:sz w:val="16"/>
              </w:rPr>
              <w:t>C+S needed to change</w:t>
            </w:r>
          </w:p>
        </w:tc>
      </w:tr>
      <w:tr>
        <w:tc>
          <w:tcPr>
            <w:tcW w:type="dxa" w:w="4320"/>
          </w:tcPr>
          <w:p>
            <w:pPr>
              <w:spacing w:after="20"/>
            </w:pPr>
            <w:r/>
            <w:r>
              <w:rPr>
                <w:sz w:val="16"/>
              </w:rPr>
              <w:t>Supermajority for Certificate or Bylaw amendments; Board power to amend Bylaws (§ 109(a))</w:t>
            </w:r>
          </w:p>
        </w:tc>
        <w:tc>
          <w:tcPr>
            <w:tcW w:type="dxa" w:w="1872"/>
          </w:tcPr>
          <w:p>
            <w:pPr>
              <w:spacing w:after="20"/>
            </w:pPr>
            <w:r/>
            <w:r>
              <w:rPr>
                <w:sz w:val="16"/>
              </w:rPr>
              <w:t>7.1, 7.3</w:t>
            </w:r>
          </w:p>
        </w:tc>
        <w:tc>
          <w:tcPr>
            <w:tcW w:type="dxa" w:w="3456"/>
          </w:tcPr>
          <w:p>
            <w:pPr>
              <w:spacing w:after="20"/>
            </w:pPr>
            <w:r/>
            <w:r>
              <w:rPr>
                <w:sz w:val="16"/>
              </w:rPr>
              <w:t>Bootstrapping vote; C+S</w:t>
            </w:r>
          </w:p>
        </w:tc>
      </w:tr>
      <w:tr>
        <w:tc>
          <w:tcPr>
            <w:tcW w:type="dxa" w:w="4320"/>
            <w:shd w:val="clear" w:color="auto" w:fill="F2F4F8"/>
          </w:tcPr>
          <w:p>
            <w:pPr>
              <w:spacing w:after="20"/>
            </w:pPr>
            <w:r/>
            <w:r>
              <w:rPr>
                <w:sz w:val="16"/>
              </w:rPr>
              <w:t>DGCL § 203 opt-out or business-combination supermajority</w:t>
            </w:r>
          </w:p>
        </w:tc>
        <w:tc>
          <w:tcPr>
            <w:tcW w:type="dxa" w:w="1872"/>
            <w:shd w:val="clear" w:color="auto" w:fill="F2F4F8"/>
          </w:tcPr>
          <w:p>
            <w:pPr>
              <w:spacing w:after="20"/>
            </w:pPr>
            <w:r/>
            <w:r>
              <w:rPr>
                <w:sz w:val="16"/>
              </w:rPr>
              <w:t>7.1(d)</w:t>
            </w:r>
          </w:p>
        </w:tc>
        <w:tc>
          <w:tcPr>
            <w:tcW w:type="dxa" w:w="3456"/>
            <w:shd w:val="clear" w:color="auto" w:fill="F2F4F8"/>
          </w:tcPr>
          <w:p>
            <w:pPr>
              <w:spacing w:after="20"/>
            </w:pPr>
            <w:r/>
            <w:r>
              <w:rPr>
                <w:sz w:val="16"/>
              </w:rPr>
              <w:t>C+S; 12-month delay for § 203 opt-out</w:t>
            </w:r>
          </w:p>
        </w:tc>
      </w:tr>
      <w:tr>
        <w:tc>
          <w:tcPr>
            <w:tcW w:type="dxa" w:w="4320"/>
          </w:tcPr>
          <w:p>
            <w:pPr>
              <w:spacing w:after="20"/>
            </w:pPr>
            <w:r/>
            <w:r>
              <w:rPr>
                <w:sz w:val="16"/>
              </w:rPr>
              <w:t>Exculpation (§ 102(b)(7)) and indemnification articles</w:t>
            </w:r>
          </w:p>
        </w:tc>
        <w:tc>
          <w:tcPr>
            <w:tcW w:type="dxa" w:w="1872"/>
          </w:tcPr>
          <w:p>
            <w:pPr>
              <w:spacing w:after="20"/>
            </w:pPr>
            <w:r/>
            <w:r>
              <w:rPr>
                <w:sz w:val="16"/>
              </w:rPr>
              <w:t>9.1, Part 9</w:t>
            </w:r>
          </w:p>
        </w:tc>
        <w:tc>
          <w:tcPr>
            <w:tcW w:type="dxa" w:w="3456"/>
          </w:tcPr>
          <w:p>
            <w:pPr>
              <w:spacing w:after="20"/>
            </w:pPr>
            <w:r/>
            <w:r>
              <w:rPr>
                <w:sz w:val="16"/>
              </w:rPr>
              <w:t>Coordinate with Article VI</w:t>
            </w:r>
          </w:p>
        </w:tc>
      </w:tr>
      <w:tr>
        <w:tc>
          <w:tcPr>
            <w:tcW w:type="dxa" w:w="4320"/>
            <w:shd w:val="clear" w:color="auto" w:fill="F2F4F8"/>
          </w:tcPr>
          <w:p>
            <w:pPr>
              <w:spacing w:after="20"/>
            </w:pPr>
            <w:r/>
            <w:r>
              <w:rPr>
                <w:sz w:val="16"/>
              </w:rPr>
              <w:t>Forum selection</w:t>
            </w:r>
          </w:p>
        </w:tc>
        <w:tc>
          <w:tcPr>
            <w:tcW w:type="dxa" w:w="1872"/>
            <w:shd w:val="clear" w:color="auto" w:fill="F2F4F8"/>
          </w:tcPr>
          <w:p>
            <w:pPr>
              <w:spacing w:after="20"/>
            </w:pPr>
            <w:r/>
            <w:r>
              <w:rPr>
                <w:sz w:val="16"/>
              </w:rPr>
              <w:t>6.1</w:t>
            </w:r>
          </w:p>
        </w:tc>
        <w:tc>
          <w:tcPr>
            <w:tcW w:type="dxa" w:w="3456"/>
            <w:shd w:val="clear" w:color="auto" w:fill="F2F4F8"/>
          </w:tcPr>
          <w:p>
            <w:pPr>
              <w:spacing w:after="20"/>
            </w:pPr>
            <w:r/>
            <w:r>
              <w:rPr>
                <w:sz w:val="16"/>
              </w:rPr>
              <w:t>Coordinate with new Bylaw</w:t>
            </w:r>
          </w:p>
        </w:tc>
      </w:tr>
      <w:tr>
        <w:tc>
          <w:tcPr>
            <w:tcW w:type="dxa" w:w="4320"/>
          </w:tcPr>
          <w:p>
            <w:pPr>
              <w:spacing w:after="20"/>
            </w:pPr>
            <w:r/>
            <w:r>
              <w:rPr>
                <w:sz w:val="16"/>
              </w:rPr>
              <w:t>Written ballot waiver (§ 211(e))</w:t>
            </w:r>
          </w:p>
        </w:tc>
        <w:tc>
          <w:tcPr>
            <w:tcW w:type="dxa" w:w="1872"/>
          </w:tcPr>
          <w:p>
            <w:pPr>
              <w:spacing w:after="20"/>
            </w:pPr>
            <w:r/>
            <w:r>
              <w:rPr>
                <w:sz w:val="16"/>
              </w:rPr>
              <w:t>Part 9</w:t>
            </w:r>
          </w:p>
        </w:tc>
        <w:tc>
          <w:tcPr>
            <w:tcW w:type="dxa" w:w="3456"/>
          </w:tcPr>
          <w:p>
            <w:pPr>
              <w:spacing w:after="20"/>
            </w:pPr>
            <w:r/>
            <w:r>
              <w:rPr>
                <w:sz w:val="16"/>
              </w:rPr>
              <w:t>Conform § 3.2</w:t>
            </w:r>
          </w:p>
        </w:tc>
      </w:tr>
      <w:tr>
        <w:tc>
          <w:tcPr>
            <w:tcW w:type="dxa" w:w="4320"/>
            <w:shd w:val="clear" w:color="auto" w:fill="F2F4F8"/>
          </w:tcPr>
          <w:p>
            <w:pPr>
              <w:spacing w:after="20"/>
            </w:pPr>
            <w:r/>
            <w:r>
              <w:rPr>
                <w:sz w:val="16"/>
              </w:rPr>
              <w:t>Preferred stock director-election rights (5,000,000 authorized shares)</w:t>
            </w:r>
          </w:p>
        </w:tc>
        <w:tc>
          <w:tcPr>
            <w:tcW w:type="dxa" w:w="1872"/>
            <w:shd w:val="clear" w:color="auto" w:fill="F2F4F8"/>
          </w:tcPr>
          <w:p>
            <w:pPr>
              <w:spacing w:after="20"/>
            </w:pPr>
            <w:r/>
            <w:r>
              <w:rPr>
                <w:sz w:val="16"/>
              </w:rPr>
              <w:t>3.1, 4.1, 7.2</w:t>
            </w:r>
          </w:p>
        </w:tc>
        <w:tc>
          <w:tcPr>
            <w:tcW w:type="dxa" w:w="3456"/>
            <w:shd w:val="clear" w:color="auto" w:fill="F2F4F8"/>
          </w:tcPr>
          <w:p>
            <w:pPr>
              <w:spacing w:after="20"/>
            </w:pPr>
            <w:r/>
            <w:r>
              <w:rPr>
                <w:sz w:val="16"/>
              </w:rPr>
              <w:t>Carve-outs in all election provisions</w:t>
            </w:r>
          </w:p>
        </w:tc>
      </w:tr>
    </w:tbl>
    <w:p>
      <w:pPr>
        <w:spacing w:after="40"/>
      </w:pPr>
    </w:p>
    <w:p>
      <w:pPr>
        <w:pStyle w:val="Heading1"/>
      </w:pPr>
      <w:r>
        <w:t>11. Share Thresholds Referenced in This Report</w:t>
      </w:r>
    </w:p>
    <w:tbl>
      <w:tblPr>
        <w:tblStyle w:val="TableGrid"/>
        <w:tblW w:type="auto" w:w="0"/>
        <w:jc w:val="center"/>
        <w:tblLayout w:type="fixed"/>
        <w:tblLook w:firstColumn="1" w:firstRow="1" w:lastColumn="0" w:lastRow="0" w:noHBand="0" w:noVBand="1" w:val="04A0"/>
      </w:tblPr>
      <w:tblGrid>
        <w:gridCol w:w="4320"/>
        <w:gridCol w:w="2304"/>
        <w:gridCol w:w="3024"/>
      </w:tblGrid>
      <w:tr>
        <w:trPr>
          <w:tblHeader w:val="true"/>
        </w:trPr>
        <w:tc>
          <w:tcPr>
            <w:tcW w:type="dxa" w:w="4320"/>
            <w:shd w:val="clear" w:color="auto" w:fill="1F2A44"/>
          </w:tcPr>
          <w:p>
            <w:r/>
            <w:r>
              <w:rPr>
                <w:b/>
                <w:color w:val="FFFFFF"/>
                <w:sz w:val="17"/>
              </w:rPr>
              <w:t>Threshold</w:t>
            </w:r>
          </w:p>
        </w:tc>
        <w:tc>
          <w:tcPr>
            <w:tcW w:type="dxa" w:w="2304"/>
            <w:shd w:val="clear" w:color="auto" w:fill="1F2A44"/>
          </w:tcPr>
          <w:p>
            <w:r/>
            <w:r>
              <w:rPr>
                <w:b/>
                <w:color w:val="FFFFFF"/>
                <w:sz w:val="17"/>
              </w:rPr>
              <w:t>Shares (of 82,400,000 outstanding)</w:t>
            </w:r>
          </w:p>
        </w:tc>
        <w:tc>
          <w:tcPr>
            <w:tcW w:type="dxa" w:w="3024"/>
            <w:shd w:val="clear" w:color="auto" w:fill="1F2A44"/>
          </w:tcPr>
          <w:p>
            <w:r/>
            <w:r>
              <w:rPr>
                <w:b/>
                <w:color w:val="FFFFFF"/>
                <w:sz w:val="17"/>
              </w:rPr>
              <w:t>Where relevant</w:t>
            </w:r>
          </w:p>
        </w:tc>
      </w:tr>
      <w:tr>
        <w:tc>
          <w:tcPr>
            <w:tcW w:type="dxa" w:w="4320"/>
          </w:tcPr>
          <w:p>
            <w:pPr>
              <w:spacing w:after="20"/>
            </w:pPr>
            <w:r/>
            <w:r>
              <w:rPr>
                <w:sz w:val="17"/>
              </w:rPr>
              <w:t>3% (proxy access eligibility)</w:t>
            </w:r>
          </w:p>
        </w:tc>
        <w:tc>
          <w:tcPr>
            <w:tcW w:type="dxa" w:w="2304"/>
          </w:tcPr>
          <w:p>
            <w:pPr>
              <w:spacing w:after="20"/>
            </w:pPr>
            <w:r/>
            <w:r>
              <w:rPr>
                <w:sz w:val="17"/>
              </w:rPr>
              <w:t>2,472,000</w:t>
            </w:r>
          </w:p>
        </w:tc>
        <w:tc>
          <w:tcPr>
            <w:tcW w:type="dxa" w:w="3024"/>
          </w:tcPr>
          <w:p>
            <w:pPr>
              <w:spacing w:after="20"/>
            </w:pPr>
            <w:r/>
            <w:r>
              <w:rPr>
                <w:sz w:val="17"/>
              </w:rPr>
              <w:t>Guideline 4.3</w:t>
            </w:r>
          </w:p>
        </w:tc>
      </w:tr>
      <w:tr>
        <w:tc>
          <w:tcPr>
            <w:tcW w:type="dxa" w:w="4320"/>
            <w:shd w:val="clear" w:color="auto" w:fill="F2F4F8"/>
          </w:tcPr>
          <w:p>
            <w:pPr>
              <w:spacing w:after="20"/>
            </w:pPr>
            <w:r/>
            <w:r>
              <w:rPr>
                <w:sz w:val="17"/>
              </w:rPr>
              <w:t>~16.7% (majority of a one-third quorum)</w:t>
            </w:r>
          </w:p>
        </w:tc>
        <w:tc>
          <w:tcPr>
            <w:tcW w:type="dxa" w:w="2304"/>
            <w:shd w:val="clear" w:color="auto" w:fill="F2F4F8"/>
          </w:tcPr>
          <w:p>
            <w:pPr>
              <w:spacing w:after="20"/>
            </w:pPr>
            <w:r/>
            <w:r>
              <w:rPr>
                <w:sz w:val="17"/>
              </w:rPr>
              <w:t>13,733,334</w:t>
            </w:r>
          </w:p>
        </w:tc>
        <w:tc>
          <w:tcPr>
            <w:tcW w:type="dxa" w:w="3024"/>
            <w:shd w:val="clear" w:color="auto" w:fill="F2F4F8"/>
          </w:tcPr>
          <w:p>
            <w:pPr>
              <w:spacing w:after="20"/>
            </w:pPr>
            <w:r/>
            <w:r>
              <w:rPr>
                <w:sz w:val="17"/>
              </w:rPr>
              <w:t>§ 2.7 ordinary matters if quorum lowered</w:t>
            </w:r>
          </w:p>
        </w:tc>
      </w:tr>
      <w:tr>
        <w:tc>
          <w:tcPr>
            <w:tcW w:type="dxa" w:w="4320"/>
          </w:tcPr>
          <w:p>
            <w:pPr>
              <w:spacing w:after="20"/>
            </w:pPr>
            <w:r/>
            <w:r>
              <w:rPr>
                <w:sz w:val="17"/>
              </w:rPr>
              <w:t>25% (special meeting call right)</w:t>
            </w:r>
          </w:p>
        </w:tc>
        <w:tc>
          <w:tcPr>
            <w:tcW w:type="dxa" w:w="2304"/>
          </w:tcPr>
          <w:p>
            <w:pPr>
              <w:spacing w:after="20"/>
            </w:pPr>
            <w:r/>
            <w:r>
              <w:rPr>
                <w:sz w:val="17"/>
              </w:rPr>
              <w:t>20,600,000</w:t>
            </w:r>
          </w:p>
        </w:tc>
        <w:tc>
          <w:tcPr>
            <w:tcW w:type="dxa" w:w="3024"/>
          </w:tcPr>
          <w:p>
            <w:pPr>
              <w:spacing w:after="20"/>
            </w:pPr>
            <w:r/>
            <w:r>
              <w:rPr>
                <w:sz w:val="17"/>
              </w:rPr>
              <w:t>Guideline 5.3</w:t>
            </w:r>
          </w:p>
        </w:tc>
      </w:tr>
      <w:tr>
        <w:tc>
          <w:tcPr>
            <w:tcW w:type="dxa" w:w="4320"/>
            <w:shd w:val="clear" w:color="auto" w:fill="F2F4F8"/>
          </w:tcPr>
          <w:p>
            <w:pPr>
              <w:spacing w:after="20"/>
            </w:pPr>
            <w:r/>
            <w:r>
              <w:rPr>
                <w:sz w:val="17"/>
              </w:rPr>
              <w:t>One-third (proposed quorum)</w:t>
            </w:r>
          </w:p>
        </w:tc>
        <w:tc>
          <w:tcPr>
            <w:tcW w:type="dxa" w:w="2304"/>
            <w:shd w:val="clear" w:color="auto" w:fill="F2F4F8"/>
          </w:tcPr>
          <w:p>
            <w:pPr>
              <w:spacing w:after="20"/>
            </w:pPr>
            <w:r/>
            <w:r>
              <w:rPr>
                <w:sz w:val="17"/>
              </w:rPr>
              <w:t>27,466,667</w:t>
            </w:r>
          </w:p>
        </w:tc>
        <w:tc>
          <w:tcPr>
            <w:tcW w:type="dxa" w:w="3024"/>
            <w:shd w:val="clear" w:color="auto" w:fill="F2F4F8"/>
          </w:tcPr>
          <w:p>
            <w:pPr>
              <w:spacing w:after="20"/>
            </w:pPr>
            <w:r/>
            <w:r>
              <w:rPr>
                <w:sz w:val="17"/>
              </w:rPr>
              <w:t>Guideline 5.1; DGCL § 216; NASDAQ 5620(c)</w:t>
            </w:r>
          </w:p>
        </w:tc>
      </w:tr>
      <w:tr>
        <w:tc>
          <w:tcPr>
            <w:tcW w:type="dxa" w:w="4320"/>
          </w:tcPr>
          <w:p>
            <w:pPr>
              <w:spacing w:after="20"/>
            </w:pPr>
            <w:r/>
            <w:r>
              <w:rPr>
                <w:sz w:val="17"/>
              </w:rPr>
              <w:t>Majority of outstanding (current quorum; § 242 Certificate vote; proposed removal and Bylaw amendment vote)</w:t>
            </w:r>
          </w:p>
        </w:tc>
        <w:tc>
          <w:tcPr>
            <w:tcW w:type="dxa" w:w="2304"/>
          </w:tcPr>
          <w:p>
            <w:pPr>
              <w:spacing w:after="20"/>
            </w:pPr>
            <w:r/>
            <w:r>
              <w:rPr>
                <w:sz w:val="17"/>
              </w:rPr>
              <w:t>41,200,001</w:t>
            </w:r>
          </w:p>
        </w:tc>
        <w:tc>
          <w:tcPr>
            <w:tcW w:type="dxa" w:w="3024"/>
          </w:tcPr>
          <w:p>
            <w:pPr>
              <w:spacing w:after="20"/>
            </w:pPr>
            <w:r/>
            <w:r>
              <w:rPr>
                <w:sz w:val="17"/>
              </w:rPr>
              <w:t>§ 2.5; Guidelines 7.1–7.3</w:t>
            </w:r>
          </w:p>
        </w:tc>
      </w:tr>
      <w:tr>
        <w:tc>
          <w:tcPr>
            <w:tcW w:type="dxa" w:w="4320"/>
            <w:shd w:val="clear" w:color="auto" w:fill="F2F4F8"/>
          </w:tcPr>
          <w:p>
            <w:pPr>
              <w:spacing w:after="20"/>
            </w:pPr>
            <w:r/>
            <w:r>
              <w:rPr>
                <w:sz w:val="17"/>
              </w:rPr>
              <w:t>66⅔% (current stockholder Bylaw amendment vote)</w:t>
            </w:r>
          </w:p>
        </w:tc>
        <w:tc>
          <w:tcPr>
            <w:tcW w:type="dxa" w:w="2304"/>
            <w:shd w:val="clear" w:color="auto" w:fill="F2F4F8"/>
          </w:tcPr>
          <w:p>
            <w:pPr>
              <w:spacing w:after="20"/>
            </w:pPr>
            <w:r/>
            <w:r>
              <w:rPr>
                <w:sz w:val="17"/>
              </w:rPr>
              <w:t>54,933,334</w:t>
            </w:r>
          </w:p>
        </w:tc>
        <w:tc>
          <w:tcPr>
            <w:tcW w:type="dxa" w:w="3024"/>
            <w:shd w:val="clear" w:color="auto" w:fill="F2F4F8"/>
          </w:tcPr>
          <w:p>
            <w:pPr>
              <w:spacing w:after="20"/>
            </w:pPr>
            <w:r/>
            <w:r>
              <w:rPr>
                <w:sz w:val="17"/>
              </w:rPr>
              <w:t>§ 8.1</w:t>
            </w:r>
          </w:p>
        </w:tc>
      </w:tr>
      <w:tr>
        <w:tc>
          <w:tcPr>
            <w:tcW w:type="dxa" w:w="4320"/>
          </w:tcPr>
          <w:p>
            <w:pPr>
              <w:spacing w:after="20"/>
            </w:pPr>
            <w:r/>
            <w:r>
              <w:rPr>
                <w:sz w:val="17"/>
              </w:rPr>
              <w:t>75% (current removal vote)</w:t>
            </w:r>
          </w:p>
        </w:tc>
        <w:tc>
          <w:tcPr>
            <w:tcW w:type="dxa" w:w="2304"/>
          </w:tcPr>
          <w:p>
            <w:pPr>
              <w:spacing w:after="20"/>
            </w:pPr>
            <w:r/>
            <w:r>
              <w:rPr>
                <w:sz w:val="17"/>
              </w:rPr>
              <w:t>61,800,000</w:t>
            </w:r>
          </w:p>
        </w:tc>
        <w:tc>
          <w:tcPr>
            <w:tcW w:type="dxa" w:w="3024"/>
          </w:tcPr>
          <w:p>
            <w:pPr>
              <w:spacing w:after="20"/>
            </w:pPr>
            <w:r/>
            <w:r>
              <w:rPr>
                <w:sz w:val="17"/>
              </w:rPr>
              <w:t>§ 3.4</w:t>
            </w:r>
          </w:p>
        </w:tc>
      </w:tr>
    </w:tbl>
    <w:p>
      <w:pPr>
        <w:spacing w:after="40"/>
      </w:pPr>
    </w:p>
    <w:p>
      <w:pPr>
        <w:pStyle w:val="Heading1"/>
      </w:pPr>
      <w:r>
        <w:t>12. Recommended Next Steps</w:t>
      </w:r>
    </w:p>
    <w:p>
      <w:pPr>
        <w:pStyle w:val="ListNumber"/>
        <w:spacing w:after="60"/>
      </w:pPr>
      <w:r>
        <w:rPr/>
        <w:t>Company to transmit the Restated Certificate and any amendments/designations immediately; AP&amp;L to finalize all “depends on Certificate” determinations within five business days of receipt.</w:t>
      </w:r>
    </w:p>
    <w:p>
      <w:pPr>
        <w:pStyle w:val="ListNumber"/>
        <w:spacing w:after="60"/>
      </w:pPr>
      <w:r>
        <w:rPr/>
        <w:t>AP&amp;L to deliver the interim memorandum on Expedited Matters E-1 to E-5 by January 31, 2025.</w:t>
      </w:r>
    </w:p>
    <w:p>
      <w:pPr>
        <w:pStyle w:val="ListNumber"/>
        <w:spacing w:after="60"/>
      </w:pPr>
      <w:r>
        <w:rPr/>
        <w:t>NCGC to consider the Guideline clarifications in Part 8 (notably 4.5(a), 5.2, 9.1 and 10.1) before amendment drafting is finalized.</w:t>
      </w:r>
    </w:p>
    <w:p>
      <w:pPr>
        <w:pStyle w:val="ListNumber"/>
        <w:spacing w:after="60"/>
      </w:pPr>
      <w:r>
        <w:rPr/>
        <w:t>AP&amp;L to prepare (i) the Board-only bylaw amendment package with a marked comparison against the 2019 Bylaws, (ii) Certificate amendment forms and Board resolutions declaring advisability, and (iii) draft proxy proposals and supporting statements, in time for a late-February/early-March Board action.</w:t>
      </w:r>
    </w:p>
    <w:p>
      <w:pPr>
        <w:pStyle w:val="ListNumber"/>
        <w:spacing w:after="60"/>
      </w:pPr>
      <w:r>
        <w:rPr/>
        <w:t>Company to engage its proxy solicitor and begin targeted stockholder outreach on the Certificate proposals.</w:t>
      </w:r>
    </w:p>
    <w:p>
      <w:pPr>
        <w:pStyle w:val="ListNumber"/>
        <w:spacing w:after="60"/>
      </w:pPr>
      <w:r>
        <w:rPr/>
        <w:t>Confirm compliance items: clawback policy (NASDAQ 5608), Code of Conduct (NASDAQ 5610), executive sessions, independence determinations, and existing indemnification agreements and D&amp;O program.</w:t>
      </w:r>
    </w:p>
    <w:p>
      <w:pPr>
        <w:spacing w:after="80"/>
      </w:pPr>
      <w:r>
        <w:rPr/>
        <w:t>We would be pleased to discuss this report with the General Counsel, the NCGC and the full Board.</w:t>
      </w:r>
    </w:p>
    <w:p>
      <w:pPr>
        <w:spacing w:after="40"/>
      </w:pPr>
      <w:r>
        <w:rPr/>
        <w:t>*Ashford, Pennington &amp; Liu LLP*</w:t>
      </w:r>
    </w:p>
    <w:p>
      <w:r>
        <w:rPr>
          <w:i/>
          <w:sz w:val="16"/>
        </w:rPr>
        <w:t>This report is a privileged and confidential attorney-client communication and attorney work product prepared at the request of the Board of Directors. It is based solely on the documents listed in Part 2.1 and is subject to the limitations in Part 2.3.</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Verdant Health Systems, Inc. | Bylaws vs. NCGC Guidelines Deviation Report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0000"/>
        <w:sz w:val="15"/>
      </w:rPr>
      <w:t>PRIVILEGED &amp; CONFIDENTIAL | ATTORNEY-CLIENT COMMUNICATION | ATTORNEY WORK PRODUCT | DRAFT FOR BOARD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