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PRIVILEGED AND CONFIDENTIAL</w:t>
      </w:r>
    </w:p>
    <w:p>
      <w:pPr>
        <w:jc w:val="center"/>
      </w:pPr>
      <w:r>
        <w:rPr>
          <w:b/>
        </w:rPr>
        <w:t>ATTORNEY-CLIENT COMMUNICATION — ATTORNEY WORK PRODUCT</w:t>
      </w:r>
    </w:p>
    <w:p>
      <w:pPr>
        <w:jc w:val="center"/>
      </w:pPr>
      <w:r>
        <w:rPr>
          <w:i/>
          <w:sz w:val="18"/>
        </w:rPr>
        <w:t>Prepared by outside counsel at the request of the General Counsel for the purpose of rendering legal advice to Ferndale BioSciences, Inc. and its Board of Directors (Nominating and Governance Committee). Do not forward outside the Committee without consulting counsel.</w:t>
      </w:r>
    </w:p>
    <w:p>
      <w:pPr>
        <w:jc w:val="center"/>
      </w:pPr>
      <w:r>
        <w:rPr>
          <w:b/>
          <w:sz w:val="24"/>
        </w:rPr>
        <w:t>HARCOURT NASH LLP</w:t>
      </w:r>
    </w:p>
    <w:p>
      <w:pPr>
        <w:jc w:val="center"/>
      </w:pPr>
      <w:r>
        <w:rPr>
          <w:sz w:val="18"/>
        </w:rPr>
        <w:t>225 Franklin Street, 22nd Floor, Boston, MA 02110</w:t>
      </w:r>
    </w:p>
    <w:p>
      <w:pPr>
        <w:jc w:val="center"/>
      </w:pPr>
      <w:r>
        <w:rPr>
          <w:b/>
          <w:sz w:val="26"/>
        </w:rPr>
        <w:t>MEMORANDUM</w:t>
      </w:r>
    </w:p>
    <w:tbl>
      <w:tblPr>
        <w:tblStyle w:val="TableGrid"/>
        <w:tblW w:type="auto" w:w="0"/>
        <w:jc w:val="center"/>
        <w:tblLook w:firstColumn="1" w:firstRow="1" w:lastColumn="0" w:lastRow="0" w:noHBand="0" w:noVBand="1" w:val="04A0"/>
      </w:tblPr>
      <w:tblGrid>
        <w:gridCol w:w="1296"/>
        <w:gridCol w:w="8063"/>
      </w:tblGrid>
      <w:tr>
        <w:trPr>
          <w:tblHeader w:val="true"/>
        </w:trPr>
        <w:tc>
          <w:tcPr>
            <w:tcW w:type="dxa" w:w="1296"/>
            <w:shd w:val="clear" w:color="auto" w:fill="FFFFFF"/>
          </w:tcPr>
          <w:p>
            <w:pPr>
              <w:spacing w:after="40"/>
            </w:pPr>
            <w:r>
              <w:rPr>
                <w:b/>
                <w:color w:val="FFFFFF"/>
              </w:rPr>
            </w:r>
          </w:p>
        </w:tc>
        <w:tc>
          <w:tcPr>
            <w:tcW w:type="dxa" w:w="8064"/>
            <w:shd w:val="clear" w:color="auto" w:fill="FFFFFF"/>
          </w:tcPr>
          <w:p>
            <w:pPr>
              <w:spacing w:after="40"/>
            </w:pPr>
            <w:r>
              <w:rPr>
                <w:b/>
                <w:color w:val="FFFFFF"/>
              </w:rPr>
            </w:r>
          </w:p>
        </w:tc>
      </w:tr>
      <w:tr>
        <w:tc>
          <w:tcPr>
            <w:tcW w:type="dxa" w:w="1296"/>
          </w:tcPr>
          <w:p>
            <w:pPr>
              <w:spacing w:after="40"/>
            </w:pPr>
            <w:r/>
            <w:r>
              <w:rPr>
                <w:sz w:val="20"/>
              </w:rPr>
              <w:t>TO:</w:t>
            </w:r>
          </w:p>
        </w:tc>
        <w:tc>
          <w:tcPr>
            <w:tcW w:type="dxa" w:w="8064"/>
          </w:tcPr>
          <w:p>
            <w:pPr>
              <w:spacing w:after="40"/>
            </w:pPr>
            <w:r/>
            <w:r>
              <w:rPr>
                <w:sz w:val="20"/>
              </w:rPr>
              <w:t>Helena Marchetti, General Counsel &amp; Corporate Secretary, Ferndale BioSciences, Inc. (for distribution to the Nominating and Governance Committee of the Board of Directors, under privilege)</w:t>
            </w:r>
          </w:p>
        </w:tc>
      </w:tr>
      <w:tr>
        <w:tc>
          <w:tcPr>
            <w:tcW w:type="dxa" w:w="1296"/>
          </w:tcPr>
          <w:p>
            <w:pPr>
              <w:spacing w:after="40"/>
            </w:pPr>
            <w:r/>
            <w:r>
              <w:rPr>
                <w:sz w:val="20"/>
              </w:rPr>
              <w:t>FROM:</w:t>
            </w:r>
          </w:p>
        </w:tc>
        <w:tc>
          <w:tcPr>
            <w:tcW w:type="dxa" w:w="8064"/>
          </w:tcPr>
          <w:p>
            <w:pPr>
              <w:spacing w:after="40"/>
            </w:pPr>
            <w:r/>
            <w:r>
              <w:rPr>
                <w:sz w:val="20"/>
              </w:rPr>
              <w:t>Nathaniel Reeves, Harcourt Nash LLP</w:t>
            </w:r>
          </w:p>
        </w:tc>
      </w:tr>
      <w:tr>
        <w:tc>
          <w:tcPr>
            <w:tcW w:type="dxa" w:w="1296"/>
          </w:tcPr>
          <w:p>
            <w:pPr>
              <w:spacing w:after="40"/>
            </w:pPr>
            <w:r/>
            <w:r>
              <w:rPr>
                <w:sz w:val="20"/>
              </w:rPr>
              <w:t>DATE:</w:t>
            </w:r>
          </w:p>
        </w:tc>
        <w:tc>
          <w:tcPr>
            <w:tcW w:type="dxa" w:w="8064"/>
          </w:tcPr>
          <w:p>
            <w:pPr>
              <w:spacing w:after="40"/>
            </w:pPr>
            <w:r/>
            <w:r>
              <w:rPr>
                <w:sz w:val="20"/>
              </w:rPr>
              <w:t>April 25, 2025</w:t>
            </w:r>
          </w:p>
        </w:tc>
      </w:tr>
      <w:tr>
        <w:tc>
          <w:tcPr>
            <w:tcW w:type="dxa" w:w="1296"/>
          </w:tcPr>
          <w:p>
            <w:pPr>
              <w:spacing w:after="40"/>
            </w:pPr>
            <w:r/>
            <w:r>
              <w:rPr>
                <w:sz w:val="20"/>
              </w:rPr>
              <w:t>RE:</w:t>
            </w:r>
          </w:p>
        </w:tc>
        <w:tc>
          <w:tcPr>
            <w:tcW w:type="dxa" w:w="8064"/>
          </w:tcPr>
          <w:p>
            <w:pPr>
              <w:spacing w:after="40"/>
            </w:pPr>
            <w:r/>
            <w:r>
              <w:rPr>
                <w:sz w:val="20"/>
              </w:rPr>
              <w:t>Coverage Gap Analysis — Oakvale Specialty D&amp;O Policy No. RSI-DO-2025-07741 (Policy Period January 1, 2025 – January 1, 2026) versus Form Indemnification Agreement (Form Approved March 15, 2025); Implications for Incoming Independent Directors Dr. Priya Ramaswamy, Thomas Kjelland and Margaret Liu-Dorsey</w:t>
            </w:r>
          </w:p>
        </w:tc>
      </w:tr>
    </w:tbl>
    <w:p>
      <w:pPr>
        <w:spacing w:after="40"/>
      </w:pPr>
    </w:p>
    <w:p>
      <w:pPr>
        <w:pStyle w:val="Heading1"/>
      </w:pPr>
      <w:r>
        <w:t>I. Executive Summary</w:t>
      </w:r>
    </w:p>
    <w:p>
      <w:pPr>
        <w:jc w:val="both"/>
      </w:pPr>
      <w:r>
        <w:t>You asked us to compare the Company’s 2025 D&amp;O liability insurance policy (the “Policy”) against the form director and officer Indemnification Agreement (the “Agreement”) that will be presented to the three incoming independent directors, to identify every material gap, overlap and inconsistency, to assess real-world impact from the perspective of the incoming directors, to recommend fixes, and to identify where the protections are strong. We reviewed the Policy (Declarations, General Terms and Conditions Sections 1–20, and Endorsements RSI-DO-END-001 through -003), the Agreement (Sections 1–18), the Greystone Brokerage Partners Coverage Summary and Placement Memorandum dated April 2, 2025 (the “Broker Summary”), and your engagement email of April 7, 2025.</w:t>
      </w:r>
    </w:p>
    <w:p>
      <w:pPr>
        <w:jc w:val="both"/>
      </w:pPr>
      <w:r>
        <w:rPr>
          <w:b/>
        </w:rPr>
        <w:t>Bottom line.</w:t>
      </w:r>
      <w:r>
        <w:t xml:space="preserve"> The Agreement is a strong, indemnitee-favorable document that tracks DGCL § 145 and current Delaware practice. The Policy has a well-constructed Side A core (dedicated, non-eroding $25 million limit; no retention; primary; first priority of payment; express response when the Company refuses or is unable to indemnify; final-adjudication conduct exclusion; strong application severability). The two instruments, however, were not drafted to fit each other, and the misfit is greatest in exactly the situations in which an independent director most needs protection: when the Company cannot or will not pay (insolvency, change of control, a hostile post-transaction or post-bankruptcy board, a trustee or litigation trust) and when the Company’s obligations are triggered earlier or more broadly than the Policy responds. In those situations the Agreement promises far more than the Policy funds, and the difference falls first on the Company’s balance sheet and, if the Company is unable or unwilling to pay, on the directors personally.</w:t>
      </w:r>
    </w:p>
    <w:p>
      <w:pPr>
        <w:jc w:val="both"/>
      </w:pPr>
      <w:r>
        <w:rPr>
          <w:b/>
        </w:rPr>
        <w:t>Most significant gaps (ranked).</w:t>
      </w:r>
    </w:p>
    <w:tbl>
      <w:tblPr>
        <w:tblStyle w:val="TableGrid"/>
        <w:tblW w:type="auto" w:w="0"/>
        <w:jc w:val="center"/>
        <w:tblLook w:firstColumn="1" w:firstRow="1" w:lastColumn="0" w:lastRow="0" w:noHBand="0" w:noVBand="1" w:val="04A0"/>
      </w:tblPr>
      <w:tblGrid>
        <w:gridCol w:w="792"/>
        <w:gridCol w:w="3528"/>
        <w:gridCol w:w="1007"/>
        <w:gridCol w:w="1800"/>
        <w:gridCol w:w="2232"/>
      </w:tblGrid>
      <w:tr>
        <w:trPr>
          <w:tblHeader w:val="true"/>
        </w:trPr>
        <w:tc>
          <w:tcPr>
            <w:tcW w:type="dxa" w:w="792"/>
            <w:shd w:val="clear" w:color="auto" w:fill="1F2A44"/>
          </w:tcPr>
          <w:p>
            <w:pPr>
              <w:spacing w:after="40"/>
            </w:pPr>
            <w:r>
              <w:rPr>
                <w:b/>
                <w:color w:val="FFFFFF"/>
              </w:rPr>
            </w:r>
            <w:r>
              <w:rPr>
                <w:b/>
                <w:color w:val="FFFFFF"/>
                <w:sz w:val="16"/>
              </w:rPr>
              <w:t>Ref.</w:t>
            </w:r>
          </w:p>
        </w:tc>
        <w:tc>
          <w:tcPr>
            <w:tcW w:type="dxa" w:w="3528"/>
            <w:shd w:val="clear" w:color="auto" w:fill="1F2A44"/>
          </w:tcPr>
          <w:p>
            <w:pPr>
              <w:spacing w:after="40"/>
            </w:pPr>
            <w:r>
              <w:rPr>
                <w:b/>
                <w:color w:val="FFFFFF"/>
              </w:rPr>
            </w:r>
            <w:r>
              <w:rPr>
                <w:b/>
                <w:color w:val="FFFFFF"/>
                <w:sz w:val="16"/>
              </w:rPr>
              <w:t>Gap</w:t>
            </w:r>
          </w:p>
        </w:tc>
        <w:tc>
          <w:tcPr>
            <w:tcW w:type="dxa" w:w="1008"/>
            <w:shd w:val="clear" w:color="auto" w:fill="1F2A44"/>
          </w:tcPr>
          <w:p>
            <w:pPr>
              <w:spacing w:after="40"/>
            </w:pPr>
            <w:r>
              <w:rPr>
                <w:b/>
                <w:color w:val="FFFFFF"/>
              </w:rPr>
            </w:r>
            <w:r>
              <w:rPr>
                <w:b/>
                <w:color w:val="FFFFFF"/>
                <w:sz w:val="16"/>
              </w:rPr>
              <w:t>Severity</w:t>
            </w:r>
          </w:p>
        </w:tc>
        <w:tc>
          <w:tcPr>
            <w:tcW w:type="dxa" w:w="1800"/>
            <w:shd w:val="clear" w:color="auto" w:fill="1F2A44"/>
          </w:tcPr>
          <w:p>
            <w:pPr>
              <w:spacing w:after="40"/>
            </w:pPr>
            <w:r>
              <w:rPr>
                <w:b/>
                <w:color w:val="FFFFFF"/>
              </w:rPr>
            </w:r>
            <w:r>
              <w:rPr>
                <w:b/>
                <w:color w:val="FFFFFF"/>
                <w:sz w:val="16"/>
              </w:rPr>
              <w:t>Who bears it</w:t>
            </w:r>
          </w:p>
        </w:tc>
        <w:tc>
          <w:tcPr>
            <w:tcW w:type="dxa" w:w="2232"/>
            <w:shd w:val="clear" w:color="auto" w:fill="1F2A44"/>
          </w:tcPr>
          <w:p>
            <w:pPr>
              <w:spacing w:after="40"/>
            </w:pPr>
            <w:r>
              <w:rPr>
                <w:b/>
                <w:color w:val="FFFFFF"/>
              </w:rPr>
            </w:r>
            <w:r>
              <w:rPr>
                <w:b/>
                <w:color w:val="FFFFFF"/>
                <w:sz w:val="16"/>
              </w:rPr>
              <w:t>Primary fix</w:t>
            </w:r>
          </w:p>
        </w:tc>
      </w:tr>
      <w:tr>
        <w:tc>
          <w:tcPr>
            <w:tcW w:type="dxa" w:w="792"/>
          </w:tcPr>
          <w:p>
            <w:pPr>
              <w:spacing w:after="40"/>
            </w:pPr>
            <w:r/>
            <w:r>
              <w:rPr>
                <w:sz w:val="16"/>
              </w:rPr>
              <w:t>Gaps 1–2</w:t>
            </w:r>
          </w:p>
        </w:tc>
        <w:tc>
          <w:tcPr>
            <w:tcW w:type="dxa" w:w="3528"/>
          </w:tcPr>
          <w:p>
            <w:pPr>
              <w:spacing w:after="40"/>
            </w:pPr>
            <w:r/>
            <w:r>
              <w:rPr>
                <w:sz w:val="16"/>
              </w:rPr>
              <w:t>No change-of-control tail obligation in the Agreement; the Policy’s Discovery Period is in practice unavailable in an M&amp;A transaction (available only on Insurer non-renewal/cancellation; barred if any replacement policy is bought or if the Company cancels; Named-Insured-only; 24-month maximum; no added limits) (Agreement § 11; Policy §§ 10.1, 10.4(a), 10.4(d), 10.5, 16.3, 19).</w:t>
            </w:r>
          </w:p>
        </w:tc>
        <w:tc>
          <w:tcPr>
            <w:tcW w:type="dxa" w:w="1008"/>
          </w:tcPr>
          <w:p>
            <w:pPr>
              <w:spacing w:after="40"/>
            </w:pPr>
            <w:r/>
            <w:r>
              <w:rPr>
                <w:sz w:val="16"/>
              </w:rPr>
              <w:t>Critical</w:t>
            </w:r>
          </w:p>
        </w:tc>
        <w:tc>
          <w:tcPr>
            <w:tcW w:type="dxa" w:w="1800"/>
          </w:tcPr>
          <w:p>
            <w:pPr>
              <w:spacing w:after="40"/>
            </w:pPr>
            <w:r/>
            <w:r>
              <w:rPr>
                <w:sz w:val="16"/>
              </w:rPr>
              <w:t>Former directors (personally) once the acquiror controls the Company</w:t>
            </w:r>
          </w:p>
        </w:tc>
        <w:tc>
          <w:tcPr>
            <w:tcW w:type="dxa" w:w="2232"/>
          </w:tcPr>
          <w:p>
            <w:pPr>
              <w:spacing w:after="40"/>
            </w:pPr>
            <w:r/>
            <w:r>
              <w:rPr>
                <w:sz w:val="16"/>
              </w:rPr>
              <w:t>New Agreement § 11(d) mandatory 6-year prepaid tail (300% premium cap) + negotiated change-in-control run-off endorsement</w:t>
            </w:r>
          </w:p>
        </w:tc>
      </w:tr>
      <w:tr>
        <w:tc>
          <w:tcPr>
            <w:tcW w:type="dxa" w:w="792"/>
          </w:tcPr>
          <w:p>
            <w:pPr>
              <w:spacing w:after="40"/>
            </w:pPr>
            <w:r/>
            <w:r>
              <w:rPr>
                <w:sz w:val="16"/>
              </w:rPr>
              <w:t>Gap 3</w:t>
            </w:r>
          </w:p>
        </w:tc>
        <w:tc>
          <w:tcPr>
            <w:tcW w:type="dxa" w:w="3528"/>
          </w:tcPr>
          <w:p>
            <w:pPr>
              <w:spacing w:after="40"/>
            </w:pPr>
            <w:r/>
            <w:r>
              <w:rPr>
                <w:sz w:val="16"/>
              </w:rPr>
              <w:t>Insured-vs-Insured exclusion bars all claims by the Company, and claims brought through a receiver, trustee or assignee, with no Side A or bankruptcy carve-back; derivative carve-back is conditioned on no participation by any current director or officer (Policy § 5.2). Agreement § 3 purports to indemnify judgments/settlements in direct Company claims, which § 145(b) likely does not permit.</w:t>
            </w:r>
          </w:p>
        </w:tc>
        <w:tc>
          <w:tcPr>
            <w:tcW w:type="dxa" w:w="1008"/>
          </w:tcPr>
          <w:p>
            <w:pPr>
              <w:spacing w:after="40"/>
            </w:pPr>
            <w:r/>
            <w:r>
              <w:rPr>
                <w:sz w:val="16"/>
              </w:rPr>
              <w:t>Critical</w:t>
            </w:r>
          </w:p>
        </w:tc>
        <w:tc>
          <w:tcPr>
            <w:tcW w:type="dxa" w:w="1800"/>
          </w:tcPr>
          <w:p>
            <w:pPr>
              <w:spacing w:after="40"/>
            </w:pPr>
            <w:r/>
            <w:r>
              <w:rPr>
                <w:sz w:val="16"/>
              </w:rPr>
              <w:t>Directors personally (Company is the adverse party)</w:t>
            </w:r>
          </w:p>
        </w:tc>
        <w:tc>
          <w:tcPr>
            <w:tcW w:type="dxa" w:w="2232"/>
          </w:tcPr>
          <w:p>
            <w:pPr>
              <w:spacing w:after="40"/>
            </w:pPr>
            <w:r/>
            <w:r>
              <w:rPr>
                <w:sz w:val="16"/>
              </w:rPr>
              <w:t>Endorsement: bankruptcy-trustee, creditor-committee, litigation-trust and post-change-of-control carve-backs; Side A carve-back for all Company claims; narrow participation condition</w:t>
            </w:r>
          </w:p>
        </w:tc>
      </w:tr>
      <w:tr>
        <w:tc>
          <w:tcPr>
            <w:tcW w:type="dxa" w:w="792"/>
          </w:tcPr>
          <w:p>
            <w:pPr>
              <w:spacing w:after="40"/>
            </w:pPr>
            <w:r/>
            <w:r>
              <w:rPr>
                <w:sz w:val="16"/>
              </w:rPr>
              <w:t>Gap 4</w:t>
            </w:r>
          </w:p>
        </w:tc>
        <w:tc>
          <w:tcPr>
            <w:tcW w:type="dxa" w:w="3528"/>
          </w:tcPr>
          <w:p>
            <w:pPr>
              <w:spacing w:after="40"/>
            </w:pPr>
            <w:r/>
            <w:r>
              <w:rPr>
                <w:sz w:val="16"/>
              </w:rPr>
              <w:t>Biotech-critical exclusions — Bodily Injury (§ 5.3), Professional Services incl. “clinical … research … laboratory services” (§ 5.7) and Pollution incl. “pharmaceutical waste, biohazardous materials” (§ 5.5) — apply to every Insuring Clause, including Side A, with “arising out of … in any way involving” wording and no securities-claim or derivative carve-back. The Agreement (§ 7, exclusive list) contains no corresponding exclusions.</w:t>
            </w:r>
          </w:p>
        </w:tc>
        <w:tc>
          <w:tcPr>
            <w:tcW w:type="dxa" w:w="1008"/>
          </w:tcPr>
          <w:p>
            <w:pPr>
              <w:spacing w:after="40"/>
            </w:pPr>
            <w:r/>
            <w:r>
              <w:rPr>
                <w:sz w:val="16"/>
              </w:rPr>
              <w:t>Critical</w:t>
            </w:r>
          </w:p>
        </w:tc>
        <w:tc>
          <w:tcPr>
            <w:tcW w:type="dxa" w:w="1800"/>
          </w:tcPr>
          <w:p>
            <w:pPr>
              <w:spacing w:after="40"/>
            </w:pPr>
            <w:r/>
            <w:r>
              <w:rPr>
                <w:sz w:val="16"/>
              </w:rPr>
              <w:t>Company (uninsured indemnity); directors personally if Company insolvent</w:t>
            </w:r>
          </w:p>
        </w:tc>
        <w:tc>
          <w:tcPr>
            <w:tcW w:type="dxa" w:w="2232"/>
          </w:tcPr>
          <w:p>
            <w:pPr>
              <w:spacing w:after="40"/>
            </w:pPr>
            <w:r/>
            <w:r>
              <w:rPr>
                <w:sz w:val="16"/>
              </w:rPr>
              <w:t>Carve-backs for Securities Claims, derivative claims and all Side A Loss; Excess Side A DIC</w:t>
            </w:r>
          </w:p>
        </w:tc>
      </w:tr>
      <w:tr>
        <w:tc>
          <w:tcPr>
            <w:tcW w:type="dxa" w:w="792"/>
          </w:tcPr>
          <w:p>
            <w:pPr>
              <w:spacing w:after="40"/>
            </w:pPr>
            <w:r/>
            <w:r>
              <w:rPr>
                <w:sz w:val="16"/>
              </w:rPr>
              <w:t>Gap 5</w:t>
            </w:r>
          </w:p>
        </w:tc>
        <w:tc>
          <w:tcPr>
            <w:tcW w:type="dxa" w:w="3528"/>
          </w:tcPr>
          <w:p>
            <w:pPr>
              <w:spacing w:after="40"/>
            </w:pPr>
            <w:r/>
            <w:r>
              <w:rPr>
                <w:sz w:val="16"/>
              </w:rPr>
              <w:t>Trigger mismatch: Agreement “Proceeding” covers threatened, informal and witness matters; Policy “Claim” excludes informal inquiries, voluntary document requests and pre-targeting investigations, and Defense Costs exclude pre-Claim costs (Policy §§ 4.2, 4.5(iii); Agreement §§ 1(i), 4, 5). The 2023 SEC inquiry would likely receive no reimbursement under the current wording.</w:t>
            </w:r>
          </w:p>
        </w:tc>
        <w:tc>
          <w:tcPr>
            <w:tcW w:type="dxa" w:w="1008"/>
          </w:tcPr>
          <w:p>
            <w:pPr>
              <w:spacing w:after="40"/>
            </w:pPr>
            <w:r/>
            <w:r>
              <w:rPr>
                <w:sz w:val="16"/>
              </w:rPr>
              <w:t>High</w:t>
            </w:r>
          </w:p>
        </w:tc>
        <w:tc>
          <w:tcPr>
            <w:tcW w:type="dxa" w:w="1800"/>
          </w:tcPr>
          <w:p>
            <w:pPr>
              <w:spacing w:after="40"/>
            </w:pPr>
            <w:r/>
            <w:r>
              <w:rPr>
                <w:sz w:val="16"/>
              </w:rPr>
              <w:t>Company (uninsured advancement)</w:t>
            </w:r>
          </w:p>
        </w:tc>
        <w:tc>
          <w:tcPr>
            <w:tcW w:type="dxa" w:w="2232"/>
          </w:tcPr>
          <w:p>
            <w:pPr>
              <w:spacing w:after="40"/>
            </w:pPr>
            <w:r/>
            <w:r>
              <w:rPr>
                <w:sz w:val="16"/>
              </w:rPr>
              <w:t>Pre-claim inquiry / informal investigation coverage for Insured Persons; entity investigation sublimit</w:t>
            </w:r>
          </w:p>
        </w:tc>
      </w:tr>
      <w:tr>
        <w:tc>
          <w:tcPr>
            <w:tcW w:type="dxa" w:w="792"/>
          </w:tcPr>
          <w:p>
            <w:pPr>
              <w:spacing w:after="40"/>
            </w:pPr>
            <w:r/>
            <w:r>
              <w:rPr>
                <w:sz w:val="16"/>
              </w:rPr>
              <w:t>Gap 6</w:t>
            </w:r>
          </w:p>
        </w:tc>
        <w:tc>
          <w:tcPr>
            <w:tcW w:type="dxa" w:w="3528"/>
          </w:tcPr>
          <w:p>
            <w:pPr>
              <w:spacing w:after="40"/>
            </w:pPr>
            <w:r/>
            <w:r>
              <w:rPr>
                <w:sz w:val="16"/>
              </w:rPr>
              <w:t>Loss excludes fines, penalties, taxes, compliance costs, disgorgement and restitution (Policy § 4.4) that the Agreement expressly indemnifies (Agreement §§ 1(f), 1(g), 2).</w:t>
            </w:r>
          </w:p>
        </w:tc>
        <w:tc>
          <w:tcPr>
            <w:tcW w:type="dxa" w:w="1008"/>
          </w:tcPr>
          <w:p>
            <w:pPr>
              <w:spacing w:after="40"/>
            </w:pPr>
            <w:r/>
            <w:r>
              <w:rPr>
                <w:sz w:val="16"/>
              </w:rPr>
              <w:t>High</w:t>
            </w:r>
          </w:p>
        </w:tc>
        <w:tc>
          <w:tcPr>
            <w:tcW w:type="dxa" w:w="1800"/>
          </w:tcPr>
          <w:p>
            <w:pPr>
              <w:spacing w:after="40"/>
            </w:pPr>
            <w:r/>
            <w:r>
              <w:rPr>
                <w:sz w:val="16"/>
              </w:rPr>
              <w:t>Company; directors if Company cannot pay</w:t>
            </w:r>
          </w:p>
        </w:tc>
        <w:tc>
          <w:tcPr>
            <w:tcW w:type="dxa" w:w="2232"/>
          </w:tcPr>
          <w:p>
            <w:pPr>
              <w:spacing w:after="40"/>
            </w:pPr>
            <w:r/>
            <w:r>
              <w:rPr>
                <w:sz w:val="16"/>
              </w:rPr>
              <w:t>Most-favorable-jurisdiction wording without insurer discretion; Securities Act §§ 11/12 carve-back</w:t>
            </w:r>
          </w:p>
        </w:tc>
      </w:tr>
      <w:tr>
        <w:tc>
          <w:tcPr>
            <w:tcW w:type="dxa" w:w="792"/>
          </w:tcPr>
          <w:p>
            <w:pPr>
              <w:spacing w:after="40"/>
            </w:pPr>
            <w:r/>
            <w:r>
              <w:rPr>
                <w:sz w:val="16"/>
              </w:rPr>
              <w:t>Gap 7</w:t>
            </w:r>
          </w:p>
        </w:tc>
        <w:tc>
          <w:tcPr>
            <w:tcW w:type="dxa" w:w="3528"/>
          </w:tcPr>
          <w:p>
            <w:pPr>
              <w:spacing w:after="40"/>
            </w:pPr>
            <w:r/>
            <w:r>
              <w:rPr>
                <w:sz w:val="16"/>
              </w:rPr>
              <w:t>Limits, retention and erosion: $1M per-Claim Side B/C retention; $25M B/C shared and eroded by entity securities defense; single $25M Side A shared by every director and officer across all Claims; no excess or DIC layer; Discovery Period adds no limits.</w:t>
            </w:r>
          </w:p>
        </w:tc>
        <w:tc>
          <w:tcPr>
            <w:tcW w:type="dxa" w:w="1008"/>
          </w:tcPr>
          <w:p>
            <w:pPr>
              <w:spacing w:after="40"/>
            </w:pPr>
            <w:r/>
            <w:r>
              <w:rPr>
                <w:sz w:val="16"/>
              </w:rPr>
              <w:t>High</w:t>
            </w:r>
          </w:p>
        </w:tc>
        <w:tc>
          <w:tcPr>
            <w:tcW w:type="dxa" w:w="1800"/>
          </w:tcPr>
          <w:p>
            <w:pPr>
              <w:spacing w:after="40"/>
            </w:pPr>
            <w:r/>
            <w:r>
              <w:rPr>
                <w:sz w:val="16"/>
              </w:rPr>
              <w:t>Company first; directors in a large or multi-claim year</w:t>
            </w:r>
          </w:p>
        </w:tc>
        <w:tc>
          <w:tcPr>
            <w:tcW w:type="dxa" w:w="2232"/>
          </w:tcPr>
          <w:p>
            <w:pPr>
              <w:spacing w:after="40"/>
            </w:pPr>
            <w:r/>
            <w:r>
              <w:rPr>
                <w:sz w:val="16"/>
              </w:rPr>
              <w:t>Excess Side A DIC (and consider a dedicated Independent Director Liability policy)</w:t>
            </w:r>
          </w:p>
        </w:tc>
      </w:tr>
      <w:tr>
        <w:tc>
          <w:tcPr>
            <w:tcW w:type="dxa" w:w="792"/>
          </w:tcPr>
          <w:p>
            <w:pPr>
              <w:spacing w:after="40"/>
            </w:pPr>
            <w:r/>
            <w:r>
              <w:rPr>
                <w:sz w:val="16"/>
              </w:rPr>
              <w:t>Gap 8</w:t>
            </w:r>
          </w:p>
        </w:tc>
        <w:tc>
          <w:tcPr>
            <w:tcW w:type="dxa" w:w="3528"/>
          </w:tcPr>
          <w:p>
            <w:pPr>
              <w:spacing w:after="40"/>
            </w:pPr>
            <w:r/>
            <w:r>
              <w:rPr>
                <w:sz w:val="16"/>
              </w:rPr>
              <w:t>Advancement mechanics misaligned: Agreement 30 days / counsel of Indemnitee’s choice vs. Policy 60 days / Insurer consent to counsel / 70% interim allocation (Agreement § 5; Policy §§ 7.1, 8.3, 9.3).</w:t>
            </w:r>
          </w:p>
        </w:tc>
        <w:tc>
          <w:tcPr>
            <w:tcW w:type="dxa" w:w="1008"/>
          </w:tcPr>
          <w:p>
            <w:pPr>
              <w:spacing w:after="40"/>
            </w:pPr>
            <w:r/>
            <w:r>
              <w:rPr>
                <w:sz w:val="16"/>
              </w:rPr>
              <w:t>Medium–High</w:t>
            </w:r>
          </w:p>
        </w:tc>
        <w:tc>
          <w:tcPr>
            <w:tcW w:type="dxa" w:w="1800"/>
          </w:tcPr>
          <w:p>
            <w:pPr>
              <w:spacing w:after="40"/>
            </w:pPr>
            <w:r/>
            <w:r>
              <w:rPr>
                <w:sz w:val="16"/>
              </w:rPr>
              <w:t>Company (float); directors in Side A scenario</w:t>
            </w:r>
          </w:p>
        </w:tc>
        <w:tc>
          <w:tcPr>
            <w:tcW w:type="dxa" w:w="2232"/>
          </w:tcPr>
          <w:p>
            <w:pPr>
              <w:spacing w:after="40"/>
            </w:pPr>
            <w:r/>
            <w:r>
              <w:rPr>
                <w:sz w:val="16"/>
              </w:rPr>
              <w:t>30-day advancement; 100% interim advancement for Insured Persons; pre-approved counsel</w:t>
            </w:r>
          </w:p>
        </w:tc>
      </w:tr>
      <w:tr>
        <w:tc>
          <w:tcPr>
            <w:tcW w:type="dxa" w:w="792"/>
          </w:tcPr>
          <w:p>
            <w:pPr>
              <w:spacing w:after="40"/>
            </w:pPr>
            <w:r/>
            <w:r>
              <w:rPr>
                <w:sz w:val="16"/>
              </w:rPr>
              <w:t>Gap 9</w:t>
            </w:r>
          </w:p>
        </w:tc>
        <w:tc>
          <w:tcPr>
            <w:tcW w:type="dxa" w:w="3528"/>
          </w:tcPr>
          <w:p>
            <w:pPr>
              <w:spacing w:after="40"/>
            </w:pPr>
            <w:r/>
            <w:r>
              <w:rPr>
                <w:sz w:val="16"/>
              </w:rPr>
              <w:t>Full “hammer” clause; insurer settlement-consent grounds broader than the Agreement’s consent standard (Policy §§ 7.2–7.4; Agreement § 7(d)).</w:t>
            </w:r>
          </w:p>
        </w:tc>
        <w:tc>
          <w:tcPr>
            <w:tcW w:type="dxa" w:w="1008"/>
          </w:tcPr>
          <w:p>
            <w:pPr>
              <w:spacing w:after="40"/>
            </w:pPr>
            <w:r/>
            <w:r>
              <w:rPr>
                <w:sz w:val="16"/>
              </w:rPr>
              <w:t>Medium–High</w:t>
            </w:r>
          </w:p>
        </w:tc>
        <w:tc>
          <w:tcPr>
            <w:tcW w:type="dxa" w:w="1800"/>
          </w:tcPr>
          <w:p>
            <w:pPr>
              <w:spacing w:after="40"/>
            </w:pPr>
            <w:r/>
            <w:r>
              <w:rPr>
                <w:sz w:val="16"/>
              </w:rPr>
              <w:t>Company; director personally in Side A scenario</w:t>
            </w:r>
          </w:p>
        </w:tc>
        <w:tc>
          <w:tcPr>
            <w:tcW w:type="dxa" w:w="2232"/>
          </w:tcPr>
          <w:p>
            <w:pPr>
              <w:spacing w:after="40"/>
            </w:pPr>
            <w:r/>
            <w:r>
              <w:rPr>
                <w:sz w:val="16"/>
              </w:rPr>
              <w:t>Soft hammer (80/20), no hammer for Side A</w:t>
            </w:r>
          </w:p>
        </w:tc>
      </w:tr>
      <w:tr>
        <w:tc>
          <w:tcPr>
            <w:tcW w:type="dxa" w:w="792"/>
          </w:tcPr>
          <w:p>
            <w:pPr>
              <w:spacing w:after="40"/>
            </w:pPr>
            <w:r/>
            <w:r>
              <w:rPr>
                <w:sz w:val="16"/>
              </w:rPr>
              <w:t>Gap 10</w:t>
            </w:r>
          </w:p>
        </w:tc>
        <w:tc>
          <w:tcPr>
            <w:tcW w:type="dxa" w:w="3528"/>
          </w:tcPr>
          <w:p>
            <w:pPr>
              <w:spacing w:after="40"/>
            </w:pPr>
            <w:r/>
            <w:r>
              <w:rPr>
                <w:sz w:val="16"/>
              </w:rPr>
              <w:t>Prior-knowledge and prior-notice exclusion is not severable (one person’s knowledge excludes everyone) and sweeps in matters noticed under prior policies (Policy §§ 5.8, 11.1; End. No. 1).</w:t>
            </w:r>
          </w:p>
        </w:tc>
        <w:tc>
          <w:tcPr>
            <w:tcW w:type="dxa" w:w="1008"/>
          </w:tcPr>
          <w:p>
            <w:pPr>
              <w:spacing w:after="40"/>
            </w:pPr>
            <w:r/>
            <w:r>
              <w:rPr>
                <w:sz w:val="16"/>
              </w:rPr>
              <w:t>Medium–High</w:t>
            </w:r>
          </w:p>
        </w:tc>
        <w:tc>
          <w:tcPr>
            <w:tcW w:type="dxa" w:w="1800"/>
          </w:tcPr>
          <w:p>
            <w:pPr>
              <w:spacing w:after="40"/>
            </w:pPr>
            <w:r/>
            <w:r>
              <w:rPr>
                <w:sz w:val="16"/>
              </w:rPr>
              <w:t>All Insured Persons</w:t>
            </w:r>
          </w:p>
        </w:tc>
        <w:tc>
          <w:tcPr>
            <w:tcW w:type="dxa" w:w="2232"/>
          </w:tcPr>
          <w:p>
            <w:pPr>
              <w:spacing w:after="40"/>
            </w:pPr>
            <w:r/>
            <w:r>
              <w:rPr>
                <w:sz w:val="16"/>
              </w:rPr>
              <w:t>Extend severability to § 5.8; confirm prior-policy limits</w:t>
            </w:r>
          </w:p>
        </w:tc>
      </w:tr>
      <w:tr>
        <w:tc>
          <w:tcPr>
            <w:tcW w:type="dxa" w:w="792"/>
          </w:tcPr>
          <w:p>
            <w:pPr>
              <w:spacing w:after="40"/>
            </w:pPr>
            <w:r/>
            <w:r>
              <w:rPr>
                <w:sz w:val="16"/>
              </w:rPr>
              <w:t>§ II.B</w:t>
            </w:r>
          </w:p>
        </w:tc>
        <w:tc>
          <w:tcPr>
            <w:tcW w:type="dxa" w:w="3528"/>
          </w:tcPr>
          <w:p>
            <w:pPr>
              <w:spacing w:after="40"/>
            </w:pPr>
            <w:r/>
            <w:r>
              <w:rPr>
                <w:sz w:val="16"/>
              </w:rPr>
              <w:t>Document-integrity defects: the Agreement names “Fenwick BioSciences, Inc.” while the Policy insures “Ferndale BioSciences, Inc.”; the Policy is headed and signed by “Ridgemont Specialty Insurance Co.” but issued (per its body, Declarations Item 9 and the Broker Summary) by “Oakvale Specialty Insurance Co.”; the Broker Summary misstates several terms.</w:t>
            </w:r>
          </w:p>
        </w:tc>
        <w:tc>
          <w:tcPr>
            <w:tcW w:type="dxa" w:w="1008"/>
          </w:tcPr>
          <w:p>
            <w:pPr>
              <w:spacing w:after="40"/>
            </w:pPr>
            <w:r/>
            <w:r>
              <w:rPr>
                <w:sz w:val="16"/>
              </w:rPr>
              <w:t>High (easily fixed)</w:t>
            </w:r>
          </w:p>
        </w:tc>
        <w:tc>
          <w:tcPr>
            <w:tcW w:type="dxa" w:w="1800"/>
          </w:tcPr>
          <w:p>
            <w:pPr>
              <w:spacing w:after="40"/>
            </w:pPr>
            <w:r/>
            <w:r>
              <w:rPr>
                <w:sz w:val="16"/>
              </w:rPr>
              <w:t>Everyone — risks a coverage dispute at the outset of any Claim</w:t>
            </w:r>
          </w:p>
        </w:tc>
        <w:tc>
          <w:tcPr>
            <w:tcW w:type="dxa" w:w="2232"/>
          </w:tcPr>
          <w:p>
            <w:pPr>
              <w:spacing w:after="40"/>
            </w:pPr>
            <w:r/>
            <w:r>
              <w:rPr>
                <w:sz w:val="16"/>
              </w:rPr>
              <w:t>Corrective endorsement; conform Agreement; correct Broker Summary</w:t>
            </w:r>
          </w:p>
        </w:tc>
      </w:tr>
    </w:tbl>
    <w:p>
      <w:pPr>
        <w:spacing w:after="40"/>
      </w:pPr>
    </w:p>
    <w:p>
      <w:pPr>
        <w:jc w:val="both"/>
      </w:pPr>
      <w:r>
        <w:rPr>
          <w:b/>
        </w:rPr>
        <w:t>Where the protections are strong.</w:t>
      </w:r>
      <w:r>
        <w:t xml:space="preserve"> The Committee can tell the candidates with confidence that: (i) the Agreement provides mandatory, unconditional advancement within 30 days on an unsecured undertaking, a presumption of entitlement with a clear-and-convincing burden on the Company, deemed approval after 60 days, fee-shifting for enforcement, independent-counsel determinations after a change of control, successor assumption, and survival without time limit; (ii) the Policy’s Side A is dedicated ($25 million, not eroded by Side B or C), carries no retention, is primary to other insurance, is paid first, and responds when the Company refuses or is financially unable to indemnify (Endorsement No. 2); (iii) the conduct exclusion requires a final, non-appealable adjudication and defense costs are advanced until then; (iv) application misstatements are imputed only to the CEO and CFO; (v) the Policy is non-cancellable by the Insurer except for non-payment; and (vi) both instruments are governed by Delaware law. Section VI catalogs these strengths.</w:t>
      </w:r>
    </w:p>
    <w:p>
      <w:pPr>
        <w:jc w:val="both"/>
      </w:pPr>
      <w:r>
        <w:rPr>
          <w:b/>
        </w:rPr>
        <w:t>Key recommendations.</w:t>
      </w:r>
      <w:r>
        <w:t xml:space="preserve"> (1) Amend the Agreement before the incoming directors sign it — most importantly to add a mandatory six-year change-of-control tail with a 300% premium cap, a lapse-without-replacement Discovery Period obligation, an insolvency cooperation covenant, the correct corporate name, and clean-up of Sections 10 and 13. (2) Obtain a corrective endorsement now on insurer identity and named insured, and negotiate mid-term (or no later than the January 1, 2026 renewal) endorsements addressing the Insured-vs-Insured, biotech exclusion, Claim/pre-claim, Loss, advancement, hammer, severability and run-off issues. (3) Purchase an excess Side A DIC layer (and evaluate a dedicated Independent Director Liability policy) so that the three incoming independent directors are not relying solely on a $25 million Side A limit shared with management. We recommend that Liu-Dorsey’s request for an explicit tail provision be granted; it is consistent with market practice and costs the Company nothing unless and until a transaction occurs. Section VIII sets out an action plan with timing.</w:t>
      </w:r>
    </w:p>
    <w:p>
      <w:pPr>
        <w:jc w:val="both"/>
      </w:pPr>
      <w:r>
        <w:rPr>
          <w:b/>
        </w:rPr>
        <w:t>Privilege note.</w:t>
      </w:r>
      <w:r>
        <w:t xml:space="preserve"> The candidates and their personal counsel are not yet directors and are third parties to the Company’s privilege. Sharing this memorandum with them risks waiver. We recommend preparing a separate, non-privileged summary of protections (and of agreed enhancements) for delivery to the candidates.</w:t>
      </w:r>
    </w:p>
    <w:p>
      <w:pPr>
        <w:pStyle w:val="Heading1"/>
      </w:pPr>
      <w:r>
        <w:t>II. Documents Reviewed and Threshold Issues</w:t>
      </w:r>
    </w:p>
    <w:p>
      <w:pPr>
        <w:pStyle w:val="Heading2"/>
      </w:pPr>
      <w:r>
        <w:t>A. Documents</w:t>
      </w:r>
    </w:p>
    <w:p>
      <w:pPr>
        <w:pStyle w:val="ListBullet"/>
        <w:spacing w:after="60"/>
      </w:pPr>
      <w:r>
        <w:rPr>
          <w:b/>
        </w:rPr>
        <w:t>Policy:</w:t>
      </w:r>
      <w:r>
        <w:t xml:space="preserve"> Directors and Officers Liability Insurance Policy No. RSI-DO-2025-07741; Policy Period January 1, 2025 to January 1, 2026; Continuity Date August 15, 2016; $25M Side A dedicated / $25M Side B–C shared ($50M total); retentions $0 (A) / $1M per Claim (B and C); premium $1,340,000; Discovery Period 12 months at 100% ($1,340,000) or 24 months at 175% ($2,345,000); Endorsements No. 1 (Severability), No. 2 (Side A DIC Clarification), No. 3 (Order of Payments).</w:t>
      </w:r>
    </w:p>
    <w:p>
      <w:pPr>
        <w:pStyle w:val="ListBullet"/>
        <w:spacing w:after="60"/>
      </w:pPr>
      <w:r>
        <w:rPr>
          <w:b/>
        </w:rPr>
        <w:t>Agreement:</w:t>
      </w:r>
      <w:r>
        <w:t xml:space="preserve"> Form Indemnification Agreement, Form Approved March 15, 2025, Sections 1–18, Delaware law, Court of Chancery forum.</w:t>
      </w:r>
    </w:p>
    <w:p>
      <w:pPr>
        <w:pStyle w:val="ListBullet"/>
        <w:spacing w:after="60"/>
      </w:pPr>
      <w:r>
        <w:rPr>
          <w:b/>
        </w:rPr>
        <w:t>Broker Summary:</w:t>
      </w:r>
      <w:r>
        <w:t xml:space="preserve"> Greystone Brokerage Partners Coverage Summary and Placement Memorandum dated April 2, 2025 (Diane Kowalski).</w:t>
      </w:r>
    </w:p>
    <w:p>
      <w:pPr>
        <w:pStyle w:val="ListBullet"/>
        <w:spacing w:after="60"/>
      </w:pPr>
      <w:r>
        <w:rPr>
          <w:b/>
        </w:rPr>
        <w:t>Engagement email:</w:t>
      </w:r>
      <w:r>
        <w:t xml:space="preserve"> H. Marchetti to N. Reeves, April 7, 2025 (background, candidate concerns, claims history).</w:t>
      </w:r>
    </w:p>
    <w:p>
      <w:pPr>
        <w:jc w:val="both"/>
      </w:pPr>
      <w:r>
        <w:t>We have not reviewed the Certificate of Incorporation, Bylaws, prior-year D&amp;O policies, the policy Application, any excess or fiduciary liability policies, or the 2021 derivative settlement papers. Several conclusions below are subject to review of those documents (see Section IX).</w:t>
      </w:r>
    </w:p>
    <w:p>
      <w:pPr>
        <w:pStyle w:val="Heading2"/>
      </w:pPr>
      <w:r>
        <w:t>B. Threshold Document-Integrity Issues (Fix Before Execution)</w:t>
      </w:r>
    </w:p>
    <w:p>
      <w:pPr>
        <w:jc w:val="both"/>
      </w:pPr>
      <w:r>
        <w:t>Before turning to substantive gaps, four drafting inconsistencies require prompt correction because each could give an insurer an argument at the outset of a Claim, when leverage matters most.</w:t>
      </w:r>
    </w:p>
    <w:tbl>
      <w:tblPr>
        <w:tblStyle w:val="TableGrid"/>
        <w:tblW w:type="auto" w:w="0"/>
        <w:jc w:val="center"/>
        <w:tblLook w:firstColumn="1" w:firstRow="1" w:lastColumn="0" w:lastRow="0" w:noHBand="0" w:noVBand="1" w:val="04A0"/>
      </w:tblPr>
      <w:tblGrid>
        <w:gridCol w:w="2880"/>
        <w:gridCol w:w="1728"/>
        <w:gridCol w:w="2304"/>
        <w:gridCol w:w="2448"/>
      </w:tblGrid>
      <w:tr>
        <w:trPr>
          <w:tblHeader w:val="true"/>
        </w:trPr>
        <w:tc>
          <w:tcPr>
            <w:tcW w:type="dxa" w:w="2880"/>
            <w:shd w:val="clear" w:color="auto" w:fill="1F2A44"/>
          </w:tcPr>
          <w:p>
            <w:pPr>
              <w:spacing w:after="40"/>
            </w:pPr>
            <w:r>
              <w:rPr>
                <w:b/>
                <w:color w:val="FFFFFF"/>
              </w:rPr>
            </w:r>
            <w:r>
              <w:rPr>
                <w:b/>
                <w:color w:val="FFFFFF"/>
                <w:sz w:val="16"/>
              </w:rPr>
              <w:t>Issue</w:t>
            </w:r>
          </w:p>
        </w:tc>
        <w:tc>
          <w:tcPr>
            <w:tcW w:type="dxa" w:w="1728"/>
            <w:shd w:val="clear" w:color="auto" w:fill="1F2A44"/>
          </w:tcPr>
          <w:p>
            <w:pPr>
              <w:spacing w:after="40"/>
            </w:pPr>
            <w:r>
              <w:rPr>
                <w:b/>
                <w:color w:val="FFFFFF"/>
              </w:rPr>
            </w:r>
            <w:r>
              <w:rPr>
                <w:b/>
                <w:color w:val="FFFFFF"/>
                <w:sz w:val="16"/>
              </w:rPr>
              <w:t>Where it appears</w:t>
            </w:r>
          </w:p>
        </w:tc>
        <w:tc>
          <w:tcPr>
            <w:tcW w:type="dxa" w:w="2304"/>
            <w:shd w:val="clear" w:color="auto" w:fill="1F2A44"/>
          </w:tcPr>
          <w:p>
            <w:pPr>
              <w:spacing w:after="40"/>
            </w:pPr>
            <w:r>
              <w:rPr>
                <w:b/>
                <w:color w:val="FFFFFF"/>
              </w:rPr>
            </w:r>
            <w:r>
              <w:rPr>
                <w:b/>
                <w:color w:val="FFFFFF"/>
                <w:sz w:val="16"/>
              </w:rPr>
              <w:t>Risk</w:t>
            </w:r>
          </w:p>
        </w:tc>
        <w:tc>
          <w:tcPr>
            <w:tcW w:type="dxa" w:w="2448"/>
            <w:shd w:val="clear" w:color="auto" w:fill="1F2A44"/>
          </w:tcPr>
          <w:p>
            <w:pPr>
              <w:spacing w:after="40"/>
            </w:pPr>
            <w:r>
              <w:rPr>
                <w:b/>
                <w:color w:val="FFFFFF"/>
              </w:rPr>
            </w:r>
            <w:r>
              <w:rPr>
                <w:b/>
                <w:color w:val="FFFFFF"/>
                <w:sz w:val="16"/>
              </w:rPr>
              <w:t>Recommended fix</w:t>
            </w:r>
          </w:p>
        </w:tc>
      </w:tr>
      <w:tr>
        <w:tc>
          <w:tcPr>
            <w:tcW w:type="dxa" w:w="2880"/>
          </w:tcPr>
          <w:p>
            <w:pPr>
              <w:spacing w:after="40"/>
            </w:pPr>
            <w:r/>
            <w:r>
              <w:rPr>
                <w:b/>
                <w:sz w:val="16"/>
              </w:rPr>
              <w:t>Company name mismatch.</w:t>
            </w:r>
            <w:r>
              <w:rPr>
                <w:sz w:val="16"/>
              </w:rPr>
              <w:t xml:space="preserve"> The Agreement is between “Fenwick BioSciences, Inc.” and the Indemnitee (preamble, § 18(e), signature block). The Policy’s Named Insured and “Company” is “Ferndale BioSciences, Inc.” (Decl. Item 1; § 4.6). Both share ticker FWKB and the Cambridge address. Your email refers to the derivative case as “In re Fenwick BioSciences”; the Broker Summary calls it “In re Ferndale BioSciences.” The Broker Summary cover is “prepared for the exclusive use of Fenwick BioSciences, Inc.” but addressed to Ferndale.</w:t>
            </w:r>
          </w:p>
        </w:tc>
        <w:tc>
          <w:tcPr>
            <w:tcW w:type="dxa" w:w="1728"/>
          </w:tcPr>
          <w:p>
            <w:pPr>
              <w:spacing w:after="40"/>
            </w:pPr>
            <w:r/>
            <w:r>
              <w:rPr>
                <w:sz w:val="16"/>
              </w:rPr>
              <w:t>Agreement preamble, § 18(e), signature page; Policy Decl. Item 1, § 4.6; Endorsement No. 2</w:t>
            </w:r>
          </w:p>
        </w:tc>
        <w:tc>
          <w:tcPr>
            <w:tcW w:type="dxa" w:w="2304"/>
          </w:tcPr>
          <w:p>
            <w:pPr>
              <w:spacing w:after="40"/>
            </w:pPr>
            <w:r/>
            <w:r>
              <w:rPr>
                <w:sz w:val="16"/>
              </w:rPr>
              <w:t>Side B reimburses the “Company” for indemnification it pays; Endorsement No. 2 treats breach of “any indemnification agreement between the Company and the Insured Person” as Non-Indemnifiable Loss. If “Fenwick” is a former name, a predecessor or a different entity, the Insurer can contest whether the Agreement is the Named Insured’s obligation.</w:t>
            </w:r>
          </w:p>
        </w:tc>
        <w:tc>
          <w:tcPr>
            <w:tcW w:type="dxa" w:w="2448"/>
          </w:tcPr>
          <w:p>
            <w:pPr>
              <w:spacing w:after="40"/>
            </w:pPr>
            <w:r/>
            <w:r>
              <w:rPr>
                <w:sz w:val="16"/>
              </w:rPr>
              <w:t>Confirm the exact legal name (Delaware Secretary of State). Conform the Agreement (and all executed agreements with current directors by amendment). Obtain a Named Insured endorsement adding any former names (“formerly known as Fenwick BioSciences, Inc.”).</w:t>
            </w:r>
          </w:p>
        </w:tc>
      </w:tr>
      <w:tr>
        <w:tc>
          <w:tcPr>
            <w:tcW w:type="dxa" w:w="2880"/>
          </w:tcPr>
          <w:p>
            <w:pPr>
              <w:spacing w:after="40"/>
            </w:pPr>
            <w:r/>
            <w:r>
              <w:rPr>
                <w:b/>
                <w:sz w:val="16"/>
              </w:rPr>
              <w:t>Insurer identity mismatch.</w:t>
            </w:r>
            <w:r>
              <w:rPr>
                <w:sz w:val="16"/>
              </w:rPr>
              <w:t xml:space="preserve"> The Policy caption, Declarations signature block and signature page read “RIDGEMONT SPECIALTY INSURANCE CO.” (policy prefix “RSI”); the Declarations Item 9, the insuring agreement, the endorsements schedule and the closing statement identify the Insurer as “Oakvale Specialty Insurance Co.,” Hartford, CT (A.M. Best A, XIV).</w:t>
            </w:r>
          </w:p>
        </w:tc>
        <w:tc>
          <w:tcPr>
            <w:tcW w:type="dxa" w:w="1728"/>
          </w:tcPr>
          <w:p>
            <w:pPr>
              <w:spacing w:after="40"/>
            </w:pPr>
            <w:r/>
            <w:r>
              <w:rPr>
                <w:sz w:val="16"/>
              </w:rPr>
              <w:t>Policy cover, Decl. signature, signature page vs. Decl. Item 9, GT&amp;C preamble, Endorsement schedule</w:t>
            </w:r>
          </w:p>
        </w:tc>
        <w:tc>
          <w:tcPr>
            <w:tcW w:type="dxa" w:w="2304"/>
          </w:tcPr>
          <w:p>
            <w:pPr>
              <w:spacing w:after="40"/>
            </w:pPr>
            <w:r/>
            <w:r>
              <w:rPr>
                <w:sz w:val="16"/>
              </w:rPr>
              <w:t>Uncertainty as to which legal entity is obligated, which entity’s financial strength the Company is relying on, and where notice must be sent.</w:t>
            </w:r>
          </w:p>
        </w:tc>
        <w:tc>
          <w:tcPr>
            <w:tcW w:type="dxa" w:w="2448"/>
          </w:tcPr>
          <w:p>
            <w:pPr>
              <w:spacing w:after="40"/>
            </w:pPr>
            <w:r/>
            <w:r>
              <w:rPr>
                <w:sz w:val="16"/>
              </w:rPr>
              <w:t>Obtain written confirmation from Greystone and a corrective endorsement identifying the issuing carrier, its NAIC number and rating; re-execute the Policy.</w:t>
            </w:r>
          </w:p>
        </w:tc>
      </w:tr>
      <w:tr>
        <w:tc>
          <w:tcPr>
            <w:tcW w:type="dxa" w:w="2880"/>
          </w:tcPr>
          <w:p>
            <w:pPr>
              <w:spacing w:after="40"/>
            </w:pPr>
            <w:r/>
            <w:r>
              <w:rPr>
                <w:b/>
                <w:sz w:val="16"/>
              </w:rPr>
              <w:t>Broker Summary inaccuracies.</w:t>
            </w:r>
            <w:r>
              <w:rPr>
                <w:sz w:val="16"/>
              </w:rPr>
              <w:t xml:space="preserve"> (a) Governing law stated as Connecticut — the Policy (§ 20) selects Delaware law and courts. (b) Derivative carve-back described as unconditional — Policy § 5.2(i) requires no solicitation, assistance or participation by any current director or officer. (c) Severability described as applying to “any other policy exclusion” — Policy § 11.1 and Endorsement No. 1 apply only to the Conduct Exclusion and Application. (d) Personal-profit exclusion described as triggered by a “binding agreement” — Policy § 5.1 requires final, non-appealable adjudication and states that admissions, stipulations and settlements do not trigger it. (e) Discovery Period described as available on any “non-renewal or cancellation” — Policy § 10.1 limits it to Insurer non-renewal or Insurer cancellation, and § 10.4 bars it if a replacement is bought or the Company cancels. (f) The Broker Summary omits the Company-claims and receiver/trustee limbs of the Insured-vs-Insured exclusion and the compliance-cost/disgorgement/restitution exclusion in “Loss.”</w:t>
            </w:r>
          </w:p>
        </w:tc>
        <w:tc>
          <w:tcPr>
            <w:tcW w:type="dxa" w:w="1728"/>
          </w:tcPr>
          <w:p>
            <w:pPr>
              <w:spacing w:after="40"/>
            </w:pPr>
            <w:r/>
            <w:r>
              <w:rPr>
                <w:sz w:val="16"/>
              </w:rPr>
              <w:t>Broker Summary §§ 2, 4.4, 5.2–5.5</w:t>
            </w:r>
          </w:p>
        </w:tc>
        <w:tc>
          <w:tcPr>
            <w:tcW w:type="dxa" w:w="2304"/>
          </w:tcPr>
          <w:p>
            <w:pPr>
              <w:spacing w:after="40"/>
            </w:pPr>
            <w:r/>
            <w:r>
              <w:rPr>
                <w:sz w:val="16"/>
              </w:rPr>
              <w:t>The Broker Summary is the document the candidates are most likely to read. Each misstatement overstates coverage. The Broker Summary itself provides that the Policy controls.</w:t>
            </w:r>
          </w:p>
        </w:tc>
        <w:tc>
          <w:tcPr>
            <w:tcW w:type="dxa" w:w="2448"/>
          </w:tcPr>
          <w:p>
            <w:pPr>
              <w:spacing w:after="40"/>
            </w:pPr>
            <w:r/>
            <w:r>
              <w:rPr>
                <w:sz w:val="16"/>
              </w:rPr>
              <w:t>Do not provide the Broker Summary to candidates in its current form; request a corrected version from Greystone.</w:t>
            </w:r>
          </w:p>
        </w:tc>
      </w:tr>
      <w:tr>
        <w:tc>
          <w:tcPr>
            <w:tcW w:type="dxa" w:w="2880"/>
          </w:tcPr>
          <w:p>
            <w:pPr>
              <w:spacing w:after="40"/>
            </w:pPr>
            <w:r/>
            <w:r>
              <w:rPr>
                <w:b/>
                <w:sz w:val="16"/>
              </w:rPr>
              <w:t>Mischaracterization of Agreement § 11.</w:t>
            </w:r>
            <w:r>
              <w:rPr>
                <w:sz w:val="16"/>
              </w:rPr>
              <w:t xml:space="preserve"> Your email describes the insurance covenant as a requirement to maintain D&amp;O insurance “to the extent commercially available on reasonable terms.” The actual text is softer: the Company “shall use its commercially reasonable efforts to obtain and maintain” coverage “to the extent that such insurance is available on commercially reasonable terms.”</w:t>
            </w:r>
          </w:p>
        </w:tc>
        <w:tc>
          <w:tcPr>
            <w:tcW w:type="dxa" w:w="1728"/>
          </w:tcPr>
          <w:p>
            <w:pPr>
              <w:spacing w:after="40"/>
            </w:pPr>
            <w:r/>
            <w:r>
              <w:rPr>
                <w:sz w:val="16"/>
              </w:rPr>
              <w:t>Agreement § 11(a), (c)</w:t>
            </w:r>
          </w:p>
        </w:tc>
        <w:tc>
          <w:tcPr>
            <w:tcW w:type="dxa" w:w="2304"/>
          </w:tcPr>
          <w:p>
            <w:pPr>
              <w:spacing w:after="40"/>
            </w:pPr>
            <w:r/>
            <w:r>
              <w:rPr>
                <w:sz w:val="16"/>
              </w:rPr>
              <w:t>The covenant is an efforts obligation doubly qualified. This reduces the Company’s breach exposure but weakens the director’s protection (see Gap 2).</w:t>
            </w:r>
          </w:p>
        </w:tc>
        <w:tc>
          <w:tcPr>
            <w:tcW w:type="dxa" w:w="2448"/>
          </w:tcPr>
          <w:p>
            <w:pPr>
              <w:spacing w:after="40"/>
            </w:pPr>
            <w:r/>
            <w:r>
              <w:rPr>
                <w:sz w:val="16"/>
              </w:rPr>
              <w:t>See recommended amendments in Section VIII.</w:t>
            </w:r>
          </w:p>
        </w:tc>
      </w:tr>
    </w:tbl>
    <w:p>
      <w:pPr>
        <w:spacing w:after="40"/>
      </w:pPr>
    </w:p>
    <w:p>
      <w:pPr>
        <w:pStyle w:val="Heading1"/>
      </w:pPr>
      <w:r>
        <w:t>III. How the Two Instruments Fit Together</w:t>
      </w:r>
    </w:p>
    <w:p>
      <w:pPr>
        <w:jc w:val="both"/>
      </w:pPr>
      <w:r>
        <w:t>Understanding the gaps requires understanding the intended sequence of protection for a director facing a claim:</w:t>
      </w:r>
    </w:p>
    <w:p>
      <w:pPr>
        <w:pStyle w:val="ListNumber"/>
        <w:spacing w:after="60"/>
      </w:pPr>
      <w:r>
        <w:rPr>
          <w:b/>
        </w:rPr>
        <w:t>Layer 1 — The Agreement (Company indemnification and advancement).</w:t>
      </w:r>
      <w:r>
        <w:t xml:space="preserve"> The Agreement is expressly primary (§ 12) and does not require the director to pursue insurance first (§ 9(d)). The Company must advance Expenses within 30 days (§ 5) and indemnify to the fullest extent permitted by law (§§ 2–4), subject only to the exclusive exclusions in § 7. This layer is only as good as the Company’s solvency and willingness to pay.</w:t>
      </w:r>
    </w:p>
    <w:p>
      <w:pPr>
        <w:pStyle w:val="ListNumber"/>
        <w:spacing w:after="60"/>
      </w:pPr>
      <w:r>
        <w:rPr>
          <w:b/>
        </w:rPr>
        <w:t>Layer 2 — Policy Side B (Corporate Reimbursement).</w:t>
      </w:r>
      <w:r>
        <w:t xml:space="preserve"> Side B reimburses the Company for indemnification it pays, above a $1,000,000 per-Claim retention, out of a $25,000,000 limit shared with Side C (Policy § 2). Side B does not protect the director directly; it protects the Company’s balance sheet. Every Policy exclusion and condition that does not have a counterpart in the Agreement creates uninsured Company exposure at this layer.</w:t>
      </w:r>
    </w:p>
    <w:p>
      <w:pPr>
        <w:pStyle w:val="ListNumber"/>
        <w:spacing w:after="60"/>
      </w:pPr>
      <w:r>
        <w:rPr>
          <w:b/>
        </w:rPr>
        <w:t>Layer 3 — Policy Side A (Non-Indemnifiable Loss).</w:t>
      </w:r>
      <w:r>
        <w:t xml:space="preserve"> Side A pays the director directly, from the first dollar, out of a dedicated $25,000,000 limit, when the Company does not indemnify because it is legally prohibited, financially unable, or refuses (Policy § 1; Endorsement No. 2). This is the director’s personal backstop. </w:t>
      </w:r>
      <w:r>
        <w:rPr>
          <w:b/>
        </w:rPr>
        <w:t>Any Policy exclusion that applies to Side A, and any situation in which Layer 1 fails, leaves the director personally exposed.</w:t>
      </w:r>
    </w:p>
    <w:p>
      <w:pPr>
        <w:jc w:val="both"/>
      </w:pPr>
      <w:r>
        <w:t>Accordingly, we classify each gap by whether it produces (a) uninsured exposure for the Company (Layer 1 pays; Layer 2 does not reimburse) — a balance-sheet issue for the Board; or (b) personal exposure for directors (Layer 1 fails and Layer 3 does not respond) — the issue that matters most to the candidates. Many gaps are type (a) while the Company is solvent and become type (b) in an insolvency, a change of control, or a dispute between the director and the Company.</w:t>
      </w:r>
    </w:p>
    <w:p>
      <w:pPr>
        <w:pStyle w:val="Heading1"/>
      </w:pPr>
      <w:r>
        <w:t>IV. Detailed Gap Analysis — Tail Coverage and Change of Control</w:t>
      </w:r>
    </w:p>
    <w:p>
      <w:pPr>
        <w:jc w:val="both"/>
      </w:pPr>
      <w:r>
        <w:t>These are the two issues raised by Ms. Liu-Dorsey’s counsel. We address them first and in detail because, as you note, every incoming director will eventually be a former director relying on these protections.</w:t>
      </w:r>
    </w:p>
    <w:p>
      <w:pPr>
        <w:pStyle w:val="Heading2"/>
      </w:pPr>
      <w:r>
        <w:t>Gap 1 — No Change-of-Control Tail Obligation; Policy Discovery Period Unavailable in a Transaction (Critical)</w:t>
      </w:r>
    </w:p>
    <w:p>
      <w:pPr>
        <w:jc w:val="both"/>
      </w:pPr>
      <w:r>
        <w:rPr>
          <w:b/>
        </w:rPr>
        <w:t>Agreement.</w:t>
      </w:r>
      <w:r>
        <w:t xml:space="preserve"> Section 11 contains a maintenance covenant (efforts-based; see Gap 2) and a post-service survival clause, but no obligation to purchase run-off or “tail” coverage upon a Change of Control. Section 17 requires a successor to assume the Agreement, but the assumed obligation is only the same efforts-based § 11 covenant. The Agreement’s own detailed “Change of Control” definition (§ 1(b)) is used only to shift the entitlement determination to Independent Counsel (§ 6(b)); it is not linked to insurance at all.</w:t>
      </w:r>
    </w:p>
    <w:p>
      <w:pPr>
        <w:jc w:val="both"/>
      </w:pPr>
      <w:r>
        <w:rPr>
          <w:b/>
        </w:rPr>
        <w:t>Policy.</w:t>
      </w:r>
      <w:r>
        <w:t xml:space="preserve"> The Policy has no change-in-control (transaction) clause — it neither converts automatically to run-off on an acquisition nor offers a pre-priced run-off option. The only extension mechanism is the Discovery Period in Section 10, which is structurally ill-suited to a transaction:</w:t>
      </w:r>
    </w:p>
    <w:p>
      <w:pPr>
        <w:pStyle w:val="ListBullet"/>
        <w:spacing w:after="60"/>
      </w:pPr>
      <w:r>
        <w:rPr>
          <w:b/>
        </w:rPr>
        <w:t>Trigger limited to Insurer action.</w:t>
      </w:r>
      <w:r>
        <w:t xml:space="preserve"> The right arises only if the Policy “is not renewed by the Insurer” or is “cancelled by the Insurer for any reason other than non-payment” (§ 10.1; § 16.4). A Company-initiated non-renewal — the typical post-closing outcome when an acquiror folds the target into its own program — does not trigger it.</w:t>
      </w:r>
    </w:p>
    <w:p>
      <w:pPr>
        <w:pStyle w:val="ListBullet"/>
        <w:spacing w:after="60"/>
      </w:pPr>
      <w:r>
        <w:rPr>
          <w:b/>
        </w:rPr>
        <w:t>Barred by any replacement program.</w:t>
      </w:r>
      <w:r>
        <w:t xml:space="preserve"> No Discovery Period is available if the Named Insured “has obtained any replacement directors and officers liability insurance policy … from any insurer (including the Insurer)” (§ 10.4(a)). An acquiror that adds the target to its own D&amp;O program (which may exclude pre-closing acts) arguably extinguishes the right.</w:t>
      </w:r>
    </w:p>
    <w:p>
      <w:pPr>
        <w:pStyle w:val="ListBullet"/>
        <w:spacing w:after="60"/>
      </w:pPr>
      <w:r>
        <w:rPr>
          <w:b/>
        </w:rPr>
        <w:t>Barred if the Company cancels.</w:t>
      </w:r>
      <w:r>
        <w:t xml:space="preserve"> No Discovery Period is available if the Policy “was cancelled at the request of the Named Insured” (§ 10.4(d); see § 16.3).</w:t>
      </w:r>
    </w:p>
    <w:p>
      <w:pPr>
        <w:pStyle w:val="ListBullet"/>
        <w:spacing w:after="60"/>
      </w:pPr>
      <w:r>
        <w:rPr>
          <w:b/>
        </w:rPr>
        <w:t>Controlled solely by the Company.</w:t>
      </w:r>
      <w:r>
        <w:t xml:space="preserve"> The election is “exercisable only by the Named Insured and is not transferable or assignable” (§ 10.1), and the Named Insured acts for all Insured Persons in making elections (§ 19). Post-closing, the Named Insured is controlled by the acquiror. Former directors have no independent right to elect or pay for it.</w:t>
      </w:r>
    </w:p>
    <w:p>
      <w:pPr>
        <w:pStyle w:val="ListBullet"/>
        <w:spacing w:after="60"/>
      </w:pPr>
      <w:r>
        <w:rPr>
          <w:b/>
        </w:rPr>
        <w:t>Short duration and short window.</w:t>
      </w:r>
      <w:r>
        <w:t xml:space="preserve"> Maximum 24 months at 175% of premium ($2,345,000); notice and payment must be received within 30 days after expiry (January 31, 2026 for the current term) (§§ 10.1–10.2).</w:t>
      </w:r>
    </w:p>
    <w:p>
      <w:pPr>
        <w:pStyle w:val="ListBullet"/>
        <w:spacing w:after="60"/>
      </w:pPr>
      <w:r>
        <w:rPr>
          <w:b/>
        </w:rPr>
        <w:t>No additional limits.</w:t>
      </w:r>
      <w:r>
        <w:t xml:space="preserve"> The Discovery Period shares the expiring aggregate limits (§ 10.5). Claims paid during the Policy Period reduce what is available to former directors during the tail.</w:t>
      </w:r>
    </w:p>
    <w:p>
      <w:pPr>
        <w:jc w:val="both"/>
      </w:pPr>
      <w:r>
        <w:rPr>
          <w:b/>
        </w:rPr>
        <w:t>Scenario.</w:t>
      </w:r>
      <w:r>
        <w:t xml:space="preserve"> Ferndale is acquired in 2027 in a cash merger. The acquiror cancels the Ferndale program at closing and adds Ferndale to its own D&amp;O program, which excludes pre-closing Wrongful Acts. In 2029, stockholders sue the former Ferndale directors alleging a disclosure and process breach in the merger, or a securities claim regarding pre-closing clinical disclosures (the Exchange Act § 10(b) statute of repose is five years, 28 U.S.C. § 1658(b); Delaware fiduciary claims carry a three-year limitations period, 10 Del. C. § 8106, subject to tolling doctrines). The former directors have a contractual right to indemnification from the surviving corporation under § 17, but (i) there is no insurance behind it; (ii) the surviving corporation, now controlled by the acquiror, may resist indemnification and advancement, forcing enforcement litigation under § 9; and (iii) if the surviving entity is thinly capitalized or later becomes insolvent, there is no Side A. A merger-related stockholder claim is precisely the kind of claim most often brought after closing.</w:t>
      </w:r>
    </w:p>
    <w:p>
      <w:pPr>
        <w:jc w:val="both"/>
      </w:pPr>
      <w:r>
        <w:rPr>
          <w:b/>
        </w:rPr>
        <w:t>Who bears the risk.</w:t>
      </w:r>
      <w:r>
        <w:t xml:space="preserve"> Former directors, personally. The Company bears no cost until a transaction, which is why the provision is inexpensive to grant now.</w:t>
      </w:r>
    </w:p>
    <w:p>
      <w:pPr>
        <w:jc w:val="both"/>
      </w:pPr>
      <w:r>
        <w:rPr>
          <w:b/>
        </w:rPr>
        <w:t>Market practice.</w:t>
      </w:r>
      <w:r>
        <w:t xml:space="preserve"> In our experience, public-company merger agreements almost uniformly require the buyer to maintain the target’s D&amp;O coverage for six years after closing, or permit the target to purchase a six-year prepaid tail before closing, subject to a cap on annual or aggregate premium expressed as a percentage of the target’s current annual premium (caps in the range of 200%–300% are typical). Because those protections depend on the target board negotiating them in the merger agreement, many public-company indemnification agreements now include a stand-alone contractual commitment so that directors are not dependent on the merger negotiation. Ms. Liu-Dorsey reports that both of her other public-company boards include such a provision, and Greystone has independently flagged the absence of one (Broker Summary §§ 5.5, 7.2). We recommend that Greystone provide current indicative six-year run-off pricing for the Committee’s file so that the cap can be validated against current life-sciences market conditions.</w:t>
      </w:r>
    </w:p>
    <w:p>
      <w:pPr>
        <w:jc w:val="both"/>
      </w:pPr>
      <w:r>
        <w:rPr>
          <w:b/>
        </w:rPr>
        <w:t>Recommendation — yes, amend the Agreement.</w:t>
      </w:r>
      <w:r>
        <w:t xml:space="preserve"> We recommend adding a new Section 11(d) with the following parameters: (i) trigger: consummation of any Change of Control as defined in § 1(b), and also any sale of all or substantially all assets or any dissolution; (ii) a prepaid, non-cancellable run-off for not less than six years after consummation, covering acts at or before closing (including the transaction itself); (iii) Side A and any excess Side A DIC coverage included; limits, retentions and terms no less favorable than those in effect immediately prior; (iv) aggregate premium cap of 300% of the last annual premium (approximately $4,020,000 at the current $1,340,000 premium), with a requirement to buy the best coverage available at the cap if full coverage costs more; (v) the obligation may be satisfied by an acquiror covenant in the merger agreement meeting the same standards, enforceable by the Indemnitee as a third-party beneficiary; (vi) no amendment or cancellation of the tail; (vii) binding on successors through § 17. Proposed language appears in Appendix B. We would also require Greystone to negotiate a change-in-control provision into the Policy at renewal (automatic conversion to run-off on a transaction with an option to purchase a six-year run-off at a pre-agreed premium), so that the contractual obligation can be satisfied efficiently with the incumbent carrier.</w:t>
      </w:r>
    </w:p>
    <w:p>
      <w:pPr>
        <w:pStyle w:val="Heading2"/>
      </w:pPr>
      <w:r>
        <w:t>Gap 2 — Perpetual Indemnification versus Claims-Made Insurance; Efforts-Qualified Maintenance Covenant (High)</w:t>
      </w:r>
    </w:p>
    <w:p>
      <w:pPr>
        <w:jc w:val="both"/>
      </w:pPr>
      <w:r>
        <w:rPr>
          <w:b/>
        </w:rPr>
        <w:t>Agreement.</w:t>
      </w:r>
      <w:r>
        <w:t xml:space="preserve"> The indemnification and advancement obligations survive indefinitely and “shall not expire, lapse, or otherwise be limited by reason of the passage of time” (§ 17; see § 14), and are expressly primary and unaffected by whether insurance “is in force, has been cancelled, has expired, has been exhausted” (§ 12). By contrast, the insurance covenant is an efforts covenant (“commercially reasonable efforts”), qualified again by availability “on commercially reasonable terms” (§ 11(a), (c)). Upon termination, non-renewal or material reduction, the Company must only “promptly notify” the Indemnitee — after the fact — and use efforts to replace (§ 11(c)).</w:t>
      </w:r>
    </w:p>
    <w:p>
      <w:pPr>
        <w:jc w:val="both"/>
      </w:pPr>
      <w:r>
        <w:rPr>
          <w:b/>
        </w:rPr>
        <w:t>Policy.</w:t>
      </w:r>
      <w:r>
        <w:t xml:space="preserve"> Coverage is limited to Claims first made during the Policy Period or Discovery Period (Decl. Important Notice; §§ 1–3). Former directors are Insured Persons (“was, is, or shall hereafter become,” § 4.1), so a claim against a former director is covered by whatever policy is in force when the claim is made.</w:t>
      </w:r>
    </w:p>
    <w:p>
      <w:pPr>
        <w:jc w:val="both"/>
      </w:pPr>
      <w:r>
        <w:rPr>
          <w:b/>
        </w:rPr>
        <w:t>Analysis.</w:t>
      </w:r>
      <w:r>
        <w:t xml:space="preserve"> The concern in your email is valid but should be stated precisely. Claims-made coverage does not itself leave former directors uninsured: so long as the Company renews continuously and each renewal preserves the August 15, 2016 Continuity Date (prior-acts coverage), a former director sued years after departure is covered by the then-current policy. The gap arises when continuity breaks: (a) the Company elects not to renew or cannot obtain coverage on terms it regards as commercially reasonable (e.g., in financial distress, after a large loss, or in a hard market); (b) a replacement policy resets the continuity date or adds a prior-acts or specific-matter exclusion (§ 10.4(a) then also eliminates the Discovery Period); (c) a change of control (Gap 1); or (d) insolvency. In each case the Agreement leaves the director with a perpetual contractual right against a Company that is, by hypothesis, less able to pay. Because the covenant is efforts-qualified, the director would also have difficulty proving a breach.</w:t>
      </w:r>
    </w:p>
    <w:p>
      <w:pPr>
        <w:jc w:val="both"/>
      </w:pPr>
      <w:r>
        <w:rPr>
          <w:b/>
        </w:rPr>
        <w:t>Who bears the risk.</w:t>
      </w:r>
      <w:r>
        <w:t xml:space="preserve"> The Company directly (uninsured indemnity); former directors personally if the Company is insolvent or adverse.</w:t>
      </w:r>
    </w:p>
    <w:p>
      <w:pPr>
        <w:jc w:val="both"/>
      </w:pPr>
      <w:r>
        <w:rPr>
          <w:b/>
        </w:rPr>
        <w:t>Recommendation.</w:t>
      </w:r>
      <w:r>
        <w:t xml:space="preserve"> Amend § 11 to: (i) require that any renewal or replacement maintain at least the existing Side A limit and the existing Continuity Date (or full prior acts) and not add new prior-acts or specific-matter exclusions applicable to the Indemnitee without Board approval and notice; (ii) require 60 days’ advance written notice to directors (current and former) if the Company does not expect to bind renewal, and notice within 10 business days of receiving any Insurer non-renewal notice (the Insurer must give 90 days’ notice under Policy § 16.2); (iii) require the Company, if the program lapses without replacement, to purchase the longest available Discovery Period (currently 24 months) within the 30-day window and to use reasonable best efforts to obtain run-off of up to six years subject to the 300% cap; and (iv) give former directors the right, at their own cost if the Company declines, to require the Company to elect the Discovery Period on their behalf. At renewal, ask the Insurer to (x) make the Discovery Period available on any non-renewal (including by the Company), (y) extend the election window to 60 days, and (z) permit Insured Persons to elect it if the Named Insured does not.</w:t>
      </w:r>
    </w:p>
    <w:p>
      <w:pPr>
        <w:pStyle w:val="Heading1"/>
      </w:pPr>
      <w:r>
        <w:t>V. Detailed Gap Analysis — Coverage Scope and Mechanics</w:t>
      </w:r>
    </w:p>
    <w:p>
      <w:pPr>
        <w:pStyle w:val="Heading2"/>
      </w:pPr>
      <w:r>
        <w:t>Gap 3 — Insured-vs-Insured Exclusion: Company Claims, Bankruptcy Trustees and Derivative Participation (Critical)</w:t>
      </w:r>
    </w:p>
    <w:p>
      <w:pPr>
        <w:jc w:val="both"/>
      </w:pPr>
      <w:r>
        <w:rPr>
          <w:b/>
        </w:rPr>
        <w:t>Policy.</w:t>
      </w:r>
      <w:r>
        <w:t xml:space="preserve"> Section 5.2 excludes any Claim against an Insured Person brought “by, on behalf of, at the direction of, or with the active participation of the Company or any Insured Person,” including “through any receiver, trustee, assignee, or similar fiduciary acting on behalf of the Company.” The final paragraph confirms that the exclusion applies “without any carve-out” to “any Claim brought directly by the Company against a current or former director or officer,” including fiduciary-duty and clawback claims. Carve-backs are limited to (i) derivative actions “without the solicitation, assistance, active participation, or intervention of any current director or officer”; (ii) employment practices claims; (iii) whistleblower claims by former directors or officers absent 24 months; and (iv) cross-claims. There is no Side A carve-back and no carve-back for a bankruptcy trustee, examiner, creditors’ committee, liquidating or litigation trust, or for claims brought after a change of control.</w:t>
      </w:r>
    </w:p>
    <w:p>
      <w:pPr>
        <w:jc w:val="both"/>
      </w:pPr>
      <w:r>
        <w:rPr>
          <w:b/>
        </w:rPr>
        <w:t>Agreement.</w:t>
      </w:r>
      <w:r>
        <w:t xml:space="preserve"> Section 3 indemnifies only Expenses (not judgments or settlements) in proceedings “by or in the right of the Company,” and bars even Expenses if the Indemnitee is adjudged liable absent court approval, tracking DGCL § 145(b). Section 3’s final paragraph then states that direct claims by the Company “shall be governed by the provisions of Section 2” — i.e., the Company would indemnify judgments, fines and settlements in a suit the Company itself brings. In our view that sentence is unlikely to be enforceable as to judgments and settlements: § 145(a) by its terms applies to actions “other than an action by or in the right of the corporation,” a direct suit by the corporation is an action “by” the corporation, and Delaware courts have held that § 145(f) “non-exclusivity” cannot be used to grant indemnification inconsistent with the limits of § 145 (see, e.g., Waltuch v. Conticommodity Services, Inc., 88 F.3d 87 (2d Cir. 1996) (applying Delaware law)). Indemnifying a director against a judgment the Company itself obtains would also be circular. Expenses remain indemnifiable subject to § 145(b).</w:t>
      </w:r>
    </w:p>
    <w:p>
      <w:pPr>
        <w:jc w:val="both"/>
      </w:pPr>
      <w:r>
        <w:rPr>
          <w:b/>
        </w:rPr>
        <w:t>Analysis and scenarios.</w:t>
      </w:r>
      <w:r>
        <w:t xml:space="preserve"> The combination leaves directors exposed exactly when the Company becomes their adversary:</w:t>
      </w:r>
    </w:p>
    <w:p>
      <w:pPr>
        <w:pStyle w:val="ListBullet"/>
        <w:spacing w:after="60"/>
      </w:pPr>
      <w:r>
        <w:rPr>
          <w:b/>
        </w:rPr>
        <w:t>Bankruptcy / litigation trust.</w:t>
      </w:r>
      <w:r>
        <w:t xml:space="preserve"> A clinical failure leads to a Chapter 11 filing. The plan creates a litigation trust that sues the former directors for breach of fiduciary duty (e.g., failure of oversight, cash burn). The trust sues “on behalf of the Company” as assignee/fiduciary — excluded by § 5.2(a), including under Side A. The Company (debtor) will not indemnify a claim it is prosecuting, and any indemnification claim is a prepetition unsecured claim. </w:t>
      </w:r>
      <w:r>
        <w:rPr>
          <w:b/>
        </w:rPr>
        <w:t>Directors bear defense costs and any judgment personally.</w:t>
      </w:r>
      <w:r>
        <w:t xml:space="preserve"> This is among the most common sources of uninsured director loss in life-sciences insolvencies.</w:t>
      </w:r>
    </w:p>
    <w:p>
      <w:pPr>
        <w:pStyle w:val="ListBullet"/>
        <w:spacing w:after="60"/>
      </w:pPr>
      <w:r>
        <w:rPr>
          <w:b/>
        </w:rPr>
        <w:t>Post-change-of-control claims.</w:t>
      </w:r>
      <w:r>
        <w:t xml:space="preserve"> After an acquisition, the acquiror-controlled Company sues former directors (or brings clawback claims). Excluded entirely by the final paragraph of § 5.2. The Agreement’s § 17 successor assumption does not help, because the successor is the plaintiff.</w:t>
      </w:r>
    </w:p>
    <w:p>
      <w:pPr>
        <w:pStyle w:val="ListBullet"/>
        <w:spacing w:after="60"/>
      </w:pPr>
      <w:r>
        <w:rPr>
          <w:b/>
        </w:rPr>
        <w:t>Derivative participation trap.</w:t>
      </w:r>
      <w:r>
        <w:t xml:space="preserve"> A derivative suit is carved back only if no current director or officer has solicited, assisted, participated or intervened (§ 5.2(i); § 5.2(b) contains a similar condition for security-holder claims). A current director who cooperates with a plaintiff, a whistleblowing officer, or a special litigation committee that elects to take over or join the claim may forfeit coverage for all defendants. Derivative settlements and judgments are non-indemnifiable under § 145(b) and are therefore the core of Side A; this condition goes to the heart of what Side A is for.</w:t>
      </w:r>
    </w:p>
    <w:p>
      <w:pPr>
        <w:pStyle w:val="ListBullet"/>
        <w:spacing w:after="60"/>
      </w:pPr>
      <w:r>
        <w:rPr>
          <w:b/>
        </w:rPr>
        <w:t>Regulatory receivership.</w:t>
      </w:r>
      <w:r>
        <w:t xml:space="preserve"> Less relevant to Ferndale, but the receiver/conservator limb also applies.</w:t>
      </w:r>
    </w:p>
    <w:p>
      <w:pPr>
        <w:jc w:val="both"/>
      </w:pPr>
      <w:r>
        <w:rPr>
          <w:b/>
        </w:rPr>
        <w:t>Who bears the risk.</w:t>
      </w:r>
      <w:r>
        <w:t xml:space="preserve"> Directors personally. There is no Company layer in an adverse-Company claim.</w:t>
      </w:r>
    </w:p>
    <w:p>
      <w:pPr>
        <w:jc w:val="both"/>
      </w:pPr>
      <w:r>
        <w:rPr>
          <w:b/>
        </w:rPr>
        <w:t>Recommendation.</w:t>
      </w:r>
      <w:r>
        <w:t xml:space="preserve"> Negotiate an endorsement providing that the exclusion does not apply to: (a) any Claim brought by a bankruptcy trustee, examiner, receiver, liquidator, creditors’ committee, assignee for the benefit of creditors, or liquidating or litigation trust (or any assignee of such persons); (b) any Claim brought after a change in control by or on behalf of the Company or its successor; (c) any Claim brought by the Company in a foreign jurisdiction where suit by the Company is required; (d) any Loss under Side A, whatever the claimant; and (e) derivative claims unless an Insured Person actively solicited the claim (mere cooperation as a witness, whistleblower activity, or SLC process should not trigger the exclusion). These are commonly available in the current market. The Excess Side A DIC policy recommended below should contain these carve-backs as a matter of course. In the Agreement, revise the last paragraph of § 3 to state that the Company will indemnify direct-claim Expenses and, to the extent judgments or settlements are not indemnifiable, will cooperate in making insurance available and will not oppose a § 145(b) court application.</w:t>
      </w:r>
    </w:p>
    <w:p>
      <w:pPr>
        <w:pStyle w:val="Heading2"/>
      </w:pPr>
      <w:r>
        <w:t>Gap 4 — Life-Sciences Exclusions Applicable to Side A Without Carve-Backs (Critical)</w:t>
      </w:r>
    </w:p>
    <w:p>
      <w:pPr>
        <w:jc w:val="both"/>
      </w:pPr>
      <w:r>
        <w:rPr>
          <w:b/>
        </w:rPr>
        <w:t>Policy.</w:t>
      </w:r>
      <w:r>
        <w:t xml:space="preserve"> Three exclusions are drafted broadly and apply to all Insuring Clauses:</w:t>
      </w:r>
    </w:p>
    <w:p>
      <w:pPr>
        <w:pStyle w:val="ListBullet"/>
        <w:spacing w:after="60"/>
      </w:pPr>
      <w:r>
        <w:rPr>
          <w:b/>
        </w:rPr>
        <w:t>Bodily Injury / Property Damage (§ 5.3):</w:t>
      </w:r>
      <w:r>
        <w:t xml:space="preserve"> any Claim “for, based upon, or alleging” bodily injury, sickness, disease, emotional distress, or death.</w:t>
      </w:r>
    </w:p>
    <w:p>
      <w:pPr>
        <w:pStyle w:val="ListBullet"/>
        <w:spacing w:after="60"/>
      </w:pPr>
      <w:r>
        <w:rPr>
          <w:b/>
        </w:rPr>
        <w:t>Professional Services (§ 5.7):</w:t>
      </w:r>
      <w:r>
        <w:t xml:space="preserve"> any Claim “alleging, arising out of, based upon, or attributable to the rendering of or failure to render professional services … including but not limited to the provision of scientific, medical, pharmaceutical, clinical, consulting, advisory, research, or laboratory services.”</w:t>
      </w:r>
    </w:p>
    <w:p>
      <w:pPr>
        <w:pStyle w:val="ListBullet"/>
        <w:spacing w:after="60"/>
      </w:pPr>
      <w:r>
        <w:rPr>
          <w:b/>
        </w:rPr>
        <w:t>Pollution (§ 5.5):</w:t>
      </w:r>
      <w:r>
        <w:t xml:space="preserve"> “Pollutants” includes “pharmaceutical waste, biohazardous materials, genetically modified organisms.”</w:t>
      </w:r>
    </w:p>
    <w:p>
      <w:pPr>
        <w:jc w:val="both"/>
      </w:pPr>
      <w:r>
        <w:t>None contains the carve-backs that are customary in public-company D&amp;O forms: for Securities Claims, for derivative claims, and for Side A (non-indemnifiable) Loss. The ERISA exclusion (§ 5.4) shows the drafter knew how to write a Side A carve-back; it was not given here.</w:t>
      </w:r>
    </w:p>
    <w:p>
      <w:pPr>
        <w:jc w:val="both"/>
      </w:pPr>
      <w:r>
        <w:rPr>
          <w:b/>
        </w:rPr>
        <w:t>Agreement.</w:t>
      </w:r>
      <w:r>
        <w:t xml:space="preserve"> Section 7 is the “sole and exclusive” list of exclusions; it contains no BI/PD, professional services or pollution exclusion. The Company therefore must indemnify these claims in full.</w:t>
      </w:r>
    </w:p>
    <w:p>
      <w:pPr>
        <w:jc w:val="both"/>
      </w:pPr>
      <w:r>
        <w:rPr>
          <w:b/>
        </w:rPr>
        <w:t>Why this matters for Ferndale.</w:t>
      </w:r>
      <w:r>
        <w:t xml:space="preserve"> The Company’s core business is clinical development; the 2021 derivative suit alleged fiduciary breaches “in connection with the Company’s clinical trial disclosures” (Broker Summary § 6.1). The typical life-sciences securities class action and follow-on derivative suit alleges that management and the board misrepresented clinical trial results or safety signals — an allegation that, under § 5.7’s “arising out of … clinical … research” language and § 5.3’s “alleging … bodily injury” language, an insurer could argue is excluded in whole or in part. A stock-drop suit following a patient death in a trial is the paradigm case.</w:t>
      </w:r>
    </w:p>
    <w:p>
      <w:pPr>
        <w:jc w:val="both"/>
      </w:pPr>
      <w:r>
        <w:rPr>
          <w:b/>
        </w:rPr>
        <w:t>Scenario.</w:t>
      </w:r>
      <w:r>
        <w:t xml:space="preserve"> A Phase 3 trial is halted after serious adverse events. Securities and derivative suits follow, alleging the board ignored safety signals. The Insurer reserves rights under §§ 5.3 and 5.7. While the Company is solvent it must advance and indemnify under the Agreement with no assurance of Side B or Side C reimbursement (an uninsured exposure easily in the eight figures for a $2.8 billion company). If the trial failure precipitates insolvency, Side A is subject to the same exclusions — the directors’ personal backstop fails at the moment it is needed.</w:t>
      </w:r>
    </w:p>
    <w:p>
      <w:pPr>
        <w:jc w:val="both"/>
      </w:pPr>
      <w:r>
        <w:rPr>
          <w:b/>
        </w:rPr>
        <w:t>Recommendation.</w:t>
      </w:r>
      <w:r>
        <w:t xml:space="preserve"> Endorse each of §§ 5.3, 5.5 and 5.7 to (i) carve back Securities Claims and derivative claims, (ii) carve back all Loss under Insuring Clause A, and (iii) change “arising out of … in any way involving” to “for” (actual bodily injury or professional-services damages claims). Confirm that the Company carries products liability / clinical trials liability insurance and that the D&amp;O “other insurance” exclusion (§ 5.6) cannot be read to exclude D&amp;O claims merely because a clinical-trial policy exists. A properly drafted Excess Side A DIC policy should not contain these exclusions.</w:t>
      </w:r>
    </w:p>
    <w:p>
      <w:pPr>
        <w:pStyle w:val="Heading2"/>
      </w:pPr>
      <w:r>
        <w:t>Gap 5 — Trigger Mismatch: “Proceeding” versus “Claim”; Pre-Claim Costs; Witness Costs (High)</w:t>
      </w:r>
    </w:p>
    <w:p>
      <w:pPr>
        <w:jc w:val="both"/>
      </w:pPr>
      <w:r>
        <w:rPr>
          <w:b/>
        </w:rPr>
        <w:t>Agreement.</w:t>
      </w:r>
      <w:r>
        <w:t xml:space="preserve"> “Proceeding” includes any “threatened, pending, or completed” action and any “investigation (whether formal or informal), inquiry, hearing, or any other actual or threatened proceeding” (§ 1(i)). The Company must indemnify Expenses as a witness or for responding to subpoenas or discovery without any standard-of-conduct determination (§ 4), and must advance all Expenses within 30 days (§ 5). “Expenses” include costs of “preparing to … defend, investigating, being or preparing to be a witness” (§ 1(f)).</w:t>
      </w:r>
    </w:p>
    <w:p>
      <w:pPr>
        <w:jc w:val="both"/>
      </w:pPr>
      <w:r>
        <w:rPr>
          <w:b/>
        </w:rPr>
        <w:t>Policy.</w:t>
      </w:r>
      <w:r>
        <w:t xml:space="preserve"> “Claim” (§ 4.2) requires a written demand, a commenced proceeding, or a “formal” investigation commenced by an order or notice that “specifically identifies the Insured Person by name,” or a subpoena, target letter or Wells notice. It expressly excludes informal inquiries that do not identify the Insured Person “as a target, subject, or person of interest” (§ 4.2(ii)); preliminary investigations without a formal order (§ 4.2(iii)); mere requests for information, documents or testimony (§ 4.2(v)); and threatened actions (§ 4.2(vi)). Defense Costs exclude “any amount incurred prior to the date the Claim is first made” (§ 4.5(iii)). Notice of circumstances (§ 6.4) locks in coverage for a later Claim but does not make pre-Claim costs recoverable.</w:t>
      </w:r>
    </w:p>
    <w:p>
      <w:pPr>
        <w:jc w:val="both"/>
      </w:pPr>
      <w:r>
        <w:rPr>
          <w:b/>
        </w:rPr>
        <w:t>The 2023 SEC inquiry under the current wording.</w:t>
      </w:r>
      <w:r>
        <w:t xml:space="preserve"> The SEC’s inquiry was initiated by “a voluntary document request letter directed to the Company” and did not name individuals (Broker Summary § 6.2). Under the current § 4.2 it is not a Claim against any Insured Person (it falls squarely within exclusions (ii), (iii) and (v)), and the Company-entity costs (including Pinnacle Forensic Accounting) are not insured at all because Side C covers only Securities Claims against the Company. Even had it been a Claim, Side B would apply only above the $1,000,000 per-Claim retention, so at most roughly $100,000 of the $1,100,000 spent would have been recoverable. The $850,000 negotiated recovery under the prior policy is therefore not a reliable precedent; the current definition appears, if anything, to codify the Insurer’s 2023 position. (The Broker Summary states that the renewal added no restrictions; we recommend obtaining the prior-year form to confirm whether § 4.2 was narrowed.)</w:t>
      </w:r>
    </w:p>
    <w:p>
      <w:pPr>
        <w:jc w:val="both"/>
      </w:pPr>
      <w:r>
        <w:rPr>
          <w:b/>
        </w:rPr>
        <w:t>Scenario for an incoming director.</w:t>
      </w:r>
      <w:r>
        <w:t xml:space="preserve"> Mr. Kjelland, a former Fortune 500 CFO, is likely to chair or sit on the Audit Committee. The SEC’s Division of Enforcement opens an informal inquiry into revenue recognition and requests a voluntary interview with Audit Committee members. Mr. Kjelland retains personal counsel. Under the Agreement (§§ 4, 5) the Company must advance his fees; none of those fees is insured until (and unless) he receives a subpoena, Wells notice or is named in a formal order. If the Company is in distress, his personal counsel fees are unprotected.</w:t>
      </w:r>
    </w:p>
    <w:p>
      <w:pPr>
        <w:jc w:val="both"/>
      </w:pPr>
      <w:r>
        <w:rPr>
          <w:b/>
        </w:rPr>
        <w:t>Who bears the risk.</w:t>
      </w:r>
      <w:r>
        <w:t xml:space="preserve"> The Company, as an uninsured advancement and witness-cost obligation; directors only if the Company cannot or will not pay.</w:t>
      </w:r>
    </w:p>
    <w:p>
      <w:pPr>
        <w:jc w:val="both"/>
      </w:pPr>
      <w:r>
        <w:rPr>
          <w:b/>
        </w:rPr>
        <w:t>Recommendation.</w:t>
      </w:r>
      <w:r>
        <w:t xml:space="preserve"> At renewal (or mid-term if available) obtain: (i) an expanded Claim definition including any written request to an Insured Person to appear for an interview or meeting, or to produce documents, by an enforcement authority (SEC, DOJ, FDA, state AG, foreign regulator), and civil investigative demands; (ii) “pre-claim inquiry” coverage for Insured Persons’ costs of responding to informal or entity-level inquiries, with no retention; (iii) an entity investigation costs sublimit (to address costs such as Pinnacle’s); and (iv) derivative demand investigation costs coverage for the Board’s evaluation of stockholder demands. Greystone has already suggested items (ii)–(iii) (Broker Summary § 7.1).</w:t>
      </w:r>
    </w:p>
    <w:p>
      <w:pPr>
        <w:pStyle w:val="Heading2"/>
      </w:pPr>
      <w:r>
        <w:t>Gap 6 — Scope of “Loss”: Fines, Penalties, Taxes, Compliance Costs, Disgorgement and Restitution (High)</w:t>
      </w:r>
    </w:p>
    <w:p>
      <w:pPr>
        <w:jc w:val="both"/>
      </w:pPr>
      <w:r>
        <w:rPr>
          <w:b/>
        </w:rPr>
        <w:t>Agreement.</w:t>
      </w:r>
      <w:r>
        <w:t xml:space="preserve"> Indemnifiable amounts include “Fines” — “any fine, penalty, or excise tax,” including ERISA excise taxes (§ 1(g)); the Company expressly “acknowledges” that § 2 extends to “Fines and penalties imposed by any governmental authority” (§ 2); “Expenses” include taxes on indemnification payments (gross-up) and “the costs of complying with any court order, consent decree, judgment, or other directive” (§ 1(f)); and “Amounts Paid in Settlement” include the value of non-monetary consideration (§ 1(j)).</w:t>
      </w:r>
    </w:p>
    <w:p>
      <w:pPr>
        <w:jc w:val="both"/>
      </w:pPr>
      <w:r>
        <w:rPr>
          <w:b/>
        </w:rPr>
        <w:t>Policy.</w:t>
      </w:r>
      <w:r>
        <w:t xml:space="preserve"> “Loss” excludes fines and penalties except where insurable under the most favorable law “as determined by the Insurer in its reasonable discretion” (§ 4.4 (i)); taxes (ii); compensation (iv); uninsurable matters (v); and the costs of compliance with injunctive or non-monetary relief, “disgorgement of profits, restitution, or other corrective actions” (vi). Punitive damages are covered only “where insurable under applicable law” without a most-favorable-jurisdiction rule (§ 4.4 (i) of the inclusions). The Insurer may withhold consent to settlements imposing non-monetary obligations (§ 7.2(b)).</w:t>
      </w:r>
    </w:p>
    <w:p>
      <w:pPr>
        <w:jc w:val="both"/>
      </w:pPr>
      <w:r>
        <w:rPr>
          <w:b/>
        </w:rPr>
        <w:t>Analysis.</w:t>
      </w:r>
      <w:r>
        <w:t xml:space="preserve"> Each of these is a Company-funded, uninsured obligation. Two deserve particular attention. First, the restitution/disgorgement language could be invoked against settlements of Securities Act §§ 11 and 12 claims (which insurers have characterized as restitutionary); Ferndale’s offering activity makes this a live issue, and a §§ 11/12 carve-back is customary. Second, the insurer-discretion qualifier on fines undermines an otherwise favorable most-favorable-law clause. We note that the Delaware Supreme Court has held that Delaware law governs the insurability analysis for D&amp;O policies of Delaware corporations and that Delaware public policy does not bar coverage of fraud-based loss (RSUI Indemnity Co. v. Murdock, 248 A.3d 887 (Del. 2021)); the Policy’s Delaware choice of law (§ 20) is helpful in that respect. Separately, the SEC takes the position that indemnification of Securities Act liabilities is against public policy (Regulation S-K Item 512(h) undertaking) and typically requires that civil penalties not be indemnified or insured, so insurance cannot fully close the penalties gap.</w:t>
      </w:r>
    </w:p>
    <w:p>
      <w:pPr>
        <w:jc w:val="both"/>
      </w:pPr>
      <w:r>
        <w:rPr>
          <w:b/>
        </w:rPr>
        <w:t>Who bears the risk.</w:t>
      </w:r>
      <w:r>
        <w:t xml:space="preserve"> The Company; directors if the Company is insolvent (Side A has the same definition of Loss).</w:t>
      </w:r>
    </w:p>
    <w:p>
      <w:pPr>
        <w:jc w:val="both"/>
      </w:pPr>
      <w:r>
        <w:rPr>
          <w:b/>
        </w:rPr>
        <w:t>Recommendation.</w:t>
      </w:r>
      <w:r>
        <w:t xml:space="preserve"> Endorse “Loss” to (i) delete “as determined by the Insurer in its reasonable discretion”; (ii) apply most-favorable-jurisdiction wording to punitive, exemplary and multiplied damages; (iii) add a carve-back providing that Loss includes amounts payable for violations of Sections 11, 12 and 15 of the Securities Act notwithstanding the restitution/disgorgement exclusion; and (iv) cover civil penalties under FCPA § 78dd-2(g)(2)(B) and similar provisions where insurable. No change to the Agreement is required; the Committee should simply understand that fines and compliance costs will generally be uninsured.</w:t>
      </w:r>
    </w:p>
    <w:p>
      <w:pPr>
        <w:pStyle w:val="Heading2"/>
      </w:pPr>
      <w:r>
        <w:t>Gap 7 — Limits, Retention and Erosion (High)</w:t>
      </w:r>
    </w:p>
    <w:p>
      <w:pPr>
        <w:jc w:val="both"/>
      </w:pPr>
      <w:r>
        <w:rPr>
          <w:b/>
        </w:rPr>
        <w:t>Policy.</w:t>
      </w:r>
      <w:r>
        <w:t xml:space="preserve"> $25,000,000 Side A dedicated; $25,000,000 Side B/C combined; defense costs erode all limits; $1,000,000 retention per Claim for Sides B and C; all limits are aggregates for the Policy Period and any Discovery Period (Decl. Items 4–5; §§ 1–3, 10.5). Related claims are a single Claim, deemed made on the earliest date (§§ 4.2, 4.7).</w:t>
      </w:r>
    </w:p>
    <w:p>
      <w:pPr>
        <w:jc w:val="both"/>
      </w:pPr>
      <w:r>
        <w:rPr>
          <w:b/>
        </w:rPr>
        <w:t>Agreement.</w:t>
      </w:r>
      <w:r>
        <w:t xml:space="preserve"> Unlimited in amount; primary (§ 12).</w:t>
      </w:r>
    </w:p>
    <w:p>
      <w:pPr>
        <w:jc w:val="both"/>
      </w:pPr>
      <w:r>
        <w:rPr>
          <w:b/>
        </w:rPr>
        <w:t>Analysis.</w:t>
      </w:r>
      <w:r>
        <w:t xml:space="preserve"> (i) </w:t>
      </w:r>
      <w:r>
        <w:rPr>
          <w:b/>
        </w:rPr>
        <w:t>Side B/C sharing.</w:t>
      </w:r>
      <w:r>
        <w:t xml:space="preserve"> A single securities class action naming the Company and its directors consumes the shared $25M for both the entity (Side C) and the individuals (Side B). Entity defense and settlement can exhaust the tower, after which all further indemnification of directors is uninsured Company cost. Side A does not “drop down” merely because Side B is exhausted: so long as the Company is able and willing to indemnify, the Loss is indemnifiable and outside Side A. (ii) </w:t>
      </w:r>
      <w:r>
        <w:rPr>
          <w:b/>
        </w:rPr>
        <w:t>Side A sharing.</w:t>
      </w:r>
      <w:r>
        <w:t xml:space="preserve"> The $25M Side A limit is shared among all past, present and future directors and officers for all Claims in the year — nine directors plus the officer group. In a large derivative settlement (the classic Side A loss), the limit may be consumed by settlement contributions and defense costs of management defendants, leaving little for independent directors. (iii) </w:t>
      </w:r>
      <w:r>
        <w:rPr>
          <w:b/>
        </w:rPr>
        <w:t>Retention.</w:t>
      </w:r>
      <w:r>
        <w:t xml:space="preserve"> The $1M per-Claim retention is borne by the Company; because Endorsement No. 2 treats refusal or inability to indemnify as Non-Indemnifiable Loss, and Side A has no retention, a director is not personally exposed for the retention — a meaningful strength. (iv) </w:t>
      </w:r>
      <w:r>
        <w:rPr>
          <w:b/>
        </w:rPr>
        <w:t>Tail limits.</w:t>
      </w:r>
      <w:r>
        <w:t xml:space="preserve"> A Discovery Period adds no limits (§ 10.5). (v) </w:t>
      </w:r>
      <w:r>
        <w:rPr>
          <w:b/>
        </w:rPr>
        <w:t>Adequacy.</w:t>
      </w:r>
      <w:r>
        <w:t xml:space="preserve"> Greystone describes the limits as typical for the Company’s size (Broker Summary § 7.3) but itself suggests evaluating excess Side A or Side A DIC capacity.</w:t>
      </w:r>
    </w:p>
    <w:p>
      <w:pPr>
        <w:jc w:val="both"/>
      </w:pPr>
      <w:r>
        <w:rPr>
          <w:b/>
        </w:rPr>
        <w:t>Who bears the risk.</w:t>
      </w:r>
      <w:r>
        <w:t xml:space="preserve"> The Company first; independent directors personally in a high-severity or multi-claim year or upon insolvency.</w:t>
      </w:r>
    </w:p>
    <w:p>
      <w:pPr>
        <w:jc w:val="both"/>
      </w:pPr>
      <w:r>
        <w:rPr>
          <w:b/>
        </w:rPr>
        <w:t>Recommendation.</w:t>
      </w:r>
      <w:r>
        <w:t xml:space="preserve"> Purchase an Excess Side A DIC policy (we suggest pricing $15M–$25M) with: broad DIC drop-down over the underlying exclusions and when the underlying insurer fails or refuses to pay; no Insured-vs-Insured exclusion for bankruptcy trustees and post-change-of-control claims; no BI/PD, professional services or pollution exclusion except for direct bodily-injury claims; and a non-rescindable form. Evaluate a dedicated Independent Director Liability (IDL) policy for the non-management directors, which directly answers the candidates’ concern that they share Side A limits with management. Ask Greystone for a limits-adequacy benchmark against life-sciences peers, including settlement-severity data.</w:t>
      </w:r>
    </w:p>
    <w:p>
      <w:pPr>
        <w:pStyle w:val="Heading2"/>
      </w:pPr>
      <w:r>
        <w:t>Gap 8 — Advancement Timing, Interim Allocation and Counsel Selection (Medium–High)</w:t>
      </w:r>
    </w:p>
    <w:tbl>
      <w:tblPr>
        <w:tblStyle w:val="TableGrid"/>
        <w:tblW w:type="auto" w:w="0"/>
        <w:jc w:val="center"/>
        <w:tblLook w:firstColumn="1" w:firstRow="1" w:lastColumn="0" w:lastRow="0" w:noHBand="0" w:noVBand="1" w:val="04A0"/>
      </w:tblPr>
      <w:tblGrid>
        <w:gridCol w:w="1584"/>
        <w:gridCol w:w="2592"/>
        <w:gridCol w:w="2736"/>
        <w:gridCol w:w="2448"/>
      </w:tblGrid>
      <w:tr>
        <w:trPr>
          <w:tblHeader w:val="true"/>
        </w:trPr>
        <w:tc>
          <w:tcPr>
            <w:tcW w:type="dxa" w:w="1584"/>
            <w:shd w:val="clear" w:color="auto" w:fill="1F2A44"/>
          </w:tcPr>
          <w:p>
            <w:pPr>
              <w:spacing w:after="40"/>
            </w:pPr>
            <w:r>
              <w:rPr>
                <w:b/>
                <w:color w:val="FFFFFF"/>
              </w:rPr>
            </w:r>
            <w:r>
              <w:rPr>
                <w:b/>
                <w:color w:val="FFFFFF"/>
                <w:sz w:val="16"/>
              </w:rPr>
              <w:t>Term</w:t>
            </w:r>
          </w:p>
        </w:tc>
        <w:tc>
          <w:tcPr>
            <w:tcW w:type="dxa" w:w="2592"/>
            <w:shd w:val="clear" w:color="auto" w:fill="1F2A44"/>
          </w:tcPr>
          <w:p>
            <w:pPr>
              <w:spacing w:after="40"/>
            </w:pPr>
            <w:r>
              <w:rPr>
                <w:b/>
                <w:color w:val="FFFFFF"/>
              </w:rPr>
            </w:r>
            <w:r>
              <w:rPr>
                <w:b/>
                <w:color w:val="FFFFFF"/>
                <w:sz w:val="16"/>
              </w:rPr>
              <w:t>Agreement</w:t>
            </w:r>
          </w:p>
        </w:tc>
        <w:tc>
          <w:tcPr>
            <w:tcW w:type="dxa" w:w="2736"/>
            <w:shd w:val="clear" w:color="auto" w:fill="1F2A44"/>
          </w:tcPr>
          <w:p>
            <w:pPr>
              <w:spacing w:after="40"/>
            </w:pPr>
            <w:r>
              <w:rPr>
                <w:b/>
                <w:color w:val="FFFFFF"/>
              </w:rPr>
            </w:r>
            <w:r>
              <w:rPr>
                <w:b/>
                <w:color w:val="FFFFFF"/>
                <w:sz w:val="16"/>
              </w:rPr>
              <w:t>Policy</w:t>
            </w:r>
          </w:p>
        </w:tc>
        <w:tc>
          <w:tcPr>
            <w:tcW w:type="dxa" w:w="2448"/>
            <w:shd w:val="clear" w:color="auto" w:fill="1F2A44"/>
          </w:tcPr>
          <w:p>
            <w:pPr>
              <w:spacing w:after="40"/>
            </w:pPr>
            <w:r>
              <w:rPr>
                <w:b/>
                <w:color w:val="FFFFFF"/>
              </w:rPr>
            </w:r>
            <w:r>
              <w:rPr>
                <w:b/>
                <w:color w:val="FFFFFF"/>
                <w:sz w:val="16"/>
              </w:rPr>
              <w:t>Effect</w:t>
            </w:r>
          </w:p>
        </w:tc>
      </w:tr>
      <w:tr>
        <w:tc>
          <w:tcPr>
            <w:tcW w:type="dxa" w:w="1584"/>
          </w:tcPr>
          <w:p>
            <w:pPr>
              <w:spacing w:after="40"/>
            </w:pPr>
            <w:r/>
            <w:r>
              <w:rPr>
                <w:sz w:val="16"/>
              </w:rPr>
              <w:t>Timing</w:t>
            </w:r>
          </w:p>
        </w:tc>
        <w:tc>
          <w:tcPr>
            <w:tcW w:type="dxa" w:w="2592"/>
          </w:tcPr>
          <w:p>
            <w:pPr>
              <w:spacing w:after="40"/>
            </w:pPr>
            <w:r/>
            <w:r>
              <w:rPr>
                <w:sz w:val="16"/>
              </w:rPr>
              <w:t>Within 30 days of written request (§ 5)</w:t>
            </w:r>
          </w:p>
        </w:tc>
        <w:tc>
          <w:tcPr>
            <w:tcW w:type="dxa" w:w="2736"/>
          </w:tcPr>
          <w:p>
            <w:pPr>
              <w:spacing w:after="40"/>
            </w:pPr>
            <w:r/>
            <w:r>
              <w:rPr>
                <w:sz w:val="16"/>
              </w:rPr>
              <w:t>Within 60 days of invoices and documentation (§ 9.3)</w:t>
            </w:r>
          </w:p>
        </w:tc>
        <w:tc>
          <w:tcPr>
            <w:tcW w:type="dxa" w:w="2448"/>
          </w:tcPr>
          <w:p>
            <w:pPr>
              <w:spacing w:after="40"/>
            </w:pPr>
            <w:r/>
            <w:r>
              <w:rPr>
                <w:sz w:val="16"/>
              </w:rPr>
              <w:t>Company floats at least 30 days of every invoice cycle; in a Side A scenario the director floats 60 days</w:t>
            </w:r>
          </w:p>
        </w:tc>
      </w:tr>
      <w:tr>
        <w:tc>
          <w:tcPr>
            <w:tcW w:type="dxa" w:w="1584"/>
          </w:tcPr>
          <w:p>
            <w:pPr>
              <w:spacing w:after="40"/>
            </w:pPr>
            <w:r/>
            <w:r>
              <w:rPr>
                <w:sz w:val="16"/>
              </w:rPr>
              <w:t>Interim allocation</w:t>
            </w:r>
          </w:p>
        </w:tc>
        <w:tc>
          <w:tcPr>
            <w:tcW w:type="dxa" w:w="2592"/>
          </w:tcPr>
          <w:p>
            <w:pPr>
              <w:spacing w:after="40"/>
            </w:pPr>
            <w:r/>
            <w:r>
              <w:rPr>
                <w:sz w:val="16"/>
              </w:rPr>
              <w:t>100% of Expenses; no standard-of-conduct condition (§ 5)</w:t>
            </w:r>
          </w:p>
        </w:tc>
        <w:tc>
          <w:tcPr>
            <w:tcW w:type="dxa" w:w="2736"/>
          </w:tcPr>
          <w:p>
            <w:pPr>
              <w:spacing w:after="40"/>
            </w:pPr>
            <w:r/>
            <w:r>
              <w:rPr>
                <w:sz w:val="16"/>
              </w:rPr>
              <w:t>70% of Defense Costs pending allocation agreement when covered and uncovered matters/parties are mixed (§ 8.3)</w:t>
            </w:r>
          </w:p>
        </w:tc>
        <w:tc>
          <w:tcPr>
            <w:tcW w:type="dxa" w:w="2448"/>
          </w:tcPr>
          <w:p>
            <w:pPr>
              <w:spacing w:after="40"/>
            </w:pPr>
            <w:r/>
            <w:r>
              <w:rPr>
                <w:sz w:val="16"/>
              </w:rPr>
              <w:t>30% of defense costs uninsured pending true-up; in Side A scenario, director pays 30%</w:t>
            </w:r>
          </w:p>
        </w:tc>
      </w:tr>
      <w:tr>
        <w:tc>
          <w:tcPr>
            <w:tcW w:type="dxa" w:w="1584"/>
          </w:tcPr>
          <w:p>
            <w:pPr>
              <w:spacing w:after="40"/>
            </w:pPr>
            <w:r/>
            <w:r>
              <w:rPr>
                <w:sz w:val="16"/>
              </w:rPr>
              <w:t>Counsel</w:t>
            </w:r>
          </w:p>
        </w:tc>
        <w:tc>
          <w:tcPr>
            <w:tcW w:type="dxa" w:w="2592"/>
          </w:tcPr>
          <w:p>
            <w:pPr>
              <w:spacing w:after="40"/>
            </w:pPr>
            <w:r/>
            <w:r>
              <w:rPr>
                <w:sz w:val="16"/>
              </w:rPr>
              <w:t>Counsel of the Indemnitee’s choice (§ 5)</w:t>
            </w:r>
          </w:p>
        </w:tc>
        <w:tc>
          <w:tcPr>
            <w:tcW w:type="dxa" w:w="2736"/>
          </w:tcPr>
          <w:p>
            <w:pPr>
              <w:spacing w:after="40"/>
            </w:pPr>
            <w:r/>
            <w:r>
              <w:rPr>
                <w:sz w:val="16"/>
              </w:rPr>
              <w:t>Insurer consent to counsel, not unreasonably withheld (§ 7.1); “reasonable and necessary” fees (§ 4.5)</w:t>
            </w:r>
          </w:p>
        </w:tc>
        <w:tc>
          <w:tcPr>
            <w:tcW w:type="dxa" w:w="2448"/>
          </w:tcPr>
          <w:p>
            <w:pPr>
              <w:spacing w:after="40"/>
            </w:pPr>
            <w:r/>
            <w:r>
              <w:rPr>
                <w:sz w:val="16"/>
              </w:rPr>
              <w:t>Rate and staffing disputes; Company pays the difference</w:t>
            </w:r>
          </w:p>
        </w:tc>
      </w:tr>
      <w:tr>
        <w:tc>
          <w:tcPr>
            <w:tcW w:type="dxa" w:w="1584"/>
          </w:tcPr>
          <w:p>
            <w:pPr>
              <w:spacing w:after="40"/>
            </w:pPr>
            <w:r/>
            <w:r>
              <w:rPr>
                <w:sz w:val="16"/>
              </w:rPr>
              <w:t>Repayment undertaking</w:t>
            </w:r>
          </w:p>
        </w:tc>
        <w:tc>
          <w:tcPr>
            <w:tcW w:type="dxa" w:w="2592"/>
          </w:tcPr>
          <w:p>
            <w:pPr>
              <w:spacing w:after="40"/>
            </w:pPr>
            <w:r/>
            <w:r>
              <w:rPr>
                <w:sz w:val="16"/>
              </w:rPr>
              <w:t>Unsecured, interest-free, only on final non-appealable determination (§ 5)</w:t>
            </w:r>
          </w:p>
        </w:tc>
        <w:tc>
          <w:tcPr>
            <w:tcW w:type="dxa" w:w="2736"/>
          </w:tcPr>
          <w:p>
            <w:pPr>
              <w:spacing w:after="40"/>
            </w:pPr>
            <w:r/>
            <w:r>
              <w:rPr>
                <w:sz w:val="16"/>
              </w:rPr>
              <w:t>Repayment on final non-appealable adjudication of non-coverage or conduct (§§ 5.1, 9.4)</w:t>
            </w:r>
          </w:p>
        </w:tc>
        <w:tc>
          <w:tcPr>
            <w:tcW w:type="dxa" w:w="2448"/>
          </w:tcPr>
          <w:p>
            <w:pPr>
              <w:spacing w:after="40"/>
            </w:pPr>
            <w:r/>
            <w:r>
              <w:rPr>
                <w:sz w:val="16"/>
              </w:rPr>
              <w:t>Aligned (strength)</w:t>
            </w:r>
          </w:p>
        </w:tc>
      </w:tr>
      <w:tr>
        <w:tc>
          <w:tcPr>
            <w:tcW w:type="dxa" w:w="1584"/>
          </w:tcPr>
          <w:p>
            <w:pPr>
              <w:spacing w:after="40"/>
            </w:pPr>
            <w:r/>
            <w:r>
              <w:rPr>
                <w:sz w:val="16"/>
              </w:rPr>
              <w:t>Independence</w:t>
            </w:r>
          </w:p>
        </w:tc>
        <w:tc>
          <w:tcPr>
            <w:tcW w:type="dxa" w:w="2592"/>
          </w:tcPr>
          <w:p>
            <w:pPr>
              <w:spacing w:after="40"/>
            </w:pPr>
            <w:r/>
            <w:r>
              <w:rPr>
                <w:sz w:val="16"/>
              </w:rPr>
              <w:t>Advancement independent of indemnification (§ 5)</w:t>
            </w:r>
          </w:p>
        </w:tc>
        <w:tc>
          <w:tcPr>
            <w:tcW w:type="dxa" w:w="2736"/>
          </w:tcPr>
          <w:p>
            <w:pPr>
              <w:spacing w:after="40"/>
            </w:pPr>
            <w:r/>
            <w:r>
              <w:rPr>
                <w:sz w:val="16"/>
              </w:rPr>
              <w:t>Insurer advancement independent of Company indemnification (§ 9.5)</w:t>
            </w:r>
          </w:p>
        </w:tc>
        <w:tc>
          <w:tcPr>
            <w:tcW w:type="dxa" w:w="2448"/>
          </w:tcPr>
          <w:p>
            <w:pPr>
              <w:spacing w:after="40"/>
            </w:pPr>
            <w:r/>
            <w:r>
              <w:rPr>
                <w:sz w:val="16"/>
              </w:rPr>
              <w:t>Aligned (strength)</w:t>
            </w:r>
          </w:p>
        </w:tc>
      </w:tr>
    </w:tbl>
    <w:p>
      <w:pPr>
        <w:spacing w:after="40"/>
      </w:pPr>
    </w:p>
    <w:p>
      <w:pPr>
        <w:jc w:val="both"/>
      </w:pPr>
      <w:r>
        <w:rPr>
          <w:b/>
        </w:rPr>
        <w:t>Recommendation.</w:t>
      </w:r>
      <w:r>
        <w:t xml:space="preserve"> Seek a 30-day advancement endorsement; an allocation endorsement providing 100% coverage of Defense Costs of Insured Persons for covered Claims (with relative-exposure allocation reserved for settlements and judgments); and a pre-approved panel or rate schedule (including Caldwell Morton &amp; Sage LLP, which defended the 2021 action) so that counsel consent is not an issue at the outset of a matter.</w:t>
      </w:r>
    </w:p>
    <w:p>
      <w:pPr>
        <w:pStyle w:val="Heading2"/>
      </w:pPr>
      <w:r>
        <w:t>Gap 9 — Settlement Consent and the Hammer Clause (Medium–High)</w:t>
      </w:r>
    </w:p>
    <w:p>
      <w:pPr>
        <w:jc w:val="both"/>
      </w:pPr>
      <w:r>
        <w:rPr>
          <w:b/>
        </w:rPr>
        <w:t>Agreement.</w:t>
      </w:r>
      <w:r>
        <w:t xml:space="preserve"> The Company need not indemnify settlements made without its consent, which may not be unreasonably withheld, and is deemed given after 30 days’ silence (§ 7(d)).</w:t>
      </w:r>
    </w:p>
    <w:p>
      <w:pPr>
        <w:jc w:val="both"/>
      </w:pPr>
      <w:r>
        <w:rPr>
          <w:b/>
        </w:rPr>
        <w:t>Policy.</w:t>
      </w:r>
      <w:r>
        <w:t xml:space="preserve"> The Insurer’s consent is required for any settlement and may be withheld if the settlement lacks a full release of all Insured Persons, imposes non-monetary obligations, involves an admission, or is funded from non-Loss sources (§ 7.2). Insureds may not admit liability or incur expense without consent (§ 7.4). A full hammer clause caps the Insurer’s liability at the recommended settlement plus Defense Costs to date if “the Named Insured or the Insured Person” refuses an Insurer-recommended settlement, with all later Loss “borne solely by the Named Insured or the Insured Person” (§ 7.3).</w:t>
      </w:r>
    </w:p>
    <w:p>
      <w:pPr>
        <w:jc w:val="both"/>
      </w:pPr>
      <w:r>
        <w:rPr>
          <w:b/>
        </w:rPr>
        <w:t>Scenarios.</w:t>
      </w:r>
      <w:r>
        <w:t xml:space="preserve"> (a) The Company consents to (or is deemed under § 7(d) to consent to) a settlement the Insurer has not approved — the Company has indemnification liability with no Side B reimbursement. (b) An independent director who believes she is blameless declines an Insurer-recommended settlement, or the Company declines on her behalf; all post-recommendation defense costs and any excess judgment are uninsured. Because § 7.3 does not distinguish between Insured Persons, one defendant’s refusal can cap coverage for all, and in a Side A context the cost falls on the directors personally.</w:t>
      </w:r>
    </w:p>
    <w:p>
      <w:pPr>
        <w:jc w:val="both"/>
      </w:pPr>
      <w:r>
        <w:rPr>
          <w:b/>
        </w:rPr>
        <w:t>Recommendation.</w:t>
      </w:r>
      <w:r>
        <w:t xml:space="preserve"> Negotiate a soft hammer (Insurer pays 80% of post-recommendation Loss), inapplicability of the hammer to Side A and to settlements requiring an admission or non-monetary undertakings by the Insured Person, and individual (not collective) application. Amend Agreement § 7(d) so that the Company will not withhold consent to a settlement solely because the Insurer has not consented, and so that the Company may not consent on the director’s behalf to any settlement that does not fully release the director or that imposes an admission or non-monetary obligation on the director.</w:t>
      </w:r>
    </w:p>
    <w:p>
      <w:pPr>
        <w:pStyle w:val="Heading2"/>
      </w:pPr>
      <w:r>
        <w:t>Gap 10 — Prior Knowledge / Prior Notice Exclusion and Limited Severability (Medium–High)</w:t>
      </w:r>
    </w:p>
    <w:p>
      <w:pPr>
        <w:jc w:val="both"/>
      </w:pPr>
      <w:r>
        <w:rPr>
          <w:b/>
        </w:rPr>
        <w:t>Policy.</w:t>
      </w:r>
      <w:r>
        <w:t xml:space="preserve"> Section 5.8 excludes Claims based on (a) Wrongful Acts before the August 15, 2016 Continuity Date; (b) facts of which “any Insured Person” had knowledge before the Continuity Date and could have foreseen would give rise to a Claim; and (c) matters noticed under any prior policy. The severability provisions (§ 11.1 and Endorsement No. 1, §§ 11.3–11.4) apply only to the Conduct Exclusion and to the Application; § 5.8(b) therefore is imputed across all Insured Persons. Interrelated Claims are deemed first made at the earliest date, and if earlier than inception, are not covered (§ 4.7).</w:t>
      </w:r>
    </w:p>
    <w:p>
      <w:pPr>
        <w:jc w:val="both"/>
      </w:pPr>
      <w:r>
        <w:rPr>
          <w:b/>
        </w:rPr>
        <w:t>Agreement.</w:t>
      </w:r>
      <w:r>
        <w:t xml:space="preserve"> Knowledge of any other director or officer is not imputed to the Indemnitee for indemnification purposes (§ 8).</w:t>
      </w:r>
    </w:p>
    <w:p>
      <w:pPr>
        <w:jc w:val="both"/>
      </w:pPr>
      <w:r>
        <w:rPr>
          <w:b/>
        </w:rPr>
        <w:t>Analysis.</w:t>
      </w:r>
      <w:r>
        <w:t xml:space="preserve"> (i) Clause (a) operates as a prior-acts exclusion for pre-2016 conduct; it is unlikely to affect the incoming directors directly but remains a Company exposure. (ii) Clause (b)’s “any Insured Person” wording means a long-tenured officer’s undisclosed pre-2016 knowledge could defeat coverage for an incoming director who knew nothing — inconsistent with the Agreement’s non-imputation principle and with the Broker Summary’s description of “full severability” (§ 5.3). (iii) Clause (c) and § 4.7 mean that any future claim related to matters already noticed — for example, the FY 2021–2022 revenue-recognition practices (2023 SEC inquiry) or the clinical-trial disclosures at issue in the 2021 derivative suit — will be excluded from this Policy and pushed back to the prior policy year in which notice was given. That is the intended operation of a claims-made program, but it means the Committee must confirm that the relevant prior-year policy limits remain substantially unimpaired and that notice was in fact given. An incoming director who is later named in an oversight claim related to those historical matters would rely on a prior-year tower purchased before she joined.</w:t>
      </w:r>
    </w:p>
    <w:p>
      <w:pPr>
        <w:jc w:val="both"/>
      </w:pPr>
      <w:r>
        <w:rPr>
          <w:b/>
        </w:rPr>
        <w:t>Recommendation.</w:t>
      </w:r>
      <w:r>
        <w:t xml:space="preserve"> Extend severability to § 5.8(b) (knowledge only of the CEO and CFO imputed for entity coverage; no imputation among Insured Persons); obtain the prior-year policies and loss runs; confirm notice and remaining limits for the 2021 and 2023 matters.</w:t>
      </w:r>
    </w:p>
    <w:p>
      <w:pPr>
        <w:pStyle w:val="Heading2"/>
      </w:pPr>
      <w:r>
        <w:t>Gap 11 — Conduct Exclusion Adjudication Venue and Lead-In (Medium)</w:t>
      </w:r>
    </w:p>
    <w:p>
      <w:pPr>
        <w:jc w:val="both"/>
      </w:pPr>
      <w:r>
        <w:t xml:space="preserve">The Conduct Exclusion (§ 5.1) is insured-favorable in requiring a final, non-appealable adjudication, but it allows that adjudication to occur “in a separate action or proceeding in a court of competent jurisdiction.” That permits the Insurer to bring a coverage declaratory action to establish fraud or personal profit even where the underlying case settles without findings. The broad lead-in (“arising out of, relating to, or in any way involving”) is also wider than the market “based upon” formulation. </w:t>
      </w:r>
      <w:r>
        <w:rPr>
          <w:b/>
        </w:rPr>
        <w:t>Recommendation:</w:t>
      </w:r>
      <w:r>
        <w:t xml:space="preserve"> limit the adjudication to the underlying action (or a proceeding brought by the Insured Person), and narrow the lead-in. The Agreement imposes its own DGCL standard of conduct (§§ 2–3) and requires no comparable change.</w:t>
      </w:r>
    </w:p>
    <w:p>
      <w:pPr>
        <w:pStyle w:val="Heading2"/>
      </w:pPr>
      <w:r>
        <w:t>Gap 12 — ERISA and Outside Entity / Enterprise Service (Medium)</w:t>
      </w:r>
    </w:p>
    <w:p>
      <w:pPr>
        <w:jc w:val="both"/>
      </w:pPr>
      <w:r>
        <w:rPr>
          <w:b/>
        </w:rPr>
        <w:t>Agreement.</w:t>
      </w:r>
      <w:r>
        <w:t xml:space="preserve"> “Enterprise” includes employee benefit plans, and service is “deemed to be at the request of the Company” where the Company owns an interest or appoints, nominates or designates the Indemnitee (§ 1(c), (e)). “Fines” include ERISA excise taxes (§ 1(g)).</w:t>
      </w:r>
    </w:p>
    <w:p>
      <w:pPr>
        <w:jc w:val="both"/>
      </w:pPr>
      <w:r>
        <w:rPr>
          <w:b/>
        </w:rPr>
        <w:t>Policy.</w:t>
      </w:r>
      <w:r>
        <w:t xml:space="preserve"> The ERISA exclusion (§ 5.4) applies to Sides B and C in full and is carved back only for Side A breach-of-fiduciary-duty claims. Outside Entity coverage requires service at the “specific written request or direction of the Company” (§ 4.1) and is excess over the Outside Entity’s insurance (§ 13.1). The Other Insurance exclusion (§ 5.6) excludes Loss covered by other specific policies (including fiduciary liability) except as excess.</w:t>
      </w:r>
    </w:p>
    <w:p>
      <w:pPr>
        <w:jc w:val="both"/>
      </w:pPr>
      <w:r>
        <w:rPr>
          <w:b/>
        </w:rPr>
        <w:t>Analysis.</w:t>
      </w:r>
      <w:r>
        <w:t xml:space="preserve"> All plan-fiduciary indemnification is uninsured under this Policy unless the Company carries a separate fiduciary liability policy. “Deemed request” service under the Agreement may not satisfy the Policy’s “specific written request” requirement. This matters for Dr. Ramaswamy and Ms. Liu-Dorsey only if they are asked to serve on a portfolio, joint-venture or non-profit board for Ferndale; their existing outside boards are not Company-requested and are properly outside both instruments (they should look to those companies’ programs). </w:t>
      </w:r>
      <w:r>
        <w:rPr>
          <w:b/>
        </w:rPr>
        <w:t>Recommendation:</w:t>
      </w:r>
      <w:r>
        <w:t xml:space="preserve"> confirm a fiduciary liability policy is in force and coordinated; adopt a standing Board resolution designating requested outside positions in writing; seek a Policy endorsement deeming service “requested” on the same terms as Agreement § 1(c).</w:t>
      </w:r>
    </w:p>
    <w:p>
      <w:pPr>
        <w:pStyle w:val="Heading2"/>
      </w:pPr>
      <w:r>
        <w:t>Gap 13 — Insolvency Mechanics (Medium)</w:t>
      </w:r>
    </w:p>
    <w:p>
      <w:pPr>
        <w:jc w:val="both"/>
      </w:pPr>
      <w:r>
        <w:t xml:space="preserve">The Order of Payments provision (§ 14; Endorsement No. 3) and Endorsement No. 2’s financial-inability trigger are strong. Neither instrument, however, addresses the bankruptcy automatic stay or the risk that a debtor or creditors argue that policy proceeds are estate property, which can delay Side A payments for months. The Agreement has no covenant requiring the Company (or a debtor in possession) to support directors’ access to Side A proceeds. </w:t>
      </w:r>
      <w:r>
        <w:rPr>
          <w:b/>
        </w:rPr>
        <w:t>Recommendation:</w:t>
      </w:r>
      <w:r>
        <w:t xml:space="preserve"> add to the Agreement a covenant that the Company will not assert that Side A proceeds are property of its estate, will consent to and seek any comfort or stay-relief order needed for the Insurer to advance and pay Insured Persons, and will cause any trustee-successor to be bound to the extent permitted. Seek a parallel Policy endorsement acknowledging that Side A proceeds are for the sole benefit of Insured Persons.</w:t>
      </w:r>
    </w:p>
    <w:p>
      <w:pPr>
        <w:pStyle w:val="Heading2"/>
      </w:pPr>
      <w:r>
        <w:t>Gap 14 — Who Is Covered: Director Nominees and Spouses (Medium)</w:t>
      </w:r>
    </w:p>
    <w:p>
      <w:pPr>
        <w:jc w:val="both"/>
      </w:pPr>
      <w:r>
        <w:t xml:space="preserve">“Insured Person” covers persons who are “duly elected or appointed” directors or officers (§ 4.1). The Agreement’s “Corporate Status” likewise requires status as a director, officer, employee or agent (§ 1(c)). Neither expressly covers the period in which a person is a </w:t>
      </w:r>
      <w:r>
        <w:rPr>
          <w:b/>
        </w:rPr>
        <w:t>director nominee</w:t>
      </w:r>
      <w:r>
        <w:t xml:space="preserve"> — for example, named in a proxy statement or (with consent) in a registration statement, which carries potential Securities Act § 11 liability. The incoming directors may be named in Company filings before formal appointment. Neither instrument covers </w:t>
      </w:r>
      <w:r>
        <w:rPr>
          <w:b/>
        </w:rPr>
        <w:t>spouses or domestic partners</w:t>
      </w:r>
      <w:r>
        <w:t xml:space="preserve"> sued solely by reason of marriage or community-property interests (the Agreement mentions spouses only as successors bound by it, § 17). </w:t>
      </w:r>
      <w:r>
        <w:rPr>
          <w:b/>
        </w:rPr>
        <w:t>Recommendation:</w:t>
      </w:r>
      <w:r>
        <w:t xml:space="preserve"> add director-nominee coverage to both instruments and add a spousal / domestic-partner extension to the Policy; date the candidates’ Agreements effective as of the earliest date they are named or consent to be named in any Company filing.</w:t>
      </w:r>
    </w:p>
    <w:p>
      <w:pPr>
        <w:pStyle w:val="Heading2"/>
      </w:pPr>
      <w:r>
        <w:t>Gap 15 — Agreement Provisions That Work Against the Indemnitee (Medium)</w:t>
      </w:r>
    </w:p>
    <w:p>
      <w:pPr>
        <w:pStyle w:val="ListBullet"/>
        <w:spacing w:after="60"/>
      </w:pPr>
      <w:r>
        <w:rPr>
          <w:b/>
        </w:rPr>
        <w:t>§ 10 (Contribution).</w:t>
      </w:r>
      <w:r>
        <w:t xml:space="preserve"> The second paragraph states that “[t]he Indemnitee’s obligation to contribute pursuant to this Section 10 shall in no event exceed” the Indemnitee’s prior-12-month compensation. The first paragraph imposes only a Company contribution obligation; the second sentence implies a reciprocal contribution obligation running from the director, and any cap measured by compensation is meaningful exposure for an independent director whose compensation is largely equity. Liu-Dorsey’s counsel can be expected to flag it. </w:t>
      </w:r>
      <w:r>
        <w:rPr>
          <w:b/>
        </w:rPr>
        <w:t>Recommendation:</w:t>
      </w:r>
      <w:r>
        <w:t xml:space="preserve"> delete the sentence or restate it as a limit on the Company’s ability to seek contribution from the Indemnitee.</w:t>
      </w:r>
    </w:p>
    <w:p>
      <w:pPr>
        <w:pStyle w:val="ListBullet"/>
        <w:spacing w:after="60"/>
      </w:pPr>
      <w:r>
        <w:rPr>
          <w:b/>
        </w:rPr>
        <w:t>§ 13 (Subrogation / settlement with insurers).</w:t>
      </w:r>
      <w:r>
        <w:t xml:space="preserve"> The Indemnitee may not settle any claim against an insurer without the Company’s consent. In a Side A situation — where the Company has refused to indemnify, is insolvent, or is the adverse party — this gives the Company a veto over the director’s direct recourse to Side A. </w:t>
      </w:r>
      <w:r>
        <w:rPr>
          <w:b/>
        </w:rPr>
        <w:t>Recommendation:</w:t>
      </w:r>
      <w:r>
        <w:t xml:space="preserve"> carve out claims under Side A or any Side A DIC policy, and any situation in which the Company has failed to advance or indemnify within the Agreement’s time periods.</w:t>
      </w:r>
    </w:p>
    <w:p>
      <w:pPr>
        <w:pStyle w:val="ListBullet"/>
        <w:spacing w:after="60"/>
      </w:pPr>
      <w:r>
        <w:rPr>
          <w:b/>
        </w:rPr>
        <w:t>§ 11(b) (Notice).</w:t>
      </w:r>
      <w:r>
        <w:t xml:space="preserve"> Only the Company is obligated to notify insurers. Policy § 6.1 permits notice by “the Named Insured or any Insured Person.” </w:t>
      </w:r>
      <w:r>
        <w:rPr>
          <w:b/>
        </w:rPr>
        <w:t>Recommendation:</w:t>
      </w:r>
      <w:r>
        <w:t xml:space="preserve"> add an acknowledgment that the Indemnitee may notify insurers directly and that the Company will provide the claims address and policy forms (already required on request under § 11(a)) on each renewal.</w:t>
      </w:r>
    </w:p>
    <w:p>
      <w:pPr>
        <w:pStyle w:val="ListBullet"/>
        <w:spacing w:after="60"/>
      </w:pPr>
      <w:r>
        <w:rPr>
          <w:b/>
        </w:rPr>
        <w:t>§ 7(d)</w:t>
      </w:r>
      <w:r>
        <w:t xml:space="preserve"> — see Gap 9. </w:t>
      </w:r>
      <w:r>
        <w:rPr>
          <w:b/>
        </w:rPr>
        <w:t>§ 3 final paragraph</w:t>
      </w:r>
      <w:r>
        <w:t xml:space="preserve"> — see Gap 3. </w:t>
      </w:r>
      <w:r>
        <w:rPr>
          <w:b/>
        </w:rPr>
        <w:t>§ 11</w:t>
      </w:r>
      <w:r>
        <w:t xml:space="preserve"> — see Gaps 1–2.</w:t>
      </w:r>
    </w:p>
    <w:p>
      <w:pPr>
        <w:pStyle w:val="Heading2"/>
      </w:pPr>
      <w:r>
        <w:t>Gap 16 — Entity Exposures Outside Side C (Medium; Company Exposure)</w:t>
      </w:r>
    </w:p>
    <w:p>
      <w:pPr>
        <w:jc w:val="both"/>
      </w:pPr>
      <w:r>
        <w:t>Side C covers the Company only for Securities Claims (§ 3). The Company bears its own costs for entity-level investigations (e.g., the Pinnacle forensic accounting engagement), derivative-demand investigations, and non-securities claims against the Company. The Insured-vs-Insured exclusion also removes the defense of Company-initiated clawback proceedings (§ 5.2 final paragraph), although the Agreement indemnifies the related Expenses (§ 7(c)). These are balance-sheet issues for the Board rather than director exposures; the entity investigation and derivative investigation sublimits recommended in Gap 5 address most of them.</w:t>
      </w:r>
    </w:p>
    <w:p>
      <w:pPr>
        <w:pStyle w:val="Heading2"/>
      </w:pPr>
      <w:r>
        <w:t>Overlaps and Consistent Exclusions</w:t>
      </w:r>
    </w:p>
    <w:p>
      <w:pPr>
        <w:jc w:val="both"/>
      </w:pPr>
      <w:r>
        <w:t>Several exclusions are deliberately aligned and require no change: Section 16(b) disgorgement is excluded under both instruments (Agreement § 7(b); Policy § 5.1(c)) while related Expenses remain indemnifiable; clawbacks under Rule 10D-1, SOX § 304 and Dodd-Frank § 954 are excluded from indemnification (Agreement § 7(c)) and compensation is excluded from Loss (Policy § 4.4(iv)), consistent with Rule 10D-1’s prohibition on indemnifying recovery of erroneously awarded compensation; and both instruments exclude Indemnitee-initiated suits against the Company or co-insureds (Agreement § 7(a); Policy § 5.2(a)), while preserving cross-claims (Policy § 5.2(iv)) and enforcement suits (Agreement §§ 7(a)(iii), 9). The Agreement’s § 12 primacy and § 9(d) no-exhaustion provisions are consistent with Side A’s operation as excess of indemnification.</w:t>
      </w:r>
    </w:p>
    <w:p>
      <w:pPr>
        <w:pStyle w:val="Heading1"/>
      </w:pPr>
      <w:r>
        <w:t>VI. Areas Where the Protections Are Strong and Well-Aligned</w:t>
      </w:r>
    </w:p>
    <w:p>
      <w:pPr>
        <w:jc w:val="both"/>
      </w:pPr>
      <w:r>
        <w:t>The following features can be represented to the candidates with confidence (subject to correction of the document-integrity issues in Section II.B):</w:t>
      </w:r>
    </w:p>
    <w:tbl>
      <w:tblPr>
        <w:tblStyle w:val="TableGrid"/>
        <w:tblW w:type="auto" w:w="0"/>
        <w:jc w:val="center"/>
        <w:tblLook w:firstColumn="1" w:firstRow="1" w:lastColumn="0" w:lastRow="0" w:noHBand="0" w:noVBand="1" w:val="04A0"/>
      </w:tblPr>
      <w:tblGrid>
        <w:gridCol w:w="3456"/>
        <w:gridCol w:w="2015"/>
        <w:gridCol w:w="3888"/>
      </w:tblGrid>
      <w:tr>
        <w:trPr>
          <w:tblHeader w:val="true"/>
        </w:trPr>
        <w:tc>
          <w:tcPr>
            <w:tcW w:type="dxa" w:w="3456"/>
            <w:shd w:val="clear" w:color="auto" w:fill="1F2A44"/>
          </w:tcPr>
          <w:p>
            <w:pPr>
              <w:spacing w:after="40"/>
            </w:pPr>
            <w:r>
              <w:rPr>
                <w:b/>
                <w:color w:val="FFFFFF"/>
              </w:rPr>
            </w:r>
            <w:r>
              <w:rPr>
                <w:b/>
                <w:color w:val="FFFFFF"/>
                <w:sz w:val="16"/>
              </w:rPr>
              <w:t>Feature</w:t>
            </w:r>
          </w:p>
        </w:tc>
        <w:tc>
          <w:tcPr>
            <w:tcW w:type="dxa" w:w="2016"/>
            <w:shd w:val="clear" w:color="auto" w:fill="1F2A44"/>
          </w:tcPr>
          <w:p>
            <w:pPr>
              <w:spacing w:after="40"/>
            </w:pPr>
            <w:r>
              <w:rPr>
                <w:b/>
                <w:color w:val="FFFFFF"/>
              </w:rPr>
            </w:r>
            <w:r>
              <w:rPr>
                <w:b/>
                <w:color w:val="FFFFFF"/>
                <w:sz w:val="16"/>
              </w:rPr>
              <w:t>Source</w:t>
            </w:r>
          </w:p>
        </w:tc>
        <w:tc>
          <w:tcPr>
            <w:tcW w:type="dxa" w:w="3888"/>
            <w:shd w:val="clear" w:color="auto" w:fill="1F2A44"/>
          </w:tcPr>
          <w:p>
            <w:pPr>
              <w:spacing w:after="40"/>
            </w:pPr>
            <w:r>
              <w:rPr>
                <w:b/>
                <w:color w:val="FFFFFF"/>
              </w:rPr>
            </w:r>
            <w:r>
              <w:rPr>
                <w:b/>
                <w:color w:val="FFFFFF"/>
                <w:sz w:val="16"/>
              </w:rPr>
              <w:t>Why it matters to an independent director</w:t>
            </w:r>
          </w:p>
        </w:tc>
      </w:tr>
      <w:tr>
        <w:tc>
          <w:tcPr>
            <w:tcW w:type="dxa" w:w="3456"/>
          </w:tcPr>
          <w:p>
            <w:pPr>
              <w:spacing w:after="40"/>
            </w:pPr>
            <w:r/>
            <w:r>
              <w:rPr>
                <w:sz w:val="16"/>
              </w:rPr>
              <w:t>Dedicated, non-eroding Side A limit; $0 retention; first priority of payment; protected from B/C erosion</w:t>
            </w:r>
          </w:p>
        </w:tc>
        <w:tc>
          <w:tcPr>
            <w:tcW w:type="dxa" w:w="2016"/>
          </w:tcPr>
          <w:p>
            <w:pPr>
              <w:spacing w:after="40"/>
            </w:pPr>
            <w:r/>
            <w:r>
              <w:rPr>
                <w:sz w:val="16"/>
              </w:rPr>
              <w:t>Policy §§ 1, 14; End. No. 3; Decl. Items 4–5</w:t>
            </w:r>
          </w:p>
        </w:tc>
        <w:tc>
          <w:tcPr>
            <w:tcW w:type="dxa" w:w="3888"/>
          </w:tcPr>
          <w:p>
            <w:pPr>
              <w:spacing w:after="40"/>
            </w:pPr>
            <w:r/>
            <w:r>
              <w:rPr>
                <w:sz w:val="16"/>
              </w:rPr>
              <w:t>The personal backstop cannot be consumed by entity securities claims or corporate reimbursement.</w:t>
            </w:r>
          </w:p>
        </w:tc>
      </w:tr>
      <w:tr>
        <w:tc>
          <w:tcPr>
            <w:tcW w:type="dxa" w:w="3456"/>
          </w:tcPr>
          <w:p>
            <w:pPr>
              <w:spacing w:after="40"/>
            </w:pPr>
            <w:r/>
            <w:r>
              <w:rPr>
                <w:sz w:val="16"/>
              </w:rPr>
              <w:t>Side A responds when the Company refuses, is unable, or is prohibited from indemnifying, including breach of an indemnification agreement; no presumptive-indemnification penalty</w:t>
            </w:r>
          </w:p>
        </w:tc>
        <w:tc>
          <w:tcPr>
            <w:tcW w:type="dxa" w:w="2016"/>
          </w:tcPr>
          <w:p>
            <w:pPr>
              <w:spacing w:after="40"/>
            </w:pPr>
            <w:r/>
            <w:r>
              <w:rPr>
                <w:sz w:val="16"/>
              </w:rPr>
              <w:t>Policy § 1; End. No. 2</w:t>
            </w:r>
          </w:p>
        </w:tc>
        <w:tc>
          <w:tcPr>
            <w:tcW w:type="dxa" w:w="3888"/>
          </w:tcPr>
          <w:p>
            <w:pPr>
              <w:spacing w:after="40"/>
            </w:pPr>
            <w:r/>
            <w:r>
              <w:rPr>
                <w:sz w:val="16"/>
              </w:rPr>
              <w:t>Closes the classic “wrongful refusal” and insolvency gaps and the retention gap; aligns with Agreement §§ 9 and 12.</w:t>
            </w:r>
          </w:p>
        </w:tc>
      </w:tr>
      <w:tr>
        <w:tc>
          <w:tcPr>
            <w:tcW w:type="dxa" w:w="3456"/>
          </w:tcPr>
          <w:p>
            <w:pPr>
              <w:spacing w:after="40"/>
            </w:pPr>
            <w:r/>
            <w:r>
              <w:rPr>
                <w:sz w:val="16"/>
              </w:rPr>
              <w:t>Side A primary over other insurance (other than personal D&amp;O)</w:t>
            </w:r>
          </w:p>
        </w:tc>
        <w:tc>
          <w:tcPr>
            <w:tcW w:type="dxa" w:w="2016"/>
          </w:tcPr>
          <w:p>
            <w:pPr>
              <w:spacing w:after="40"/>
            </w:pPr>
            <w:r/>
            <w:r>
              <w:rPr>
                <w:sz w:val="16"/>
              </w:rPr>
              <w:t>Policy § 13.2</w:t>
            </w:r>
          </w:p>
        </w:tc>
        <w:tc>
          <w:tcPr>
            <w:tcW w:type="dxa" w:w="3888"/>
          </w:tcPr>
          <w:p>
            <w:pPr>
              <w:spacing w:after="40"/>
            </w:pPr>
            <w:r/>
            <w:r>
              <w:rPr>
                <w:sz w:val="16"/>
              </w:rPr>
              <w:t>No “other insurance” delay for a director with coverage from other boards.</w:t>
            </w:r>
          </w:p>
        </w:tc>
      </w:tr>
      <w:tr>
        <w:tc>
          <w:tcPr>
            <w:tcW w:type="dxa" w:w="3456"/>
          </w:tcPr>
          <w:p>
            <w:pPr>
              <w:spacing w:after="40"/>
            </w:pPr>
            <w:r/>
            <w:r>
              <w:rPr>
                <w:sz w:val="16"/>
              </w:rPr>
              <w:t>Mandatory, unconditional advancement within 30 days on an unsecured, interest-free undertaking; independent of indemnification; counsel of choice</w:t>
            </w:r>
          </w:p>
        </w:tc>
        <w:tc>
          <w:tcPr>
            <w:tcW w:type="dxa" w:w="2016"/>
          </w:tcPr>
          <w:p>
            <w:pPr>
              <w:spacing w:after="40"/>
            </w:pPr>
            <w:r/>
            <w:r>
              <w:rPr>
                <w:sz w:val="16"/>
              </w:rPr>
              <w:t>Agreement § 5</w:t>
            </w:r>
          </w:p>
        </w:tc>
        <w:tc>
          <w:tcPr>
            <w:tcW w:type="dxa" w:w="3888"/>
          </w:tcPr>
          <w:p>
            <w:pPr>
              <w:spacing w:after="40"/>
            </w:pPr>
            <w:r/>
            <w:r>
              <w:rPr>
                <w:sz w:val="16"/>
              </w:rPr>
              <w:t>Best-in-class Delaware advancement; enforceable by specific performance (§ 15) without bond.</w:t>
            </w:r>
          </w:p>
        </w:tc>
      </w:tr>
      <w:tr>
        <w:tc>
          <w:tcPr>
            <w:tcW w:type="dxa" w:w="3456"/>
          </w:tcPr>
          <w:p>
            <w:pPr>
              <w:spacing w:after="40"/>
            </w:pPr>
            <w:r/>
            <w:r>
              <w:rPr>
                <w:sz w:val="16"/>
              </w:rPr>
              <w:t>Insurer advancement independent of Company indemnification</w:t>
            </w:r>
          </w:p>
        </w:tc>
        <w:tc>
          <w:tcPr>
            <w:tcW w:type="dxa" w:w="2016"/>
          </w:tcPr>
          <w:p>
            <w:pPr>
              <w:spacing w:after="40"/>
            </w:pPr>
            <w:r/>
            <w:r>
              <w:rPr>
                <w:sz w:val="16"/>
              </w:rPr>
              <w:t>Policy § 9.5</w:t>
            </w:r>
          </w:p>
        </w:tc>
        <w:tc>
          <w:tcPr>
            <w:tcW w:type="dxa" w:w="3888"/>
          </w:tcPr>
          <w:p>
            <w:pPr>
              <w:spacing w:after="40"/>
            </w:pPr>
            <w:r/>
            <w:r>
              <w:rPr>
                <w:sz w:val="16"/>
              </w:rPr>
              <w:t>Insurer cannot delay advancing pending Company action.</w:t>
            </w:r>
          </w:p>
        </w:tc>
      </w:tr>
      <w:tr>
        <w:tc>
          <w:tcPr>
            <w:tcW w:type="dxa" w:w="3456"/>
          </w:tcPr>
          <w:p>
            <w:pPr>
              <w:spacing w:after="40"/>
            </w:pPr>
            <w:r/>
            <w:r>
              <w:rPr>
                <w:sz w:val="16"/>
              </w:rPr>
              <w:t>Conduct exclusion only on final, non-appealable adjudication; admissions, pleas and settlements do not trigger; defense costs advanced until then</w:t>
            </w:r>
          </w:p>
        </w:tc>
        <w:tc>
          <w:tcPr>
            <w:tcW w:type="dxa" w:w="2016"/>
          </w:tcPr>
          <w:p>
            <w:pPr>
              <w:spacing w:after="40"/>
            </w:pPr>
            <w:r/>
            <w:r>
              <w:rPr>
                <w:sz w:val="16"/>
              </w:rPr>
              <w:t>Policy §§ 5.1, 9.1, 9.4</w:t>
            </w:r>
          </w:p>
        </w:tc>
        <w:tc>
          <w:tcPr>
            <w:tcW w:type="dxa" w:w="3888"/>
          </w:tcPr>
          <w:p>
            <w:pPr>
              <w:spacing w:after="40"/>
            </w:pPr>
            <w:r/>
            <w:r>
              <w:rPr>
                <w:sz w:val="16"/>
              </w:rPr>
              <w:t>Allegations of fraud do not cut off coverage (see Gap 11 on venue).</w:t>
            </w:r>
          </w:p>
        </w:tc>
      </w:tr>
      <w:tr>
        <w:tc>
          <w:tcPr>
            <w:tcW w:type="dxa" w:w="3456"/>
          </w:tcPr>
          <w:p>
            <w:pPr>
              <w:spacing w:after="40"/>
            </w:pPr>
            <w:r/>
            <w:r>
              <w:rPr>
                <w:sz w:val="16"/>
              </w:rPr>
              <w:t>Non-imputation of conduct and knowledge; application severability imputing only CEO/CFO statements; innocent-insured protection on rescission</w:t>
            </w:r>
          </w:p>
        </w:tc>
        <w:tc>
          <w:tcPr>
            <w:tcW w:type="dxa" w:w="2016"/>
          </w:tcPr>
          <w:p>
            <w:pPr>
              <w:spacing w:after="40"/>
            </w:pPr>
            <w:r/>
            <w:r>
              <w:rPr>
                <w:sz w:val="16"/>
              </w:rPr>
              <w:t>Policy § 11; End. No. 1; Agreement § 8</w:t>
            </w:r>
          </w:p>
        </w:tc>
        <w:tc>
          <w:tcPr>
            <w:tcW w:type="dxa" w:w="3888"/>
          </w:tcPr>
          <w:p>
            <w:pPr>
              <w:spacing w:after="40"/>
            </w:pPr>
            <w:r/>
            <w:r>
              <w:rPr>
                <w:sz w:val="16"/>
              </w:rPr>
              <w:t>An incoming director cannot lose coverage because of management’s misconduct or application misstatements she did not know about.</w:t>
            </w:r>
          </w:p>
        </w:tc>
      </w:tr>
      <w:tr>
        <w:tc>
          <w:tcPr>
            <w:tcW w:type="dxa" w:w="3456"/>
          </w:tcPr>
          <w:p>
            <w:pPr>
              <w:spacing w:after="40"/>
            </w:pPr>
            <w:r/>
            <w:r>
              <w:rPr>
                <w:sz w:val="16"/>
              </w:rPr>
              <w:t>Presumption of entitlement; Company burden by clear and convincing evidence; deemed approval at 60 days; Independent Counsel after Change of Control</w:t>
            </w:r>
          </w:p>
        </w:tc>
        <w:tc>
          <w:tcPr>
            <w:tcW w:type="dxa" w:w="2016"/>
          </w:tcPr>
          <w:p>
            <w:pPr>
              <w:spacing w:after="40"/>
            </w:pPr>
            <w:r/>
            <w:r>
              <w:rPr>
                <w:sz w:val="16"/>
              </w:rPr>
              <w:t>Agreement §§ 6(b)–(c), 8, 9(b)</w:t>
            </w:r>
          </w:p>
        </w:tc>
        <w:tc>
          <w:tcPr>
            <w:tcW w:type="dxa" w:w="3888"/>
          </w:tcPr>
          <w:p>
            <w:pPr>
              <w:spacing w:after="40"/>
            </w:pPr>
            <w:r/>
            <w:r>
              <w:rPr>
                <w:sz w:val="16"/>
              </w:rPr>
              <w:t>Shifts procedural leverage to the director and protects against a hostile post-transaction board.</w:t>
            </w:r>
          </w:p>
        </w:tc>
      </w:tr>
      <w:tr>
        <w:tc>
          <w:tcPr>
            <w:tcW w:type="dxa" w:w="3456"/>
          </w:tcPr>
          <w:p>
            <w:pPr>
              <w:spacing w:after="40"/>
            </w:pPr>
            <w:r/>
            <w:r>
              <w:rPr>
                <w:sz w:val="16"/>
              </w:rPr>
              <w:t>Mandatory indemnification for success “on the merits or otherwise,” including dismissal without prejudice</w:t>
            </w:r>
          </w:p>
        </w:tc>
        <w:tc>
          <w:tcPr>
            <w:tcW w:type="dxa" w:w="2016"/>
          </w:tcPr>
          <w:p>
            <w:pPr>
              <w:spacing w:after="40"/>
            </w:pPr>
            <w:r/>
            <w:r>
              <w:rPr>
                <w:sz w:val="16"/>
              </w:rPr>
              <w:t>Agreement § 6(a)</w:t>
            </w:r>
          </w:p>
        </w:tc>
        <w:tc>
          <w:tcPr>
            <w:tcW w:type="dxa" w:w="3888"/>
          </w:tcPr>
          <w:p>
            <w:pPr>
              <w:spacing w:after="40"/>
            </w:pPr>
            <w:r/>
            <w:r>
              <w:rPr>
                <w:sz w:val="16"/>
              </w:rPr>
              <w:t>Broader than the statutory minimum in § 145(c).</w:t>
            </w:r>
          </w:p>
        </w:tc>
      </w:tr>
      <w:tr>
        <w:tc>
          <w:tcPr>
            <w:tcW w:type="dxa" w:w="3456"/>
          </w:tcPr>
          <w:p>
            <w:pPr>
              <w:spacing w:after="40"/>
            </w:pPr>
            <w:r/>
            <w:r>
              <w:rPr>
                <w:sz w:val="16"/>
              </w:rPr>
              <w:t>Witness and subpoena-response Expenses without any standard-of-conduct determination</w:t>
            </w:r>
          </w:p>
        </w:tc>
        <w:tc>
          <w:tcPr>
            <w:tcW w:type="dxa" w:w="2016"/>
          </w:tcPr>
          <w:p>
            <w:pPr>
              <w:spacing w:after="40"/>
            </w:pPr>
            <w:r/>
            <w:r>
              <w:rPr>
                <w:sz w:val="16"/>
              </w:rPr>
              <w:t>Agreement § 4</w:t>
            </w:r>
          </w:p>
        </w:tc>
        <w:tc>
          <w:tcPr>
            <w:tcW w:type="dxa" w:w="3888"/>
          </w:tcPr>
          <w:p>
            <w:pPr>
              <w:spacing w:after="40"/>
            </w:pPr>
            <w:r/>
            <w:r>
              <w:rPr>
                <w:sz w:val="16"/>
              </w:rPr>
              <w:t>Covers the Company-side of the trigger gap (Gap 5).</w:t>
            </w:r>
          </w:p>
        </w:tc>
      </w:tr>
      <w:tr>
        <w:tc>
          <w:tcPr>
            <w:tcW w:type="dxa" w:w="3456"/>
          </w:tcPr>
          <w:p>
            <w:pPr>
              <w:spacing w:after="40"/>
            </w:pPr>
            <w:r/>
            <w:r>
              <w:rPr>
                <w:sz w:val="16"/>
              </w:rPr>
              <w:t>Fee-shifting for enforcement regardless of outcome unless frivolous; no exhaustion of insurance</w:t>
            </w:r>
          </w:p>
        </w:tc>
        <w:tc>
          <w:tcPr>
            <w:tcW w:type="dxa" w:w="2016"/>
          </w:tcPr>
          <w:p>
            <w:pPr>
              <w:spacing w:after="40"/>
            </w:pPr>
            <w:r/>
            <w:r>
              <w:rPr>
                <w:sz w:val="16"/>
              </w:rPr>
              <w:t>Agreement § 9(c)–(d)</w:t>
            </w:r>
          </w:p>
        </w:tc>
        <w:tc>
          <w:tcPr>
            <w:tcW w:type="dxa" w:w="3888"/>
          </w:tcPr>
          <w:p>
            <w:pPr>
              <w:spacing w:after="40"/>
            </w:pPr>
            <w:r/>
            <w:r>
              <w:rPr>
                <w:sz w:val="16"/>
              </w:rPr>
              <w:t>Director can enforce without cost risk and without first fighting the insurer.</w:t>
            </w:r>
          </w:p>
        </w:tc>
      </w:tr>
      <w:tr>
        <w:tc>
          <w:tcPr>
            <w:tcW w:type="dxa" w:w="3456"/>
          </w:tcPr>
          <w:p>
            <w:pPr>
              <w:spacing w:after="40"/>
            </w:pPr>
            <w:r/>
            <w:r>
              <w:rPr>
                <w:sz w:val="16"/>
              </w:rPr>
              <w:t>Successor assumption required; survival without time limit; non-exclusivity; most-favorable-instrument rule; no adverse amendment without consent</w:t>
            </w:r>
          </w:p>
        </w:tc>
        <w:tc>
          <w:tcPr>
            <w:tcW w:type="dxa" w:w="2016"/>
          </w:tcPr>
          <w:p>
            <w:pPr>
              <w:spacing w:after="40"/>
            </w:pPr>
            <w:r/>
            <w:r>
              <w:rPr>
                <w:sz w:val="16"/>
              </w:rPr>
              <w:t>Agreement §§ 14, 17, 18(c)–(d)</w:t>
            </w:r>
          </w:p>
        </w:tc>
        <w:tc>
          <w:tcPr>
            <w:tcW w:type="dxa" w:w="3888"/>
          </w:tcPr>
          <w:p>
            <w:pPr>
              <w:spacing w:after="40"/>
            </w:pPr>
            <w:r/>
            <w:r>
              <w:rPr>
                <w:sz w:val="16"/>
              </w:rPr>
              <w:t>Rights survive departure, death and transactions.</w:t>
            </w:r>
          </w:p>
        </w:tc>
      </w:tr>
      <w:tr>
        <w:tc>
          <w:tcPr>
            <w:tcW w:type="dxa" w:w="3456"/>
          </w:tcPr>
          <w:p>
            <w:pPr>
              <w:spacing w:after="40"/>
            </w:pPr>
            <w:r/>
            <w:r>
              <w:rPr>
                <w:sz w:val="16"/>
              </w:rPr>
              <w:t>Non-cancellable by the Insurer except for non-payment; 90-day non-renewal notice</w:t>
            </w:r>
          </w:p>
        </w:tc>
        <w:tc>
          <w:tcPr>
            <w:tcW w:type="dxa" w:w="2016"/>
          </w:tcPr>
          <w:p>
            <w:pPr>
              <w:spacing w:after="40"/>
            </w:pPr>
            <w:r/>
            <w:r>
              <w:rPr>
                <w:sz w:val="16"/>
              </w:rPr>
              <w:t>Policy §§ 16.1–16.2</w:t>
            </w:r>
          </w:p>
        </w:tc>
        <w:tc>
          <w:tcPr>
            <w:tcW w:type="dxa" w:w="3888"/>
          </w:tcPr>
          <w:p>
            <w:pPr>
              <w:spacing w:after="40"/>
            </w:pPr>
            <w:r/>
            <w:r>
              <w:rPr>
                <w:sz w:val="16"/>
              </w:rPr>
              <w:t>Coverage cannot be withdrawn mid-term after a claim emerges.</w:t>
            </w:r>
          </w:p>
        </w:tc>
      </w:tr>
      <w:tr>
        <w:tc>
          <w:tcPr>
            <w:tcW w:type="dxa" w:w="3456"/>
          </w:tcPr>
          <w:p>
            <w:pPr>
              <w:spacing w:after="40"/>
            </w:pPr>
            <w:r/>
            <w:r>
              <w:rPr>
                <w:sz w:val="16"/>
              </w:rPr>
              <w:t>Notice-prejudice rule; notice of circumstances</w:t>
            </w:r>
          </w:p>
        </w:tc>
        <w:tc>
          <w:tcPr>
            <w:tcW w:type="dxa" w:w="2016"/>
          </w:tcPr>
          <w:p>
            <w:pPr>
              <w:spacing w:after="40"/>
            </w:pPr>
            <w:r/>
            <w:r>
              <w:rPr>
                <w:sz w:val="16"/>
              </w:rPr>
              <w:t>Policy §§ 6.3–6.4</w:t>
            </w:r>
          </w:p>
        </w:tc>
        <w:tc>
          <w:tcPr>
            <w:tcW w:type="dxa" w:w="3888"/>
          </w:tcPr>
          <w:p>
            <w:pPr>
              <w:spacing w:after="40"/>
            </w:pPr>
            <w:r/>
            <w:r>
              <w:rPr>
                <w:sz w:val="16"/>
              </w:rPr>
              <w:t>Late notice is not fatal; circumstances can be locked in.</w:t>
            </w:r>
          </w:p>
        </w:tc>
      </w:tr>
      <w:tr>
        <w:tc>
          <w:tcPr>
            <w:tcW w:type="dxa" w:w="3456"/>
          </w:tcPr>
          <w:p>
            <w:pPr>
              <w:spacing w:after="40"/>
            </w:pPr>
            <w:r/>
            <w:r>
              <w:rPr>
                <w:sz w:val="16"/>
              </w:rPr>
              <w:t>Waiver of subrogation against Insured Persons</w:t>
            </w:r>
          </w:p>
        </w:tc>
        <w:tc>
          <w:tcPr>
            <w:tcW w:type="dxa" w:w="2016"/>
          </w:tcPr>
          <w:p>
            <w:pPr>
              <w:spacing w:after="40"/>
            </w:pPr>
            <w:r/>
            <w:r>
              <w:rPr>
                <w:sz w:val="16"/>
              </w:rPr>
              <w:t>Policy § 12.2; Agreement § 13</w:t>
            </w:r>
          </w:p>
        </w:tc>
        <w:tc>
          <w:tcPr>
            <w:tcW w:type="dxa" w:w="3888"/>
          </w:tcPr>
          <w:p>
            <w:pPr>
              <w:spacing w:after="40"/>
            </w:pPr>
            <w:r/>
            <w:r>
              <w:rPr>
                <w:sz w:val="16"/>
              </w:rPr>
              <w:t>No insurer recovery against directors absent adjudicated misconduct.</w:t>
            </w:r>
          </w:p>
        </w:tc>
      </w:tr>
      <w:tr>
        <w:tc>
          <w:tcPr>
            <w:tcW w:type="dxa" w:w="3456"/>
          </w:tcPr>
          <w:p>
            <w:pPr>
              <w:spacing w:after="40"/>
            </w:pPr>
            <w:r/>
            <w:r>
              <w:rPr>
                <w:sz w:val="16"/>
              </w:rPr>
              <w:t>Automatic coverage for future directors; worldwide territory; estates and legal representatives</w:t>
            </w:r>
          </w:p>
        </w:tc>
        <w:tc>
          <w:tcPr>
            <w:tcW w:type="dxa" w:w="2016"/>
          </w:tcPr>
          <w:p>
            <w:pPr>
              <w:spacing w:after="40"/>
            </w:pPr>
            <w:r/>
            <w:r>
              <w:rPr>
                <w:sz w:val="16"/>
              </w:rPr>
              <w:t>Policy §§ 4.1, 15</w:t>
            </w:r>
          </w:p>
        </w:tc>
        <w:tc>
          <w:tcPr>
            <w:tcW w:type="dxa" w:w="3888"/>
          </w:tcPr>
          <w:p>
            <w:pPr>
              <w:spacing w:after="40"/>
            </w:pPr>
            <w:r/>
            <w:r>
              <w:rPr>
                <w:sz w:val="16"/>
              </w:rPr>
              <w:t>The incoming directors are covered from appointment without notice or premium.</w:t>
            </w:r>
          </w:p>
        </w:tc>
      </w:tr>
      <w:tr>
        <w:tc>
          <w:tcPr>
            <w:tcW w:type="dxa" w:w="3456"/>
          </w:tcPr>
          <w:p>
            <w:pPr>
              <w:spacing w:after="40"/>
            </w:pPr>
            <w:r/>
            <w:r>
              <w:rPr>
                <w:sz w:val="16"/>
              </w:rPr>
              <w:t>Delaware law governs both instruments</w:t>
            </w:r>
          </w:p>
        </w:tc>
        <w:tc>
          <w:tcPr>
            <w:tcW w:type="dxa" w:w="2016"/>
          </w:tcPr>
          <w:p>
            <w:pPr>
              <w:spacing w:after="40"/>
            </w:pPr>
            <w:r/>
            <w:r>
              <w:rPr>
                <w:sz w:val="16"/>
              </w:rPr>
              <w:t>Policy § 20; Agreement § 18(a)–(b)</w:t>
            </w:r>
          </w:p>
        </w:tc>
        <w:tc>
          <w:tcPr>
            <w:tcW w:type="dxa" w:w="3888"/>
          </w:tcPr>
          <w:p>
            <w:pPr>
              <w:spacing w:after="40"/>
            </w:pPr>
            <w:r/>
            <w:r>
              <w:rPr>
                <w:sz w:val="16"/>
              </w:rPr>
              <w:t>Consistent interpretation; favorable insurability law (contrary to the Broker Summary’s statement of Connecticut law).</w:t>
            </w:r>
          </w:p>
        </w:tc>
      </w:tr>
    </w:tbl>
    <w:p>
      <w:pPr>
        <w:spacing w:after="40"/>
      </w:pPr>
    </w:p>
    <w:p>
      <w:pPr>
        <w:pStyle w:val="Heading1"/>
      </w:pPr>
      <w:r>
        <w:t>VII. The Incoming Independent Directors’ Perspective — Personal Exposure</w:t>
      </w:r>
    </w:p>
    <w:p>
      <w:pPr>
        <w:jc w:val="both"/>
      </w:pPr>
      <w:r>
        <w:t>The matrix below summarizes, for the principal claim types, whether an independent director would be protected (a) while the Company is solvent and willing to pay and (b) when it is not (insolvency, refusal, adverse Company, post-transaction). “Personal exposure” means the director could bear defense costs or loss personally.</w:t>
      </w:r>
    </w:p>
    <w:tbl>
      <w:tblPr>
        <w:tblStyle w:val="TableGrid"/>
        <w:tblW w:type="auto" w:w="0"/>
        <w:jc w:val="center"/>
        <w:tblLook w:firstColumn="1" w:firstRow="1" w:lastColumn="0" w:lastRow="0" w:noHBand="0" w:noVBand="1" w:val="04A0"/>
      </w:tblPr>
      <w:tblGrid>
        <w:gridCol w:w="2232"/>
        <w:gridCol w:w="1944"/>
        <w:gridCol w:w="1944"/>
        <w:gridCol w:w="1440"/>
        <w:gridCol w:w="1800"/>
      </w:tblGrid>
      <w:tr>
        <w:trPr>
          <w:tblHeader w:val="true"/>
        </w:trPr>
        <w:tc>
          <w:tcPr>
            <w:tcW w:type="dxa" w:w="2232"/>
            <w:shd w:val="clear" w:color="auto" w:fill="1F2A44"/>
          </w:tcPr>
          <w:p>
            <w:pPr>
              <w:spacing w:after="40"/>
            </w:pPr>
            <w:r>
              <w:rPr>
                <w:b/>
                <w:color w:val="FFFFFF"/>
              </w:rPr>
            </w:r>
            <w:r>
              <w:rPr>
                <w:b/>
                <w:color w:val="FFFFFF"/>
                <w:sz w:val="16"/>
              </w:rPr>
              <w:t>Scenario</w:t>
            </w:r>
          </w:p>
        </w:tc>
        <w:tc>
          <w:tcPr>
            <w:tcW w:type="dxa" w:w="1944"/>
            <w:shd w:val="clear" w:color="auto" w:fill="1F2A44"/>
          </w:tcPr>
          <w:p>
            <w:pPr>
              <w:spacing w:after="40"/>
            </w:pPr>
            <w:r>
              <w:rPr>
                <w:b/>
                <w:color w:val="FFFFFF"/>
              </w:rPr>
            </w:r>
            <w:r>
              <w:rPr>
                <w:b/>
                <w:color w:val="FFFFFF"/>
                <w:sz w:val="16"/>
              </w:rPr>
              <w:t>Company solvent &amp; willing</w:t>
            </w:r>
          </w:p>
        </w:tc>
        <w:tc>
          <w:tcPr>
            <w:tcW w:type="dxa" w:w="1944"/>
            <w:shd w:val="clear" w:color="auto" w:fill="1F2A44"/>
          </w:tcPr>
          <w:p>
            <w:pPr>
              <w:spacing w:after="40"/>
            </w:pPr>
            <w:r>
              <w:rPr>
                <w:b/>
                <w:color w:val="FFFFFF"/>
              </w:rPr>
            </w:r>
            <w:r>
              <w:rPr>
                <w:b/>
                <w:color w:val="FFFFFF"/>
                <w:sz w:val="16"/>
              </w:rPr>
              <w:t>Company insolvent / refuses / adverse</w:t>
            </w:r>
          </w:p>
        </w:tc>
        <w:tc>
          <w:tcPr>
            <w:tcW w:type="dxa" w:w="1440"/>
            <w:shd w:val="clear" w:color="auto" w:fill="1F2A44"/>
          </w:tcPr>
          <w:p>
            <w:pPr>
              <w:spacing w:after="40"/>
            </w:pPr>
            <w:r>
              <w:rPr>
                <w:b/>
                <w:color w:val="FFFFFF"/>
              </w:rPr>
            </w:r>
            <w:r>
              <w:rPr>
                <w:b/>
                <w:color w:val="FFFFFF"/>
                <w:sz w:val="16"/>
              </w:rPr>
              <w:t>Personal exposure today</w:t>
            </w:r>
          </w:p>
        </w:tc>
        <w:tc>
          <w:tcPr>
            <w:tcW w:type="dxa" w:w="1800"/>
            <w:shd w:val="clear" w:color="auto" w:fill="1F2A44"/>
          </w:tcPr>
          <w:p>
            <w:pPr>
              <w:spacing w:after="40"/>
            </w:pPr>
            <w:r>
              <w:rPr>
                <w:b/>
                <w:color w:val="FFFFFF"/>
              </w:rPr>
            </w:r>
            <w:r>
              <w:rPr>
                <w:b/>
                <w:color w:val="FFFFFF"/>
                <w:sz w:val="16"/>
              </w:rPr>
              <w:t>Fix</w:t>
            </w:r>
          </w:p>
        </w:tc>
      </w:tr>
      <w:tr>
        <w:tc>
          <w:tcPr>
            <w:tcW w:type="dxa" w:w="2232"/>
          </w:tcPr>
          <w:p>
            <w:pPr>
              <w:spacing w:after="40"/>
            </w:pPr>
            <w:r/>
            <w:r>
              <w:rPr>
                <w:sz w:val="16"/>
              </w:rPr>
              <w:t>Securities class action (non-clinical theory)</w:t>
            </w:r>
          </w:p>
        </w:tc>
        <w:tc>
          <w:tcPr>
            <w:tcW w:type="dxa" w:w="1944"/>
          </w:tcPr>
          <w:p>
            <w:pPr>
              <w:spacing w:after="40"/>
            </w:pPr>
            <w:r/>
            <w:r>
              <w:rPr>
                <w:sz w:val="16"/>
              </w:rPr>
              <w:t>Indemnified; Side B above $1M retention</w:t>
            </w:r>
          </w:p>
        </w:tc>
        <w:tc>
          <w:tcPr>
            <w:tcW w:type="dxa" w:w="1944"/>
          </w:tcPr>
          <w:p>
            <w:pPr>
              <w:spacing w:after="40"/>
            </w:pPr>
            <w:r/>
            <w:r>
              <w:rPr>
                <w:sz w:val="16"/>
              </w:rPr>
              <w:t>Side A (dedicated $25M)</w:t>
            </w:r>
          </w:p>
        </w:tc>
        <w:tc>
          <w:tcPr>
            <w:tcW w:type="dxa" w:w="1440"/>
          </w:tcPr>
          <w:p>
            <w:pPr>
              <w:spacing w:after="40"/>
            </w:pPr>
            <w:r/>
            <w:r>
              <w:rPr>
                <w:sz w:val="16"/>
              </w:rPr>
              <w:t>Low (limits adequacy only)</w:t>
            </w:r>
          </w:p>
        </w:tc>
        <w:tc>
          <w:tcPr>
            <w:tcW w:type="dxa" w:w="1800"/>
          </w:tcPr>
          <w:p>
            <w:pPr>
              <w:spacing w:after="40"/>
            </w:pPr>
            <w:r/>
            <w:r>
              <w:rPr>
                <w:sz w:val="16"/>
              </w:rPr>
              <w:t>Excess Side A DIC</w:t>
            </w:r>
          </w:p>
        </w:tc>
      </w:tr>
      <w:tr>
        <w:tc>
          <w:tcPr>
            <w:tcW w:type="dxa" w:w="2232"/>
          </w:tcPr>
          <w:p>
            <w:pPr>
              <w:spacing w:after="40"/>
            </w:pPr>
            <w:r/>
            <w:r>
              <w:rPr>
                <w:sz w:val="16"/>
              </w:rPr>
              <w:t>Securities or derivative suit tied to clinical-trial safety / results</w:t>
            </w:r>
          </w:p>
        </w:tc>
        <w:tc>
          <w:tcPr>
            <w:tcW w:type="dxa" w:w="1944"/>
          </w:tcPr>
          <w:p>
            <w:pPr>
              <w:spacing w:after="40"/>
            </w:pPr>
            <w:r/>
            <w:r>
              <w:rPr>
                <w:sz w:val="16"/>
              </w:rPr>
              <w:t>Indemnified; Side B reimbursement contestable under §§ 5.3, 5.7</w:t>
            </w:r>
          </w:p>
        </w:tc>
        <w:tc>
          <w:tcPr>
            <w:tcW w:type="dxa" w:w="1944"/>
          </w:tcPr>
          <w:p>
            <w:pPr>
              <w:spacing w:after="40"/>
            </w:pPr>
            <w:r/>
            <w:r>
              <w:rPr>
                <w:sz w:val="16"/>
              </w:rPr>
              <w:t>Side A contestable under the same exclusions</w:t>
            </w:r>
          </w:p>
        </w:tc>
        <w:tc>
          <w:tcPr>
            <w:tcW w:type="dxa" w:w="1440"/>
          </w:tcPr>
          <w:p>
            <w:pPr>
              <w:spacing w:after="40"/>
            </w:pPr>
            <w:r/>
            <w:r>
              <w:rPr>
                <w:b/>
                <w:sz w:val="16"/>
              </w:rPr>
              <w:t>High</w:t>
            </w:r>
            <w:r>
              <w:rPr>
                <w:sz w:val="16"/>
              </w:rPr>
              <w:t xml:space="preserve"> in insolvency</w:t>
            </w:r>
          </w:p>
        </w:tc>
        <w:tc>
          <w:tcPr>
            <w:tcW w:type="dxa" w:w="1800"/>
          </w:tcPr>
          <w:p>
            <w:pPr>
              <w:spacing w:after="40"/>
            </w:pPr>
            <w:r/>
            <w:r>
              <w:rPr>
                <w:sz w:val="16"/>
              </w:rPr>
              <w:t>Carve-backs; DIC</w:t>
            </w:r>
          </w:p>
        </w:tc>
      </w:tr>
      <w:tr>
        <w:tc>
          <w:tcPr>
            <w:tcW w:type="dxa" w:w="2232"/>
          </w:tcPr>
          <w:p>
            <w:pPr>
              <w:spacing w:after="40"/>
            </w:pPr>
            <w:r/>
            <w:r>
              <w:rPr>
                <w:sz w:val="16"/>
              </w:rPr>
              <w:t>Derivative settlement or judgment</w:t>
            </w:r>
          </w:p>
        </w:tc>
        <w:tc>
          <w:tcPr>
            <w:tcW w:type="dxa" w:w="1944"/>
          </w:tcPr>
          <w:p>
            <w:pPr>
              <w:spacing w:after="40"/>
            </w:pPr>
            <w:r/>
            <w:r>
              <w:rPr>
                <w:sz w:val="16"/>
              </w:rPr>
              <w:t>Not indemnifiable (§ 145(b)); Side A if IvI carve-back met</w:t>
            </w:r>
          </w:p>
        </w:tc>
        <w:tc>
          <w:tcPr>
            <w:tcW w:type="dxa" w:w="1944"/>
          </w:tcPr>
          <w:p>
            <w:pPr>
              <w:spacing w:after="40"/>
            </w:pPr>
            <w:r/>
            <w:r>
              <w:rPr>
                <w:sz w:val="16"/>
              </w:rPr>
              <w:t>Side A if IvI carve-back met</w:t>
            </w:r>
          </w:p>
        </w:tc>
        <w:tc>
          <w:tcPr>
            <w:tcW w:type="dxa" w:w="1440"/>
          </w:tcPr>
          <w:p>
            <w:pPr>
              <w:spacing w:after="40"/>
            </w:pPr>
            <w:r/>
            <w:r>
              <w:rPr>
                <w:b/>
                <w:sz w:val="16"/>
              </w:rPr>
              <w:t>Medium–High</w:t>
            </w:r>
            <w:r>
              <w:rPr>
                <w:sz w:val="16"/>
              </w:rPr>
              <w:t xml:space="preserve"> if any current D&amp;O participates</w:t>
            </w:r>
          </w:p>
        </w:tc>
        <w:tc>
          <w:tcPr>
            <w:tcW w:type="dxa" w:w="1800"/>
          </w:tcPr>
          <w:p>
            <w:pPr>
              <w:spacing w:after="40"/>
            </w:pPr>
            <w:r/>
            <w:r>
              <w:rPr>
                <w:sz w:val="16"/>
              </w:rPr>
              <w:t>Narrow § 5.2(i) condition</w:t>
            </w:r>
          </w:p>
        </w:tc>
      </w:tr>
      <w:tr>
        <w:tc>
          <w:tcPr>
            <w:tcW w:type="dxa" w:w="2232"/>
          </w:tcPr>
          <w:p>
            <w:pPr>
              <w:spacing w:after="40"/>
            </w:pPr>
            <w:r/>
            <w:r>
              <w:rPr>
                <w:sz w:val="16"/>
              </w:rPr>
              <w:t>Bankruptcy trustee / litigation trust claim</w:t>
            </w:r>
          </w:p>
        </w:tc>
        <w:tc>
          <w:tcPr>
            <w:tcW w:type="dxa" w:w="1944"/>
          </w:tcPr>
          <w:p>
            <w:pPr>
              <w:spacing w:after="40"/>
            </w:pPr>
            <w:r/>
            <w:r>
              <w:rPr>
                <w:sz w:val="16"/>
              </w:rPr>
              <w:t>N/A</w:t>
            </w:r>
          </w:p>
        </w:tc>
        <w:tc>
          <w:tcPr>
            <w:tcW w:type="dxa" w:w="1944"/>
          </w:tcPr>
          <w:p>
            <w:pPr>
              <w:spacing w:after="40"/>
            </w:pPr>
            <w:r/>
            <w:r>
              <w:rPr>
                <w:sz w:val="16"/>
              </w:rPr>
              <w:t>Excluded under § 5.2(a) for all Sides</w:t>
            </w:r>
          </w:p>
        </w:tc>
        <w:tc>
          <w:tcPr>
            <w:tcW w:type="dxa" w:w="1440"/>
          </w:tcPr>
          <w:p>
            <w:pPr>
              <w:spacing w:after="40"/>
            </w:pPr>
            <w:r/>
            <w:r>
              <w:rPr>
                <w:b/>
                <w:sz w:val="16"/>
              </w:rPr>
              <w:t>Very high</w:t>
            </w:r>
          </w:p>
        </w:tc>
        <w:tc>
          <w:tcPr>
            <w:tcW w:type="dxa" w:w="1800"/>
          </w:tcPr>
          <w:p>
            <w:pPr>
              <w:spacing w:after="40"/>
            </w:pPr>
            <w:r/>
            <w:r>
              <w:rPr>
                <w:sz w:val="16"/>
              </w:rPr>
              <w:t>Trustee carve-back; DIC</w:t>
            </w:r>
          </w:p>
        </w:tc>
      </w:tr>
      <w:tr>
        <w:tc>
          <w:tcPr>
            <w:tcW w:type="dxa" w:w="2232"/>
          </w:tcPr>
          <w:p>
            <w:pPr>
              <w:spacing w:after="40"/>
            </w:pPr>
            <w:r/>
            <w:r>
              <w:rPr>
                <w:sz w:val="16"/>
              </w:rPr>
              <w:t>Post-acquisition claim by acquiror-controlled Company</w:t>
            </w:r>
          </w:p>
        </w:tc>
        <w:tc>
          <w:tcPr>
            <w:tcW w:type="dxa" w:w="1944"/>
          </w:tcPr>
          <w:p>
            <w:pPr>
              <w:spacing w:after="40"/>
            </w:pPr>
            <w:r/>
            <w:r>
              <w:rPr>
                <w:sz w:val="16"/>
              </w:rPr>
              <w:t>Company is the adverse party</w:t>
            </w:r>
          </w:p>
        </w:tc>
        <w:tc>
          <w:tcPr>
            <w:tcW w:type="dxa" w:w="1944"/>
          </w:tcPr>
          <w:p>
            <w:pPr>
              <w:spacing w:after="40"/>
            </w:pPr>
            <w:r/>
            <w:r>
              <w:rPr>
                <w:sz w:val="16"/>
              </w:rPr>
              <w:t>Excluded (§ 5.2 final para.)</w:t>
            </w:r>
          </w:p>
        </w:tc>
        <w:tc>
          <w:tcPr>
            <w:tcW w:type="dxa" w:w="1440"/>
          </w:tcPr>
          <w:p>
            <w:pPr>
              <w:spacing w:after="40"/>
            </w:pPr>
            <w:r/>
            <w:r>
              <w:rPr>
                <w:b/>
                <w:sz w:val="16"/>
              </w:rPr>
              <w:t>Very high</w:t>
            </w:r>
          </w:p>
        </w:tc>
        <w:tc>
          <w:tcPr>
            <w:tcW w:type="dxa" w:w="1800"/>
          </w:tcPr>
          <w:p>
            <w:pPr>
              <w:spacing w:after="40"/>
            </w:pPr>
            <w:r/>
            <w:r>
              <w:rPr>
                <w:sz w:val="16"/>
              </w:rPr>
              <w:t>Change-in-control carve-back</w:t>
            </w:r>
          </w:p>
        </w:tc>
      </w:tr>
      <w:tr>
        <w:tc>
          <w:tcPr>
            <w:tcW w:type="dxa" w:w="2232"/>
          </w:tcPr>
          <w:p>
            <w:pPr>
              <w:spacing w:after="40"/>
            </w:pPr>
            <w:r/>
            <w:r>
              <w:rPr>
                <w:sz w:val="16"/>
              </w:rPr>
              <w:t>Post-acquisition stockholder claim (merger disclosure, pre-closing acts)</w:t>
            </w:r>
          </w:p>
        </w:tc>
        <w:tc>
          <w:tcPr>
            <w:tcW w:type="dxa" w:w="1944"/>
          </w:tcPr>
          <w:p>
            <w:pPr>
              <w:spacing w:after="40"/>
            </w:pPr>
            <w:r/>
            <w:r>
              <w:rPr>
                <w:sz w:val="16"/>
              </w:rPr>
              <w:t>Successor must indemnify (§ 17); no insurance unless tail bought</w:t>
            </w:r>
          </w:p>
        </w:tc>
        <w:tc>
          <w:tcPr>
            <w:tcW w:type="dxa" w:w="1944"/>
          </w:tcPr>
          <w:p>
            <w:pPr>
              <w:spacing w:after="40"/>
            </w:pPr>
            <w:r/>
            <w:r>
              <w:rPr>
                <w:sz w:val="16"/>
              </w:rPr>
              <w:t>No insurance</w:t>
            </w:r>
          </w:p>
        </w:tc>
        <w:tc>
          <w:tcPr>
            <w:tcW w:type="dxa" w:w="1440"/>
          </w:tcPr>
          <w:p>
            <w:pPr>
              <w:spacing w:after="40"/>
            </w:pPr>
            <w:r/>
            <w:r>
              <w:rPr>
                <w:b/>
                <w:sz w:val="16"/>
              </w:rPr>
              <w:t>High</w:t>
            </w:r>
          </w:p>
        </w:tc>
        <w:tc>
          <w:tcPr>
            <w:tcW w:type="dxa" w:w="1800"/>
          </w:tcPr>
          <w:p>
            <w:pPr>
              <w:spacing w:after="40"/>
            </w:pPr>
            <w:r/>
            <w:r>
              <w:rPr>
                <w:sz w:val="16"/>
              </w:rPr>
              <w:t>§ 11(d) tail</w:t>
            </w:r>
          </w:p>
        </w:tc>
      </w:tr>
      <w:tr>
        <w:tc>
          <w:tcPr>
            <w:tcW w:type="dxa" w:w="2232"/>
          </w:tcPr>
          <w:p>
            <w:pPr>
              <w:spacing w:after="40"/>
            </w:pPr>
            <w:r/>
            <w:r>
              <w:rPr>
                <w:sz w:val="16"/>
              </w:rPr>
              <w:t>Informal SEC inquiry / voluntary interview</w:t>
            </w:r>
          </w:p>
        </w:tc>
        <w:tc>
          <w:tcPr>
            <w:tcW w:type="dxa" w:w="1944"/>
          </w:tcPr>
          <w:p>
            <w:pPr>
              <w:spacing w:after="40"/>
            </w:pPr>
            <w:r/>
            <w:r>
              <w:rPr>
                <w:sz w:val="16"/>
              </w:rPr>
              <w:t>Advanced (§§ 4–5); uninsured</w:t>
            </w:r>
          </w:p>
        </w:tc>
        <w:tc>
          <w:tcPr>
            <w:tcW w:type="dxa" w:w="1944"/>
          </w:tcPr>
          <w:p>
            <w:pPr>
              <w:spacing w:after="40"/>
            </w:pPr>
            <w:r/>
            <w:r>
              <w:rPr>
                <w:sz w:val="16"/>
              </w:rPr>
              <w:t>Uninsured</w:t>
            </w:r>
          </w:p>
        </w:tc>
        <w:tc>
          <w:tcPr>
            <w:tcW w:type="dxa" w:w="1440"/>
          </w:tcPr>
          <w:p>
            <w:pPr>
              <w:spacing w:after="40"/>
            </w:pPr>
            <w:r/>
            <w:r>
              <w:rPr>
                <w:b/>
                <w:sz w:val="16"/>
              </w:rPr>
              <w:t>Medium</w:t>
            </w:r>
          </w:p>
        </w:tc>
        <w:tc>
          <w:tcPr>
            <w:tcW w:type="dxa" w:w="1800"/>
          </w:tcPr>
          <w:p>
            <w:pPr>
              <w:spacing w:after="40"/>
            </w:pPr>
            <w:r/>
            <w:r>
              <w:rPr>
                <w:sz w:val="16"/>
              </w:rPr>
              <w:t>Pre-claim coverage</w:t>
            </w:r>
          </w:p>
        </w:tc>
      </w:tr>
      <w:tr>
        <w:tc>
          <w:tcPr>
            <w:tcW w:type="dxa" w:w="2232"/>
          </w:tcPr>
          <w:p>
            <w:pPr>
              <w:spacing w:after="40"/>
            </w:pPr>
            <w:r/>
            <w:r>
              <w:rPr>
                <w:sz w:val="16"/>
              </w:rPr>
              <w:t>Formal SEC investigation naming the director / Wells notice</w:t>
            </w:r>
          </w:p>
        </w:tc>
        <w:tc>
          <w:tcPr>
            <w:tcW w:type="dxa" w:w="1944"/>
          </w:tcPr>
          <w:p>
            <w:pPr>
              <w:spacing w:after="40"/>
            </w:pPr>
            <w:r/>
            <w:r>
              <w:rPr>
                <w:sz w:val="16"/>
              </w:rPr>
              <w:t>Advanced; Side B</w:t>
            </w:r>
          </w:p>
        </w:tc>
        <w:tc>
          <w:tcPr>
            <w:tcW w:type="dxa" w:w="1944"/>
          </w:tcPr>
          <w:p>
            <w:pPr>
              <w:spacing w:after="40"/>
            </w:pPr>
            <w:r/>
            <w:r>
              <w:rPr>
                <w:sz w:val="16"/>
              </w:rPr>
              <w:t>Side A</w:t>
            </w:r>
          </w:p>
        </w:tc>
        <w:tc>
          <w:tcPr>
            <w:tcW w:type="dxa" w:w="1440"/>
          </w:tcPr>
          <w:p>
            <w:pPr>
              <w:spacing w:after="40"/>
            </w:pPr>
            <w:r/>
            <w:r>
              <w:rPr>
                <w:sz w:val="16"/>
              </w:rPr>
              <w:t>Low</w:t>
            </w:r>
          </w:p>
        </w:tc>
        <w:tc>
          <w:tcPr>
            <w:tcW w:type="dxa" w:w="1800"/>
          </w:tcPr>
          <w:p>
            <w:pPr>
              <w:spacing w:after="40"/>
            </w:pPr>
            <w:r/>
            <w:r>
              <w:rPr>
                <w:sz w:val="16"/>
              </w:rPr>
              <w:t>—</w:t>
            </w:r>
          </w:p>
        </w:tc>
      </w:tr>
      <w:tr>
        <w:tc>
          <w:tcPr>
            <w:tcW w:type="dxa" w:w="2232"/>
          </w:tcPr>
          <w:p>
            <w:pPr>
              <w:spacing w:after="40"/>
            </w:pPr>
            <w:r/>
            <w:r>
              <w:rPr>
                <w:sz w:val="16"/>
              </w:rPr>
              <w:t>Civil penalty</w:t>
            </w:r>
          </w:p>
        </w:tc>
        <w:tc>
          <w:tcPr>
            <w:tcW w:type="dxa" w:w="1944"/>
          </w:tcPr>
          <w:p>
            <w:pPr>
              <w:spacing w:after="40"/>
            </w:pPr>
            <w:r/>
            <w:r>
              <w:rPr>
                <w:sz w:val="16"/>
              </w:rPr>
              <w:t>Indemnifiable if standard met (subject to SEC policy); uninsured</w:t>
            </w:r>
          </w:p>
        </w:tc>
        <w:tc>
          <w:tcPr>
            <w:tcW w:type="dxa" w:w="1944"/>
          </w:tcPr>
          <w:p>
            <w:pPr>
              <w:spacing w:after="40"/>
            </w:pPr>
            <w:r/>
            <w:r>
              <w:rPr>
                <w:sz w:val="16"/>
              </w:rPr>
              <w:t>Uninsured</w:t>
            </w:r>
          </w:p>
        </w:tc>
        <w:tc>
          <w:tcPr>
            <w:tcW w:type="dxa" w:w="1440"/>
          </w:tcPr>
          <w:p>
            <w:pPr>
              <w:spacing w:after="40"/>
            </w:pPr>
            <w:r/>
            <w:r>
              <w:rPr>
                <w:b/>
                <w:sz w:val="16"/>
              </w:rPr>
              <w:t>Medium</w:t>
            </w:r>
          </w:p>
        </w:tc>
        <w:tc>
          <w:tcPr>
            <w:tcW w:type="dxa" w:w="1800"/>
          </w:tcPr>
          <w:p>
            <w:pPr>
              <w:spacing w:after="40"/>
            </w:pPr>
            <w:r/>
            <w:r>
              <w:rPr>
                <w:sz w:val="16"/>
              </w:rPr>
              <w:t>Limited; Loss endorsement</w:t>
            </w:r>
          </w:p>
        </w:tc>
      </w:tr>
      <w:tr>
        <w:tc>
          <w:tcPr>
            <w:tcW w:type="dxa" w:w="2232"/>
          </w:tcPr>
          <w:p>
            <w:pPr>
              <w:spacing w:after="40"/>
            </w:pPr>
            <w:r/>
            <w:r>
              <w:rPr>
                <w:sz w:val="16"/>
              </w:rPr>
              <w:t>ERISA fiduciary claim (if director serves a plan role)</w:t>
            </w:r>
          </w:p>
        </w:tc>
        <w:tc>
          <w:tcPr>
            <w:tcW w:type="dxa" w:w="1944"/>
          </w:tcPr>
          <w:p>
            <w:pPr>
              <w:spacing w:after="40"/>
            </w:pPr>
            <w:r/>
            <w:r>
              <w:rPr>
                <w:sz w:val="16"/>
              </w:rPr>
              <w:t>Indemnified; uninsured under Side B</w:t>
            </w:r>
          </w:p>
        </w:tc>
        <w:tc>
          <w:tcPr>
            <w:tcW w:type="dxa" w:w="1944"/>
          </w:tcPr>
          <w:p>
            <w:pPr>
              <w:spacing w:after="40"/>
            </w:pPr>
            <w:r/>
            <w:r>
              <w:rPr>
                <w:sz w:val="16"/>
              </w:rPr>
              <w:t>Side A carve-back</w:t>
            </w:r>
          </w:p>
        </w:tc>
        <w:tc>
          <w:tcPr>
            <w:tcW w:type="dxa" w:w="1440"/>
          </w:tcPr>
          <w:p>
            <w:pPr>
              <w:spacing w:after="40"/>
            </w:pPr>
            <w:r/>
            <w:r>
              <w:rPr>
                <w:sz w:val="16"/>
              </w:rPr>
              <w:t>Low–Medium</w:t>
            </w:r>
          </w:p>
        </w:tc>
        <w:tc>
          <w:tcPr>
            <w:tcW w:type="dxa" w:w="1800"/>
          </w:tcPr>
          <w:p>
            <w:pPr>
              <w:spacing w:after="40"/>
            </w:pPr>
            <w:r/>
            <w:r>
              <w:rPr>
                <w:sz w:val="16"/>
              </w:rPr>
              <w:t>Fiduciary policy</w:t>
            </w:r>
          </w:p>
        </w:tc>
      </w:tr>
      <w:tr>
        <w:tc>
          <w:tcPr>
            <w:tcW w:type="dxa" w:w="2232"/>
          </w:tcPr>
          <w:p>
            <w:pPr>
              <w:spacing w:after="40"/>
            </w:pPr>
            <w:r/>
            <w:r>
              <w:rPr>
                <w:sz w:val="16"/>
              </w:rPr>
              <w:t>Insurer-recommended settlement refused</w:t>
            </w:r>
          </w:p>
        </w:tc>
        <w:tc>
          <w:tcPr>
            <w:tcW w:type="dxa" w:w="1944"/>
          </w:tcPr>
          <w:p>
            <w:pPr>
              <w:spacing w:after="40"/>
            </w:pPr>
            <w:r/>
            <w:r>
              <w:rPr>
                <w:sz w:val="16"/>
              </w:rPr>
              <w:t>Company indemnifies excess (uninsured)</w:t>
            </w:r>
          </w:p>
        </w:tc>
        <w:tc>
          <w:tcPr>
            <w:tcW w:type="dxa" w:w="1944"/>
          </w:tcPr>
          <w:p>
            <w:pPr>
              <w:spacing w:after="40"/>
            </w:pPr>
            <w:r/>
            <w:r>
              <w:rPr>
                <w:sz w:val="16"/>
              </w:rPr>
              <w:t>Director bears post-recommendation loss</w:t>
            </w:r>
          </w:p>
        </w:tc>
        <w:tc>
          <w:tcPr>
            <w:tcW w:type="dxa" w:w="1440"/>
          </w:tcPr>
          <w:p>
            <w:pPr>
              <w:spacing w:after="40"/>
            </w:pPr>
            <w:r/>
            <w:r>
              <w:rPr>
                <w:b/>
                <w:sz w:val="16"/>
              </w:rPr>
              <w:t>Medium</w:t>
            </w:r>
          </w:p>
        </w:tc>
        <w:tc>
          <w:tcPr>
            <w:tcW w:type="dxa" w:w="1800"/>
          </w:tcPr>
          <w:p>
            <w:pPr>
              <w:spacing w:after="40"/>
            </w:pPr>
            <w:r/>
            <w:r>
              <w:rPr>
                <w:sz w:val="16"/>
              </w:rPr>
              <w:t>Soft hammer</w:t>
            </w:r>
          </w:p>
        </w:tc>
      </w:tr>
      <w:tr>
        <w:tc>
          <w:tcPr>
            <w:tcW w:type="dxa" w:w="2232"/>
          </w:tcPr>
          <w:p>
            <w:pPr>
              <w:spacing w:after="40"/>
            </w:pPr>
            <w:r/>
            <w:r>
              <w:rPr>
                <w:sz w:val="16"/>
              </w:rPr>
              <w:t>Claim after director rotates off, program renewed continuously</w:t>
            </w:r>
          </w:p>
        </w:tc>
        <w:tc>
          <w:tcPr>
            <w:tcW w:type="dxa" w:w="1944"/>
          </w:tcPr>
          <w:p>
            <w:pPr>
              <w:spacing w:after="40"/>
            </w:pPr>
            <w:r/>
            <w:r>
              <w:rPr>
                <w:sz w:val="16"/>
              </w:rPr>
              <w:t>Indemnified; covered by then-current policy</w:t>
            </w:r>
          </w:p>
        </w:tc>
        <w:tc>
          <w:tcPr>
            <w:tcW w:type="dxa" w:w="1944"/>
          </w:tcPr>
          <w:p>
            <w:pPr>
              <w:spacing w:after="40"/>
            </w:pPr>
            <w:r/>
            <w:r>
              <w:rPr>
                <w:sz w:val="16"/>
              </w:rPr>
              <w:t>Side A under then-current policy</w:t>
            </w:r>
          </w:p>
        </w:tc>
        <w:tc>
          <w:tcPr>
            <w:tcW w:type="dxa" w:w="1440"/>
          </w:tcPr>
          <w:p>
            <w:pPr>
              <w:spacing w:after="40"/>
            </w:pPr>
            <w:r/>
            <w:r>
              <w:rPr>
                <w:sz w:val="16"/>
              </w:rPr>
              <w:t>Low</w:t>
            </w:r>
          </w:p>
        </w:tc>
        <w:tc>
          <w:tcPr>
            <w:tcW w:type="dxa" w:w="1800"/>
          </w:tcPr>
          <w:p>
            <w:pPr>
              <w:spacing w:after="40"/>
            </w:pPr>
            <w:r/>
            <w:r>
              <w:rPr>
                <w:sz w:val="16"/>
              </w:rPr>
              <w:t>§ 11 continuity covenant</w:t>
            </w:r>
          </w:p>
        </w:tc>
      </w:tr>
      <w:tr>
        <w:tc>
          <w:tcPr>
            <w:tcW w:type="dxa" w:w="2232"/>
          </w:tcPr>
          <w:p>
            <w:pPr>
              <w:spacing w:after="40"/>
            </w:pPr>
            <w:r/>
            <w:r>
              <w:rPr>
                <w:sz w:val="16"/>
              </w:rPr>
              <w:t>Claim after program lapses (no renewal)</w:t>
            </w:r>
          </w:p>
        </w:tc>
        <w:tc>
          <w:tcPr>
            <w:tcW w:type="dxa" w:w="1944"/>
          </w:tcPr>
          <w:p>
            <w:pPr>
              <w:spacing w:after="40"/>
            </w:pPr>
            <w:r/>
            <w:r>
              <w:rPr>
                <w:sz w:val="16"/>
              </w:rPr>
              <w:t>Indemnified; uninsured after 24-month maximum Discovery Period</w:t>
            </w:r>
          </w:p>
        </w:tc>
        <w:tc>
          <w:tcPr>
            <w:tcW w:type="dxa" w:w="1944"/>
          </w:tcPr>
          <w:p>
            <w:pPr>
              <w:spacing w:after="40"/>
            </w:pPr>
            <w:r/>
            <w:r>
              <w:rPr>
                <w:sz w:val="16"/>
              </w:rPr>
              <w:t>No insurance</w:t>
            </w:r>
          </w:p>
        </w:tc>
        <w:tc>
          <w:tcPr>
            <w:tcW w:type="dxa" w:w="1440"/>
          </w:tcPr>
          <w:p>
            <w:pPr>
              <w:spacing w:after="40"/>
            </w:pPr>
            <w:r/>
            <w:r>
              <w:rPr>
                <w:b/>
                <w:sz w:val="16"/>
              </w:rPr>
              <w:t>High</w:t>
            </w:r>
          </w:p>
        </w:tc>
        <w:tc>
          <w:tcPr>
            <w:tcW w:type="dxa" w:w="1800"/>
          </w:tcPr>
          <w:p>
            <w:pPr>
              <w:spacing w:after="40"/>
            </w:pPr>
            <w:r/>
            <w:r>
              <w:rPr>
                <w:sz w:val="16"/>
              </w:rPr>
              <w:t>§ 11(e) lapse covenant</w:t>
            </w:r>
          </w:p>
        </w:tc>
      </w:tr>
    </w:tbl>
    <w:p>
      <w:pPr>
        <w:spacing w:after="40"/>
      </w:pPr>
    </w:p>
    <w:p>
      <w:pPr>
        <w:pStyle w:val="Heading2"/>
      </w:pPr>
      <w:r>
        <w:t>Candidate-Specific Observations</w:t>
      </w:r>
    </w:p>
    <w:p>
      <w:pPr>
        <w:pStyle w:val="ListBullet"/>
        <w:spacing w:after="60"/>
      </w:pPr>
      <w:r>
        <w:rPr>
          <w:b/>
        </w:rPr>
        <w:t>Dr. Priya Ramaswamy (former medical-device CEO).</w:t>
      </w:r>
      <w:r>
        <w:t xml:space="preserve"> She will be particularly attuned to product-safety and clinical exposures and will likely focus on Gap 4 (BI/PD and professional services exclusions applied to Side A). Her prior-company exposures are not covered by either instrument and should be addressed by that company’s run-off program; she should confirm it. If she serves on a Company-requested outside board (e.g., a portfolio or JV company), Gap 12 applies.</w:t>
      </w:r>
    </w:p>
    <w:p>
      <w:pPr>
        <w:pStyle w:val="ListBullet"/>
        <w:spacing w:after="60"/>
      </w:pPr>
      <w:r>
        <w:rPr>
          <w:b/>
        </w:rPr>
        <w:t>Thomas Kjelland (retired Fortune 500 healthcare CFO).</w:t>
      </w:r>
      <w:r>
        <w:t xml:space="preserve"> As a likely Audit Committee chair or financial expert, his principal exposures are financial-reporting claims and regulatory inquiries. Given the 2023 SEC revenue-recognition inquiry, Gaps 5 (informal inquiry trigger) and 10 (prior-notice exclusion for related matters) are most relevant. As an independent director he is not subject to SOX § 304 or (unless an executive officer) Rule 10D-1 clawbacks, so the clawback exclusions should not concern him.</w:t>
      </w:r>
    </w:p>
    <w:p>
      <w:pPr>
        <w:pStyle w:val="ListBullet"/>
        <w:spacing w:after="60"/>
      </w:pPr>
      <w:r>
        <w:rPr>
          <w:b/>
        </w:rPr>
        <w:t>Margaret Liu-Dorsey (governance academic; two other public boards).</w:t>
      </w:r>
      <w:r>
        <w:t xml:space="preserve"> Her counsel’s focus on tail coverage is well-founded (Gaps 1–2). Because she sits on other boards, Side A’s primacy (§ 13.2) is helpful; she should confirm that her other companies’ programs do not purport to be excess of Ferndale’s. Her governance expertise makes her a plausible “current director” whose engagement with a stockholder demand or whistleblower could be argued to trigger the participation condition in § 5.2(i) (Gap 3); narrowing that condition is important to her. We recommend granting her requested tail provision (Appendix B).</w:t>
      </w:r>
    </w:p>
    <w:p>
      <w:pPr>
        <w:jc w:val="both"/>
      </w:pPr>
      <w:r>
        <w:rPr>
          <w:b/>
        </w:rPr>
        <w:t>Common to all three.</w:t>
      </w:r>
      <w:r>
        <w:t xml:space="preserve"> Each will be a new director with no knowledge of historical matters; non-imputation under the Agreement (§ 8) and Policy (§ 11) is a genuine strength, but § 5.8(b) prior-knowledge imputation (Gap 10) is an exception that should be fixed. Each should receive the Policy forms and renewal terms under Agreement § 11(a) annually.</w:t>
      </w:r>
    </w:p>
    <w:p>
      <w:pPr>
        <w:pStyle w:val="Heading1"/>
      </w:pPr>
      <w:r>
        <w:t>VIII. Recommendations and Action Plan</w:t>
      </w:r>
    </w:p>
    <w:p>
      <w:pPr>
        <w:pStyle w:val="Heading2"/>
      </w:pPr>
      <w:r>
        <w:t>A. Amendments to the Form Indemnification Agreement (Before the Candidates Sign)</w:t>
      </w:r>
    </w:p>
    <w:tbl>
      <w:tblPr>
        <w:tblStyle w:val="TableGrid"/>
        <w:tblW w:type="auto" w:w="0"/>
        <w:jc w:val="center"/>
        <w:tblLook w:firstColumn="1" w:firstRow="1" w:lastColumn="0" w:lastRow="0" w:noHBand="0" w:noVBand="1" w:val="04A0"/>
      </w:tblPr>
      <w:tblGrid>
        <w:gridCol w:w="648"/>
        <w:gridCol w:w="5760"/>
        <w:gridCol w:w="1296"/>
        <w:gridCol w:w="1655"/>
      </w:tblGrid>
      <w:tr>
        <w:trPr>
          <w:tblHeader w:val="true"/>
        </w:trPr>
        <w:tc>
          <w:tcPr>
            <w:tcW w:type="dxa" w:w="648"/>
            <w:shd w:val="clear" w:color="auto" w:fill="1F2A44"/>
          </w:tcPr>
          <w:p>
            <w:pPr>
              <w:spacing w:after="40"/>
            </w:pPr>
            <w:r>
              <w:rPr>
                <w:b/>
                <w:color w:val="FFFFFF"/>
              </w:rPr>
            </w:r>
            <w:r>
              <w:rPr>
                <w:b/>
                <w:color w:val="FFFFFF"/>
                <w:sz w:val="16"/>
              </w:rPr>
              <w:t>#</w:t>
            </w:r>
          </w:p>
        </w:tc>
        <w:tc>
          <w:tcPr>
            <w:tcW w:type="dxa" w:w="5760"/>
            <w:shd w:val="clear" w:color="auto" w:fill="1F2A44"/>
          </w:tcPr>
          <w:p>
            <w:pPr>
              <w:spacing w:after="40"/>
            </w:pPr>
            <w:r>
              <w:rPr>
                <w:b/>
                <w:color w:val="FFFFFF"/>
              </w:rPr>
            </w:r>
            <w:r>
              <w:rPr>
                <w:b/>
                <w:color w:val="FFFFFF"/>
                <w:sz w:val="16"/>
              </w:rPr>
              <w:t>Amendment</w:t>
            </w:r>
          </w:p>
        </w:tc>
        <w:tc>
          <w:tcPr>
            <w:tcW w:type="dxa" w:w="1296"/>
            <w:shd w:val="clear" w:color="auto" w:fill="1F2A44"/>
          </w:tcPr>
          <w:p>
            <w:pPr>
              <w:spacing w:after="40"/>
            </w:pPr>
            <w:r>
              <w:rPr>
                <w:b/>
                <w:color w:val="FFFFFF"/>
              </w:rPr>
            </w:r>
            <w:r>
              <w:rPr>
                <w:b/>
                <w:color w:val="FFFFFF"/>
                <w:sz w:val="16"/>
              </w:rPr>
              <w:t>Addresses</w:t>
            </w:r>
          </w:p>
        </w:tc>
        <w:tc>
          <w:tcPr>
            <w:tcW w:type="dxa" w:w="1656"/>
            <w:shd w:val="clear" w:color="auto" w:fill="1F2A44"/>
          </w:tcPr>
          <w:p>
            <w:pPr>
              <w:spacing w:after="40"/>
            </w:pPr>
            <w:r>
              <w:rPr>
                <w:b/>
                <w:color w:val="FFFFFF"/>
              </w:rPr>
            </w:r>
            <w:r>
              <w:rPr>
                <w:b/>
                <w:color w:val="FFFFFF"/>
                <w:sz w:val="16"/>
              </w:rPr>
              <w:t>Priority</w:t>
            </w:r>
          </w:p>
        </w:tc>
      </w:tr>
      <w:tr>
        <w:tc>
          <w:tcPr>
            <w:tcW w:type="dxa" w:w="648"/>
          </w:tcPr>
          <w:p>
            <w:pPr>
              <w:spacing w:after="40"/>
            </w:pPr>
            <w:r/>
            <w:r>
              <w:rPr>
                <w:sz w:val="16"/>
              </w:rPr>
              <w:t>A-1</w:t>
            </w:r>
          </w:p>
        </w:tc>
        <w:tc>
          <w:tcPr>
            <w:tcW w:type="dxa" w:w="5760"/>
          </w:tcPr>
          <w:p>
            <w:pPr>
              <w:spacing w:after="40"/>
            </w:pPr>
            <w:r/>
            <w:r>
              <w:rPr>
                <w:sz w:val="16"/>
              </w:rPr>
              <w:t>Conform the corporate name throughout (and amend existing agreements with sitting directors); add “formerly known as” language if applicable.</w:t>
            </w:r>
          </w:p>
        </w:tc>
        <w:tc>
          <w:tcPr>
            <w:tcW w:type="dxa" w:w="1296"/>
          </w:tcPr>
          <w:p>
            <w:pPr>
              <w:spacing w:after="40"/>
            </w:pPr>
            <w:r/>
            <w:r>
              <w:rPr>
                <w:sz w:val="16"/>
              </w:rPr>
              <w:t>II.B</w:t>
            </w:r>
          </w:p>
        </w:tc>
        <w:tc>
          <w:tcPr>
            <w:tcW w:type="dxa" w:w="1656"/>
          </w:tcPr>
          <w:p>
            <w:pPr>
              <w:spacing w:after="40"/>
            </w:pPr>
            <w:r/>
            <w:r>
              <w:rPr>
                <w:sz w:val="16"/>
              </w:rPr>
              <w:t>Immediate</w:t>
            </w:r>
          </w:p>
        </w:tc>
      </w:tr>
      <w:tr>
        <w:tc>
          <w:tcPr>
            <w:tcW w:type="dxa" w:w="648"/>
          </w:tcPr>
          <w:p>
            <w:pPr>
              <w:spacing w:after="40"/>
            </w:pPr>
            <w:r/>
            <w:r>
              <w:rPr>
                <w:sz w:val="16"/>
              </w:rPr>
              <w:t>A-2</w:t>
            </w:r>
          </w:p>
        </w:tc>
        <w:tc>
          <w:tcPr>
            <w:tcW w:type="dxa" w:w="5760"/>
          </w:tcPr>
          <w:p>
            <w:pPr>
              <w:spacing w:after="40"/>
            </w:pPr>
            <w:r/>
            <w:r>
              <w:rPr>
                <w:sz w:val="16"/>
              </w:rPr>
              <w:t>New § 11(d): mandatory six-year prepaid change-of-control tail; terms no less favorable; includes Side A / DIC; 300% aggregate premium cap with best-available fallback; may be satisfied by acquiror covenant with third-party-beneficiary rights; non-cancellable; binding on successors (Appendix B).</w:t>
            </w:r>
          </w:p>
        </w:tc>
        <w:tc>
          <w:tcPr>
            <w:tcW w:type="dxa" w:w="1296"/>
          </w:tcPr>
          <w:p>
            <w:pPr>
              <w:spacing w:after="40"/>
            </w:pPr>
            <w:r/>
            <w:r>
              <w:rPr>
                <w:sz w:val="16"/>
              </w:rPr>
              <w:t>Gap 1</w:t>
            </w:r>
          </w:p>
        </w:tc>
        <w:tc>
          <w:tcPr>
            <w:tcW w:type="dxa" w:w="1656"/>
          </w:tcPr>
          <w:p>
            <w:pPr>
              <w:spacing w:after="40"/>
            </w:pPr>
            <w:r/>
            <w:r>
              <w:rPr>
                <w:sz w:val="16"/>
              </w:rPr>
              <w:t>Immediate</w:t>
            </w:r>
          </w:p>
        </w:tc>
      </w:tr>
      <w:tr>
        <w:tc>
          <w:tcPr>
            <w:tcW w:type="dxa" w:w="648"/>
          </w:tcPr>
          <w:p>
            <w:pPr>
              <w:spacing w:after="40"/>
            </w:pPr>
            <w:r/>
            <w:r>
              <w:rPr>
                <w:sz w:val="16"/>
              </w:rPr>
              <w:t>A-3</w:t>
            </w:r>
          </w:p>
        </w:tc>
        <w:tc>
          <w:tcPr>
            <w:tcW w:type="dxa" w:w="5760"/>
          </w:tcPr>
          <w:p>
            <w:pPr>
              <w:spacing w:after="40"/>
            </w:pPr>
            <w:r/>
            <w:r>
              <w:rPr>
                <w:sz w:val="16"/>
              </w:rPr>
              <w:t>New § 11(e): on lapse without replacement, purchase longest available Discovery Period within the election window and pursue up to six-year run-off within the cap; former directors may require the election.</w:t>
            </w:r>
          </w:p>
        </w:tc>
        <w:tc>
          <w:tcPr>
            <w:tcW w:type="dxa" w:w="1296"/>
          </w:tcPr>
          <w:p>
            <w:pPr>
              <w:spacing w:after="40"/>
            </w:pPr>
            <w:r/>
            <w:r>
              <w:rPr>
                <w:sz w:val="16"/>
              </w:rPr>
              <w:t>Gap 2</w:t>
            </w:r>
          </w:p>
        </w:tc>
        <w:tc>
          <w:tcPr>
            <w:tcW w:type="dxa" w:w="1656"/>
          </w:tcPr>
          <w:p>
            <w:pPr>
              <w:spacing w:after="40"/>
            </w:pPr>
            <w:r/>
            <w:r>
              <w:rPr>
                <w:sz w:val="16"/>
              </w:rPr>
              <w:t>Immediate</w:t>
            </w:r>
          </w:p>
        </w:tc>
      </w:tr>
      <w:tr>
        <w:tc>
          <w:tcPr>
            <w:tcW w:type="dxa" w:w="648"/>
          </w:tcPr>
          <w:p>
            <w:pPr>
              <w:spacing w:after="40"/>
            </w:pPr>
            <w:r/>
            <w:r>
              <w:rPr>
                <w:sz w:val="16"/>
              </w:rPr>
              <w:t>A-4</w:t>
            </w:r>
          </w:p>
        </w:tc>
        <w:tc>
          <w:tcPr>
            <w:tcW w:type="dxa" w:w="5760"/>
          </w:tcPr>
          <w:p>
            <w:pPr>
              <w:spacing w:after="40"/>
            </w:pPr>
            <w:r/>
            <w:r>
              <w:rPr>
                <w:sz w:val="16"/>
              </w:rPr>
              <w:t>Strengthen § 11(a)/(c): maintain at least current Side A limits and Continuity Date; no new prior-acts or specific-matter exclusions applicable to the Indemnitee without notice; 60 days’ advance notice of any anticipated non-renewal; 10 business days’ notice of any Insurer non-renewal notice; annual delivery of policy forms.</w:t>
            </w:r>
          </w:p>
        </w:tc>
        <w:tc>
          <w:tcPr>
            <w:tcW w:type="dxa" w:w="1296"/>
          </w:tcPr>
          <w:p>
            <w:pPr>
              <w:spacing w:after="40"/>
            </w:pPr>
            <w:r/>
            <w:r>
              <w:rPr>
                <w:sz w:val="16"/>
              </w:rPr>
              <w:t>Gap 2</w:t>
            </w:r>
          </w:p>
        </w:tc>
        <w:tc>
          <w:tcPr>
            <w:tcW w:type="dxa" w:w="1656"/>
          </w:tcPr>
          <w:p>
            <w:pPr>
              <w:spacing w:after="40"/>
            </w:pPr>
            <w:r/>
            <w:r>
              <w:rPr>
                <w:sz w:val="16"/>
              </w:rPr>
              <w:t>Immediate</w:t>
            </w:r>
          </w:p>
        </w:tc>
      </w:tr>
      <w:tr>
        <w:tc>
          <w:tcPr>
            <w:tcW w:type="dxa" w:w="648"/>
          </w:tcPr>
          <w:p>
            <w:pPr>
              <w:spacing w:after="40"/>
            </w:pPr>
            <w:r/>
            <w:r>
              <w:rPr>
                <w:sz w:val="16"/>
              </w:rPr>
              <w:t>A-5</w:t>
            </w:r>
          </w:p>
        </w:tc>
        <w:tc>
          <w:tcPr>
            <w:tcW w:type="dxa" w:w="5760"/>
          </w:tcPr>
          <w:p>
            <w:pPr>
              <w:spacing w:after="40"/>
            </w:pPr>
            <w:r/>
            <w:r>
              <w:rPr>
                <w:sz w:val="16"/>
              </w:rPr>
              <w:t>New insolvency cooperation covenant (Side A proceeds not estate property; stay-relief cooperation).</w:t>
            </w:r>
          </w:p>
        </w:tc>
        <w:tc>
          <w:tcPr>
            <w:tcW w:type="dxa" w:w="1296"/>
          </w:tcPr>
          <w:p>
            <w:pPr>
              <w:spacing w:after="40"/>
            </w:pPr>
            <w:r/>
            <w:r>
              <w:rPr>
                <w:sz w:val="16"/>
              </w:rPr>
              <w:t>Gap 13</w:t>
            </w:r>
          </w:p>
        </w:tc>
        <w:tc>
          <w:tcPr>
            <w:tcW w:type="dxa" w:w="1656"/>
          </w:tcPr>
          <w:p>
            <w:pPr>
              <w:spacing w:after="40"/>
            </w:pPr>
            <w:r/>
            <w:r>
              <w:rPr>
                <w:sz w:val="16"/>
              </w:rPr>
              <w:t>Immediate</w:t>
            </w:r>
          </w:p>
        </w:tc>
      </w:tr>
      <w:tr>
        <w:tc>
          <w:tcPr>
            <w:tcW w:type="dxa" w:w="648"/>
          </w:tcPr>
          <w:p>
            <w:pPr>
              <w:spacing w:after="40"/>
            </w:pPr>
            <w:r/>
            <w:r>
              <w:rPr>
                <w:sz w:val="16"/>
              </w:rPr>
              <w:t>A-6</w:t>
            </w:r>
          </w:p>
        </w:tc>
        <w:tc>
          <w:tcPr>
            <w:tcW w:type="dxa" w:w="5760"/>
          </w:tcPr>
          <w:p>
            <w:pPr>
              <w:spacing w:after="40"/>
            </w:pPr>
            <w:r/>
            <w:r>
              <w:rPr>
                <w:sz w:val="16"/>
              </w:rPr>
              <w:t>Revise § 10 second paragraph to eliminate any implied Indemnitee contribution obligation.</w:t>
            </w:r>
          </w:p>
        </w:tc>
        <w:tc>
          <w:tcPr>
            <w:tcW w:type="dxa" w:w="1296"/>
          </w:tcPr>
          <w:p>
            <w:pPr>
              <w:spacing w:after="40"/>
            </w:pPr>
            <w:r/>
            <w:r>
              <w:rPr>
                <w:sz w:val="16"/>
              </w:rPr>
              <w:t>Gap 15</w:t>
            </w:r>
          </w:p>
        </w:tc>
        <w:tc>
          <w:tcPr>
            <w:tcW w:type="dxa" w:w="1656"/>
          </w:tcPr>
          <w:p>
            <w:pPr>
              <w:spacing w:after="40"/>
            </w:pPr>
            <w:r/>
            <w:r>
              <w:rPr>
                <w:sz w:val="16"/>
              </w:rPr>
              <w:t>Immediate</w:t>
            </w:r>
          </w:p>
        </w:tc>
      </w:tr>
      <w:tr>
        <w:tc>
          <w:tcPr>
            <w:tcW w:type="dxa" w:w="648"/>
          </w:tcPr>
          <w:p>
            <w:pPr>
              <w:spacing w:after="40"/>
            </w:pPr>
            <w:r/>
            <w:r>
              <w:rPr>
                <w:sz w:val="16"/>
              </w:rPr>
              <w:t>A-7</w:t>
            </w:r>
          </w:p>
        </w:tc>
        <w:tc>
          <w:tcPr>
            <w:tcW w:type="dxa" w:w="5760"/>
          </w:tcPr>
          <w:p>
            <w:pPr>
              <w:spacing w:after="40"/>
            </w:pPr>
            <w:r/>
            <w:r>
              <w:rPr>
                <w:sz w:val="16"/>
              </w:rPr>
              <w:t>Carve out Side A / DIC recoveries from the § 13 consent requirement where the Company has failed to indemnify, is insolvent or is adverse.</w:t>
            </w:r>
          </w:p>
        </w:tc>
        <w:tc>
          <w:tcPr>
            <w:tcW w:type="dxa" w:w="1296"/>
          </w:tcPr>
          <w:p>
            <w:pPr>
              <w:spacing w:after="40"/>
            </w:pPr>
            <w:r/>
            <w:r>
              <w:rPr>
                <w:sz w:val="16"/>
              </w:rPr>
              <w:t>Gap 15</w:t>
            </w:r>
          </w:p>
        </w:tc>
        <w:tc>
          <w:tcPr>
            <w:tcW w:type="dxa" w:w="1656"/>
          </w:tcPr>
          <w:p>
            <w:pPr>
              <w:spacing w:after="40"/>
            </w:pPr>
            <w:r/>
            <w:r>
              <w:rPr>
                <w:sz w:val="16"/>
              </w:rPr>
              <w:t>Immediate</w:t>
            </w:r>
          </w:p>
        </w:tc>
      </w:tr>
      <w:tr>
        <w:tc>
          <w:tcPr>
            <w:tcW w:type="dxa" w:w="648"/>
          </w:tcPr>
          <w:p>
            <w:pPr>
              <w:spacing w:after="40"/>
            </w:pPr>
            <w:r/>
            <w:r>
              <w:rPr>
                <w:sz w:val="16"/>
              </w:rPr>
              <w:t>A-8</w:t>
            </w:r>
          </w:p>
        </w:tc>
        <w:tc>
          <w:tcPr>
            <w:tcW w:type="dxa" w:w="5760"/>
          </w:tcPr>
          <w:p>
            <w:pPr>
              <w:spacing w:after="40"/>
            </w:pPr>
            <w:r/>
            <w:r>
              <w:rPr>
                <w:sz w:val="16"/>
              </w:rPr>
              <w:t>Revise § 7(d): no withholding of consent solely for lack of insurer consent; no Company consent on the director’s behalf to settlements lacking a full release or imposing admissions/non-monetary terms.</w:t>
            </w:r>
          </w:p>
        </w:tc>
        <w:tc>
          <w:tcPr>
            <w:tcW w:type="dxa" w:w="1296"/>
          </w:tcPr>
          <w:p>
            <w:pPr>
              <w:spacing w:after="40"/>
            </w:pPr>
            <w:r/>
            <w:r>
              <w:rPr>
                <w:sz w:val="16"/>
              </w:rPr>
              <w:t>Gap 9</w:t>
            </w:r>
          </w:p>
        </w:tc>
        <w:tc>
          <w:tcPr>
            <w:tcW w:type="dxa" w:w="1656"/>
          </w:tcPr>
          <w:p>
            <w:pPr>
              <w:spacing w:after="40"/>
            </w:pPr>
            <w:r/>
            <w:r>
              <w:rPr>
                <w:sz w:val="16"/>
              </w:rPr>
              <w:t>Immediate</w:t>
            </w:r>
          </w:p>
        </w:tc>
      </w:tr>
      <w:tr>
        <w:tc>
          <w:tcPr>
            <w:tcW w:type="dxa" w:w="648"/>
          </w:tcPr>
          <w:p>
            <w:pPr>
              <w:spacing w:after="40"/>
            </w:pPr>
            <w:r/>
            <w:r>
              <w:rPr>
                <w:sz w:val="16"/>
              </w:rPr>
              <w:t>A-9</w:t>
            </w:r>
          </w:p>
        </w:tc>
        <w:tc>
          <w:tcPr>
            <w:tcW w:type="dxa" w:w="5760"/>
          </w:tcPr>
          <w:p>
            <w:pPr>
              <w:spacing w:after="40"/>
            </w:pPr>
            <w:r/>
            <w:r>
              <w:rPr>
                <w:sz w:val="16"/>
              </w:rPr>
              <w:t>Revise § 3 final paragraph (direct Company claims) to reflect § 145(b) limits and add cooperation/no-opposition to court applications and Side A access.</w:t>
            </w:r>
          </w:p>
        </w:tc>
        <w:tc>
          <w:tcPr>
            <w:tcW w:type="dxa" w:w="1296"/>
          </w:tcPr>
          <w:p>
            <w:pPr>
              <w:spacing w:after="40"/>
            </w:pPr>
            <w:r/>
            <w:r>
              <w:rPr>
                <w:sz w:val="16"/>
              </w:rPr>
              <w:t>Gap 3</w:t>
            </w:r>
          </w:p>
        </w:tc>
        <w:tc>
          <w:tcPr>
            <w:tcW w:type="dxa" w:w="1656"/>
          </w:tcPr>
          <w:p>
            <w:pPr>
              <w:spacing w:after="40"/>
            </w:pPr>
            <w:r/>
            <w:r>
              <w:rPr>
                <w:sz w:val="16"/>
              </w:rPr>
              <w:t>Immediate</w:t>
            </w:r>
          </w:p>
        </w:tc>
      </w:tr>
      <w:tr>
        <w:tc>
          <w:tcPr>
            <w:tcW w:type="dxa" w:w="648"/>
          </w:tcPr>
          <w:p>
            <w:pPr>
              <w:spacing w:after="40"/>
            </w:pPr>
            <w:r/>
            <w:r>
              <w:rPr>
                <w:sz w:val="16"/>
              </w:rPr>
              <w:t>A-10</w:t>
            </w:r>
          </w:p>
        </w:tc>
        <w:tc>
          <w:tcPr>
            <w:tcW w:type="dxa" w:w="5760"/>
          </w:tcPr>
          <w:p>
            <w:pPr>
              <w:spacing w:after="40"/>
            </w:pPr>
            <w:r/>
            <w:r>
              <w:rPr>
                <w:sz w:val="16"/>
              </w:rPr>
              <w:t>Extend “Corporate Status” to director-nominee status; confirm Indemnitee may notify insurers directly.</w:t>
            </w:r>
          </w:p>
        </w:tc>
        <w:tc>
          <w:tcPr>
            <w:tcW w:type="dxa" w:w="1296"/>
          </w:tcPr>
          <w:p>
            <w:pPr>
              <w:spacing w:after="40"/>
            </w:pPr>
            <w:r/>
            <w:r>
              <w:rPr>
                <w:sz w:val="16"/>
              </w:rPr>
              <w:t>Gaps 14, 15</w:t>
            </w:r>
          </w:p>
        </w:tc>
        <w:tc>
          <w:tcPr>
            <w:tcW w:type="dxa" w:w="1656"/>
          </w:tcPr>
          <w:p>
            <w:pPr>
              <w:spacing w:after="40"/>
            </w:pPr>
            <w:r/>
            <w:r>
              <w:rPr>
                <w:sz w:val="16"/>
              </w:rPr>
              <w:t>Immediate</w:t>
            </w:r>
          </w:p>
        </w:tc>
      </w:tr>
    </w:tbl>
    <w:p>
      <w:pPr>
        <w:spacing w:after="40"/>
      </w:pPr>
    </w:p>
    <w:p>
      <w:pPr>
        <w:pStyle w:val="Heading2"/>
      </w:pPr>
      <w:r>
        <w:t>B. Policy Endorsements (Mid-Term Where Available; Otherwise Bind at January 1, 2026 Renewal)</w:t>
      </w:r>
    </w:p>
    <w:tbl>
      <w:tblPr>
        <w:tblStyle w:val="TableGrid"/>
        <w:tblW w:type="auto" w:w="0"/>
        <w:jc w:val="center"/>
        <w:tblLook w:firstColumn="1" w:firstRow="1" w:lastColumn="0" w:lastRow="0" w:noHBand="0" w:noVBand="1" w:val="04A0"/>
      </w:tblPr>
      <w:tblGrid>
        <w:gridCol w:w="648"/>
        <w:gridCol w:w="5760"/>
        <w:gridCol w:w="1296"/>
        <w:gridCol w:w="1655"/>
      </w:tblGrid>
      <w:tr>
        <w:trPr>
          <w:tblHeader w:val="true"/>
        </w:trPr>
        <w:tc>
          <w:tcPr>
            <w:tcW w:type="dxa" w:w="648"/>
            <w:shd w:val="clear" w:color="auto" w:fill="1F2A44"/>
          </w:tcPr>
          <w:p>
            <w:pPr>
              <w:spacing w:after="40"/>
            </w:pPr>
            <w:r>
              <w:rPr>
                <w:b/>
                <w:color w:val="FFFFFF"/>
              </w:rPr>
            </w:r>
            <w:r>
              <w:rPr>
                <w:b/>
                <w:color w:val="FFFFFF"/>
                <w:sz w:val="16"/>
              </w:rPr>
              <w:t>#</w:t>
            </w:r>
          </w:p>
        </w:tc>
        <w:tc>
          <w:tcPr>
            <w:tcW w:type="dxa" w:w="5760"/>
            <w:shd w:val="clear" w:color="auto" w:fill="1F2A44"/>
          </w:tcPr>
          <w:p>
            <w:pPr>
              <w:spacing w:after="40"/>
            </w:pPr>
            <w:r>
              <w:rPr>
                <w:b/>
                <w:color w:val="FFFFFF"/>
              </w:rPr>
            </w:r>
            <w:r>
              <w:rPr>
                <w:b/>
                <w:color w:val="FFFFFF"/>
                <w:sz w:val="16"/>
              </w:rPr>
              <w:t>Endorsement</w:t>
            </w:r>
          </w:p>
        </w:tc>
        <w:tc>
          <w:tcPr>
            <w:tcW w:type="dxa" w:w="1296"/>
            <w:shd w:val="clear" w:color="auto" w:fill="1F2A44"/>
          </w:tcPr>
          <w:p>
            <w:pPr>
              <w:spacing w:after="40"/>
            </w:pPr>
            <w:r>
              <w:rPr>
                <w:b/>
                <w:color w:val="FFFFFF"/>
              </w:rPr>
            </w:r>
            <w:r>
              <w:rPr>
                <w:b/>
                <w:color w:val="FFFFFF"/>
                <w:sz w:val="16"/>
              </w:rPr>
              <w:t>Addresses</w:t>
            </w:r>
          </w:p>
        </w:tc>
        <w:tc>
          <w:tcPr>
            <w:tcW w:type="dxa" w:w="1656"/>
            <w:shd w:val="clear" w:color="auto" w:fill="1F2A44"/>
          </w:tcPr>
          <w:p>
            <w:pPr>
              <w:spacing w:after="40"/>
            </w:pPr>
            <w:r>
              <w:rPr>
                <w:b/>
                <w:color w:val="FFFFFF"/>
              </w:rPr>
            </w:r>
            <w:r>
              <w:rPr>
                <w:b/>
                <w:color w:val="FFFFFF"/>
                <w:sz w:val="16"/>
              </w:rPr>
              <w:t>Timing</w:t>
            </w:r>
          </w:p>
        </w:tc>
      </w:tr>
      <w:tr>
        <w:tc>
          <w:tcPr>
            <w:tcW w:type="dxa" w:w="648"/>
          </w:tcPr>
          <w:p>
            <w:pPr>
              <w:spacing w:after="40"/>
            </w:pPr>
            <w:r/>
            <w:r>
              <w:rPr>
                <w:sz w:val="16"/>
              </w:rPr>
              <w:t>B-1</w:t>
            </w:r>
          </w:p>
        </w:tc>
        <w:tc>
          <w:tcPr>
            <w:tcW w:type="dxa" w:w="5760"/>
          </w:tcPr>
          <w:p>
            <w:pPr>
              <w:spacing w:after="40"/>
            </w:pPr>
            <w:r/>
            <w:r>
              <w:rPr>
                <w:sz w:val="16"/>
              </w:rPr>
              <w:t>Corrective endorsement: issuing insurer identity (Ridgemont vs. Oakvale), NAIC number and rating; Named Insured including any former names.</w:t>
            </w:r>
          </w:p>
        </w:tc>
        <w:tc>
          <w:tcPr>
            <w:tcW w:type="dxa" w:w="1296"/>
          </w:tcPr>
          <w:p>
            <w:pPr>
              <w:spacing w:after="40"/>
            </w:pPr>
            <w:r/>
            <w:r>
              <w:rPr>
                <w:sz w:val="16"/>
              </w:rPr>
              <w:t>II.B</w:t>
            </w:r>
          </w:p>
        </w:tc>
        <w:tc>
          <w:tcPr>
            <w:tcW w:type="dxa" w:w="1656"/>
          </w:tcPr>
          <w:p>
            <w:pPr>
              <w:spacing w:after="40"/>
            </w:pPr>
            <w:r/>
            <w:r>
              <w:rPr>
                <w:sz w:val="16"/>
              </w:rPr>
              <w:t>Now</w:t>
            </w:r>
          </w:p>
        </w:tc>
      </w:tr>
      <w:tr>
        <w:tc>
          <w:tcPr>
            <w:tcW w:type="dxa" w:w="648"/>
          </w:tcPr>
          <w:p>
            <w:pPr>
              <w:spacing w:after="40"/>
            </w:pPr>
            <w:r/>
            <w:r>
              <w:rPr>
                <w:sz w:val="16"/>
              </w:rPr>
              <w:t>B-2</w:t>
            </w:r>
          </w:p>
        </w:tc>
        <w:tc>
          <w:tcPr>
            <w:tcW w:type="dxa" w:w="5760"/>
          </w:tcPr>
          <w:p>
            <w:pPr>
              <w:spacing w:after="40"/>
            </w:pPr>
            <w:r/>
            <w:r>
              <w:rPr>
                <w:sz w:val="16"/>
              </w:rPr>
              <w:t>Change-in-control run-off: automatic run-off on transaction; option to purchase six-year run-off at pre-agreed premium; Discovery Period available on Company non-renewal; delete § 10.4(a) and (d) as applied to run-off; 60-day election window; Insured Persons may elect if Named Insured does not; reinstated or separate aggregate for run-off.</w:t>
            </w:r>
          </w:p>
        </w:tc>
        <w:tc>
          <w:tcPr>
            <w:tcW w:type="dxa" w:w="1296"/>
          </w:tcPr>
          <w:p>
            <w:pPr>
              <w:spacing w:after="40"/>
            </w:pPr>
            <w:r/>
            <w:r>
              <w:rPr>
                <w:sz w:val="16"/>
              </w:rPr>
              <w:t>Gaps 1–2</w:t>
            </w:r>
          </w:p>
        </w:tc>
        <w:tc>
          <w:tcPr>
            <w:tcW w:type="dxa" w:w="1656"/>
          </w:tcPr>
          <w:p>
            <w:pPr>
              <w:spacing w:after="40"/>
            </w:pPr>
            <w:r/>
            <w:r>
              <w:rPr>
                <w:sz w:val="16"/>
              </w:rPr>
              <w:t>Renewal (begin Sept. 2025)</w:t>
            </w:r>
          </w:p>
        </w:tc>
      </w:tr>
      <w:tr>
        <w:tc>
          <w:tcPr>
            <w:tcW w:type="dxa" w:w="648"/>
          </w:tcPr>
          <w:p>
            <w:pPr>
              <w:spacing w:after="40"/>
            </w:pPr>
            <w:r/>
            <w:r>
              <w:rPr>
                <w:sz w:val="16"/>
              </w:rPr>
              <w:t>B-3</w:t>
            </w:r>
          </w:p>
        </w:tc>
        <w:tc>
          <w:tcPr>
            <w:tcW w:type="dxa" w:w="5760"/>
          </w:tcPr>
          <w:p>
            <w:pPr>
              <w:spacing w:after="40"/>
            </w:pPr>
            <w:r/>
            <w:r>
              <w:rPr>
                <w:sz w:val="16"/>
              </w:rPr>
              <w:t>Insured-vs-Insured carve-backs: bankruptcy trustee/committee/litigation trust; post-change-in-control; all Side A Loss; narrow derivative-participation condition; whistleblower carve-back for any Insured Person.</w:t>
            </w:r>
          </w:p>
        </w:tc>
        <w:tc>
          <w:tcPr>
            <w:tcW w:type="dxa" w:w="1296"/>
          </w:tcPr>
          <w:p>
            <w:pPr>
              <w:spacing w:after="40"/>
            </w:pPr>
            <w:r/>
            <w:r>
              <w:rPr>
                <w:sz w:val="16"/>
              </w:rPr>
              <w:t>Gap 3</w:t>
            </w:r>
          </w:p>
        </w:tc>
        <w:tc>
          <w:tcPr>
            <w:tcW w:type="dxa" w:w="1656"/>
          </w:tcPr>
          <w:p>
            <w:pPr>
              <w:spacing w:after="40"/>
            </w:pPr>
            <w:r/>
            <w:r>
              <w:rPr>
                <w:sz w:val="16"/>
              </w:rPr>
              <w:t>Now / renewal</w:t>
            </w:r>
          </w:p>
        </w:tc>
      </w:tr>
      <w:tr>
        <w:tc>
          <w:tcPr>
            <w:tcW w:type="dxa" w:w="648"/>
          </w:tcPr>
          <w:p>
            <w:pPr>
              <w:spacing w:after="40"/>
            </w:pPr>
            <w:r/>
            <w:r>
              <w:rPr>
                <w:sz w:val="16"/>
              </w:rPr>
              <w:t>B-4</w:t>
            </w:r>
          </w:p>
        </w:tc>
        <w:tc>
          <w:tcPr>
            <w:tcW w:type="dxa" w:w="5760"/>
          </w:tcPr>
          <w:p>
            <w:pPr>
              <w:spacing w:after="40"/>
            </w:pPr>
            <w:r/>
            <w:r>
              <w:rPr>
                <w:sz w:val="16"/>
              </w:rPr>
              <w:t>Carve-backs from BI/PD, Professional Services and Pollution exclusions for Securities Claims, derivative claims and Side A; narrow lead-in to “for.”</w:t>
            </w:r>
          </w:p>
        </w:tc>
        <w:tc>
          <w:tcPr>
            <w:tcW w:type="dxa" w:w="1296"/>
          </w:tcPr>
          <w:p>
            <w:pPr>
              <w:spacing w:after="40"/>
            </w:pPr>
            <w:r/>
            <w:r>
              <w:rPr>
                <w:sz w:val="16"/>
              </w:rPr>
              <w:t>Gap 4</w:t>
            </w:r>
          </w:p>
        </w:tc>
        <w:tc>
          <w:tcPr>
            <w:tcW w:type="dxa" w:w="1656"/>
          </w:tcPr>
          <w:p>
            <w:pPr>
              <w:spacing w:after="40"/>
            </w:pPr>
            <w:r/>
            <w:r>
              <w:rPr>
                <w:sz w:val="16"/>
              </w:rPr>
              <w:t>Now / renewal</w:t>
            </w:r>
          </w:p>
        </w:tc>
      </w:tr>
      <w:tr>
        <w:tc>
          <w:tcPr>
            <w:tcW w:type="dxa" w:w="648"/>
          </w:tcPr>
          <w:p>
            <w:pPr>
              <w:spacing w:after="40"/>
            </w:pPr>
            <w:r/>
            <w:r>
              <w:rPr>
                <w:sz w:val="16"/>
              </w:rPr>
              <w:t>B-5</w:t>
            </w:r>
          </w:p>
        </w:tc>
        <w:tc>
          <w:tcPr>
            <w:tcW w:type="dxa" w:w="5760"/>
          </w:tcPr>
          <w:p>
            <w:pPr>
              <w:spacing w:after="40"/>
            </w:pPr>
            <w:r/>
            <w:r>
              <w:rPr>
                <w:sz w:val="16"/>
              </w:rPr>
              <w:t>Expanded Claim definition; pre-claim inquiry costs for Insured Persons (no retention); entity investigation and derivative-demand investigation sublimits.</w:t>
            </w:r>
          </w:p>
        </w:tc>
        <w:tc>
          <w:tcPr>
            <w:tcW w:type="dxa" w:w="1296"/>
          </w:tcPr>
          <w:p>
            <w:pPr>
              <w:spacing w:after="40"/>
            </w:pPr>
            <w:r/>
            <w:r>
              <w:rPr>
                <w:sz w:val="16"/>
              </w:rPr>
              <w:t>Gap 5, 16</w:t>
            </w:r>
          </w:p>
        </w:tc>
        <w:tc>
          <w:tcPr>
            <w:tcW w:type="dxa" w:w="1656"/>
          </w:tcPr>
          <w:p>
            <w:pPr>
              <w:spacing w:after="40"/>
            </w:pPr>
            <w:r/>
            <w:r>
              <w:rPr>
                <w:sz w:val="16"/>
              </w:rPr>
              <w:t>Renewal</w:t>
            </w:r>
          </w:p>
        </w:tc>
      </w:tr>
      <w:tr>
        <w:tc>
          <w:tcPr>
            <w:tcW w:type="dxa" w:w="648"/>
          </w:tcPr>
          <w:p>
            <w:pPr>
              <w:spacing w:after="40"/>
            </w:pPr>
            <w:r/>
            <w:r>
              <w:rPr>
                <w:sz w:val="16"/>
              </w:rPr>
              <w:t>B-6</w:t>
            </w:r>
          </w:p>
        </w:tc>
        <w:tc>
          <w:tcPr>
            <w:tcW w:type="dxa" w:w="5760"/>
          </w:tcPr>
          <w:p>
            <w:pPr>
              <w:spacing w:after="40"/>
            </w:pPr>
            <w:r/>
            <w:r>
              <w:rPr>
                <w:sz w:val="16"/>
              </w:rPr>
              <w:t>Loss: delete insurer-discretion qualifier on fines; most-favorable law for punitive/multiplied damages; Securities Act §§ 11/12/15 carve-back; FCPA civil penalties.</w:t>
            </w:r>
          </w:p>
        </w:tc>
        <w:tc>
          <w:tcPr>
            <w:tcW w:type="dxa" w:w="1296"/>
          </w:tcPr>
          <w:p>
            <w:pPr>
              <w:spacing w:after="40"/>
            </w:pPr>
            <w:r/>
            <w:r>
              <w:rPr>
                <w:sz w:val="16"/>
              </w:rPr>
              <w:t>Gap 6</w:t>
            </w:r>
          </w:p>
        </w:tc>
        <w:tc>
          <w:tcPr>
            <w:tcW w:type="dxa" w:w="1656"/>
          </w:tcPr>
          <w:p>
            <w:pPr>
              <w:spacing w:after="40"/>
            </w:pPr>
            <w:r/>
            <w:r>
              <w:rPr>
                <w:sz w:val="16"/>
              </w:rPr>
              <w:t>Renewal</w:t>
            </w:r>
          </w:p>
        </w:tc>
      </w:tr>
      <w:tr>
        <w:tc>
          <w:tcPr>
            <w:tcW w:type="dxa" w:w="648"/>
          </w:tcPr>
          <w:p>
            <w:pPr>
              <w:spacing w:after="40"/>
            </w:pPr>
            <w:r/>
            <w:r>
              <w:rPr>
                <w:sz w:val="16"/>
              </w:rPr>
              <w:t>B-7</w:t>
            </w:r>
          </w:p>
        </w:tc>
        <w:tc>
          <w:tcPr>
            <w:tcW w:type="dxa" w:w="5760"/>
          </w:tcPr>
          <w:p>
            <w:pPr>
              <w:spacing w:after="40"/>
            </w:pPr>
            <w:r/>
            <w:r>
              <w:rPr>
                <w:sz w:val="16"/>
              </w:rPr>
              <w:t>30-day advancement; 100% interim advancement of Insured Persons’ Defense Costs; pre-approved counsel.</w:t>
            </w:r>
          </w:p>
        </w:tc>
        <w:tc>
          <w:tcPr>
            <w:tcW w:type="dxa" w:w="1296"/>
          </w:tcPr>
          <w:p>
            <w:pPr>
              <w:spacing w:after="40"/>
            </w:pPr>
            <w:r/>
            <w:r>
              <w:rPr>
                <w:sz w:val="16"/>
              </w:rPr>
              <w:t>Gap 8</w:t>
            </w:r>
          </w:p>
        </w:tc>
        <w:tc>
          <w:tcPr>
            <w:tcW w:type="dxa" w:w="1656"/>
          </w:tcPr>
          <w:p>
            <w:pPr>
              <w:spacing w:after="40"/>
            </w:pPr>
            <w:r/>
            <w:r>
              <w:rPr>
                <w:sz w:val="16"/>
              </w:rPr>
              <w:t>Renewal</w:t>
            </w:r>
          </w:p>
        </w:tc>
      </w:tr>
      <w:tr>
        <w:tc>
          <w:tcPr>
            <w:tcW w:type="dxa" w:w="648"/>
          </w:tcPr>
          <w:p>
            <w:pPr>
              <w:spacing w:after="40"/>
            </w:pPr>
            <w:r/>
            <w:r>
              <w:rPr>
                <w:sz w:val="16"/>
              </w:rPr>
              <w:t>B-8</w:t>
            </w:r>
          </w:p>
        </w:tc>
        <w:tc>
          <w:tcPr>
            <w:tcW w:type="dxa" w:w="5760"/>
          </w:tcPr>
          <w:p>
            <w:pPr>
              <w:spacing w:after="40"/>
            </w:pPr>
            <w:r/>
            <w:r>
              <w:rPr>
                <w:sz w:val="16"/>
              </w:rPr>
              <w:t>Soft (80/20) hammer; no hammer for Side A or for settlements requiring admissions; individual application.</w:t>
            </w:r>
          </w:p>
        </w:tc>
        <w:tc>
          <w:tcPr>
            <w:tcW w:type="dxa" w:w="1296"/>
          </w:tcPr>
          <w:p>
            <w:pPr>
              <w:spacing w:after="40"/>
            </w:pPr>
            <w:r/>
            <w:r>
              <w:rPr>
                <w:sz w:val="16"/>
              </w:rPr>
              <w:t>Gap 9</w:t>
            </w:r>
          </w:p>
        </w:tc>
        <w:tc>
          <w:tcPr>
            <w:tcW w:type="dxa" w:w="1656"/>
          </w:tcPr>
          <w:p>
            <w:pPr>
              <w:spacing w:after="40"/>
            </w:pPr>
            <w:r/>
            <w:r>
              <w:rPr>
                <w:sz w:val="16"/>
              </w:rPr>
              <w:t>Renewal</w:t>
            </w:r>
          </w:p>
        </w:tc>
      </w:tr>
      <w:tr>
        <w:tc>
          <w:tcPr>
            <w:tcW w:type="dxa" w:w="648"/>
          </w:tcPr>
          <w:p>
            <w:pPr>
              <w:spacing w:after="40"/>
            </w:pPr>
            <w:r/>
            <w:r>
              <w:rPr>
                <w:sz w:val="16"/>
              </w:rPr>
              <w:t>B-9</w:t>
            </w:r>
          </w:p>
        </w:tc>
        <w:tc>
          <w:tcPr>
            <w:tcW w:type="dxa" w:w="5760"/>
          </w:tcPr>
          <w:p>
            <w:pPr>
              <w:spacing w:after="40"/>
            </w:pPr>
            <w:r/>
            <w:r>
              <w:rPr>
                <w:sz w:val="16"/>
              </w:rPr>
              <w:t>Extend severability to § 5.8(b); limit Conduct-Exclusion adjudication to the underlying action.</w:t>
            </w:r>
          </w:p>
        </w:tc>
        <w:tc>
          <w:tcPr>
            <w:tcW w:type="dxa" w:w="1296"/>
          </w:tcPr>
          <w:p>
            <w:pPr>
              <w:spacing w:after="40"/>
            </w:pPr>
            <w:r/>
            <w:r>
              <w:rPr>
                <w:sz w:val="16"/>
              </w:rPr>
              <w:t>Gaps 10–11</w:t>
            </w:r>
          </w:p>
        </w:tc>
        <w:tc>
          <w:tcPr>
            <w:tcW w:type="dxa" w:w="1656"/>
          </w:tcPr>
          <w:p>
            <w:pPr>
              <w:spacing w:after="40"/>
            </w:pPr>
            <w:r/>
            <w:r>
              <w:rPr>
                <w:sz w:val="16"/>
              </w:rPr>
              <w:t>Renewal</w:t>
            </w:r>
          </w:p>
        </w:tc>
      </w:tr>
      <w:tr>
        <w:tc>
          <w:tcPr>
            <w:tcW w:type="dxa" w:w="648"/>
          </w:tcPr>
          <w:p>
            <w:pPr>
              <w:spacing w:after="40"/>
            </w:pPr>
            <w:r/>
            <w:r>
              <w:rPr>
                <w:sz w:val="16"/>
              </w:rPr>
              <w:t>B-10</w:t>
            </w:r>
          </w:p>
        </w:tc>
        <w:tc>
          <w:tcPr>
            <w:tcW w:type="dxa" w:w="5760"/>
          </w:tcPr>
          <w:p>
            <w:pPr>
              <w:spacing w:after="40"/>
            </w:pPr>
            <w:r/>
            <w:r>
              <w:rPr>
                <w:sz w:val="16"/>
              </w:rPr>
              <w:t>Outside Entity “deemed request” consistent with Agreement § 1(c); spousal/domestic-partner and director-nominee coverage; Side A proceeds acknowledgment for bankruptcy.</w:t>
            </w:r>
          </w:p>
        </w:tc>
        <w:tc>
          <w:tcPr>
            <w:tcW w:type="dxa" w:w="1296"/>
          </w:tcPr>
          <w:p>
            <w:pPr>
              <w:spacing w:after="40"/>
            </w:pPr>
            <w:r/>
            <w:r>
              <w:rPr>
                <w:sz w:val="16"/>
              </w:rPr>
              <w:t>Gaps 12–14</w:t>
            </w:r>
          </w:p>
        </w:tc>
        <w:tc>
          <w:tcPr>
            <w:tcW w:type="dxa" w:w="1656"/>
          </w:tcPr>
          <w:p>
            <w:pPr>
              <w:spacing w:after="40"/>
            </w:pPr>
            <w:r/>
            <w:r>
              <w:rPr>
                <w:sz w:val="16"/>
              </w:rPr>
              <w:t>Renewal</w:t>
            </w:r>
          </w:p>
        </w:tc>
      </w:tr>
    </w:tbl>
    <w:p>
      <w:pPr>
        <w:spacing w:after="40"/>
      </w:pPr>
    </w:p>
    <w:p>
      <w:pPr>
        <w:pStyle w:val="Heading2"/>
      </w:pPr>
      <w:r>
        <w:t>C. Supplemental Insurance</w:t>
      </w:r>
    </w:p>
    <w:p>
      <w:pPr>
        <w:pStyle w:val="ListBullet"/>
        <w:spacing w:after="60"/>
      </w:pPr>
      <w:r>
        <w:rPr>
          <w:b/>
        </w:rPr>
        <w:t>Excess Side A DIC policy</w:t>
      </w:r>
      <w:r>
        <w:t xml:space="preserve"> ($15M–$25M, priced by Greystone) with broad drop-down and DIC features, non-rescindable, without the trustee/post-change-of-control Insured-vs-Insured limitations or the life-sciences exclusions. This is the single most effective way to close Gaps 3, 4 and 7 for the directors irrespective of what the primary carrier will concede.</w:t>
      </w:r>
    </w:p>
    <w:p>
      <w:pPr>
        <w:pStyle w:val="ListBullet"/>
        <w:spacing w:after="60"/>
      </w:pPr>
      <w:r>
        <w:rPr>
          <w:b/>
        </w:rPr>
        <w:t>Independent Director Liability policy</w:t>
      </w:r>
      <w:r>
        <w:t xml:space="preserve"> for non-management directors (evaluate cost/benefit), giving the incoming directors limits not shared with management.</w:t>
      </w:r>
    </w:p>
    <w:p>
      <w:pPr>
        <w:pStyle w:val="ListBullet"/>
        <w:spacing w:after="60"/>
      </w:pPr>
      <w:r>
        <w:rPr>
          <w:b/>
        </w:rPr>
        <w:t>Six-year run-off pricing</w:t>
      </w:r>
      <w:r>
        <w:t xml:space="preserve"> obtained now, so that the § 11(d) cap can be validated and the Board can respond quickly if a transaction arises.</w:t>
      </w:r>
    </w:p>
    <w:p>
      <w:pPr>
        <w:pStyle w:val="ListBullet"/>
        <w:spacing w:after="60"/>
      </w:pPr>
      <w:r>
        <w:rPr>
          <w:b/>
        </w:rPr>
        <w:t>Confirm companion coverages:</w:t>
      </w:r>
      <w:r>
        <w:t xml:space="preserve"> fiduciary liability (ERISA), employment practices, clinical trials/products liability and cyber, and their coordination with § 5.6.</w:t>
      </w:r>
    </w:p>
    <w:p>
      <w:pPr>
        <w:pStyle w:val="Heading2"/>
      </w:pPr>
      <w:r>
        <w:t>D. Timeline</w:t>
      </w:r>
    </w:p>
    <w:tbl>
      <w:tblPr>
        <w:tblStyle w:val="TableGrid"/>
        <w:tblW w:type="auto" w:w="0"/>
        <w:jc w:val="center"/>
        <w:tblLook w:firstColumn="1" w:firstRow="1" w:lastColumn="0" w:lastRow="0" w:noHBand="0" w:noVBand="1" w:val="04A0"/>
      </w:tblPr>
      <w:tblGrid>
        <w:gridCol w:w="2880"/>
        <w:gridCol w:w="6480"/>
      </w:tblGrid>
      <w:tr>
        <w:trPr>
          <w:tblHeader w:val="true"/>
        </w:trPr>
        <w:tc>
          <w:tcPr>
            <w:tcW w:type="dxa" w:w="2880"/>
            <w:shd w:val="clear" w:color="auto" w:fill="1F2A44"/>
          </w:tcPr>
          <w:p>
            <w:pPr>
              <w:spacing w:after="40"/>
            </w:pPr>
            <w:r>
              <w:rPr>
                <w:b/>
                <w:color w:val="FFFFFF"/>
              </w:rPr>
            </w:r>
            <w:r>
              <w:rPr>
                <w:b/>
                <w:color w:val="FFFFFF"/>
                <w:sz w:val="18"/>
              </w:rPr>
              <w:t>Date</w:t>
            </w:r>
          </w:p>
        </w:tc>
        <w:tc>
          <w:tcPr>
            <w:tcW w:type="dxa" w:w="6480"/>
            <w:shd w:val="clear" w:color="auto" w:fill="1F2A44"/>
          </w:tcPr>
          <w:p>
            <w:pPr>
              <w:spacing w:after="40"/>
            </w:pPr>
            <w:r>
              <w:rPr>
                <w:b/>
                <w:color w:val="FFFFFF"/>
              </w:rPr>
            </w:r>
            <w:r>
              <w:rPr>
                <w:b/>
                <w:color w:val="FFFFFF"/>
                <w:sz w:val="18"/>
              </w:rPr>
              <w:t>Action</w:t>
            </w:r>
          </w:p>
        </w:tc>
      </w:tr>
      <w:tr>
        <w:tc>
          <w:tcPr>
            <w:tcW w:type="dxa" w:w="2880"/>
          </w:tcPr>
          <w:p>
            <w:pPr>
              <w:spacing w:after="40"/>
            </w:pPr>
            <w:r/>
            <w:r>
              <w:rPr>
                <w:sz w:val="18"/>
              </w:rPr>
              <w:t>By April 28, 2025</w:t>
            </w:r>
          </w:p>
        </w:tc>
        <w:tc>
          <w:tcPr>
            <w:tcW w:type="dxa" w:w="6480"/>
          </w:tcPr>
          <w:p>
            <w:pPr>
              <w:spacing w:after="40"/>
            </w:pPr>
            <w:r/>
            <w:r>
              <w:rPr>
                <w:sz w:val="18"/>
              </w:rPr>
              <w:t>Deliver this memorandum to the Committee; instruct Greystone on B-1 and to request pricing for B-2 through B-10, Excess Side A DIC and six-year run-off.</w:t>
            </w:r>
          </w:p>
        </w:tc>
      </w:tr>
      <w:tr>
        <w:tc>
          <w:tcPr>
            <w:tcW w:type="dxa" w:w="2880"/>
          </w:tcPr>
          <w:p>
            <w:pPr>
              <w:spacing w:after="40"/>
            </w:pPr>
            <w:r/>
            <w:r>
              <w:rPr>
                <w:sz w:val="18"/>
              </w:rPr>
              <w:t>Before candidates sign (target: before May board meeting)</w:t>
            </w:r>
          </w:p>
        </w:tc>
        <w:tc>
          <w:tcPr>
            <w:tcW w:type="dxa" w:w="6480"/>
          </w:tcPr>
          <w:p>
            <w:pPr>
              <w:spacing w:after="40"/>
            </w:pPr>
            <w:r/>
            <w:r>
              <w:rPr>
                <w:sz w:val="18"/>
              </w:rPr>
              <w:t>Approve amended form Agreement (A-1 through A-10); prepare non-privileged candidate summary; Board resolution on outside-entity requests.</w:t>
            </w:r>
          </w:p>
        </w:tc>
      </w:tr>
      <w:tr>
        <w:tc>
          <w:tcPr>
            <w:tcW w:type="dxa" w:w="2880"/>
          </w:tcPr>
          <w:p>
            <w:pPr>
              <w:spacing w:after="40"/>
            </w:pPr>
            <w:r/>
            <w:r>
              <w:rPr>
                <w:sz w:val="18"/>
              </w:rPr>
              <w:t>May–August 2025</w:t>
            </w:r>
          </w:p>
        </w:tc>
        <w:tc>
          <w:tcPr>
            <w:tcW w:type="dxa" w:w="6480"/>
          </w:tcPr>
          <w:p>
            <w:pPr>
              <w:spacing w:after="40"/>
            </w:pPr>
            <w:r/>
            <w:r>
              <w:rPr>
                <w:sz w:val="18"/>
              </w:rPr>
              <w:t>Negotiate available mid-term endorsements (B-1, B-3, B-4); bind Excess Side A DIC if approved.</w:t>
            </w:r>
          </w:p>
        </w:tc>
      </w:tr>
      <w:tr>
        <w:tc>
          <w:tcPr>
            <w:tcW w:type="dxa" w:w="2880"/>
          </w:tcPr>
          <w:p>
            <w:pPr>
              <w:spacing w:after="40"/>
            </w:pPr>
            <w:r/>
            <w:r>
              <w:rPr>
                <w:sz w:val="18"/>
              </w:rPr>
              <w:t>By October 3, 2025</w:t>
            </w:r>
          </w:p>
        </w:tc>
        <w:tc>
          <w:tcPr>
            <w:tcW w:type="dxa" w:w="6480"/>
          </w:tcPr>
          <w:p>
            <w:pPr>
              <w:spacing w:after="40"/>
            </w:pPr>
            <w:r/>
            <w:r>
              <w:rPr>
                <w:sz w:val="18"/>
              </w:rPr>
              <w:t>Latest date for Insurer non-renewal notice (90 days before January 1, 2026, Policy § 16.2); Company should know renewal posture.</w:t>
            </w:r>
          </w:p>
        </w:tc>
      </w:tr>
      <w:tr>
        <w:tc>
          <w:tcPr>
            <w:tcW w:type="dxa" w:w="2880"/>
          </w:tcPr>
          <w:p>
            <w:pPr>
              <w:spacing w:after="40"/>
            </w:pPr>
            <w:r/>
            <w:r>
              <w:rPr>
                <w:sz w:val="18"/>
              </w:rPr>
              <w:t>January 1, 2026</w:t>
            </w:r>
          </w:p>
        </w:tc>
        <w:tc>
          <w:tcPr>
            <w:tcW w:type="dxa" w:w="6480"/>
          </w:tcPr>
          <w:p>
            <w:pPr>
              <w:spacing w:after="40"/>
            </w:pPr>
            <w:r/>
            <w:r>
              <w:rPr>
                <w:sz w:val="18"/>
              </w:rPr>
              <w:t>Renewal; bind remaining endorsements.</w:t>
            </w:r>
          </w:p>
        </w:tc>
      </w:tr>
      <w:tr>
        <w:tc>
          <w:tcPr>
            <w:tcW w:type="dxa" w:w="2880"/>
          </w:tcPr>
          <w:p>
            <w:pPr>
              <w:spacing w:after="40"/>
            </w:pPr>
            <w:r/>
            <w:r>
              <w:rPr>
                <w:sz w:val="18"/>
              </w:rPr>
              <w:t>January 31, 2026</w:t>
            </w:r>
          </w:p>
        </w:tc>
        <w:tc>
          <w:tcPr>
            <w:tcW w:type="dxa" w:w="6480"/>
          </w:tcPr>
          <w:p>
            <w:pPr>
              <w:spacing w:after="40"/>
            </w:pPr>
            <w:r/>
            <w:r>
              <w:rPr>
                <w:sz w:val="18"/>
              </w:rPr>
              <w:t>Discovery Period election deadline if the Insurer non-renews (Policy § 10.1) — calendar now.</w:t>
            </w:r>
          </w:p>
        </w:tc>
      </w:tr>
    </w:tbl>
    <w:p>
      <w:pPr>
        <w:spacing w:after="40"/>
      </w:pPr>
    </w:p>
    <w:p>
      <w:pPr>
        <w:pStyle w:val="Heading1"/>
      </w:pPr>
      <w:r>
        <w:t>IX. Historical Claims Under the Current Terms; Open Items</w:t>
      </w:r>
    </w:p>
    <w:p>
      <w:pPr>
        <w:pStyle w:val="Heading2"/>
      </w:pPr>
      <w:r>
        <w:t>A. How the Prior Matters Would Fare Today</w:t>
      </w:r>
    </w:p>
    <w:tbl>
      <w:tblPr>
        <w:tblStyle w:val="TableGrid"/>
        <w:tblW w:type="auto" w:w="0"/>
        <w:jc w:val="center"/>
        <w:tblLook w:firstColumn="1" w:firstRow="1" w:lastColumn="0" w:lastRow="0" w:noHBand="0" w:noVBand="1" w:val="04A0"/>
      </w:tblPr>
      <w:tblGrid>
        <w:gridCol w:w="1728"/>
        <w:gridCol w:w="2304"/>
        <w:gridCol w:w="3168"/>
        <w:gridCol w:w="2160"/>
      </w:tblGrid>
      <w:tr>
        <w:trPr>
          <w:tblHeader w:val="true"/>
        </w:trPr>
        <w:tc>
          <w:tcPr>
            <w:tcW w:type="dxa" w:w="1728"/>
            <w:shd w:val="clear" w:color="auto" w:fill="1F2A44"/>
          </w:tcPr>
          <w:p>
            <w:pPr>
              <w:spacing w:after="40"/>
            </w:pPr>
            <w:r>
              <w:rPr>
                <w:b/>
                <w:color w:val="FFFFFF"/>
              </w:rPr>
            </w:r>
            <w:r>
              <w:rPr>
                <w:b/>
                <w:color w:val="FFFFFF"/>
                <w:sz w:val="16"/>
              </w:rPr>
              <w:t>Matter</w:t>
            </w:r>
          </w:p>
        </w:tc>
        <w:tc>
          <w:tcPr>
            <w:tcW w:type="dxa" w:w="2304"/>
            <w:shd w:val="clear" w:color="auto" w:fill="1F2A44"/>
          </w:tcPr>
          <w:p>
            <w:pPr>
              <w:spacing w:after="40"/>
            </w:pPr>
            <w:r>
              <w:rPr>
                <w:b/>
                <w:color w:val="FFFFFF"/>
              </w:rPr>
            </w:r>
            <w:r>
              <w:rPr>
                <w:b/>
                <w:color w:val="FFFFFF"/>
                <w:sz w:val="16"/>
              </w:rPr>
              <w:t>What happened</w:t>
            </w:r>
          </w:p>
        </w:tc>
        <w:tc>
          <w:tcPr>
            <w:tcW w:type="dxa" w:w="3168"/>
            <w:shd w:val="clear" w:color="auto" w:fill="1F2A44"/>
          </w:tcPr>
          <w:p>
            <w:pPr>
              <w:spacing w:after="40"/>
            </w:pPr>
            <w:r>
              <w:rPr>
                <w:b/>
                <w:color w:val="FFFFFF"/>
              </w:rPr>
            </w:r>
            <w:r>
              <w:rPr>
                <w:b/>
                <w:color w:val="FFFFFF"/>
                <w:sz w:val="16"/>
              </w:rPr>
              <w:t>Under the current Policy / Agreement</w:t>
            </w:r>
          </w:p>
        </w:tc>
        <w:tc>
          <w:tcPr>
            <w:tcW w:type="dxa" w:w="2160"/>
            <w:shd w:val="clear" w:color="auto" w:fill="1F2A44"/>
          </w:tcPr>
          <w:p>
            <w:pPr>
              <w:spacing w:after="40"/>
            </w:pPr>
            <w:r>
              <w:rPr>
                <w:b/>
                <w:color w:val="FFFFFF"/>
              </w:rPr>
            </w:r>
            <w:r>
              <w:rPr>
                <w:b/>
                <w:color w:val="FFFFFF"/>
                <w:sz w:val="16"/>
              </w:rPr>
              <w:t>Lesson</w:t>
            </w:r>
          </w:p>
        </w:tc>
      </w:tr>
      <w:tr>
        <w:tc>
          <w:tcPr>
            <w:tcW w:type="dxa" w:w="1728"/>
          </w:tcPr>
          <w:p>
            <w:pPr>
              <w:spacing w:after="40"/>
            </w:pPr>
            <w:r/>
            <w:r>
              <w:rPr>
                <w:sz w:val="16"/>
              </w:rPr>
              <w:t>2021 derivative suit (C.A. No. 2021-0473-SG, Del. Ch.)</w:t>
            </w:r>
          </w:p>
        </w:tc>
        <w:tc>
          <w:tcPr>
            <w:tcW w:type="dxa" w:w="2304"/>
          </w:tcPr>
          <w:p>
            <w:pPr>
              <w:spacing w:after="40"/>
            </w:pPr>
            <w:r/>
            <w:r>
              <w:rPr>
                <w:sz w:val="16"/>
              </w:rPr>
              <w:t>$2.8M defense advanced; $1.8M reimbursed after $1.0M retention; $3.2M settlement paid from corporate funds; defended by Caldwell Morton &amp; Sage.</w:t>
            </w:r>
          </w:p>
        </w:tc>
        <w:tc>
          <w:tcPr>
            <w:tcW w:type="dxa" w:w="3168"/>
          </w:tcPr>
          <w:p>
            <w:pPr>
              <w:spacing w:after="40"/>
            </w:pPr>
            <w:r/>
            <w:r>
              <w:rPr>
                <w:sz w:val="16"/>
              </w:rPr>
              <w:t>Defense: same Side B result ($1M retention). Settlement: derivative settlements payable to the Company are generally non-indemnifiable under § 145(b) and are the core Side A exposure, provided the § 5.2(i) “no current D&amp;O participation” condition is met. Because the claim concerned clinical-trial disclosures, the Insurer could also now invoke §§ 5.3/5.7 (Gap 4).</w:t>
            </w:r>
          </w:p>
        </w:tc>
        <w:tc>
          <w:tcPr>
            <w:tcW w:type="dxa" w:w="2160"/>
          </w:tcPr>
          <w:p>
            <w:pPr>
              <w:spacing w:after="40"/>
            </w:pPr>
            <w:r/>
            <w:r>
              <w:rPr>
                <w:sz w:val="16"/>
              </w:rPr>
              <w:t>Obtain the settlement papers to confirm what was paid, to whom, and why Side A was not accessed (e.g., whether the $3.2M comprised plaintiffs’ fee award or Company-funded governance consideration). Fix Gaps 3–4.</w:t>
            </w:r>
          </w:p>
        </w:tc>
      </w:tr>
      <w:tr>
        <w:tc>
          <w:tcPr>
            <w:tcW w:type="dxa" w:w="1728"/>
          </w:tcPr>
          <w:p>
            <w:pPr>
              <w:spacing w:after="40"/>
            </w:pPr>
            <w:r/>
            <w:r>
              <w:rPr>
                <w:sz w:val="16"/>
              </w:rPr>
              <w:t>2023 SEC preliminary inquiry</w:t>
            </w:r>
          </w:p>
        </w:tc>
        <w:tc>
          <w:tcPr>
            <w:tcW w:type="dxa" w:w="2304"/>
          </w:tcPr>
          <w:p>
            <w:pPr>
              <w:spacing w:after="40"/>
            </w:pPr>
            <w:r/>
            <w:r>
              <w:rPr>
                <w:sz w:val="16"/>
              </w:rPr>
              <w:t>Voluntary document request to the Company; $1.1M fees incl. Pinnacle forensic accounting; Insurer disputed “Claim”; paid $850K; Company absorbed $250K.</w:t>
            </w:r>
          </w:p>
        </w:tc>
        <w:tc>
          <w:tcPr>
            <w:tcW w:type="dxa" w:w="3168"/>
          </w:tcPr>
          <w:p>
            <w:pPr>
              <w:spacing w:after="40"/>
            </w:pPr>
            <w:r/>
            <w:r>
              <w:rPr>
                <w:sz w:val="16"/>
              </w:rPr>
              <w:t>Likely not a Claim (§ 4.2(ii), (iii), (v)); pre-Claim costs excluded (§ 4.5(iii)); entity costs uninsured; even as a Claim, Side B applies only above the $1M retention (roughly $100K recoverable). The Agreement would require full advancement for officer-indemnitees (§§ 1(i), 4, 5).</w:t>
            </w:r>
          </w:p>
        </w:tc>
        <w:tc>
          <w:tcPr>
            <w:tcW w:type="dxa" w:w="2160"/>
          </w:tcPr>
          <w:p>
            <w:pPr>
              <w:spacing w:after="40"/>
            </w:pPr>
            <w:r/>
            <w:r>
              <w:rPr>
                <w:sz w:val="16"/>
              </w:rPr>
              <w:t>Expect the Company to bear essentially all costs of a similar inquiry today. Fix Gap 5. Confirm related-matter notice for § 5.8(c).</w:t>
            </w:r>
          </w:p>
        </w:tc>
      </w:tr>
    </w:tbl>
    <w:p>
      <w:pPr>
        <w:spacing w:after="40"/>
      </w:pPr>
    </w:p>
    <w:p>
      <w:pPr>
        <w:jc w:val="both"/>
      </w:pPr>
      <w:r>
        <w:t>We also note internal inconsistencies in the claims history that should be reconciled before it is shared with candidates: the derivative case caption appears as “Fenwick” in your email and “Ferndale” in the Broker Summary; and the $850,000 SEC recovery is difficult to reconcile with a $1,000,000 Side B retention, suggesting either a different prior-year retention or a negotiated compromise outside the policy terms.</w:t>
      </w:r>
    </w:p>
    <w:p>
      <w:pPr>
        <w:pStyle w:val="Heading2"/>
      </w:pPr>
      <w:r>
        <w:t>B. Open Items and Information Requests</w:t>
      </w:r>
    </w:p>
    <w:p>
      <w:pPr>
        <w:pStyle w:val="ListNumber"/>
        <w:spacing w:after="60"/>
      </w:pPr>
      <w:r>
        <w:t>Exact legal name of the Company and any former names; whether “Fenwick BioSciences, Inc.” is a former name or a separate entity.</w:t>
      </w:r>
    </w:p>
    <w:p>
      <w:pPr>
        <w:pStyle w:val="ListNumber"/>
        <w:spacing w:after="60"/>
      </w:pPr>
      <w:r>
        <w:t>Correct identity of the issuing insurer (Ridgemont / Oakvale) and a re-executed Policy.</w:t>
      </w:r>
    </w:p>
    <w:p>
      <w:pPr>
        <w:pStyle w:val="ListNumber"/>
        <w:spacing w:after="60"/>
      </w:pPr>
      <w:r>
        <w:t>Certificate of Incorporation and Bylaws (indemnification and § 102(b)(7) provisions; whether officer exculpation under amended § 102(b)(7) has been adopted).</w:t>
      </w:r>
    </w:p>
    <w:p>
      <w:pPr>
        <w:pStyle w:val="ListNumber"/>
        <w:spacing w:after="60"/>
      </w:pPr>
      <w:r>
        <w:t>Prior-year D&amp;O policies (to compare the “Claim” definition), loss runs and notices for the 2021 and 2023 matters; remaining prior-year limits.</w:t>
      </w:r>
    </w:p>
    <w:p>
      <w:pPr>
        <w:pStyle w:val="ListNumber"/>
        <w:spacing w:after="60"/>
      </w:pPr>
      <w:r>
        <w:t>The 2021 derivative settlement stipulation and allocation of the $3.2M.</w:t>
      </w:r>
    </w:p>
    <w:p>
      <w:pPr>
        <w:pStyle w:val="ListNumber"/>
        <w:spacing w:after="60"/>
      </w:pPr>
      <w:r>
        <w:t>Any excess D&amp;O layers, fiduciary, EPL, clinical trials/products and cyber policies.</w:t>
      </w:r>
    </w:p>
    <w:p>
      <w:pPr>
        <w:pStyle w:val="ListNumber"/>
        <w:spacing w:after="60"/>
      </w:pPr>
      <w:r>
        <w:t>The policy Application and any warranty letters (relevant to severability and rescission).</w:t>
      </w:r>
    </w:p>
    <w:p>
      <w:pPr>
        <w:pStyle w:val="ListNumber"/>
        <w:spacing w:after="60"/>
      </w:pPr>
      <w:r>
        <w:t>Greystone indicative pricing: Excess Side A DIC, IDL, six-year run-off, and the B-2 through B-10 endorsements.</w:t>
      </w:r>
    </w:p>
    <w:p>
      <w:pPr>
        <w:jc w:val="both"/>
      </w:pPr>
      <w:r>
        <w:rPr>
          <w:i/>
          <w:sz w:val="20"/>
        </w:rPr>
        <w:t>This memorandum is based on the documents identified in Section II and on Delaware law as we understand it as of the date above; it does not address the law of other jurisdictions. Market-practice observations reflect our experience and should be confirmed with current broker data. We would be pleased to prepare the amended form Agreement and the candidate-facing summary on the Committee’s instruction. A budget estimate for this engagement is being provided under separate cover.</w:t>
      </w:r>
    </w:p>
    <w:p>
      <w:r>
        <w:br w:type="page"/>
      </w:r>
    </w:p>
    <w:p>
      <w:pPr>
        <w:pStyle w:val="Heading1"/>
      </w:pPr>
      <w:r>
        <w:t>Appendix A — Provision-by-Provision Comparison</w:t>
      </w:r>
    </w:p>
    <w:tbl>
      <w:tblPr>
        <w:tblStyle w:val="TableGrid"/>
        <w:tblW w:type="auto" w:w="0"/>
        <w:jc w:val="center"/>
        <w:tblLook w:firstColumn="1" w:firstRow="1" w:lastColumn="0" w:lastRow="0" w:noHBand="0" w:noVBand="1" w:val="04A0"/>
      </w:tblPr>
      <w:tblGrid>
        <w:gridCol w:w="1584"/>
        <w:gridCol w:w="2808"/>
        <w:gridCol w:w="3024"/>
        <w:gridCol w:w="1944"/>
      </w:tblGrid>
      <w:tr>
        <w:trPr>
          <w:tblHeader w:val="true"/>
        </w:trPr>
        <w:tc>
          <w:tcPr>
            <w:tcW w:type="dxa" w:w="1584"/>
            <w:shd w:val="clear" w:color="auto" w:fill="1F2A44"/>
          </w:tcPr>
          <w:p>
            <w:pPr>
              <w:spacing w:after="40"/>
            </w:pPr>
            <w:r>
              <w:rPr>
                <w:b/>
                <w:color w:val="FFFFFF"/>
              </w:rPr>
            </w:r>
            <w:r>
              <w:rPr>
                <w:b/>
                <w:color w:val="FFFFFF"/>
                <w:sz w:val="16"/>
              </w:rPr>
              <w:t>Topic</w:t>
            </w:r>
          </w:p>
        </w:tc>
        <w:tc>
          <w:tcPr>
            <w:tcW w:type="dxa" w:w="2808"/>
            <w:shd w:val="clear" w:color="auto" w:fill="1F2A44"/>
          </w:tcPr>
          <w:p>
            <w:pPr>
              <w:spacing w:after="40"/>
            </w:pPr>
            <w:r>
              <w:rPr>
                <w:b/>
                <w:color w:val="FFFFFF"/>
              </w:rPr>
            </w:r>
            <w:r>
              <w:rPr>
                <w:b/>
                <w:color w:val="FFFFFF"/>
                <w:sz w:val="16"/>
              </w:rPr>
              <w:t>Indemnification Agreement</w:t>
            </w:r>
          </w:p>
        </w:tc>
        <w:tc>
          <w:tcPr>
            <w:tcW w:type="dxa" w:w="3024"/>
            <w:shd w:val="clear" w:color="auto" w:fill="1F2A44"/>
          </w:tcPr>
          <w:p>
            <w:pPr>
              <w:spacing w:after="40"/>
            </w:pPr>
            <w:r>
              <w:rPr>
                <w:b/>
                <w:color w:val="FFFFFF"/>
              </w:rPr>
            </w:r>
            <w:r>
              <w:rPr>
                <w:b/>
                <w:color w:val="FFFFFF"/>
                <w:sz w:val="16"/>
              </w:rPr>
              <w:t>D&amp;O Policy</w:t>
            </w:r>
          </w:p>
        </w:tc>
        <w:tc>
          <w:tcPr>
            <w:tcW w:type="dxa" w:w="1944"/>
            <w:shd w:val="clear" w:color="auto" w:fill="1F2A44"/>
          </w:tcPr>
          <w:p>
            <w:pPr>
              <w:spacing w:after="40"/>
            </w:pPr>
            <w:r>
              <w:rPr>
                <w:b/>
                <w:color w:val="FFFFFF"/>
              </w:rPr>
            </w:r>
            <w:r>
              <w:rPr>
                <w:b/>
                <w:color w:val="FFFFFF"/>
                <w:sz w:val="16"/>
              </w:rPr>
              <w:t>Assessment</w:t>
            </w:r>
          </w:p>
        </w:tc>
      </w:tr>
      <w:tr>
        <w:tc>
          <w:tcPr>
            <w:tcW w:type="dxa" w:w="1584"/>
          </w:tcPr>
          <w:p>
            <w:pPr>
              <w:spacing w:after="40"/>
            </w:pPr>
            <w:r/>
            <w:r>
              <w:rPr>
                <w:sz w:val="16"/>
              </w:rPr>
              <w:t>Parties / insured entity</w:t>
            </w:r>
          </w:p>
        </w:tc>
        <w:tc>
          <w:tcPr>
            <w:tcW w:type="dxa" w:w="2808"/>
          </w:tcPr>
          <w:p>
            <w:pPr>
              <w:spacing w:after="40"/>
            </w:pPr>
            <w:r/>
            <w:r>
              <w:rPr>
                <w:sz w:val="16"/>
              </w:rPr>
              <w:t>Fenwick BioSciences, Inc. (preamble)</w:t>
            </w:r>
          </w:p>
        </w:tc>
        <w:tc>
          <w:tcPr>
            <w:tcW w:type="dxa" w:w="3024"/>
          </w:tcPr>
          <w:p>
            <w:pPr>
              <w:spacing w:after="40"/>
            </w:pPr>
            <w:r/>
            <w:r>
              <w:rPr>
                <w:sz w:val="16"/>
              </w:rPr>
              <w:t>Ferndale BioSciences, Inc. (Decl. Item 1; § 4.6); insurer shown as both Ridgemont and Oakvale</w:t>
            </w:r>
          </w:p>
        </w:tc>
        <w:tc>
          <w:tcPr>
            <w:tcW w:type="dxa" w:w="1944"/>
          </w:tcPr>
          <w:p>
            <w:pPr>
              <w:spacing w:after="40"/>
            </w:pPr>
            <w:r/>
            <w:r>
              <w:rPr>
                <w:sz w:val="16"/>
              </w:rPr>
              <w:t>Inconsistent — fix (II.B)</w:t>
            </w:r>
          </w:p>
        </w:tc>
      </w:tr>
      <w:tr>
        <w:tc>
          <w:tcPr>
            <w:tcW w:type="dxa" w:w="1584"/>
          </w:tcPr>
          <w:p>
            <w:pPr>
              <w:spacing w:after="40"/>
            </w:pPr>
            <w:r/>
            <w:r>
              <w:rPr>
                <w:sz w:val="16"/>
              </w:rPr>
              <w:t>Covered persons</w:t>
            </w:r>
          </w:p>
        </w:tc>
        <w:tc>
          <w:tcPr>
            <w:tcW w:type="dxa" w:w="2808"/>
          </w:tcPr>
          <w:p>
            <w:pPr>
              <w:spacing w:after="40"/>
            </w:pPr>
            <w:r/>
            <w:r>
              <w:rPr>
                <w:sz w:val="16"/>
              </w:rPr>
              <w:t>Current/former directors, officers, employees, agents; Enterprise service deemed at request (§ 1(c), (e))</w:t>
            </w:r>
          </w:p>
        </w:tc>
        <w:tc>
          <w:tcPr>
            <w:tcW w:type="dxa" w:w="3024"/>
          </w:tcPr>
          <w:p>
            <w:pPr>
              <w:spacing w:after="40"/>
            </w:pPr>
            <w:r/>
            <w:r>
              <w:rPr>
                <w:sz w:val="16"/>
              </w:rPr>
              <w:t>Directors and officers; employees only for Side C Securities Claims; Outside Entity only on specific written request (§ 4.1)</w:t>
            </w:r>
          </w:p>
        </w:tc>
        <w:tc>
          <w:tcPr>
            <w:tcW w:type="dxa" w:w="1944"/>
          </w:tcPr>
          <w:p>
            <w:pPr>
              <w:spacing w:after="40"/>
            </w:pPr>
            <w:r/>
            <w:r>
              <w:rPr>
                <w:sz w:val="16"/>
              </w:rPr>
              <w:t>Gap (agents/employees, deemed request, nominees, spouses)</w:t>
            </w:r>
          </w:p>
        </w:tc>
      </w:tr>
      <w:tr>
        <w:tc>
          <w:tcPr>
            <w:tcW w:type="dxa" w:w="1584"/>
          </w:tcPr>
          <w:p>
            <w:pPr>
              <w:spacing w:after="40"/>
            </w:pPr>
            <w:r/>
            <w:r>
              <w:rPr>
                <w:sz w:val="16"/>
              </w:rPr>
              <w:t>Trigger</w:t>
            </w:r>
          </w:p>
        </w:tc>
        <w:tc>
          <w:tcPr>
            <w:tcW w:type="dxa" w:w="2808"/>
          </w:tcPr>
          <w:p>
            <w:pPr>
              <w:spacing w:after="40"/>
            </w:pPr>
            <w:r/>
            <w:r>
              <w:rPr>
                <w:sz w:val="16"/>
              </w:rPr>
              <w:t>“Proceeding”: threatened, informal investigations, inquiries (§ 1(i))</w:t>
            </w:r>
          </w:p>
        </w:tc>
        <w:tc>
          <w:tcPr>
            <w:tcW w:type="dxa" w:w="3024"/>
          </w:tcPr>
          <w:p>
            <w:pPr>
              <w:spacing w:after="40"/>
            </w:pPr>
            <w:r/>
            <w:r>
              <w:rPr>
                <w:sz w:val="16"/>
              </w:rPr>
              <w:t>“Claim”: written demand, formal proceeding, named formal investigation, subpoena/Wells; informal matters excluded (§ 4.2)</w:t>
            </w:r>
          </w:p>
        </w:tc>
        <w:tc>
          <w:tcPr>
            <w:tcW w:type="dxa" w:w="1944"/>
          </w:tcPr>
          <w:p>
            <w:pPr>
              <w:spacing w:after="40"/>
            </w:pPr>
            <w:r/>
            <w:r>
              <w:rPr>
                <w:sz w:val="16"/>
              </w:rPr>
              <w:t>Gap 5</w:t>
            </w:r>
          </w:p>
        </w:tc>
      </w:tr>
      <w:tr>
        <w:tc>
          <w:tcPr>
            <w:tcW w:type="dxa" w:w="1584"/>
          </w:tcPr>
          <w:p>
            <w:pPr>
              <w:spacing w:after="40"/>
            </w:pPr>
            <w:r/>
            <w:r>
              <w:rPr>
                <w:sz w:val="16"/>
              </w:rPr>
              <w:t>Covered amounts</w:t>
            </w:r>
          </w:p>
        </w:tc>
        <w:tc>
          <w:tcPr>
            <w:tcW w:type="dxa" w:w="2808"/>
          </w:tcPr>
          <w:p>
            <w:pPr>
              <w:spacing w:after="40"/>
            </w:pPr>
            <w:r/>
            <w:r>
              <w:rPr>
                <w:sz w:val="16"/>
              </w:rPr>
              <w:t>Expenses, judgments, Fines (incl. excise taxes), settlements incl. non-monetary value, compliance costs, tax gross-up (§§ 1(f)–(j), 2)</w:t>
            </w:r>
          </w:p>
        </w:tc>
        <w:tc>
          <w:tcPr>
            <w:tcW w:type="dxa" w:w="3024"/>
          </w:tcPr>
          <w:p>
            <w:pPr>
              <w:spacing w:after="40"/>
            </w:pPr>
            <w:r/>
            <w:r>
              <w:rPr>
                <w:sz w:val="16"/>
              </w:rPr>
              <w:t>Damages, judgments, approved settlements, interest, Defense Costs; excludes fines (insurer discretion), taxes, compliance costs, disgorgement, restitution (§ 4.4)</w:t>
            </w:r>
          </w:p>
        </w:tc>
        <w:tc>
          <w:tcPr>
            <w:tcW w:type="dxa" w:w="1944"/>
          </w:tcPr>
          <w:p>
            <w:pPr>
              <w:spacing w:after="40"/>
            </w:pPr>
            <w:r/>
            <w:r>
              <w:rPr>
                <w:sz w:val="16"/>
              </w:rPr>
              <w:t>Gap 6</w:t>
            </w:r>
          </w:p>
        </w:tc>
      </w:tr>
      <w:tr>
        <w:tc>
          <w:tcPr>
            <w:tcW w:type="dxa" w:w="1584"/>
          </w:tcPr>
          <w:p>
            <w:pPr>
              <w:spacing w:after="40"/>
            </w:pPr>
            <w:r/>
            <w:r>
              <w:rPr>
                <w:sz w:val="16"/>
              </w:rPr>
              <w:t>Derivative claims</w:t>
            </w:r>
          </w:p>
        </w:tc>
        <w:tc>
          <w:tcPr>
            <w:tcW w:type="dxa" w:w="2808"/>
          </w:tcPr>
          <w:p>
            <w:pPr>
              <w:spacing w:after="40"/>
            </w:pPr>
            <w:r/>
            <w:r>
              <w:rPr>
                <w:sz w:val="16"/>
              </w:rPr>
              <w:t>Expenses only; § 145(b) court approval if adjudged liable (§ 3)</w:t>
            </w:r>
          </w:p>
        </w:tc>
        <w:tc>
          <w:tcPr>
            <w:tcW w:type="dxa" w:w="3024"/>
          </w:tcPr>
          <w:p>
            <w:pPr>
              <w:spacing w:after="40"/>
            </w:pPr>
            <w:r/>
            <w:r>
              <w:rPr>
                <w:sz w:val="16"/>
              </w:rPr>
              <w:t>Side A covers non-indemnifiable settlements/judgments; IvI carve-back conditioned on no current D&amp;O participation (§ 5.2(i))</w:t>
            </w:r>
          </w:p>
        </w:tc>
        <w:tc>
          <w:tcPr>
            <w:tcW w:type="dxa" w:w="1944"/>
          </w:tcPr>
          <w:p>
            <w:pPr>
              <w:spacing w:after="40"/>
            </w:pPr>
            <w:r/>
            <w:r>
              <w:rPr>
                <w:sz w:val="16"/>
              </w:rPr>
              <w:t>Partly aligned; Gap 3</w:t>
            </w:r>
          </w:p>
        </w:tc>
      </w:tr>
      <w:tr>
        <w:tc>
          <w:tcPr>
            <w:tcW w:type="dxa" w:w="1584"/>
          </w:tcPr>
          <w:p>
            <w:pPr>
              <w:spacing w:after="40"/>
            </w:pPr>
            <w:r/>
            <w:r>
              <w:rPr>
                <w:sz w:val="16"/>
              </w:rPr>
              <w:t>Direct Company claims</w:t>
            </w:r>
          </w:p>
        </w:tc>
        <w:tc>
          <w:tcPr>
            <w:tcW w:type="dxa" w:w="2808"/>
          </w:tcPr>
          <w:p>
            <w:pPr>
              <w:spacing w:after="40"/>
            </w:pPr>
            <w:r/>
            <w:r>
              <w:rPr>
                <w:sz w:val="16"/>
              </w:rPr>
              <w:t>Purportedly under § 2 (§ 3 final para.) — enforceability doubtful</w:t>
            </w:r>
          </w:p>
        </w:tc>
        <w:tc>
          <w:tcPr>
            <w:tcW w:type="dxa" w:w="3024"/>
          </w:tcPr>
          <w:p>
            <w:pPr>
              <w:spacing w:after="40"/>
            </w:pPr>
            <w:r/>
            <w:r>
              <w:rPr>
                <w:sz w:val="16"/>
              </w:rPr>
              <w:t>Excluded for all Sides (§ 5.2 final para.)</w:t>
            </w:r>
          </w:p>
        </w:tc>
        <w:tc>
          <w:tcPr>
            <w:tcW w:type="dxa" w:w="1944"/>
          </w:tcPr>
          <w:p>
            <w:pPr>
              <w:spacing w:after="40"/>
            </w:pPr>
            <w:r/>
            <w:r>
              <w:rPr>
                <w:sz w:val="16"/>
              </w:rPr>
              <w:t>Gap 3 (critical)</w:t>
            </w:r>
          </w:p>
        </w:tc>
      </w:tr>
      <w:tr>
        <w:tc>
          <w:tcPr>
            <w:tcW w:type="dxa" w:w="1584"/>
          </w:tcPr>
          <w:p>
            <w:pPr>
              <w:spacing w:after="40"/>
            </w:pPr>
            <w:r/>
            <w:r>
              <w:rPr>
                <w:sz w:val="16"/>
              </w:rPr>
              <w:t>Bankruptcy trustee claims</w:t>
            </w:r>
          </w:p>
        </w:tc>
        <w:tc>
          <w:tcPr>
            <w:tcW w:type="dxa" w:w="2808"/>
          </w:tcPr>
          <w:p>
            <w:pPr>
              <w:spacing w:after="40"/>
            </w:pPr>
            <w:r/>
            <w:r>
              <w:rPr>
                <w:sz w:val="16"/>
              </w:rPr>
              <w:t>Not addressed</w:t>
            </w:r>
          </w:p>
        </w:tc>
        <w:tc>
          <w:tcPr>
            <w:tcW w:type="dxa" w:w="3024"/>
          </w:tcPr>
          <w:p>
            <w:pPr>
              <w:spacing w:after="40"/>
            </w:pPr>
            <w:r/>
            <w:r>
              <w:rPr>
                <w:sz w:val="16"/>
              </w:rPr>
              <w:t>Excluded (§ 5.2(a))</w:t>
            </w:r>
          </w:p>
        </w:tc>
        <w:tc>
          <w:tcPr>
            <w:tcW w:type="dxa" w:w="1944"/>
          </w:tcPr>
          <w:p>
            <w:pPr>
              <w:spacing w:after="40"/>
            </w:pPr>
            <w:r/>
            <w:r>
              <w:rPr>
                <w:sz w:val="16"/>
              </w:rPr>
              <w:t>Gap 3 (critical)</w:t>
            </w:r>
          </w:p>
        </w:tc>
      </w:tr>
      <w:tr>
        <w:tc>
          <w:tcPr>
            <w:tcW w:type="dxa" w:w="1584"/>
          </w:tcPr>
          <w:p>
            <w:pPr>
              <w:spacing w:after="40"/>
            </w:pPr>
            <w:r/>
            <w:r>
              <w:rPr>
                <w:sz w:val="16"/>
              </w:rPr>
              <w:t>Advancement</w:t>
            </w:r>
          </w:p>
        </w:tc>
        <w:tc>
          <w:tcPr>
            <w:tcW w:type="dxa" w:w="2808"/>
          </w:tcPr>
          <w:p>
            <w:pPr>
              <w:spacing w:after="40"/>
            </w:pPr>
            <w:r/>
            <w:r>
              <w:rPr>
                <w:sz w:val="16"/>
              </w:rPr>
              <w:t>30 days; unconditional; counsel of choice; unsecured undertaking (§ 5)</w:t>
            </w:r>
          </w:p>
        </w:tc>
        <w:tc>
          <w:tcPr>
            <w:tcW w:type="dxa" w:w="3024"/>
          </w:tcPr>
          <w:p>
            <w:pPr>
              <w:spacing w:after="40"/>
            </w:pPr>
            <w:r/>
            <w:r>
              <w:rPr>
                <w:sz w:val="16"/>
              </w:rPr>
              <w:t>60 days; 70% interim allocation; insurer consent to counsel (§§ 7.1, 8.3, 9)</w:t>
            </w:r>
          </w:p>
        </w:tc>
        <w:tc>
          <w:tcPr>
            <w:tcW w:type="dxa" w:w="1944"/>
          </w:tcPr>
          <w:p>
            <w:pPr>
              <w:spacing w:after="40"/>
            </w:pPr>
            <w:r/>
            <w:r>
              <w:rPr>
                <w:sz w:val="16"/>
              </w:rPr>
              <w:t>Gap 8</w:t>
            </w:r>
          </w:p>
        </w:tc>
      </w:tr>
      <w:tr>
        <w:tc>
          <w:tcPr>
            <w:tcW w:type="dxa" w:w="1584"/>
          </w:tcPr>
          <w:p>
            <w:pPr>
              <w:spacing w:after="40"/>
            </w:pPr>
            <w:r/>
            <w:r>
              <w:rPr>
                <w:sz w:val="16"/>
              </w:rPr>
              <w:t>Standard of conduct</w:t>
            </w:r>
          </w:p>
        </w:tc>
        <w:tc>
          <w:tcPr>
            <w:tcW w:type="dxa" w:w="2808"/>
          </w:tcPr>
          <w:p>
            <w:pPr>
              <w:spacing w:after="40"/>
            </w:pPr>
            <w:r/>
            <w:r>
              <w:rPr>
                <w:sz w:val="16"/>
              </w:rPr>
              <w:t>Good faith / best interests; presumption; clear and convincing burden (§§ 2, 3, 8)</w:t>
            </w:r>
          </w:p>
        </w:tc>
        <w:tc>
          <w:tcPr>
            <w:tcW w:type="dxa" w:w="3024"/>
          </w:tcPr>
          <w:p>
            <w:pPr>
              <w:spacing w:after="40"/>
            </w:pPr>
            <w:r/>
            <w:r>
              <w:rPr>
                <w:sz w:val="16"/>
              </w:rPr>
              <w:t>Conduct exclusion on final non-appealable adjudication (§ 5.1)</w:t>
            </w:r>
          </w:p>
        </w:tc>
        <w:tc>
          <w:tcPr>
            <w:tcW w:type="dxa" w:w="1944"/>
          </w:tcPr>
          <w:p>
            <w:pPr>
              <w:spacing w:after="40"/>
            </w:pPr>
            <w:r/>
            <w:r>
              <w:rPr>
                <w:sz w:val="16"/>
              </w:rPr>
              <w:t>Aligned (strength); Gap 11 on venue</w:t>
            </w:r>
          </w:p>
        </w:tc>
      </w:tr>
      <w:tr>
        <w:tc>
          <w:tcPr>
            <w:tcW w:type="dxa" w:w="1584"/>
          </w:tcPr>
          <w:p>
            <w:pPr>
              <w:spacing w:after="40"/>
            </w:pPr>
            <w:r/>
            <w:r>
              <w:rPr>
                <w:sz w:val="16"/>
              </w:rPr>
              <w:t>Exclusions</w:t>
            </w:r>
          </w:p>
        </w:tc>
        <w:tc>
          <w:tcPr>
            <w:tcW w:type="dxa" w:w="2808"/>
          </w:tcPr>
          <w:p>
            <w:pPr>
              <w:spacing w:after="40"/>
            </w:pPr>
            <w:r/>
            <w:r>
              <w:rPr>
                <w:sz w:val="16"/>
              </w:rPr>
              <w:t>Exclusive list: Indemnitee suits, § 16(b), clawbacks, unconsented settlements (§ 7)</w:t>
            </w:r>
          </w:p>
        </w:tc>
        <w:tc>
          <w:tcPr>
            <w:tcW w:type="dxa" w:w="3024"/>
          </w:tcPr>
          <w:p>
            <w:pPr>
              <w:spacing w:after="40"/>
            </w:pPr>
            <w:r/>
            <w:r>
              <w:rPr>
                <w:sz w:val="16"/>
              </w:rPr>
              <w:t>Conduct, IvI, BI/PD, ERISA, Pollution, Other Insurance, Professional Services, Prior Knowledge/Notice (§§ 5.1–5.8)</w:t>
            </w:r>
          </w:p>
        </w:tc>
        <w:tc>
          <w:tcPr>
            <w:tcW w:type="dxa" w:w="1944"/>
          </w:tcPr>
          <w:p>
            <w:pPr>
              <w:spacing w:after="40"/>
            </w:pPr>
            <w:r/>
            <w:r>
              <w:rPr>
                <w:sz w:val="16"/>
              </w:rPr>
              <w:t>Gaps 3, 4, 10, 12</w:t>
            </w:r>
          </w:p>
        </w:tc>
      </w:tr>
      <w:tr>
        <w:tc>
          <w:tcPr>
            <w:tcW w:type="dxa" w:w="1584"/>
          </w:tcPr>
          <w:p>
            <w:pPr>
              <w:spacing w:after="40"/>
            </w:pPr>
            <w:r/>
            <w:r>
              <w:rPr>
                <w:sz w:val="16"/>
              </w:rPr>
              <w:t>Settlement</w:t>
            </w:r>
          </w:p>
        </w:tc>
        <w:tc>
          <w:tcPr>
            <w:tcW w:type="dxa" w:w="2808"/>
          </w:tcPr>
          <w:p>
            <w:pPr>
              <w:spacing w:after="40"/>
            </w:pPr>
            <w:r/>
            <w:r>
              <w:rPr>
                <w:sz w:val="16"/>
              </w:rPr>
              <w:t>Company consent, not unreasonably withheld; deemed after 30 days (§ 7(d))</w:t>
            </w:r>
          </w:p>
        </w:tc>
        <w:tc>
          <w:tcPr>
            <w:tcW w:type="dxa" w:w="3024"/>
          </w:tcPr>
          <w:p>
            <w:pPr>
              <w:spacing w:after="40"/>
            </w:pPr>
            <w:r/>
            <w:r>
              <w:rPr>
                <w:sz w:val="16"/>
              </w:rPr>
              <w:t>Insurer consent with specified grounds; full hammer (§§ 7.2–7.3)</w:t>
            </w:r>
          </w:p>
        </w:tc>
        <w:tc>
          <w:tcPr>
            <w:tcW w:type="dxa" w:w="1944"/>
          </w:tcPr>
          <w:p>
            <w:pPr>
              <w:spacing w:after="40"/>
            </w:pPr>
            <w:r/>
            <w:r>
              <w:rPr>
                <w:sz w:val="16"/>
              </w:rPr>
              <w:t>Gap 9</w:t>
            </w:r>
          </w:p>
        </w:tc>
      </w:tr>
      <w:tr>
        <w:tc>
          <w:tcPr>
            <w:tcW w:type="dxa" w:w="1584"/>
          </w:tcPr>
          <w:p>
            <w:pPr>
              <w:spacing w:after="40"/>
            </w:pPr>
            <w:r/>
            <w:r>
              <w:rPr>
                <w:sz w:val="16"/>
              </w:rPr>
              <w:t>Severability / imputation</w:t>
            </w:r>
          </w:p>
        </w:tc>
        <w:tc>
          <w:tcPr>
            <w:tcW w:type="dxa" w:w="2808"/>
          </w:tcPr>
          <w:p>
            <w:pPr>
              <w:spacing w:after="40"/>
            </w:pPr>
            <w:r/>
            <w:r>
              <w:rPr>
                <w:sz w:val="16"/>
              </w:rPr>
              <w:t>No imputation for any purpose (§ 8)</w:t>
            </w:r>
          </w:p>
        </w:tc>
        <w:tc>
          <w:tcPr>
            <w:tcW w:type="dxa" w:w="3024"/>
          </w:tcPr>
          <w:p>
            <w:pPr>
              <w:spacing w:after="40"/>
            </w:pPr>
            <w:r/>
            <w:r>
              <w:rPr>
                <w:sz w:val="16"/>
              </w:rPr>
              <w:t>Conduct exclusion and Application only (§ 11; End. No. 1)</w:t>
            </w:r>
          </w:p>
        </w:tc>
        <w:tc>
          <w:tcPr>
            <w:tcW w:type="dxa" w:w="1944"/>
          </w:tcPr>
          <w:p>
            <w:pPr>
              <w:spacing w:after="40"/>
            </w:pPr>
            <w:r/>
            <w:r>
              <w:rPr>
                <w:sz w:val="16"/>
              </w:rPr>
              <w:t>Gap 10</w:t>
            </w:r>
          </w:p>
        </w:tc>
      </w:tr>
      <w:tr>
        <w:tc>
          <w:tcPr>
            <w:tcW w:type="dxa" w:w="1584"/>
          </w:tcPr>
          <w:p>
            <w:pPr>
              <w:spacing w:after="40"/>
            </w:pPr>
            <w:r/>
            <w:r>
              <w:rPr>
                <w:sz w:val="16"/>
              </w:rPr>
              <w:t>Insurance maintenance</w:t>
            </w:r>
          </w:p>
        </w:tc>
        <w:tc>
          <w:tcPr>
            <w:tcW w:type="dxa" w:w="2808"/>
          </w:tcPr>
          <w:p>
            <w:pPr>
              <w:spacing w:after="40"/>
            </w:pPr>
            <w:r/>
            <w:r>
              <w:rPr>
                <w:sz w:val="16"/>
              </w:rPr>
              <w:t>Commercially reasonable efforts; commercially reasonable terms; survives (§ 11)</w:t>
            </w:r>
          </w:p>
        </w:tc>
        <w:tc>
          <w:tcPr>
            <w:tcW w:type="dxa" w:w="3024"/>
          </w:tcPr>
          <w:p>
            <w:pPr>
              <w:spacing w:after="40"/>
            </w:pPr>
            <w:r/>
            <w:r>
              <w:rPr>
                <w:sz w:val="16"/>
              </w:rPr>
              <w:t>Annual claims-made; 90-day non-renewal notice; non-cancellable by insurer except non-payment (§ 16)</w:t>
            </w:r>
          </w:p>
        </w:tc>
        <w:tc>
          <w:tcPr>
            <w:tcW w:type="dxa" w:w="1944"/>
          </w:tcPr>
          <w:p>
            <w:pPr>
              <w:spacing w:after="40"/>
            </w:pPr>
            <w:r/>
            <w:r>
              <w:rPr>
                <w:sz w:val="16"/>
              </w:rPr>
              <w:t>Gap 2</w:t>
            </w:r>
          </w:p>
        </w:tc>
      </w:tr>
      <w:tr>
        <w:tc>
          <w:tcPr>
            <w:tcW w:type="dxa" w:w="1584"/>
          </w:tcPr>
          <w:p>
            <w:pPr>
              <w:spacing w:after="40"/>
            </w:pPr>
            <w:r/>
            <w:r>
              <w:rPr>
                <w:sz w:val="16"/>
              </w:rPr>
              <w:t>Tail / run-off</w:t>
            </w:r>
          </w:p>
        </w:tc>
        <w:tc>
          <w:tcPr>
            <w:tcW w:type="dxa" w:w="2808"/>
          </w:tcPr>
          <w:p>
            <w:pPr>
              <w:spacing w:after="40"/>
            </w:pPr>
            <w:r/>
            <w:r>
              <w:rPr>
                <w:sz w:val="16"/>
              </w:rPr>
              <w:t>None</w:t>
            </w:r>
          </w:p>
        </w:tc>
        <w:tc>
          <w:tcPr>
            <w:tcW w:type="dxa" w:w="3024"/>
          </w:tcPr>
          <w:p>
            <w:pPr>
              <w:spacing w:after="40"/>
            </w:pPr>
            <w:r/>
            <w:r>
              <w:rPr>
                <w:sz w:val="16"/>
              </w:rPr>
              <w:t>Discovery Period 12 mo. (100%) / 24 mo. (175%); Insurer non-renewal only; barred by replacement or Company cancellation; Named Insured only; 30-day window; no added limits (§ 10)</w:t>
            </w:r>
          </w:p>
        </w:tc>
        <w:tc>
          <w:tcPr>
            <w:tcW w:type="dxa" w:w="1944"/>
          </w:tcPr>
          <w:p>
            <w:pPr>
              <w:spacing w:after="40"/>
            </w:pPr>
            <w:r/>
            <w:r>
              <w:rPr>
                <w:sz w:val="16"/>
              </w:rPr>
              <w:t>Gap 1 (critical)</w:t>
            </w:r>
          </w:p>
        </w:tc>
      </w:tr>
      <w:tr>
        <w:tc>
          <w:tcPr>
            <w:tcW w:type="dxa" w:w="1584"/>
          </w:tcPr>
          <w:p>
            <w:pPr>
              <w:spacing w:after="40"/>
            </w:pPr>
            <w:r/>
            <w:r>
              <w:rPr>
                <w:sz w:val="16"/>
              </w:rPr>
              <w:t>Change of Control</w:t>
            </w:r>
          </w:p>
        </w:tc>
        <w:tc>
          <w:tcPr>
            <w:tcW w:type="dxa" w:w="2808"/>
          </w:tcPr>
          <w:p>
            <w:pPr>
              <w:spacing w:after="40"/>
            </w:pPr>
            <w:r/>
            <w:r>
              <w:rPr>
                <w:sz w:val="16"/>
              </w:rPr>
              <w:t>Defined (§ 1(b)); Independent Counsel determination (§ 6(b)); successor assumption (§ 17)</w:t>
            </w:r>
          </w:p>
        </w:tc>
        <w:tc>
          <w:tcPr>
            <w:tcW w:type="dxa" w:w="3024"/>
          </w:tcPr>
          <w:p>
            <w:pPr>
              <w:spacing w:after="40"/>
            </w:pPr>
            <w:r/>
            <w:r>
              <w:rPr>
                <w:sz w:val="16"/>
              </w:rPr>
              <w:t>No transaction clause</w:t>
            </w:r>
          </w:p>
        </w:tc>
        <w:tc>
          <w:tcPr>
            <w:tcW w:type="dxa" w:w="1944"/>
          </w:tcPr>
          <w:p>
            <w:pPr>
              <w:spacing w:after="40"/>
            </w:pPr>
            <w:r/>
            <w:r>
              <w:rPr>
                <w:sz w:val="16"/>
              </w:rPr>
              <w:t>Gap 1</w:t>
            </w:r>
          </w:p>
        </w:tc>
      </w:tr>
      <w:tr>
        <w:tc>
          <w:tcPr>
            <w:tcW w:type="dxa" w:w="1584"/>
          </w:tcPr>
          <w:p>
            <w:pPr>
              <w:spacing w:after="40"/>
            </w:pPr>
            <w:r/>
            <w:r>
              <w:rPr>
                <w:sz w:val="16"/>
              </w:rPr>
              <w:t>Priority / primacy</w:t>
            </w:r>
          </w:p>
        </w:tc>
        <w:tc>
          <w:tcPr>
            <w:tcW w:type="dxa" w:w="2808"/>
          </w:tcPr>
          <w:p>
            <w:pPr>
              <w:spacing w:after="40"/>
            </w:pPr>
            <w:r/>
            <w:r>
              <w:rPr>
                <w:sz w:val="16"/>
              </w:rPr>
              <w:t>Company primary; no exhaustion (§§ 9(d), 12)</w:t>
            </w:r>
          </w:p>
        </w:tc>
        <w:tc>
          <w:tcPr>
            <w:tcW w:type="dxa" w:w="3024"/>
          </w:tcPr>
          <w:p>
            <w:pPr>
              <w:spacing w:after="40"/>
            </w:pPr>
            <w:r/>
            <w:r>
              <w:rPr>
                <w:sz w:val="16"/>
              </w:rPr>
              <w:t>Side A primary (§ 13.2); order of payments A-B-C (§ 14; End. No. 3)</w:t>
            </w:r>
          </w:p>
        </w:tc>
        <w:tc>
          <w:tcPr>
            <w:tcW w:type="dxa" w:w="1944"/>
          </w:tcPr>
          <w:p>
            <w:pPr>
              <w:spacing w:after="40"/>
            </w:pPr>
            <w:r/>
            <w:r>
              <w:rPr>
                <w:sz w:val="16"/>
              </w:rPr>
              <w:t>Aligned (strength)</w:t>
            </w:r>
          </w:p>
        </w:tc>
      </w:tr>
      <w:tr>
        <w:tc>
          <w:tcPr>
            <w:tcW w:type="dxa" w:w="1584"/>
          </w:tcPr>
          <w:p>
            <w:pPr>
              <w:spacing w:after="40"/>
            </w:pPr>
            <w:r/>
            <w:r>
              <w:rPr>
                <w:sz w:val="16"/>
              </w:rPr>
              <w:t>Refusal / inability to indemnify</w:t>
            </w:r>
          </w:p>
        </w:tc>
        <w:tc>
          <w:tcPr>
            <w:tcW w:type="dxa" w:w="2808"/>
          </w:tcPr>
          <w:p>
            <w:pPr>
              <w:spacing w:after="40"/>
            </w:pPr>
            <w:r/>
            <w:r>
              <w:rPr>
                <w:sz w:val="16"/>
              </w:rPr>
              <w:t>Enforcement, fee-shifting, specific performance (§§ 9, 15)</w:t>
            </w:r>
          </w:p>
        </w:tc>
        <w:tc>
          <w:tcPr>
            <w:tcW w:type="dxa" w:w="3024"/>
          </w:tcPr>
          <w:p>
            <w:pPr>
              <w:spacing w:after="40"/>
            </w:pPr>
            <w:r/>
            <w:r>
              <w:rPr>
                <w:sz w:val="16"/>
              </w:rPr>
              <w:t>Side A responds to refusal, inability, prohibition (End. No. 2)</w:t>
            </w:r>
          </w:p>
        </w:tc>
        <w:tc>
          <w:tcPr>
            <w:tcW w:type="dxa" w:w="1944"/>
          </w:tcPr>
          <w:p>
            <w:pPr>
              <w:spacing w:after="40"/>
            </w:pPr>
            <w:r/>
            <w:r>
              <w:rPr>
                <w:sz w:val="16"/>
              </w:rPr>
              <w:t>Aligned (strength)</w:t>
            </w:r>
          </w:p>
        </w:tc>
      </w:tr>
      <w:tr>
        <w:tc>
          <w:tcPr>
            <w:tcW w:type="dxa" w:w="1584"/>
          </w:tcPr>
          <w:p>
            <w:pPr>
              <w:spacing w:after="40"/>
            </w:pPr>
            <w:r/>
            <w:r>
              <w:rPr>
                <w:sz w:val="16"/>
              </w:rPr>
              <w:t>Subrogation</w:t>
            </w:r>
          </w:p>
        </w:tc>
        <w:tc>
          <w:tcPr>
            <w:tcW w:type="dxa" w:w="2808"/>
          </w:tcPr>
          <w:p>
            <w:pPr>
              <w:spacing w:after="40"/>
            </w:pPr>
            <w:r/>
            <w:r>
              <w:rPr>
                <w:sz w:val="16"/>
              </w:rPr>
              <w:t>Company subrogated to Indemnitee’s rights, subject to policy anti-subrogation; Indemnitee may not settle with insurers without consent (§ 13)</w:t>
            </w:r>
          </w:p>
        </w:tc>
        <w:tc>
          <w:tcPr>
            <w:tcW w:type="dxa" w:w="3024"/>
          </w:tcPr>
          <w:p>
            <w:pPr>
              <w:spacing w:after="40"/>
            </w:pPr>
            <w:r/>
            <w:r>
              <w:rPr>
                <w:sz w:val="16"/>
              </w:rPr>
              <w:t>Insurer waives subrogation against Insured Persons absent adjudicated conduct (§ 12.2)</w:t>
            </w:r>
          </w:p>
        </w:tc>
        <w:tc>
          <w:tcPr>
            <w:tcW w:type="dxa" w:w="1944"/>
          </w:tcPr>
          <w:p>
            <w:pPr>
              <w:spacing w:after="40"/>
            </w:pPr>
            <w:r/>
            <w:r>
              <w:rPr>
                <w:sz w:val="16"/>
              </w:rPr>
              <w:t>Aligned; Gap 15 on consent</w:t>
            </w:r>
          </w:p>
        </w:tc>
      </w:tr>
      <w:tr>
        <w:tc>
          <w:tcPr>
            <w:tcW w:type="dxa" w:w="1584"/>
          </w:tcPr>
          <w:p>
            <w:pPr>
              <w:spacing w:after="40"/>
            </w:pPr>
            <w:r/>
            <w:r>
              <w:rPr>
                <w:sz w:val="16"/>
              </w:rPr>
              <w:t>Contribution</w:t>
            </w:r>
          </w:p>
        </w:tc>
        <w:tc>
          <w:tcPr>
            <w:tcW w:type="dxa" w:w="2808"/>
          </w:tcPr>
          <w:p>
            <w:pPr>
              <w:spacing w:after="40"/>
            </w:pPr>
            <w:r/>
            <w:r>
              <w:rPr>
                <w:sz w:val="16"/>
              </w:rPr>
              <w:t>Company contributes if indemnity unavailable; implied Indemnitee contribution capped at 12 months’ compensation (§ 10)</w:t>
            </w:r>
          </w:p>
        </w:tc>
        <w:tc>
          <w:tcPr>
            <w:tcW w:type="dxa" w:w="3024"/>
          </w:tcPr>
          <w:p>
            <w:pPr>
              <w:spacing w:after="40"/>
            </w:pPr>
            <w:r/>
            <w:r>
              <w:rPr>
                <w:sz w:val="16"/>
              </w:rPr>
              <w:t>N/A</w:t>
            </w:r>
          </w:p>
        </w:tc>
        <w:tc>
          <w:tcPr>
            <w:tcW w:type="dxa" w:w="1944"/>
          </w:tcPr>
          <w:p>
            <w:pPr>
              <w:spacing w:after="40"/>
            </w:pPr>
            <w:r/>
            <w:r>
              <w:rPr>
                <w:sz w:val="16"/>
              </w:rPr>
              <w:t>Gap 15</w:t>
            </w:r>
          </w:p>
        </w:tc>
      </w:tr>
      <w:tr>
        <w:tc>
          <w:tcPr>
            <w:tcW w:type="dxa" w:w="1584"/>
          </w:tcPr>
          <w:p>
            <w:pPr>
              <w:spacing w:after="40"/>
            </w:pPr>
            <w:r/>
            <w:r>
              <w:rPr>
                <w:sz w:val="16"/>
              </w:rPr>
              <w:t>Governing law / forum</w:t>
            </w:r>
          </w:p>
        </w:tc>
        <w:tc>
          <w:tcPr>
            <w:tcW w:type="dxa" w:w="2808"/>
          </w:tcPr>
          <w:p>
            <w:pPr>
              <w:spacing w:after="40"/>
            </w:pPr>
            <w:r/>
            <w:r>
              <w:rPr>
                <w:sz w:val="16"/>
              </w:rPr>
              <w:t>Delaware; Court of Chancery (§ 18(a)–(b))</w:t>
            </w:r>
          </w:p>
        </w:tc>
        <w:tc>
          <w:tcPr>
            <w:tcW w:type="dxa" w:w="3024"/>
          </w:tcPr>
          <w:p>
            <w:pPr>
              <w:spacing w:after="40"/>
            </w:pPr>
            <w:r/>
            <w:r>
              <w:rPr>
                <w:sz w:val="16"/>
              </w:rPr>
              <w:t>Delaware law and courts (§ 20)</w:t>
            </w:r>
          </w:p>
        </w:tc>
        <w:tc>
          <w:tcPr>
            <w:tcW w:type="dxa" w:w="1944"/>
          </w:tcPr>
          <w:p>
            <w:pPr>
              <w:spacing w:after="40"/>
            </w:pPr>
            <w:r/>
            <w:r>
              <w:rPr>
                <w:sz w:val="16"/>
              </w:rPr>
              <w:t>Aligned (Broker Summary says Connecticut — incorrect)</w:t>
            </w:r>
          </w:p>
        </w:tc>
      </w:tr>
    </w:tbl>
    <w:p>
      <w:pPr>
        <w:spacing w:after="40"/>
      </w:pPr>
    </w:p>
    <w:p>
      <w:pPr>
        <w:pStyle w:val="Heading1"/>
      </w:pPr>
      <w:r>
        <w:t>Appendix B — Proposed Agreement Language (Draft for Discussion)</w:t>
      </w:r>
    </w:p>
    <w:p>
      <w:pPr>
        <w:jc w:val="both"/>
      </w:pPr>
      <w:r>
        <w:rPr>
          <w:b/>
        </w:rPr>
        <w:t>New Section 11(d) — Change of Control Tail Coverage.</w:t>
      </w:r>
    </w:p>
    <w:p>
      <w:pPr>
        <w:ind w:left="432"/>
        <w:jc w:val="both"/>
      </w:pPr>
      <w:r>
        <w:rPr>
          <w:sz w:val="20"/>
        </w:rPr>
        <w:t>“(d) Change of Control Tail Coverage. In connection with, and effective no later than the consummation of, any Change of Control, any sale of all or substantially all of the assets of the Company, or any plan of dissolution or liquidation of the Company (each, a “Covered Transaction”), the Company shall (and, if applicable, shall cause its successor to) obtain prepaid, non-cancellable “tail” or run-off D&amp;O Insurance policies, effective for a period of not less than six (6) years following such consummation (the “Tail Period”), covering claims arising from facts, events, acts or omissions that existed or occurred at or prior to such consummation (including in connection with the Covered Transaction and the approval thereof), with coverage for the Indemnitee (including coverage of the type provided under Side A and any excess Side A or difference-in-conditions coverage) and with limits of liability, retentions, and other terms and conditions that are no less favorable to the Indemnitee than those of the D&amp;O Insurance in effect immediately prior to such consummation; provided, however, that the Company shall not be required to pay aggregate premiums for such tail policies in excess of three hundred percent (300%) of the aggregate annual premium most recently paid by the Company for its D&amp;O Insurance (the “Tail Cap”), and provided further that, if such coverage can be obtained only at a cost exceeding the Tail Cap, the Company shall obtain the greatest coverage available for a cost equal to the Tail Cap. The Company’s obligation under this Section 11(d) may be satisfied by a written covenant of the acquiring or surviving entity in the definitive agreement for the Covered Transaction to maintain, for the Tail Period, D&amp;O Insurance satisfying the requirements of this Section 11(d), which covenant shall expressly name the Indemnitee as an intended third-party beneficiary entitled to enforce it. Neither the Company nor any successor shall amend, cancel, rescind, or permit the lapse of any tail policy obtained pursuant to this Section 11(d). The obligations under this Section 11(d) shall be binding upon any successor in accordance with Section 17.”</w:t>
      </w:r>
    </w:p>
    <w:p>
      <w:pPr>
        <w:jc w:val="both"/>
      </w:pPr>
      <w:r>
        <w:rPr>
          <w:b/>
        </w:rPr>
        <w:t>New Section 11(e) — Lapse Without Replacement.</w:t>
      </w:r>
    </w:p>
    <w:p>
      <w:pPr>
        <w:ind w:left="432"/>
        <w:jc w:val="both"/>
      </w:pPr>
      <w:r>
        <w:rPr>
          <w:sz w:val="20"/>
        </w:rPr>
        <w:t>“(e) Lapse Without Replacement. If any D&amp;O Insurance is not renewed or is cancelled, and is not replaced, prior to its expiration, with D&amp;O Insurance satisfying Section 11(a) (including preservation of the existing continuity or prior-acts date), the Company shall (i) give the Indemnitee written notice not later than sixty (60) days before such expiration (or, if later, within ten (10) business days after the Company receives notice of non-renewal from any insurer), (ii) timely elect and pay for the longest extended reporting or discovery period available under such D&amp;O Insurance, and (iii) use its reasonable best efforts to obtain run-off coverage for a period of up to six (6) years, subject to the Tail Cap. If the Company fails to make such election, the Indemnitee may require the Company to do so on the Indemnitee’s behalf.”</w:t>
      </w:r>
    </w:p>
    <w:p>
      <w:pPr>
        <w:jc w:val="both"/>
      </w:pPr>
      <w:r>
        <w:rPr>
          <w:b/>
        </w:rPr>
        <w:t>New Section 11(f) — Insolvency Cooperation.</w:t>
      </w:r>
    </w:p>
    <w:p>
      <w:pPr>
        <w:ind w:left="432"/>
        <w:jc w:val="both"/>
      </w:pPr>
      <w:r>
        <w:rPr>
          <w:sz w:val="20"/>
        </w:rPr>
        <w:t>“(f) Insolvency Cooperation. In any bankruptcy, insolvency, receivership or similar proceeding involving the Company, the Company shall not assert, and shall use its best efforts to cause any trustee, debtor in possession or estate representative not to assert, that the proceeds of any D&amp;O Insurance payable to or on behalf of the Indemnitee for Loss that the Company does not indemnify are property of the Company’s estate, and the Company shall promptly consent to, and seek, any order necessary to permit the payment or advancement of such proceeds to or on behalf of the Indemnitee.”</w:t>
      </w:r>
    </w:p>
    <w:p>
      <w:pPr>
        <w:jc w:val="both"/>
      </w:pPr>
      <w:r>
        <w:rPr>
          <w:b/>
        </w:rPr>
        <w:t>Revised Section 10 (second paragraph, first sentence).</w:t>
      </w:r>
    </w:p>
    <w:p>
      <w:pPr>
        <w:ind w:left="432"/>
        <w:jc w:val="both"/>
      </w:pPr>
      <w:r>
        <w:rPr>
          <w:sz w:val="20"/>
        </w:rPr>
        <w:t>“Nothing in this Section 10 shall obligate the Indemnitee to contribute to any amount payable by the Company, and the Company shall not seek contribution from the Indemnitee in respect of any Proceeding arising by reason of the Indemnitee’s Corporate Status, except to the extent required by applicable law that cannot be waived.”</w:t>
      </w:r>
    </w:p>
    <w:p>
      <w:pPr>
        <w:jc w:val="both"/>
      </w:pPr>
      <w:r>
        <w:rPr>
          <w:b/>
        </w:rPr>
        <w:t>Addition to Section 13.</w:t>
      </w:r>
    </w:p>
    <w:p>
      <w:pPr>
        <w:ind w:left="432"/>
        <w:jc w:val="both"/>
      </w:pPr>
      <w:r>
        <w:rPr>
          <w:sz w:val="20"/>
        </w:rPr>
        <w:t>“The foregoing consent requirement shall not apply to any claim by the Indemnitee under coverage of the type provided under Side A or any excess Side A or difference-in-conditions policy if the Company has failed to advance or indemnify within the time periods required by this Agreement, is subject to any insolvency proceeding, or is adverse to the Indemnitee in the relevant Proceeding.”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Harcourt Nash LLP — D&amp;O Policy / Indemnification Agreement Gap Analysis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