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18"/>
        </w:rPr>
        <w:t>PRIVILEGED &amp; CONFIDENTIAL — ATTORNEY-CLIENT COMMUNICATION — ATTORNEY WORK PRODUCT</w:t>
      </w:r>
    </w:p>
    <w:p>
      <w:pPr>
        <w:spacing w:after="0"/>
        <w:jc w:val="center"/>
      </w:pPr>
      <w:r>
        <w:rPr>
          <w:b/>
          <w:i w:val="0"/>
          <w:sz w:val="28"/>
        </w:rPr>
        <w:t>LEDGERWOOD &amp; PRATT LLP</w:t>
      </w:r>
    </w:p>
    <w:p>
      <w:pPr>
        <w:jc w:val="center"/>
      </w:pPr>
      <w:r>
        <w:rPr>
          <w:b w:val="0"/>
          <w:i w:val="0"/>
          <w:sz w:val="20"/>
        </w:rPr>
        <w:t>600 Lexington Avenue, 22nd Floor, New York, NY 10022</w:t>
      </w:r>
    </w:p>
    <w:p>
      <w:pPr>
        <w:jc w:val="center"/>
      </w:pPr>
      <w:r>
        <w:rPr>
          <w:b/>
          <w:i w:val="0"/>
          <w:sz w:val="26"/>
        </w:rPr>
        <w:t>MEMORANDUM</w:t>
      </w:r>
    </w:p>
    <w:tbl>
      <w:tblPr>
        <w:tblW w:type="auto" w:w="0"/>
        <w:tblLook w:firstColumn="1" w:firstRow="1" w:lastColumn="0" w:lastRow="0" w:noHBand="0" w:noVBand="1" w:val="04A0"/>
      </w:tblPr>
      <w:tblGrid>
        <w:gridCol w:w="4680"/>
        <w:gridCol w:w="4680"/>
      </w:tblGrid>
      <w:tr>
        <w:tc>
          <w:tcPr>
            <w:tcW w:type="dxa" w:w="1296"/>
          </w:tcPr>
          <w:p>
            <w:r/>
            <w:r>
              <w:rPr>
                <w:b/>
                <w:i w:val="0"/>
              </w:rPr>
              <w:t>TO:</w:t>
            </w:r>
          </w:p>
        </w:tc>
        <w:tc>
          <w:tcPr>
            <w:tcW w:type="dxa" w:w="8064"/>
          </w:tcPr>
          <w:p>
            <w:r/>
            <w:r>
              <w:rPr>
                <w:b w:val="0"/>
                <w:i w:val="0"/>
              </w:rPr>
              <w:t>Deidre Hartwell, General Counsel, Voss Dynamics Inc.</w:t>
            </w:r>
          </w:p>
        </w:tc>
      </w:tr>
      <w:tr>
        <w:tc>
          <w:tcPr>
            <w:tcW w:type="dxa" w:w="1296"/>
          </w:tcPr>
          <w:p>
            <w:r/>
            <w:r>
              <w:rPr>
                <w:b/>
                <w:i w:val="0"/>
              </w:rPr>
              <w:t>CC:</w:t>
            </w:r>
          </w:p>
        </w:tc>
        <w:tc>
          <w:tcPr>
            <w:tcW w:type="dxa" w:w="8064"/>
          </w:tcPr>
          <w:p>
            <w:r/>
            <w:r>
              <w:rPr>
                <w:b w:val="0"/>
                <w:i w:val="0"/>
              </w:rPr>
              <w:t>Rachel Sung-Kwan, Chief Financial Officer, Voss Dynamics Inc.</w:t>
            </w:r>
          </w:p>
        </w:tc>
      </w:tr>
      <w:tr>
        <w:tc>
          <w:tcPr>
            <w:tcW w:type="dxa" w:w="1296"/>
          </w:tcPr>
          <w:p>
            <w:r/>
            <w:r>
              <w:rPr>
                <w:b/>
                <w:i w:val="0"/>
              </w:rPr>
              <w:t>FROM:</w:t>
            </w:r>
          </w:p>
        </w:tc>
        <w:tc>
          <w:tcPr>
            <w:tcW w:type="dxa" w:w="8064"/>
          </w:tcPr>
          <w:p>
            <w:r/>
            <w:r>
              <w:rPr>
                <w:b w:val="0"/>
                <w:i w:val="0"/>
              </w:rPr>
              <w:t>Ledgerwood &amp; Pratt LLP (Katherine Linden, Partner, M&amp;A Practice Group)</w:t>
            </w:r>
          </w:p>
        </w:tc>
      </w:tr>
      <w:tr>
        <w:tc>
          <w:tcPr>
            <w:tcW w:type="dxa" w:w="1296"/>
          </w:tcPr>
          <w:p>
            <w:r/>
            <w:r>
              <w:rPr>
                <w:b/>
                <w:i w:val="0"/>
              </w:rPr>
              <w:t>DATE:</w:t>
            </w:r>
          </w:p>
        </w:tc>
        <w:tc>
          <w:tcPr>
            <w:tcW w:type="dxa" w:w="8064"/>
          </w:tcPr>
          <w:p>
            <w:r/>
            <w:r>
              <w:rPr>
                <w:b w:val="0"/>
                <w:i w:val="0"/>
              </w:rPr>
              <w:t>March 14, 2025</w:t>
            </w:r>
          </w:p>
        </w:tc>
      </w:tr>
      <w:tr>
        <w:tc>
          <w:tcPr>
            <w:tcW w:type="dxa" w:w="1296"/>
          </w:tcPr>
          <w:p>
            <w:r/>
            <w:r>
              <w:rPr>
                <w:b/>
                <w:i w:val="0"/>
              </w:rPr>
              <w:t>RE:</w:t>
            </w:r>
          </w:p>
        </w:tc>
        <w:tc>
          <w:tcPr>
            <w:tcW w:type="dxa" w:w="8064"/>
          </w:tcPr>
          <w:p>
            <w:r/>
            <w:r>
              <w:rPr>
                <w:b w:val="0"/>
                <w:i w:val="0"/>
              </w:rPr>
              <w:t>Thorngate Partners LLC Draft Engagement Letter (dated March 3, 2025): Markup Commentary, Proposed Resolutions, and Priority Ranking</w:t>
            </w:r>
          </w:p>
        </w:tc>
      </w:tr>
    </w:tbl>
    <w:p>
      <w:pPr>
        <w:spacing w:after="120"/>
      </w:pPr>
      <w:r>
        <w:rPr>
          <w:b w:val="0"/>
          <w:i w:val="0"/>
        </w:rPr>
        <w:t>______________________________________________________________________________________</w:t>
      </w:r>
    </w:p>
    <w:p>
      <w:pPr>
        <w:pStyle w:val="Heading1"/>
      </w:pPr>
      <w:r>
        <w:t>I. Executive Summary</w:t>
      </w:r>
    </w:p>
    <w:p>
      <w:r>
        <w:rPr>
          <w:b w:val="0"/>
          <w:i w:val="0"/>
        </w:rPr>
        <w:t>You asked us to review the draft engagement letter from Thorngate Partners LLC ("Thorngate") under which Thorngate would act as exclusive financial advisor to Voss Dynamics Inc. (the "Company") on a potential sale. We reviewed it against your March 10, 2025 email and our firm's engagement letter review playbook. This memo accompanies our redline (engagement-letter-markup.docx). The redline shows every revision as a tracked change, with a margin comment explaining each substantive change.</w:t>
      </w:r>
    </w:p>
    <w:p>
      <w:r>
        <w:rPr>
          <w:b/>
          <w:i w:val="0"/>
        </w:rPr>
        <w:t>Bottom line.</w:t>
      </w:r>
      <w:r>
        <w:rPr>
          <w:b w:val="0"/>
          <w:i w:val="0"/>
        </w:rPr>
        <w:t xml:space="preserve"> The draft is a bank-form letter and is advisor-favorable in several respects. Many of its provisions are within market, and we have left them alone. However, eight provisions are, in our view, </w:t>
      </w:r>
      <w:r>
        <w:rPr>
          <w:b/>
          <w:i w:val="0"/>
        </w:rPr>
        <w:t>Critical</w:t>
      </w:r>
      <w:r>
        <w:rPr>
          <w:b w:val="0"/>
          <w:i w:val="0"/>
        </w:rPr>
        <w:t xml:space="preserve">: they must be resolved before the Transaction Committee authorizes execution. A further group of </w:t>
      </w:r>
      <w:r>
        <w:rPr>
          <w:b/>
          <w:i w:val="0"/>
        </w:rPr>
        <w:t>Important</w:t>
      </w:r>
      <w:r>
        <w:rPr>
          <w:b w:val="0"/>
          <w:i w:val="0"/>
        </w:rPr>
        <w:t xml:space="preserve"> items should be negotiated, but there is room for compromise on them. Most of the Critical items are ones you specifically flagged:</w:t>
      </w:r>
    </w:p>
    <w:p>
      <w:pPr>
        <w:pStyle w:val="ListBullet"/>
      </w:pPr>
      <w:r>
        <w:rPr>
          <w:b/>
          <w:i w:val="0"/>
        </w:rPr>
        <w:t>Transaction definition (§2).</w:t>
      </w:r>
      <w:r>
        <w:rPr>
          <w:b w:val="0"/>
          <w:i w:val="0"/>
        </w:rPr>
        <w:t xml:space="preserve"> The definition covers almost any corporate activity of the Company or any subsidiary, including joint ventures, minority investments and recapitalizations, and has a catch-all. It would expose the pending Japanese robotics joint venture to a fee claim. We narrowed it to a Change of Control, with express exclusions.</w:t>
      </w:r>
    </w:p>
    <w:p>
      <w:pPr>
        <w:pStyle w:val="ListBullet"/>
      </w:pPr>
      <w:r>
        <w:rPr>
          <w:b/>
          <w:i w:val="0"/>
        </w:rPr>
        <w:t>Aggregate Consideration (§4(b)).</w:t>
      </w:r>
      <w:r>
        <w:rPr>
          <w:b w:val="0"/>
          <w:i w:val="0"/>
        </w:rPr>
        <w:t xml:space="preserve"> Earnouts are valued at their maximum, and consulting, employment and non-compete payments to individuals are included. This is particularly relevant to Mr. Voss's likely post-closing arrangements. Under our revision, the fee on earnouts and escrows is paid only when those amounts are received, and personal compensation is excluded.</w:t>
      </w:r>
    </w:p>
    <w:p>
      <w:pPr>
        <w:pStyle w:val="ListBullet"/>
      </w:pPr>
      <w:r>
        <w:rPr>
          <w:b/>
          <w:i w:val="0"/>
        </w:rPr>
        <w:t>Tail (§5).</w:t>
      </w:r>
      <w:r>
        <w:rPr>
          <w:b w:val="0"/>
          <w:i w:val="0"/>
        </w:rPr>
        <w:t xml:space="preserve"> The 24-month tail is off-market. It also reaches parties Thorngate never contacted ("otherwise known to" Thorngate, inbound parties, any list) and applies "regardless of who introduced" the party. We reduced it to 12 months and limited it to a delivered written Tail Party List.</w:t>
      </w:r>
    </w:p>
    <w:p>
      <w:pPr>
        <w:pStyle w:val="ListBullet"/>
      </w:pPr>
      <w:r>
        <w:rPr>
          <w:b/>
          <w:i w:val="0"/>
        </w:rPr>
        <w:t>$500,000 early termination fee (§7).</w:t>
      </w:r>
      <w:r>
        <w:rPr>
          <w:b w:val="0"/>
          <w:i w:val="0"/>
        </w:rPr>
        <w:t xml:space="preserve"> This is not customary. We deleted it, preserving penalty-free termination on 30 days' notice, plus immediate termination for Cause.</w:t>
      </w:r>
    </w:p>
    <w:p>
      <w:pPr>
        <w:pStyle w:val="ListBullet"/>
      </w:pPr>
      <w:r>
        <w:rPr>
          <w:b/>
          <w:i w:val="0"/>
        </w:rPr>
        <w:t>Indemnification (§8 / Exhibit A).</w:t>
      </w:r>
      <w:r>
        <w:rPr>
          <w:b w:val="0"/>
          <w:i w:val="0"/>
        </w:rPr>
        <w:t xml:space="preserve"> The carve-outs cover only gross negligence and willful misconduct, survival is indefinite, and Exhibit A controls over the letter even though its "Detailed Terms and Conditions" were never provided. We expanded the carve-outs, set survival at 3 years, made the letter control, and require delivery of the complete Exhibit A.</w:t>
      </w:r>
    </w:p>
    <w:p>
      <w:pPr>
        <w:pStyle w:val="ListBullet"/>
      </w:pPr>
      <w:r>
        <w:rPr>
          <w:b/>
          <w:i w:val="0"/>
        </w:rPr>
        <w:t>Thorngate as principal (§10).</w:t>
      </w:r>
      <w:r>
        <w:rPr>
          <w:b w:val="0"/>
          <w:i w:val="0"/>
        </w:rPr>
        <w:t xml:space="preserve"> The draft lets Thorngate or its funds buy the Company with only after-the-fact disclosure, and expressly waives Board consent and any fairness opinion. This is a fundamental conflict. We prohibited principal participation unless there is prior Transaction Committee consent, an independent fairness opinion, and full disclosure.</w:t>
      </w:r>
    </w:p>
    <w:p>
      <w:r>
        <w:rPr>
          <w:b/>
          <w:i w:val="0"/>
        </w:rPr>
        <w:t>Economics.</w:t>
      </w:r>
      <w:r>
        <w:rPr>
          <w:b w:val="0"/>
          <w:i w:val="0"/>
        </w:rPr>
        <w:t xml:space="preserve"> At the expected enterprise value of approximately $220 million, the draft's real cost to the Company is about </w:t>
      </w:r>
      <w:r>
        <w:rPr>
          <w:b/>
          <w:i w:val="0"/>
        </w:rPr>
        <w:t>$4.30 million (1.95% of value)</w:t>
      </w:r>
      <w:r>
        <w:rPr>
          <w:b w:val="0"/>
          <w:i w:val="0"/>
        </w:rPr>
        <w:t xml:space="preserve">, not the $3.4 million "net" figure. That is because $450,000 of retainer is never credited. Our proposed terms are a 1.50%/1.25% declining scale, 100% retainer credit, and a $2.0 million minimum fee. They reduce the all-in cost to </w:t>
      </w:r>
      <w:r>
        <w:rPr>
          <w:b/>
          <w:i w:val="0"/>
        </w:rPr>
        <w:t>$3.25 million (1.48%)</w:t>
      </w:r>
      <w:r>
        <w:rPr>
          <w:b w:val="0"/>
          <w:i w:val="0"/>
        </w:rPr>
        <w:t xml:space="preserve">, a saving of about </w:t>
      </w:r>
      <w:r>
        <w:rPr>
          <w:b/>
          <w:i w:val="0"/>
        </w:rPr>
        <w:t>$1.05 million</w:t>
      </w:r>
      <w:r>
        <w:rPr>
          <w:b w:val="0"/>
          <w:i w:val="0"/>
        </w:rPr>
        <w:t>. They also remove contingent exposures of potentially $1 million or more: the termination fee, the Financing Fee, earnouts counted at maximum, and payments to Mr. Voss included in the fee base.</w:t>
      </w:r>
    </w:p>
    <w:p>
      <w:r>
        <w:rPr>
          <w:b/>
          <w:i w:val="0"/>
        </w:rPr>
        <w:t>Tone.</w:t>
      </w:r>
      <w:r>
        <w:rPr>
          <w:b w:val="0"/>
          <w:i w:val="0"/>
        </w:rPr>
        <w:t xml:space="preserve"> Consistent with your instructions, the markup is firm on the Critical items but not scorched-earth. We kept customary bank protections: exclusivity, a non-refundable retainer, a minimum fee, indemnification with a "finally determined" standard, a liability cap (with carve-outs), New York law, AAA arbitration, and a jury waiver. We also identify fallback positions (Part VII) so the Committee can authorize a negotiating range at its March 18 meeting.</w:t>
      </w:r>
    </w:p>
    <w:p>
      <w:pPr>
        <w:pStyle w:val="Heading1"/>
      </w:pPr>
      <w:r>
        <w:t>II. Background and Assumptions</w:t>
      </w:r>
    </w:p>
    <w:p>
      <w:pPr>
        <w:pStyle w:val="ListBullet"/>
      </w:pPr>
      <w:r>
        <w:rPr>
          <w:b/>
          <w:i w:val="0"/>
        </w:rPr>
        <w:t>Mandate.</w:t>
      </w:r>
      <w:r>
        <w:rPr>
          <w:b w:val="0"/>
          <w:i w:val="0"/>
        </w:rPr>
        <w:t xml:space="preserve"> On January 15, 2025, the Board authorized exploration of a </w:t>
      </w:r>
      <w:r>
        <w:rPr>
          <w:b/>
          <w:i w:val="0"/>
        </w:rPr>
        <w:t>sale of the Company</w:t>
      </w:r>
      <w:r>
        <w:rPr>
          <w:b w:val="0"/>
          <w:i w:val="0"/>
        </w:rPr>
        <w:t>, not a broader strategic advisory mandate. The Transaction Committee (Clara Jansen (Chair), Ravi Venkatesh, Lorraine Pfeffer) interviewed Thorngate, Oakvale Capital Advisors and Halberd &amp; Co. Advisory on February 3. It selected Thorngate on February 20 based on sector expertise and fee competitiveness, subject to acceptable engagement terms. This is a first engagement with Thorngate, not a relationship bank.</w:t>
      </w:r>
    </w:p>
    <w:p>
      <w:pPr>
        <w:pStyle w:val="ListBullet"/>
      </w:pPr>
      <w:r>
        <w:rPr>
          <w:b/>
          <w:i w:val="0"/>
        </w:rPr>
        <w:t>Company profile.</w:t>
      </w:r>
      <w:r>
        <w:rPr>
          <w:b w:val="0"/>
          <w:i w:val="0"/>
        </w:rPr>
        <w:t xml:space="preserve"> Delaware corporation; FY2024 revenue $187 million; EBITDA $31.2 million; approximately 620 employees. The expected enterprise value is approximately $220 million, with a range of $150 to $300 million (about 7.0x LTM EBITDA at $220 million). Martin Voss (64) intends to retire within 18 to 24 months. This is the principal driver of the sale, and it makes post-closing consulting or transition arrangements for him likely.</w:t>
      </w:r>
    </w:p>
    <w:p>
      <w:pPr>
        <w:pStyle w:val="ListBullet"/>
      </w:pPr>
      <w:r>
        <w:rPr>
          <w:b/>
          <w:i w:val="0"/>
        </w:rPr>
        <w:t>Economic assumptions used in this memo.</w:t>
      </w:r>
      <w:r>
        <w:rPr>
          <w:b w:val="0"/>
          <w:i w:val="0"/>
        </w:rPr>
        <w:t xml:space="preserve"> Unless otherwise stated, we assume: a 12-month Engagement Period (12 × $75,000 = $900,000 in retainers); all-cash consideration at closing; and Aggregate Consideration equal to enterprise value. Actual figures will vary with the deal structure and timing.</w:t>
      </w:r>
    </w:p>
    <w:p>
      <w:pPr>
        <w:pStyle w:val="ListBullet"/>
      </w:pPr>
      <w:r>
        <w:rPr>
          <w:b/>
          <w:i w:val="0"/>
        </w:rPr>
        <w:t>Process.</w:t>
      </w:r>
      <w:r>
        <w:rPr>
          <w:b w:val="0"/>
          <w:i w:val="0"/>
        </w:rPr>
        <w:t xml:space="preserve"> Thorngate is represented by Pemberton &amp; Locke LLP, and our markup will go back through them. Rachel Sung-Kwan (CFO) will be the Company's point of contact on fees and expense approvals, and we have routed expense approvals to the CFO in the markup. The deadline is Friday, March 14, ahead of the March 18 Board meeting.</w:t>
      </w:r>
    </w:p>
    <w:p>
      <w:pPr>
        <w:pStyle w:val="Heading1"/>
      </w:pPr>
      <w:r>
        <w:t>III. Fee Benchmarking and Economic Analysis</w:t>
      </w:r>
    </w:p>
    <w:p>
      <w:r>
        <w:rPr>
          <w:b w:val="0"/>
          <w:i w:val="0"/>
        </w:rPr>
        <w:t>Mr. Voss asked two questions: whether 1.75% is in line with what other advisors charge for deals of this size, and why only half of the retainer is credited. We address both below.</w:t>
      </w:r>
    </w:p>
    <w:p>
      <w:pPr>
        <w:pStyle w:val="Heading2"/>
      </w:pPr>
      <w:r>
        <w:t>A. Success fee percentage</w:t>
      </w:r>
    </w:p>
    <w:p>
      <w:r>
        <w:rPr>
          <w:b w:val="0"/>
          <w:i w:val="0"/>
        </w:rPr>
        <w:t xml:space="preserve">For sell-side M&amp;A mandates in the mid-market ($100 million to $500 million of enterprise value), success fees generally range from about 1.0% to 2.0%. Fee percentages decline as deal size increases, and the lower half of that range is more common above $150 million. For transactions of roughly $150 million to $300 million, we generally see effective success fees of about 1.0% to 1.5%, and a fee above 1.5% on a deal expected to exceed $200 million is, in our view, above market. </w:t>
      </w:r>
      <w:r>
        <w:rPr>
          <w:b/>
          <w:i w:val="0"/>
        </w:rPr>
        <w:t>A flat 1.75% at a $220 million expected value is at the high end of, or above, market.</w:t>
      </w:r>
      <w:r>
        <w:rPr>
          <w:b w:val="0"/>
          <w:i w:val="0"/>
        </w:rPr>
        <w:t xml:space="preserve"> The flat structure also gives no benefit of scale: Thorngate earns the same marginal rate on the 300th million as on the first.</w:t>
      </w:r>
    </w:p>
    <w:p>
      <w:r>
        <w:rPr>
          <w:b/>
          <w:i w:val="0"/>
        </w:rPr>
        <w:t>Recommendation:</w:t>
      </w:r>
      <w:r>
        <w:rPr>
          <w:b w:val="0"/>
          <w:i w:val="0"/>
        </w:rPr>
        <w:t xml:space="preserve"> a declining-scale fee of </w:t>
      </w:r>
      <w:r>
        <w:rPr>
          <w:b/>
          <w:i w:val="0"/>
        </w:rPr>
        <w:t>1.50% on Aggregate Consideration up to $200 million and 1.25% on the excess</w:t>
      </w:r>
      <w:r>
        <w:rPr>
          <w:b w:val="0"/>
          <w:i w:val="0"/>
        </w:rPr>
        <w:t>, which works out to about 1.48% at $220 million. Our fallback is a flat 1.50%. One point needs checking. The Committee selected Thorngate partly on "fee competitiveness", so we recommend that Ms. Sung-Kwan compare our proposal with the Oakvale and Halberd fee proposals before the Board meeting. If either competing bank proposed a lower rate or a full retainer credit, that is the most persuasive benchmark to put to Thorngate. We have not seen those proposals.</w:t>
      </w:r>
    </w:p>
    <w:p>
      <w:r>
        <w:rPr>
          <w:b/>
          <w:i w:val="0"/>
        </w:rPr>
        <w:t>Alternative structure.</w:t>
      </w:r>
      <w:r>
        <w:rPr>
          <w:b w:val="0"/>
          <w:i w:val="0"/>
        </w:rPr>
        <w:t xml:space="preserve"> If Thorngate resists a rate cut, the Committee could instead consider an incentive structure: a lower base rate (e.g., 1.25% up to $220 million) with a higher incremental rate (e.g., 2.0% to 2.5%) on value above a target. This aligns Thorngate with maximizing price. We offer it only as a fallback, because it would increase the fee in a high-value outcome.</w:t>
      </w:r>
    </w:p>
    <w:p>
      <w:pPr>
        <w:pStyle w:val="Heading2"/>
      </w:pPr>
      <w:r>
        <w:t>B. Retainer creditability</w:t>
      </w:r>
    </w:p>
    <w:p>
      <w:r>
        <w:rPr>
          <w:b w:val="0"/>
          <w:i w:val="0"/>
        </w:rPr>
        <w:t xml:space="preserve">Market practice for mid-market sell-side mandates is </w:t>
      </w:r>
      <w:r>
        <w:rPr>
          <w:b/>
          <w:i w:val="0"/>
        </w:rPr>
        <w:t>100% creditability</w:t>
      </w:r>
      <w:r>
        <w:rPr>
          <w:b w:val="0"/>
          <w:i w:val="0"/>
        </w:rPr>
        <w:t xml:space="preserve"> of retainer payments against the success fee. The $75,000 monthly retainer itself is within the customary $50,000 to $100,000 range and is not worth negotiating. The 50% credit is the problem. It turns $450,000 of retainer, over a 12-month engagement, into a separate non-creditable advisory fee that the Company pays on top of the success fee. That is why the draft's illustration understates the cost. The "net" $3.4 million payable at closing excludes the $900,000 already paid in retainers, of which only half was credited. The true all-in cost at $220 million is $3.85 million + $450,000 = </w:t>
      </w:r>
      <w:r>
        <w:rPr>
          <w:b/>
          <w:i w:val="0"/>
        </w:rPr>
        <w:t>$4.30 million</w:t>
      </w:r>
      <w:r>
        <w:rPr>
          <w:b w:val="0"/>
          <w:i w:val="0"/>
        </w:rPr>
        <w:t>.</w:t>
      </w:r>
    </w:p>
    <w:p>
      <w:pPr>
        <w:pStyle w:val="Heading2"/>
      </w:pPr>
      <w:r>
        <w:t>C. Minimum fee breakpoint</w:t>
      </w:r>
    </w:p>
    <w:p>
      <w:r>
        <w:rPr>
          <w:b w:val="0"/>
          <w:i w:val="0"/>
        </w:rPr>
        <w:t xml:space="preserve">The $2.5 million Minimum Fee is customary. Under the draft 1.75% rate it applies only below about $142.9 million of Aggregate Consideration ($2.5 million ÷ 1.75%), which is under the expected range, so on the draft terms it would be a low-priority item. However, if the rate is reduced to 1.50%, a $2.5 million floor would apply below about $166.7 million. That is inside the $150 to $300 million range under consideration, and would partly undo the rate reduction at the low end. We therefore proposed a </w:t>
      </w:r>
      <w:r>
        <w:rPr>
          <w:b/>
          <w:i w:val="0"/>
        </w:rPr>
        <w:t>$2.0 million</w:t>
      </w:r>
      <w:r>
        <w:rPr>
          <w:b w:val="0"/>
          <w:i w:val="0"/>
        </w:rPr>
        <w:t xml:space="preserve"> floor (breakpoint about $133.3 million at 1.50%). We have also made the Minimum Fee subject to the full retainer credit. This is a Minor item and a natural concession.</w:t>
      </w:r>
    </w:p>
    <w:p>
      <w:pPr>
        <w:pStyle w:val="Heading2"/>
      </w:pPr>
      <w:r>
        <w:t>D. Illustrative fee comparison</w:t>
      </w:r>
    </w:p>
    <w:p>
      <w:r>
        <w:rPr>
          <w:b w:val="0"/>
          <w:i/>
          <w:sz w:val="20"/>
        </w:rPr>
        <w:t>All figures assume a 12-month engagement ($900,000 of retainers) and all-cash consideration at closing. "All-in cost" means the total paid to Thorngate in retainers and Transaction Fee, excluding expenses.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296"/>
            <w:shd w:val="clear" w:color="auto" w:fill="D9D9D9"/>
          </w:tcPr>
          <w:p>
            <w:r/>
            <w:r>
              <w:rPr>
                <w:b/>
                <w:i w:val="0"/>
                <w:sz w:val="16"/>
              </w:rPr>
              <w:t>Aggregate Consideration</w:t>
            </w:r>
          </w:p>
        </w:tc>
        <w:tc>
          <w:tcPr>
            <w:tcW w:type="dxa" w:w="1224"/>
            <w:shd w:val="clear" w:color="auto" w:fill="D9D9D9"/>
          </w:tcPr>
          <w:p>
            <w:r/>
            <w:r>
              <w:rPr>
                <w:b/>
                <w:i w:val="0"/>
                <w:sz w:val="16"/>
              </w:rPr>
              <w:t>Draft: gross fee (1.75%, $2.5M min.)</w:t>
            </w:r>
          </w:p>
        </w:tc>
        <w:tc>
          <w:tcPr>
            <w:tcW w:type="dxa" w:w="1152"/>
            <w:shd w:val="clear" w:color="auto" w:fill="D9D9D9"/>
          </w:tcPr>
          <w:p>
            <w:r/>
            <w:r>
              <w:rPr>
                <w:b/>
                <w:i w:val="0"/>
                <w:sz w:val="16"/>
              </w:rPr>
              <w:t>Draft: net at closing (50% credit)</w:t>
            </w:r>
          </w:p>
        </w:tc>
        <w:tc>
          <w:tcPr>
            <w:tcW w:type="dxa" w:w="1224"/>
            <w:shd w:val="clear" w:color="auto" w:fill="D9D9D9"/>
          </w:tcPr>
          <w:p>
            <w:r/>
            <w:r>
              <w:rPr>
                <w:b/>
                <w:i w:val="0"/>
                <w:sz w:val="16"/>
              </w:rPr>
              <w:t>Draft: all-in cost (effective rate)</w:t>
            </w:r>
          </w:p>
        </w:tc>
        <w:tc>
          <w:tcPr>
            <w:tcW w:type="dxa" w:w="1224"/>
            <w:shd w:val="clear" w:color="auto" w:fill="D9D9D9"/>
          </w:tcPr>
          <w:p>
            <w:r/>
            <w:r>
              <w:rPr>
                <w:b/>
                <w:i w:val="0"/>
                <w:sz w:val="16"/>
              </w:rPr>
              <w:t>Proposed: gross fee (1.50% / 1.25%, $2.0M min.)</w:t>
            </w:r>
          </w:p>
        </w:tc>
        <w:tc>
          <w:tcPr>
            <w:tcW w:type="dxa" w:w="1152"/>
            <w:shd w:val="clear" w:color="auto" w:fill="D9D9D9"/>
          </w:tcPr>
          <w:p>
            <w:r/>
            <w:r>
              <w:rPr>
                <w:b/>
                <w:i w:val="0"/>
                <w:sz w:val="16"/>
              </w:rPr>
              <w:t>Proposed: net at closing (100% credit)</w:t>
            </w:r>
          </w:p>
        </w:tc>
        <w:tc>
          <w:tcPr>
            <w:tcW w:type="dxa" w:w="1224"/>
            <w:shd w:val="clear" w:color="auto" w:fill="D9D9D9"/>
          </w:tcPr>
          <w:p>
            <w:r/>
            <w:r>
              <w:rPr>
                <w:b/>
                <w:i w:val="0"/>
                <w:sz w:val="16"/>
              </w:rPr>
              <w:t>Proposed: all-in cost (effective rate)</w:t>
            </w:r>
          </w:p>
        </w:tc>
        <w:tc>
          <w:tcPr>
            <w:tcW w:type="dxa" w:w="864"/>
            <w:shd w:val="clear" w:color="auto" w:fill="D9D9D9"/>
          </w:tcPr>
          <w:p>
            <w:r/>
            <w:r>
              <w:rPr>
                <w:b/>
                <w:i w:val="0"/>
                <w:sz w:val="16"/>
              </w:rPr>
              <w:t>Saving vs. draft</w:t>
            </w:r>
          </w:p>
        </w:tc>
      </w:tr>
      <w:tr>
        <w:tc>
          <w:tcPr>
            <w:tcW w:type="dxa" w:w="1296"/>
          </w:tcPr>
          <w:p>
            <w:r/>
            <w:r>
              <w:rPr>
                <w:b w:val="0"/>
                <w:i w:val="0"/>
                <w:sz w:val="16"/>
              </w:rPr>
              <w:t>$150,000,000</w:t>
            </w:r>
          </w:p>
        </w:tc>
        <w:tc>
          <w:tcPr>
            <w:tcW w:type="dxa" w:w="1224"/>
          </w:tcPr>
          <w:p>
            <w:r/>
            <w:r>
              <w:rPr>
                <w:b w:val="0"/>
                <w:i w:val="0"/>
                <w:sz w:val="16"/>
              </w:rPr>
              <w:t>$2,625,000</w:t>
            </w:r>
          </w:p>
        </w:tc>
        <w:tc>
          <w:tcPr>
            <w:tcW w:type="dxa" w:w="1152"/>
          </w:tcPr>
          <w:p>
            <w:r/>
            <w:r>
              <w:rPr>
                <w:b w:val="0"/>
                <w:i w:val="0"/>
                <w:sz w:val="16"/>
              </w:rPr>
              <w:t>$2,175,000</w:t>
            </w:r>
          </w:p>
        </w:tc>
        <w:tc>
          <w:tcPr>
            <w:tcW w:type="dxa" w:w="1224"/>
          </w:tcPr>
          <w:p>
            <w:r/>
            <w:r>
              <w:rPr>
                <w:b w:val="0"/>
                <w:i w:val="0"/>
                <w:sz w:val="16"/>
              </w:rPr>
              <w:t>$3,075,000 (2.05%)</w:t>
            </w:r>
          </w:p>
        </w:tc>
        <w:tc>
          <w:tcPr>
            <w:tcW w:type="dxa" w:w="1224"/>
          </w:tcPr>
          <w:p>
            <w:r/>
            <w:r>
              <w:rPr>
                <w:b w:val="0"/>
                <w:i w:val="0"/>
                <w:sz w:val="16"/>
              </w:rPr>
              <w:t>$2,250,000</w:t>
            </w:r>
          </w:p>
        </w:tc>
        <w:tc>
          <w:tcPr>
            <w:tcW w:type="dxa" w:w="1152"/>
          </w:tcPr>
          <w:p>
            <w:r/>
            <w:r>
              <w:rPr>
                <w:b w:val="0"/>
                <w:i w:val="0"/>
                <w:sz w:val="16"/>
              </w:rPr>
              <w:t>$1,350,000</w:t>
            </w:r>
          </w:p>
        </w:tc>
        <w:tc>
          <w:tcPr>
            <w:tcW w:type="dxa" w:w="1224"/>
          </w:tcPr>
          <w:p>
            <w:r/>
            <w:r>
              <w:rPr>
                <w:b w:val="0"/>
                <w:i w:val="0"/>
                <w:sz w:val="16"/>
              </w:rPr>
              <w:t>$2,250,000 (1.50%)</w:t>
            </w:r>
          </w:p>
        </w:tc>
        <w:tc>
          <w:tcPr>
            <w:tcW w:type="dxa" w:w="864"/>
          </w:tcPr>
          <w:p>
            <w:r/>
            <w:r>
              <w:rPr>
                <w:b w:val="0"/>
                <w:i w:val="0"/>
                <w:sz w:val="16"/>
              </w:rPr>
              <w:t>$825,000</w:t>
            </w:r>
          </w:p>
        </w:tc>
      </w:tr>
      <w:tr>
        <w:tc>
          <w:tcPr>
            <w:tcW w:type="dxa" w:w="1296"/>
          </w:tcPr>
          <w:p>
            <w:r/>
            <w:r>
              <w:rPr>
                <w:b w:val="0"/>
                <w:i w:val="0"/>
                <w:sz w:val="16"/>
              </w:rPr>
              <w:t>$220,000,000</w:t>
            </w:r>
          </w:p>
        </w:tc>
        <w:tc>
          <w:tcPr>
            <w:tcW w:type="dxa" w:w="1224"/>
          </w:tcPr>
          <w:p>
            <w:r/>
            <w:r>
              <w:rPr>
                <w:b w:val="0"/>
                <w:i w:val="0"/>
                <w:sz w:val="16"/>
              </w:rPr>
              <w:t>$3,850,000</w:t>
            </w:r>
          </w:p>
        </w:tc>
        <w:tc>
          <w:tcPr>
            <w:tcW w:type="dxa" w:w="1152"/>
          </w:tcPr>
          <w:p>
            <w:r/>
            <w:r>
              <w:rPr>
                <w:b w:val="0"/>
                <w:i w:val="0"/>
                <w:sz w:val="16"/>
              </w:rPr>
              <w:t>$3,400,000</w:t>
            </w:r>
          </w:p>
        </w:tc>
        <w:tc>
          <w:tcPr>
            <w:tcW w:type="dxa" w:w="1224"/>
          </w:tcPr>
          <w:p>
            <w:r/>
            <w:r>
              <w:rPr>
                <w:b w:val="0"/>
                <w:i w:val="0"/>
                <w:sz w:val="16"/>
              </w:rPr>
              <w:t>$4,300,000 (1.95%)</w:t>
            </w:r>
          </w:p>
        </w:tc>
        <w:tc>
          <w:tcPr>
            <w:tcW w:type="dxa" w:w="1224"/>
          </w:tcPr>
          <w:p>
            <w:r/>
            <w:r>
              <w:rPr>
                <w:b w:val="0"/>
                <w:i w:val="0"/>
                <w:sz w:val="16"/>
              </w:rPr>
              <w:t>$3,250,000</w:t>
            </w:r>
          </w:p>
        </w:tc>
        <w:tc>
          <w:tcPr>
            <w:tcW w:type="dxa" w:w="1152"/>
          </w:tcPr>
          <w:p>
            <w:r/>
            <w:r>
              <w:rPr>
                <w:b w:val="0"/>
                <w:i w:val="0"/>
                <w:sz w:val="16"/>
              </w:rPr>
              <w:t>$2,350,000</w:t>
            </w:r>
          </w:p>
        </w:tc>
        <w:tc>
          <w:tcPr>
            <w:tcW w:type="dxa" w:w="1224"/>
          </w:tcPr>
          <w:p>
            <w:r/>
            <w:r>
              <w:rPr>
                <w:b w:val="0"/>
                <w:i w:val="0"/>
                <w:sz w:val="16"/>
              </w:rPr>
              <w:t>$3,250,000 (1.48%)</w:t>
            </w:r>
          </w:p>
        </w:tc>
        <w:tc>
          <w:tcPr>
            <w:tcW w:type="dxa" w:w="864"/>
          </w:tcPr>
          <w:p>
            <w:r/>
            <w:r>
              <w:rPr>
                <w:b w:val="0"/>
                <w:i w:val="0"/>
                <w:sz w:val="16"/>
              </w:rPr>
              <w:t>$1,050,000</w:t>
            </w:r>
          </w:p>
        </w:tc>
      </w:tr>
      <w:tr>
        <w:tc>
          <w:tcPr>
            <w:tcW w:type="dxa" w:w="1296"/>
          </w:tcPr>
          <w:p>
            <w:r/>
            <w:r>
              <w:rPr>
                <w:b w:val="0"/>
                <w:i w:val="0"/>
                <w:sz w:val="16"/>
              </w:rPr>
              <w:t>$300,000,000</w:t>
            </w:r>
          </w:p>
        </w:tc>
        <w:tc>
          <w:tcPr>
            <w:tcW w:type="dxa" w:w="1224"/>
          </w:tcPr>
          <w:p>
            <w:r/>
            <w:r>
              <w:rPr>
                <w:b w:val="0"/>
                <w:i w:val="0"/>
                <w:sz w:val="16"/>
              </w:rPr>
              <w:t>$5,250,000</w:t>
            </w:r>
          </w:p>
        </w:tc>
        <w:tc>
          <w:tcPr>
            <w:tcW w:type="dxa" w:w="1152"/>
          </w:tcPr>
          <w:p>
            <w:r/>
            <w:r>
              <w:rPr>
                <w:b w:val="0"/>
                <w:i w:val="0"/>
                <w:sz w:val="16"/>
              </w:rPr>
              <w:t>$4,800,000</w:t>
            </w:r>
          </w:p>
        </w:tc>
        <w:tc>
          <w:tcPr>
            <w:tcW w:type="dxa" w:w="1224"/>
          </w:tcPr>
          <w:p>
            <w:r/>
            <w:r>
              <w:rPr>
                <w:b w:val="0"/>
                <w:i w:val="0"/>
                <w:sz w:val="16"/>
              </w:rPr>
              <w:t>$5,700,000 (1.90%)</w:t>
            </w:r>
          </w:p>
        </w:tc>
        <w:tc>
          <w:tcPr>
            <w:tcW w:type="dxa" w:w="1224"/>
          </w:tcPr>
          <w:p>
            <w:r/>
            <w:r>
              <w:rPr>
                <w:b w:val="0"/>
                <w:i w:val="0"/>
                <w:sz w:val="16"/>
              </w:rPr>
              <w:t>$4,250,000</w:t>
            </w:r>
          </w:p>
        </w:tc>
        <w:tc>
          <w:tcPr>
            <w:tcW w:type="dxa" w:w="1152"/>
          </w:tcPr>
          <w:p>
            <w:r/>
            <w:r>
              <w:rPr>
                <w:b w:val="0"/>
                <w:i w:val="0"/>
                <w:sz w:val="16"/>
              </w:rPr>
              <w:t>$3,350,000</w:t>
            </w:r>
          </w:p>
        </w:tc>
        <w:tc>
          <w:tcPr>
            <w:tcW w:type="dxa" w:w="1224"/>
          </w:tcPr>
          <w:p>
            <w:r/>
            <w:r>
              <w:rPr>
                <w:b w:val="0"/>
                <w:i w:val="0"/>
                <w:sz w:val="16"/>
              </w:rPr>
              <w:t>$4,250,000 (1.42%)</w:t>
            </w:r>
          </w:p>
        </w:tc>
        <w:tc>
          <w:tcPr>
            <w:tcW w:type="dxa" w:w="864"/>
          </w:tcPr>
          <w:p>
            <w:r/>
            <w:r>
              <w:rPr>
                <w:b w:val="0"/>
                <w:i w:val="0"/>
                <w:sz w:val="16"/>
              </w:rPr>
              <w:t>$1,450,000</w:t>
            </w:r>
          </w:p>
        </w:tc>
      </w:tr>
    </w:tbl>
    <w:p>
      <w:pPr>
        <w:spacing w:after="40"/>
      </w:pPr>
    </w:p>
    <w:p>
      <w:r>
        <w:rPr>
          <w:b w:val="0"/>
          <w:i w:val="0"/>
          <w:sz w:val="20"/>
        </w:rPr>
        <w:t>Fallback (flat 1.50%, 100% credit, $2.0 million minimum): all-in cost of $2,250,000 / $3,300,000 / $4,500,000 at $150 million / $220 million / $300 million.</w:t>
      </w:r>
    </w:p>
    <w:p>
      <w:pPr>
        <w:pStyle w:val="Heading2"/>
      </w:pPr>
      <w:r>
        <w:t>E. Other economic exposures eliminated by the markup</w:t>
      </w:r>
    </w:p>
    <w:p>
      <w:pPr>
        <w:pStyle w:val="ListBullet"/>
      </w:pPr>
      <w:r>
        <w:rPr>
          <w:b/>
          <w:i w:val="0"/>
        </w:rPr>
        <w:t>Termination Fee:</w:t>
      </w:r>
      <w:r>
        <w:rPr>
          <w:b w:val="0"/>
          <w:i w:val="0"/>
        </w:rPr>
        <w:t xml:space="preserve"> $500,000 payable if the Company terminates in the first six months. This is on top of accrued retainers, and it is not creditable.</w:t>
      </w:r>
    </w:p>
    <w:p>
      <w:pPr>
        <w:pStyle w:val="ListBullet"/>
      </w:pPr>
      <w:r>
        <w:rPr>
          <w:b/>
          <w:i w:val="0"/>
        </w:rPr>
        <w:t>Financing Fee:</w:t>
      </w:r>
      <w:r>
        <w:rPr>
          <w:b w:val="0"/>
          <w:i w:val="0"/>
        </w:rPr>
        <w:t xml:space="preserve"> 1.0% of the committed amount of any financing "in connection with" a Transaction, including buyer-arranged financing. For example, if a sponsor buyer raised $130 million of acquisition debt, Thorngate could claim a further $1.3 million even though the Company never gave it a financing mandate.</w:t>
      </w:r>
    </w:p>
    <w:p>
      <w:pPr>
        <w:pStyle w:val="ListBullet"/>
      </w:pPr>
      <w:r>
        <w:rPr>
          <w:b/>
          <w:i w:val="0"/>
        </w:rPr>
        <w:t>Earnouts at maximum value:</w:t>
      </w:r>
      <w:r>
        <w:rPr>
          <w:b w:val="0"/>
          <w:i w:val="0"/>
        </w:rPr>
        <w:t xml:space="preserve"> on a hypothetical $30 million maximum earnout that pays out only $10 million, the draft would charge $525,000 of fee (1.75% × $30 million) instead of $175,000, and would charge it at closing, before anything is earned.</w:t>
      </w:r>
    </w:p>
    <w:p>
      <w:pPr>
        <w:pStyle w:val="ListBullet"/>
      </w:pPr>
      <w:r>
        <w:rPr>
          <w:b/>
          <w:i w:val="0"/>
        </w:rPr>
        <w:t>Payments to individuals:</w:t>
      </w:r>
      <w:r>
        <w:rPr>
          <w:b w:val="0"/>
          <w:i w:val="0"/>
        </w:rPr>
        <w:t xml:space="preserve"> for example, a $1.5 million consulting or transition agreement for Mr. Voss would add about $26,250 of fee. More importantly, it would make the Company pay a fee on his personal compensation.</w:t>
      </w:r>
    </w:p>
    <w:p>
      <w:pPr>
        <w:pStyle w:val="ListBullet"/>
      </w:pPr>
      <w:r>
        <w:rPr>
          <w:b/>
          <w:i w:val="0"/>
        </w:rPr>
        <w:t>Tail fee duplication:</w:t>
      </w:r>
      <w:r>
        <w:rPr>
          <w:b w:val="0"/>
          <w:i w:val="0"/>
        </w:rPr>
        <w:t xml:space="preserve"> the draft tail fee is calculated "without any reduction", which would deny the retainer credit even for tail-period deals.</w:t>
      </w:r>
    </w:p>
    <w:p>
      <w:pPr>
        <w:pStyle w:val="Heading1"/>
      </w:pPr>
      <w:r>
        <w:t>IV. Issues List: Proposed Resolutions, Rationale, and Priority</w:t>
      </w:r>
    </w:p>
    <w:p>
      <w:r>
        <w:rPr>
          <w:b w:val="0"/>
          <w:i w:val="0"/>
        </w:rPr>
        <w:t xml:space="preserve">The issues below are organized by subject matter. Priority rankings follow the firm's standard scale: </w:t>
      </w:r>
      <w:r>
        <w:rPr>
          <w:b/>
          <w:i w:val="0"/>
        </w:rPr>
        <w:t>Critical</w:t>
      </w:r>
      <w:r>
        <w:rPr>
          <w:b w:val="0"/>
          <w:i w:val="0"/>
        </w:rPr>
        <w:t xml:space="preserve"> must be resolved before execution; </w:t>
      </w:r>
      <w:r>
        <w:rPr>
          <w:b/>
          <w:i w:val="0"/>
        </w:rPr>
        <w:t>Important</w:t>
      </w:r>
      <w:r>
        <w:rPr>
          <w:b w:val="0"/>
          <w:i w:val="0"/>
        </w:rPr>
        <w:t xml:space="preserve"> should be negotiated but may involve compromise; </w:t>
      </w:r>
      <w:r>
        <w:rPr>
          <w:b/>
          <w:i w:val="0"/>
        </w:rPr>
        <w:t>Minor</w:t>
      </w:r>
      <w:r>
        <w:rPr>
          <w:b w:val="0"/>
          <w:i w:val="0"/>
        </w:rPr>
        <w:t xml:space="preserve"> is preferable but not a dealbreaker. Where the client's stated sensitivities (fee sensitivity, flexibility, conflicts) affect an item, we note it. Section references are to the draft letter.</w:t>
      </w:r>
    </w:p>
    <w:p>
      <w:pPr>
        <w:pStyle w:val="Heading2"/>
      </w:pPr>
      <w:r>
        <w:t>A. Scope of Engagement</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432"/>
            <w:shd w:val="clear" w:color="auto" w:fill="D9D9D9"/>
          </w:tcPr>
          <w:p>
            <w:r/>
            <w:r>
              <w:rPr>
                <w:b/>
                <w:i w:val="0"/>
                <w:sz w:val="16"/>
              </w:rPr>
              <w:t>#</w:t>
            </w:r>
          </w:p>
        </w:tc>
        <w:tc>
          <w:tcPr>
            <w:tcW w:type="dxa" w:w="1512"/>
            <w:shd w:val="clear" w:color="auto" w:fill="D9D9D9"/>
          </w:tcPr>
          <w:p>
            <w:r/>
            <w:r>
              <w:rPr>
                <w:b/>
                <w:i w:val="0"/>
                <w:sz w:val="16"/>
              </w:rPr>
              <w:t>Provision</w:t>
            </w:r>
          </w:p>
        </w:tc>
        <w:tc>
          <w:tcPr>
            <w:tcW w:type="dxa" w:w="2088"/>
            <w:shd w:val="clear" w:color="auto" w:fill="D9D9D9"/>
          </w:tcPr>
          <w:p>
            <w:r/>
            <w:r>
              <w:rPr>
                <w:b/>
                <w:i w:val="0"/>
                <w:sz w:val="16"/>
              </w:rPr>
              <w:t>Draft term / issue</w:t>
            </w:r>
          </w:p>
        </w:tc>
        <w:tc>
          <w:tcPr>
            <w:tcW w:type="dxa" w:w="2304"/>
            <w:shd w:val="clear" w:color="auto" w:fill="D9D9D9"/>
          </w:tcPr>
          <w:p>
            <w:r/>
            <w:r>
              <w:rPr>
                <w:b/>
                <w:i w:val="0"/>
                <w:sz w:val="16"/>
              </w:rPr>
              <w:t>Proposed resolution (as marked)</w:t>
            </w:r>
          </w:p>
        </w:tc>
        <w:tc>
          <w:tcPr>
            <w:tcW w:type="dxa" w:w="2088"/>
            <w:shd w:val="clear" w:color="auto" w:fill="D9D9D9"/>
          </w:tcPr>
          <w:p>
            <w:r/>
            <w:r>
              <w:rPr>
                <w:b/>
                <w:i w:val="0"/>
                <w:sz w:val="16"/>
              </w:rPr>
              <w:t>Rationale</w:t>
            </w:r>
          </w:p>
        </w:tc>
        <w:tc>
          <w:tcPr>
            <w:tcW w:type="dxa" w:w="1080"/>
            <w:shd w:val="clear" w:color="auto" w:fill="D9D9D9"/>
          </w:tcPr>
          <w:p>
            <w:r/>
            <w:r>
              <w:rPr>
                <w:b/>
                <w:i w:val="0"/>
                <w:sz w:val="16"/>
              </w:rPr>
              <w:t>Priority</w:t>
            </w:r>
          </w:p>
        </w:tc>
      </w:tr>
      <w:tr>
        <w:tc>
          <w:tcPr>
            <w:tcW w:type="dxa" w:w="432"/>
          </w:tcPr>
          <w:p>
            <w:r/>
            <w:r>
              <w:rPr>
                <w:b w:val="0"/>
                <w:i w:val="0"/>
                <w:sz w:val="16"/>
              </w:rPr>
              <w:t>1</w:t>
            </w:r>
          </w:p>
        </w:tc>
        <w:tc>
          <w:tcPr>
            <w:tcW w:type="dxa" w:w="1512"/>
          </w:tcPr>
          <w:p>
            <w:r/>
            <w:r>
              <w:rPr>
                <w:b w:val="0"/>
                <w:i w:val="0"/>
                <w:sz w:val="16"/>
              </w:rPr>
              <w:t>Definition of "Transaction" (§2; recital in §1)</w:t>
            </w:r>
          </w:p>
        </w:tc>
        <w:tc>
          <w:tcPr>
            <w:tcW w:type="dxa" w:w="2088"/>
          </w:tcPr>
          <w:p>
            <w:r/>
            <w:r>
              <w:rPr>
                <w:b w:val="0"/>
                <w:i w:val="0"/>
                <w:sz w:val="16"/>
              </w:rPr>
              <w:t>Covers any merger, acquisition, asset sale, equity issuance, recapitalization, restructuring, JV, strategic alliance, strategic or minority investment (by or in the Company), LBO/MBO, spin-off and more, involving the Company "or any of its direct or indirect subsidiaries, divisions, or business units", plus an "any other similar transaction" catch-all. The recital refers to "strategic alternatives".</w:t>
            </w:r>
          </w:p>
        </w:tc>
        <w:tc>
          <w:tcPr>
            <w:tcW w:type="dxa" w:w="2304"/>
          </w:tcPr>
          <w:p>
            <w:r/>
            <w:r>
              <w:rPr>
                <w:b w:val="0"/>
                <w:i w:val="0"/>
                <w:sz w:val="16"/>
              </w:rPr>
              <w:t>Narrowed to a Change of Control: (i) acquisition of 50% or more of equity or voting power; (ii) sale of all or substantially all consolidated assets; (iii) merger in which existing holders lose majority control. Express exclusions for JVs, alliances and licensing (including the pending robotics JV), minority investments, financings, recapitalizations, restructurings, add-on acquisitions, and non-Change of Control divestitures. Anti-circumvention proviso where an excluded deal with a sale-process buyer is part of a Change of Control. Recital conformed to the Board's January 15 sale mandate.</w:t>
            </w:r>
          </w:p>
        </w:tc>
        <w:tc>
          <w:tcPr>
            <w:tcW w:type="dxa" w:w="2088"/>
          </w:tcPr>
          <w:p>
            <w:r/>
            <w:r>
              <w:rPr>
                <w:b w:val="0"/>
                <w:i w:val="0"/>
                <w:sz w:val="16"/>
              </w:rPr>
              <w:t>Tracks the Board mandate. Prevents fee leakage on unrelated activity; combined with exclusivity and the tail, the draft could have taxed the robotics JV and routine strategic activity at 1.75%. The JV counterparty is described generically to avoid disclosing its identity; the Company could name it in a side letter if Thorngate insists. The proviso addresses Thorngate's legitimate circumvention concern.</w:t>
            </w:r>
          </w:p>
        </w:tc>
        <w:tc>
          <w:tcPr>
            <w:tcW w:type="dxa" w:w="1080"/>
            <w:shd w:val="clear" w:color="auto" w:fill="F4CCCC"/>
          </w:tcPr>
          <w:p>
            <w:r/>
            <w:r>
              <w:rPr>
                <w:b w:val="0"/>
                <w:i w:val="0"/>
                <w:sz w:val="16"/>
              </w:rPr>
              <w:t>Critical</w:t>
            </w:r>
          </w:p>
        </w:tc>
      </w:tr>
      <w:tr>
        <w:tc>
          <w:tcPr>
            <w:tcW w:type="dxa" w:w="432"/>
          </w:tcPr>
          <w:p>
            <w:r/>
            <w:r>
              <w:rPr>
                <w:b w:val="0"/>
                <w:i w:val="0"/>
                <w:sz w:val="16"/>
              </w:rPr>
              <w:t>2</w:t>
            </w:r>
          </w:p>
        </w:tc>
        <w:tc>
          <w:tcPr>
            <w:tcW w:type="dxa" w:w="1512"/>
          </w:tcPr>
          <w:p>
            <w:r/>
            <w:r>
              <w:rPr>
                <w:b w:val="0"/>
                <w:i w:val="0"/>
                <w:sz w:val="16"/>
              </w:rPr>
              <w:t>Scope of Services: outreach (§2(c))</w:t>
            </w:r>
          </w:p>
        </w:tc>
        <w:tc>
          <w:tcPr>
            <w:tcW w:type="dxa" w:w="2088"/>
          </w:tcPr>
          <w:p>
            <w:r/>
            <w:r>
              <w:rPr>
                <w:b w:val="0"/>
                <w:i w:val="0"/>
                <w:sz w:val="16"/>
              </w:rPr>
              <w:t>Thorngate may contact "investors, strategic partners, or other counterparties" it "considers appropriate".</w:t>
            </w:r>
          </w:p>
        </w:tc>
        <w:tc>
          <w:tcPr>
            <w:tcW w:type="dxa" w:w="2304"/>
          </w:tcPr>
          <w:p>
            <w:r/>
            <w:r>
              <w:rPr>
                <w:b w:val="0"/>
                <w:i w:val="0"/>
                <w:sz w:val="16"/>
              </w:rPr>
              <w:t>Limited to potential acquirors approved in advance by the Company; no contact without Company approval.</w:t>
            </w:r>
          </w:p>
        </w:tc>
        <w:tc>
          <w:tcPr>
            <w:tcW w:type="dxa" w:w="2088"/>
          </w:tcPr>
          <w:p>
            <w:r/>
            <w:r>
              <w:rPr>
                <w:b w:val="0"/>
                <w:i w:val="0"/>
                <w:sz w:val="16"/>
              </w:rPr>
              <w:t>Conforms to a sale mandate. Gives the Committee control over a confidential process and a clean record for the Tail Party List.</w:t>
            </w:r>
          </w:p>
        </w:tc>
        <w:tc>
          <w:tcPr>
            <w:tcW w:type="dxa" w:w="1080"/>
            <w:shd w:val="clear" w:color="auto" w:fill="D9EAD3"/>
          </w:tcPr>
          <w:p>
            <w:r/>
            <w:r>
              <w:rPr>
                <w:b w:val="0"/>
                <w:i w:val="0"/>
                <w:sz w:val="16"/>
              </w:rPr>
              <w:t>Minor</w:t>
            </w:r>
          </w:p>
        </w:tc>
      </w:tr>
      <w:tr>
        <w:tc>
          <w:tcPr>
            <w:tcW w:type="dxa" w:w="432"/>
          </w:tcPr>
          <w:p>
            <w:r/>
            <w:r>
              <w:rPr>
                <w:b w:val="0"/>
                <w:i w:val="0"/>
                <w:sz w:val="16"/>
              </w:rPr>
              <w:t>3</w:t>
            </w:r>
          </w:p>
        </w:tc>
        <w:tc>
          <w:tcPr>
            <w:tcW w:type="dxa" w:w="1512"/>
          </w:tcPr>
          <w:p>
            <w:r/>
            <w:r>
              <w:rPr>
                <w:b w:val="0"/>
                <w:i w:val="0"/>
                <w:sz w:val="16"/>
              </w:rPr>
              <w:t>Exclusivity (§3)</w:t>
            </w:r>
          </w:p>
        </w:tc>
        <w:tc>
          <w:tcPr>
            <w:tcW w:type="dxa" w:w="2088"/>
          </w:tcPr>
          <w:p>
            <w:r/>
            <w:r>
              <w:rPr>
                <w:b w:val="0"/>
                <w:i w:val="0"/>
                <w:sz w:val="16"/>
              </w:rPr>
              <w:t>Exclusive for "any Transaction" (as broadly defined). No carve-outs. The Company must refer all inquiries received by anyone at the Company to Thorngate.</w:t>
            </w:r>
          </w:p>
        </w:tc>
        <w:tc>
          <w:tcPr>
            <w:tcW w:type="dxa" w:w="2304"/>
          </w:tcPr>
          <w:p>
            <w:r/>
            <w:r>
              <w:rPr>
                <w:b w:val="0"/>
                <w:i w:val="0"/>
                <w:sz w:val="16"/>
              </w:rPr>
              <w:t>Exclusivity retained but tracks the narrowed definition. Carve-outs for fairness opinion providers, legal, accounting and valuation advisors, and advisors on non-Transaction matters. The referral obligation becomes notice of bona fide inquiries received by officers and directors, subject to confidentiality obligations.</w:t>
            </w:r>
          </w:p>
        </w:tc>
        <w:tc>
          <w:tcPr>
            <w:tcW w:type="dxa" w:w="2088"/>
          </w:tcPr>
          <w:p>
            <w:r/>
            <w:r>
              <w:rPr>
                <w:b w:val="0"/>
                <w:i w:val="0"/>
                <w:sz w:val="16"/>
              </w:rPr>
              <w:t>Exclusivity is customary and is accepted. The carve-outs protect the Board's ability to obtain an independent fairness opinion (essential if any conflict arises under §10) and to use other advisors on unrelated matters such as the JV.</w:t>
            </w:r>
          </w:p>
        </w:tc>
        <w:tc>
          <w:tcPr>
            <w:tcW w:type="dxa" w:w="1080"/>
            <w:shd w:val="clear" w:color="auto" w:fill="FCE5CD"/>
          </w:tcPr>
          <w:p>
            <w:r/>
            <w:r>
              <w:rPr>
                <w:b w:val="0"/>
                <w:i w:val="0"/>
                <w:sz w:val="16"/>
              </w:rPr>
              <w:t>Important</w:t>
            </w:r>
          </w:p>
        </w:tc>
      </w:tr>
    </w:tbl>
    <w:p>
      <w:pPr>
        <w:spacing w:after="40"/>
      </w:pPr>
    </w:p>
    <w:p>
      <w:pPr>
        <w:pStyle w:val="Heading2"/>
      </w:pPr>
      <w:r>
        <w:t>B. Fee Terms and Expenses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432"/>
            <w:shd w:val="clear" w:color="auto" w:fill="D9D9D9"/>
          </w:tcPr>
          <w:p>
            <w:r/>
            <w:r>
              <w:rPr>
                <w:b/>
                <w:i w:val="0"/>
                <w:sz w:val="16"/>
              </w:rPr>
              <w:t>#</w:t>
            </w:r>
          </w:p>
        </w:tc>
        <w:tc>
          <w:tcPr>
            <w:tcW w:type="dxa" w:w="1512"/>
            <w:shd w:val="clear" w:color="auto" w:fill="D9D9D9"/>
          </w:tcPr>
          <w:p>
            <w:r/>
            <w:r>
              <w:rPr>
                <w:b/>
                <w:i w:val="0"/>
                <w:sz w:val="16"/>
              </w:rPr>
              <w:t>Provision</w:t>
            </w:r>
          </w:p>
        </w:tc>
        <w:tc>
          <w:tcPr>
            <w:tcW w:type="dxa" w:w="2088"/>
            <w:shd w:val="clear" w:color="auto" w:fill="D9D9D9"/>
          </w:tcPr>
          <w:p>
            <w:r/>
            <w:r>
              <w:rPr>
                <w:b/>
                <w:i w:val="0"/>
                <w:sz w:val="16"/>
              </w:rPr>
              <w:t>Draft term / issue</w:t>
            </w:r>
          </w:p>
        </w:tc>
        <w:tc>
          <w:tcPr>
            <w:tcW w:type="dxa" w:w="2304"/>
            <w:shd w:val="clear" w:color="auto" w:fill="D9D9D9"/>
          </w:tcPr>
          <w:p>
            <w:r/>
            <w:r>
              <w:rPr>
                <w:b/>
                <w:i w:val="0"/>
                <w:sz w:val="16"/>
              </w:rPr>
              <w:t>Proposed resolution (as marked)</w:t>
            </w:r>
          </w:p>
        </w:tc>
        <w:tc>
          <w:tcPr>
            <w:tcW w:type="dxa" w:w="2088"/>
            <w:shd w:val="clear" w:color="auto" w:fill="D9D9D9"/>
          </w:tcPr>
          <w:p>
            <w:r/>
            <w:r>
              <w:rPr>
                <w:b/>
                <w:i w:val="0"/>
                <w:sz w:val="16"/>
              </w:rPr>
              <w:t>Rationale</w:t>
            </w:r>
          </w:p>
        </w:tc>
        <w:tc>
          <w:tcPr>
            <w:tcW w:type="dxa" w:w="1080"/>
            <w:shd w:val="clear" w:color="auto" w:fill="D9D9D9"/>
          </w:tcPr>
          <w:p>
            <w:r/>
            <w:r>
              <w:rPr>
                <w:b/>
                <w:i w:val="0"/>
                <w:sz w:val="16"/>
              </w:rPr>
              <w:t>Priority</w:t>
            </w:r>
          </w:p>
        </w:tc>
      </w:tr>
      <w:tr>
        <w:tc>
          <w:tcPr>
            <w:tcW w:type="dxa" w:w="432"/>
          </w:tcPr>
          <w:p>
            <w:r/>
            <w:r>
              <w:rPr>
                <w:b w:val="0"/>
                <w:i w:val="0"/>
                <w:sz w:val="16"/>
              </w:rPr>
              <w:t>4</w:t>
            </w:r>
          </w:p>
        </w:tc>
        <w:tc>
          <w:tcPr>
            <w:tcW w:type="dxa" w:w="1512"/>
          </w:tcPr>
          <w:p>
            <w:r/>
            <w:r>
              <w:rPr>
                <w:b w:val="0"/>
                <w:i w:val="0"/>
                <w:sz w:val="16"/>
              </w:rPr>
              <w:t>Success fee rate (§4(b))</w:t>
            </w:r>
          </w:p>
        </w:tc>
        <w:tc>
          <w:tcPr>
            <w:tcW w:type="dxa" w:w="2088"/>
          </w:tcPr>
          <w:p>
            <w:r/>
            <w:r>
              <w:rPr>
                <w:b w:val="0"/>
                <w:i w:val="0"/>
                <w:sz w:val="16"/>
              </w:rPr>
              <w:t>Flat 1.75% of Aggregate Consideration; $3.85M at $220M.</w:t>
            </w:r>
          </w:p>
        </w:tc>
        <w:tc>
          <w:tcPr>
            <w:tcW w:type="dxa" w:w="2304"/>
          </w:tcPr>
          <w:p>
            <w:r/>
            <w:r>
              <w:rPr>
                <w:b w:val="0"/>
                <w:i w:val="0"/>
                <w:sz w:val="16"/>
              </w:rPr>
              <w:t>Declining scale: 1.50% up to $200M; 1.25% on the excess ($3.25M at $220M). Paid at closing from closing funds (deleted "or prior to"). Fallback: flat 1.50%.</w:t>
            </w:r>
          </w:p>
        </w:tc>
        <w:tc>
          <w:tcPr>
            <w:tcW w:type="dxa" w:w="2088"/>
          </w:tcPr>
          <w:p>
            <w:r/>
            <w:r>
              <w:rPr>
                <w:b w:val="0"/>
                <w:i w:val="0"/>
                <w:sz w:val="16"/>
              </w:rPr>
              <w:t>Above market for a $150M to $300M deal (see Part III.A). Client is fee-sensitive. Benchmark against the Oakvale and Halberd proposals.</w:t>
            </w:r>
          </w:p>
        </w:tc>
        <w:tc>
          <w:tcPr>
            <w:tcW w:type="dxa" w:w="1080"/>
            <w:shd w:val="clear" w:color="auto" w:fill="FCE5CD"/>
          </w:tcPr>
          <w:p>
            <w:r/>
            <w:r>
              <w:rPr>
                <w:b w:val="0"/>
                <w:i w:val="0"/>
                <w:sz w:val="16"/>
              </w:rPr>
              <w:t>Important (elevated: client fee sensitivity)</w:t>
            </w:r>
          </w:p>
        </w:tc>
      </w:tr>
      <w:tr>
        <w:tc>
          <w:tcPr>
            <w:tcW w:type="dxa" w:w="432"/>
          </w:tcPr>
          <w:p>
            <w:r/>
            <w:r>
              <w:rPr>
                <w:b w:val="0"/>
                <w:i w:val="0"/>
                <w:sz w:val="16"/>
              </w:rPr>
              <w:t>5</w:t>
            </w:r>
          </w:p>
        </w:tc>
        <w:tc>
          <w:tcPr>
            <w:tcW w:type="dxa" w:w="1512"/>
          </w:tcPr>
          <w:p>
            <w:r/>
            <w:r>
              <w:rPr>
                <w:b w:val="0"/>
                <w:i w:val="0"/>
                <w:sz w:val="16"/>
              </w:rPr>
              <w:t>Aggregate Consideration (§4(b))</w:t>
            </w:r>
          </w:p>
        </w:tc>
        <w:tc>
          <w:tcPr>
            <w:tcW w:type="dxa" w:w="2088"/>
          </w:tcPr>
          <w:p>
            <w:r/>
            <w:r>
              <w:rPr>
                <w:b w:val="0"/>
                <w:i w:val="0"/>
                <w:sz w:val="16"/>
              </w:rPr>
              <w:t>Includes: (iv) the maximum of all earnouts; (v) escrows at closing; (vii) non-compete, consulting, employment, retention and change-in-control payments to equityholders, directors, officers and employees; (viii) "any other ... economic benefit ... directly or indirectly"; (iii) all indebtedness assumed.</w:t>
            </w:r>
          </w:p>
        </w:tc>
        <w:tc>
          <w:tcPr>
            <w:tcW w:type="dxa" w:w="2304"/>
          </w:tcPr>
          <w:p>
            <w:r/>
            <w:r>
              <w:rPr>
                <w:b w:val="0"/>
                <w:i w:val="0"/>
                <w:sz w:val="16"/>
              </w:rPr>
              <w:t>Earnout and contingent consideration: fee paid only if and when amounts are actually paid. Escrows and holdbacks: fee paid when released. Payments to individuals under non-compete, consulting, employment, retention, change-in-control or transition arrangements are excluded. Catch-all (viii) deleted. Debt limited to indebtedness for borrowed money. Seller notes at face value retained.</w:t>
            </w:r>
          </w:p>
        </w:tc>
        <w:tc>
          <w:tcPr>
            <w:tcW w:type="dxa" w:w="2088"/>
          </w:tcPr>
          <w:p>
            <w:r/>
            <w:r>
              <w:rPr>
                <w:b w:val="0"/>
                <w:i w:val="0"/>
                <w:sz w:val="16"/>
              </w:rPr>
              <w:t>Market and firm standard. The fee should be calculated on value actually received by equityholders as a class. Mr. Voss's anticipated retirement makes the personal-compensation exclusion directly relevant.</w:t>
            </w:r>
          </w:p>
        </w:tc>
        <w:tc>
          <w:tcPr>
            <w:tcW w:type="dxa" w:w="1080"/>
            <w:shd w:val="clear" w:color="auto" w:fill="F4CCCC"/>
          </w:tcPr>
          <w:p>
            <w:r/>
            <w:r>
              <w:rPr>
                <w:b w:val="0"/>
                <w:i w:val="0"/>
                <w:sz w:val="16"/>
              </w:rPr>
              <w:t>Critical</w:t>
            </w:r>
          </w:p>
        </w:tc>
      </w:tr>
      <w:tr>
        <w:tc>
          <w:tcPr>
            <w:tcW w:type="dxa" w:w="432"/>
          </w:tcPr>
          <w:p>
            <w:r/>
            <w:r>
              <w:rPr>
                <w:b w:val="0"/>
                <w:i w:val="0"/>
                <w:sz w:val="16"/>
              </w:rPr>
              <w:t>6</w:t>
            </w:r>
          </w:p>
        </w:tc>
        <w:tc>
          <w:tcPr>
            <w:tcW w:type="dxa" w:w="1512"/>
          </w:tcPr>
          <w:p>
            <w:r/>
            <w:r>
              <w:rPr>
                <w:b w:val="0"/>
                <w:i w:val="0"/>
                <w:sz w:val="16"/>
              </w:rPr>
              <w:t>Retainer credit (§4(c))</w:t>
            </w:r>
          </w:p>
        </w:tc>
        <w:tc>
          <w:tcPr>
            <w:tcW w:type="dxa" w:w="2088"/>
          </w:tcPr>
          <w:p>
            <w:r/>
            <w:r>
              <w:rPr>
                <w:b w:val="0"/>
                <w:i w:val="0"/>
                <w:sz w:val="16"/>
              </w:rPr>
              <w:t>Only 50% of retainers credited; the remaining 50% is "not creditable against ... any other amounts".</w:t>
            </w:r>
          </w:p>
        </w:tc>
        <w:tc>
          <w:tcPr>
            <w:tcW w:type="dxa" w:w="2304"/>
          </w:tcPr>
          <w:p>
            <w:r/>
            <w:r>
              <w:rPr>
                <w:b w:val="0"/>
                <w:i w:val="0"/>
                <w:sz w:val="16"/>
              </w:rPr>
              <w:t>100% credited against the Transaction Fee, including the Minimum Fee and tail-period fees; the credit cannot exceed the fee. Illustration updated.</w:t>
            </w:r>
          </w:p>
        </w:tc>
        <w:tc>
          <w:tcPr>
            <w:tcW w:type="dxa" w:w="2088"/>
          </w:tcPr>
          <w:p>
            <w:r/>
            <w:r>
              <w:rPr>
                <w:b w:val="0"/>
                <w:i w:val="0"/>
                <w:sz w:val="16"/>
              </w:rPr>
              <w:t>100% creditability is market. The draft adds $450,000 of non-creditable fee (Part III.B). This responds directly to Mr. Voss's question.</w:t>
            </w:r>
          </w:p>
        </w:tc>
        <w:tc>
          <w:tcPr>
            <w:tcW w:type="dxa" w:w="1080"/>
            <w:shd w:val="clear" w:color="auto" w:fill="FCE5CD"/>
          </w:tcPr>
          <w:p>
            <w:r/>
            <w:r>
              <w:rPr>
                <w:b w:val="0"/>
                <w:i w:val="0"/>
                <w:sz w:val="16"/>
              </w:rPr>
              <w:t>Important (elevated: client fee sensitivity)</w:t>
            </w:r>
          </w:p>
        </w:tc>
      </w:tr>
      <w:tr>
        <w:tc>
          <w:tcPr>
            <w:tcW w:type="dxa" w:w="432"/>
          </w:tcPr>
          <w:p>
            <w:r/>
            <w:r>
              <w:rPr>
                <w:b w:val="0"/>
                <w:i w:val="0"/>
                <w:sz w:val="16"/>
              </w:rPr>
              <w:t>7</w:t>
            </w:r>
          </w:p>
        </w:tc>
        <w:tc>
          <w:tcPr>
            <w:tcW w:type="dxa" w:w="1512"/>
          </w:tcPr>
          <w:p>
            <w:r/>
            <w:r>
              <w:rPr>
                <w:b w:val="0"/>
                <w:i w:val="0"/>
                <w:sz w:val="16"/>
              </w:rPr>
              <w:t>Minimum Fee (§4(b))</w:t>
            </w:r>
          </w:p>
        </w:tc>
        <w:tc>
          <w:tcPr>
            <w:tcW w:type="dxa" w:w="2088"/>
          </w:tcPr>
          <w:p>
            <w:r/>
            <w:r>
              <w:rPr>
                <w:b w:val="0"/>
                <w:i w:val="0"/>
                <w:sz w:val="16"/>
              </w:rPr>
              <w:t>$2.5M floor.</w:t>
            </w:r>
          </w:p>
        </w:tc>
        <w:tc>
          <w:tcPr>
            <w:tcW w:type="dxa" w:w="2304"/>
          </w:tcPr>
          <w:p>
            <w:r/>
            <w:r>
              <w:rPr>
                <w:b w:val="0"/>
                <w:i w:val="0"/>
                <w:sz w:val="16"/>
              </w:rPr>
              <w:t>$2.0M floor.</w:t>
            </w:r>
          </w:p>
        </w:tc>
        <w:tc>
          <w:tcPr>
            <w:tcW w:type="dxa" w:w="2088"/>
          </w:tcPr>
          <w:p>
            <w:r/>
            <w:r>
              <w:rPr>
                <w:b w:val="0"/>
                <w:i w:val="0"/>
                <w:sz w:val="16"/>
              </w:rPr>
              <w:t>A minimum fee is customary. At 1.50%, a $2.5M floor would bite below about $166.7M, within the expected range; $2.0M keeps the breakpoint (about $133M) below the range. A tradeable concession.</w:t>
            </w:r>
          </w:p>
        </w:tc>
        <w:tc>
          <w:tcPr>
            <w:tcW w:type="dxa" w:w="1080"/>
            <w:shd w:val="clear" w:color="auto" w:fill="D9EAD3"/>
          </w:tcPr>
          <w:p>
            <w:r/>
            <w:r>
              <w:rPr>
                <w:b w:val="0"/>
                <w:i w:val="0"/>
                <w:sz w:val="16"/>
              </w:rPr>
              <w:t>Minor</w:t>
            </w:r>
          </w:p>
        </w:tc>
      </w:tr>
      <w:tr>
        <w:tc>
          <w:tcPr>
            <w:tcW w:type="dxa" w:w="432"/>
          </w:tcPr>
          <w:p>
            <w:r/>
            <w:r>
              <w:rPr>
                <w:b w:val="0"/>
                <w:i w:val="0"/>
                <w:sz w:val="16"/>
              </w:rPr>
              <w:t>8</w:t>
            </w:r>
          </w:p>
        </w:tc>
        <w:tc>
          <w:tcPr>
            <w:tcW w:type="dxa" w:w="1512"/>
          </w:tcPr>
          <w:p>
            <w:r/>
            <w:r>
              <w:rPr>
                <w:b w:val="0"/>
                <w:i w:val="0"/>
                <w:sz w:val="16"/>
              </w:rPr>
              <w:t>Financing Fee (§4(d))</w:t>
            </w:r>
          </w:p>
        </w:tc>
        <w:tc>
          <w:tcPr>
            <w:tcW w:type="dxa" w:w="2088"/>
          </w:tcPr>
          <w:p>
            <w:r/>
            <w:r>
              <w:rPr>
                <w:b w:val="0"/>
                <w:i w:val="0"/>
                <w:sz w:val="16"/>
              </w:rPr>
              <w:t>1.0% of the total committed amount of any debt, equity or mezzanine financing "in connection with" a Transaction, including financing from a counterparty affiliate "or otherwise", in addition to the Transaction Fee.</w:t>
            </w:r>
          </w:p>
        </w:tc>
        <w:tc>
          <w:tcPr>
            <w:tcW w:type="dxa" w:w="2304"/>
          </w:tcPr>
          <w:p>
            <w:r/>
            <w:r>
              <w:rPr>
                <w:b w:val="0"/>
                <w:i w:val="0"/>
                <w:sz w:val="16"/>
              </w:rPr>
              <w:t>Deleted. No fee on any financing; any financing mandate to be agreed separately. Thorngate may not provide or arrange buyer financing (staple financing) without Transaction Committee consent.</w:t>
            </w:r>
          </w:p>
        </w:tc>
        <w:tc>
          <w:tcPr>
            <w:tcW w:type="dxa" w:w="2088"/>
          </w:tcPr>
          <w:p>
            <w:r/>
            <w:r>
              <w:rPr>
                <w:b w:val="0"/>
                <w:i w:val="0"/>
                <w:sz w:val="16"/>
              </w:rPr>
              <w:t>No financing mandate has been given; buyer financing is the buyer's responsibility. Prevents a windfall and the conflict that arises when the sell-side advisor also finances a bidder.</w:t>
            </w:r>
          </w:p>
        </w:tc>
        <w:tc>
          <w:tcPr>
            <w:tcW w:type="dxa" w:w="1080"/>
            <w:shd w:val="clear" w:color="auto" w:fill="FCE5CD"/>
          </w:tcPr>
          <w:p>
            <w:r/>
            <w:r>
              <w:rPr>
                <w:b w:val="0"/>
                <w:i w:val="0"/>
                <w:sz w:val="16"/>
              </w:rPr>
              <w:t>Important</w:t>
            </w:r>
          </w:p>
        </w:tc>
      </w:tr>
      <w:tr>
        <w:tc>
          <w:tcPr>
            <w:tcW w:type="dxa" w:w="432"/>
          </w:tcPr>
          <w:p>
            <w:r/>
            <w:r>
              <w:rPr>
                <w:b w:val="0"/>
                <w:i w:val="0"/>
                <w:sz w:val="16"/>
              </w:rPr>
              <w:t>9</w:t>
            </w:r>
          </w:p>
        </w:tc>
        <w:tc>
          <w:tcPr>
            <w:tcW w:type="dxa" w:w="1512"/>
          </w:tcPr>
          <w:p>
            <w:r/>
            <w:r>
              <w:rPr>
                <w:b w:val="0"/>
                <w:i w:val="0"/>
                <w:sz w:val="16"/>
              </w:rPr>
              <w:t>Monthly Retainer mechanics (§4(a))</w:t>
            </w:r>
          </w:p>
        </w:tc>
        <w:tc>
          <w:tcPr>
            <w:tcW w:type="dxa" w:w="2088"/>
          </w:tcPr>
          <w:p>
            <w:r/>
            <w:r>
              <w:rPr>
                <w:b w:val="0"/>
                <w:i w:val="0"/>
                <w:sz w:val="16"/>
              </w:rPr>
              <w:t>$75,000/month, "non-refundable under all circumstances", starting on "execution" (inconsistent with the countersignature-based Engagement Period).</w:t>
            </w:r>
          </w:p>
        </w:tc>
        <w:tc>
          <w:tcPr>
            <w:tcW w:type="dxa" w:w="2304"/>
          </w:tcPr>
          <w:p>
            <w:r/>
            <w:r>
              <w:rPr>
                <w:b w:val="0"/>
                <w:i w:val="0"/>
                <w:sz w:val="16"/>
              </w:rPr>
              <w:t>Amount retained. Starts on countersignature and stops on termination, with partial months prorated. Credit mechanics cross-referenced.</w:t>
            </w:r>
          </w:p>
        </w:tc>
        <w:tc>
          <w:tcPr>
            <w:tcW w:type="dxa" w:w="2088"/>
          </w:tcPr>
          <w:p>
            <w:r/>
            <w:r>
              <w:rPr>
                <w:b w:val="0"/>
                <w:i w:val="0"/>
                <w:sz w:val="16"/>
              </w:rPr>
              <w:t>The amount is within market ($50,000 to $100,000), so we have not over-negotiated. These are drafting fixes only.</w:t>
            </w:r>
          </w:p>
        </w:tc>
        <w:tc>
          <w:tcPr>
            <w:tcW w:type="dxa" w:w="1080"/>
            <w:shd w:val="clear" w:color="auto" w:fill="D9EAD3"/>
          </w:tcPr>
          <w:p>
            <w:r/>
            <w:r>
              <w:rPr>
                <w:b w:val="0"/>
                <w:i w:val="0"/>
                <w:sz w:val="16"/>
              </w:rPr>
              <w:t>Minor</w:t>
            </w:r>
          </w:p>
        </w:tc>
      </w:tr>
      <w:tr>
        <w:tc>
          <w:tcPr>
            <w:tcW w:type="dxa" w:w="432"/>
          </w:tcPr>
          <w:p>
            <w:r/>
            <w:r>
              <w:rPr>
                <w:b w:val="0"/>
                <w:i w:val="0"/>
                <w:sz w:val="16"/>
              </w:rPr>
              <w:t>10</w:t>
            </w:r>
          </w:p>
        </w:tc>
        <w:tc>
          <w:tcPr>
            <w:tcW w:type="dxa" w:w="1512"/>
          </w:tcPr>
          <w:p>
            <w:r/>
            <w:r>
              <w:rPr>
                <w:b w:val="0"/>
                <w:i w:val="0"/>
                <w:sz w:val="16"/>
              </w:rPr>
              <w:t>Expense reimbursement (§6)</w:t>
            </w:r>
          </w:p>
        </w:tc>
        <w:tc>
          <w:tcPr>
            <w:tcW w:type="dxa" w:w="2088"/>
          </w:tcPr>
          <w:p>
            <w:r/>
            <w:r>
              <w:rPr>
                <w:b w:val="0"/>
                <w:i w:val="0"/>
                <w:sz w:val="16"/>
              </w:rPr>
              <w:t>No aggregate cap. First-class airfare, private car service, entertainment, data terminals, telecom and "other incidental expenses" are reimbursable. Travel for management meetings and site visits is exempt from the $5,000 pre-approval.</w:t>
            </w:r>
          </w:p>
        </w:tc>
        <w:tc>
          <w:tcPr>
            <w:tcW w:type="dxa" w:w="2304"/>
          </w:tcPr>
          <w:p>
            <w:r/>
            <w:r>
              <w:rPr>
                <w:b w:val="0"/>
                <w:i w:val="0"/>
                <w:sz w:val="16"/>
              </w:rPr>
              <w:t>"Reasonable and documented"; aggregate cap of $75,000 with excess subject to CFO approval; coach or business-class airfare (no first class); no entertainment; overhead excluded; travel exemption deleted; approvals by the CFO; only undisputed amounts paid within 30 days; receipts required.</w:t>
            </w:r>
          </w:p>
        </w:tc>
        <w:tc>
          <w:tcPr>
            <w:tcW w:type="dxa" w:w="2088"/>
          </w:tcPr>
          <w:p>
            <w:r/>
            <w:r>
              <w:rPr>
                <w:b w:val="0"/>
                <w:i w:val="0"/>
                <w:sz w:val="16"/>
              </w:rPr>
              <w:t>The firm standard is a $2,500 to $5,000 per-item threshold plus a $50,000 to $100,000 aggregate cap. Without a cap, small items accumulate, and the travel exemption would swallow the threshold. The $5,000 threshold and 30-day payment term are market and are retained.</w:t>
            </w:r>
          </w:p>
        </w:tc>
        <w:tc>
          <w:tcPr>
            <w:tcW w:type="dxa" w:w="1080"/>
            <w:shd w:val="clear" w:color="auto" w:fill="FCE5CD"/>
          </w:tcPr>
          <w:p>
            <w:r/>
            <w:r>
              <w:rPr>
                <w:b w:val="0"/>
                <w:i w:val="0"/>
                <w:sz w:val="16"/>
              </w:rPr>
              <w:t>Important</w:t>
            </w:r>
          </w:p>
        </w:tc>
      </w:tr>
    </w:tbl>
    <w:p>
      <w:pPr>
        <w:spacing w:after="40"/>
      </w:pPr>
    </w:p>
    <w:p>
      <w:pPr>
        <w:pStyle w:val="Heading2"/>
      </w:pPr>
      <w:r>
        <w:t>C. Tail and Termination</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432"/>
            <w:shd w:val="clear" w:color="auto" w:fill="D9D9D9"/>
          </w:tcPr>
          <w:p>
            <w:r/>
            <w:r>
              <w:rPr>
                <w:b/>
                <w:i w:val="0"/>
                <w:sz w:val="16"/>
              </w:rPr>
              <w:t>#</w:t>
            </w:r>
          </w:p>
        </w:tc>
        <w:tc>
          <w:tcPr>
            <w:tcW w:type="dxa" w:w="1512"/>
            <w:shd w:val="clear" w:color="auto" w:fill="D9D9D9"/>
          </w:tcPr>
          <w:p>
            <w:r/>
            <w:r>
              <w:rPr>
                <w:b/>
                <w:i w:val="0"/>
                <w:sz w:val="16"/>
              </w:rPr>
              <w:t>Provision</w:t>
            </w:r>
          </w:p>
        </w:tc>
        <w:tc>
          <w:tcPr>
            <w:tcW w:type="dxa" w:w="2088"/>
            <w:shd w:val="clear" w:color="auto" w:fill="D9D9D9"/>
          </w:tcPr>
          <w:p>
            <w:r/>
            <w:r>
              <w:rPr>
                <w:b/>
                <w:i w:val="0"/>
                <w:sz w:val="16"/>
              </w:rPr>
              <w:t>Draft term / issue</w:t>
            </w:r>
          </w:p>
        </w:tc>
        <w:tc>
          <w:tcPr>
            <w:tcW w:type="dxa" w:w="2304"/>
            <w:shd w:val="clear" w:color="auto" w:fill="D9D9D9"/>
          </w:tcPr>
          <w:p>
            <w:r/>
            <w:r>
              <w:rPr>
                <w:b/>
                <w:i w:val="0"/>
                <w:sz w:val="16"/>
              </w:rPr>
              <w:t>Proposed resolution (as marked)</w:t>
            </w:r>
          </w:p>
        </w:tc>
        <w:tc>
          <w:tcPr>
            <w:tcW w:type="dxa" w:w="2088"/>
            <w:shd w:val="clear" w:color="auto" w:fill="D9D9D9"/>
          </w:tcPr>
          <w:p>
            <w:r/>
            <w:r>
              <w:rPr>
                <w:b/>
                <w:i w:val="0"/>
                <w:sz w:val="16"/>
              </w:rPr>
              <w:t>Rationale</w:t>
            </w:r>
          </w:p>
        </w:tc>
        <w:tc>
          <w:tcPr>
            <w:tcW w:type="dxa" w:w="1080"/>
            <w:shd w:val="clear" w:color="auto" w:fill="D9D9D9"/>
          </w:tcPr>
          <w:p>
            <w:r/>
            <w:r>
              <w:rPr>
                <w:b/>
                <w:i w:val="0"/>
                <w:sz w:val="16"/>
              </w:rPr>
              <w:t>Priority</w:t>
            </w:r>
          </w:p>
        </w:tc>
      </w:tr>
      <w:tr>
        <w:tc>
          <w:tcPr>
            <w:tcW w:type="dxa" w:w="432"/>
          </w:tcPr>
          <w:p>
            <w:r/>
            <w:r>
              <w:rPr>
                <w:b w:val="0"/>
                <w:i w:val="0"/>
                <w:sz w:val="16"/>
              </w:rPr>
              <w:t>11</w:t>
            </w:r>
          </w:p>
        </w:tc>
        <w:tc>
          <w:tcPr>
            <w:tcW w:type="dxa" w:w="1512"/>
          </w:tcPr>
          <w:p>
            <w:r/>
            <w:r>
              <w:rPr>
                <w:b w:val="0"/>
                <w:i w:val="0"/>
                <w:sz w:val="16"/>
              </w:rPr>
              <w:t>Tail length (§5)</w:t>
            </w:r>
          </w:p>
        </w:tc>
        <w:tc>
          <w:tcPr>
            <w:tcW w:type="dxa" w:w="2088"/>
          </w:tcPr>
          <w:p>
            <w:r/>
            <w:r>
              <w:rPr>
                <w:b w:val="0"/>
                <w:i w:val="0"/>
                <w:sz w:val="16"/>
              </w:rPr>
              <w:t>24 months after termination or expiration; Transaction Fee and Financing Fee "without any reduction".</w:t>
            </w:r>
          </w:p>
        </w:tc>
        <w:tc>
          <w:tcPr>
            <w:tcW w:type="dxa" w:w="2304"/>
          </w:tcPr>
          <w:p>
            <w:r/>
            <w:r>
              <w:rPr>
                <w:b w:val="0"/>
                <w:i w:val="0"/>
                <w:sz w:val="16"/>
              </w:rPr>
              <w:t>12 months. The fee is payable if a deal closes within the tail, or is signed within the tail and later closes. Financing Fee removed; Retainer Credit applies. No tail on a termination by the Company for Cause.</w:t>
            </w:r>
          </w:p>
        </w:tc>
        <w:tc>
          <w:tcPr>
            <w:tcW w:type="dxa" w:w="2088"/>
          </w:tcPr>
          <w:p>
            <w:r/>
            <w:r>
              <w:rPr>
                <w:b w:val="0"/>
                <w:i w:val="0"/>
                <w:sz w:val="16"/>
              </w:rPr>
              <w:t>The firm standard is 12 months, with 18 months the outer limit; 24 months is off-market. This bears directly on the Committee's flexibility to change advisors. Fallback: 18 months, but only with the list mechanics in item 12.</w:t>
            </w:r>
          </w:p>
        </w:tc>
        <w:tc>
          <w:tcPr>
            <w:tcW w:type="dxa" w:w="1080"/>
            <w:shd w:val="clear" w:color="auto" w:fill="F4CCCC"/>
          </w:tcPr>
          <w:p>
            <w:r/>
            <w:r>
              <w:rPr>
                <w:b w:val="0"/>
                <w:i w:val="0"/>
                <w:sz w:val="16"/>
              </w:rPr>
              <w:t>Critical</w:t>
            </w:r>
          </w:p>
        </w:tc>
      </w:tr>
      <w:tr>
        <w:tc>
          <w:tcPr>
            <w:tcW w:type="dxa" w:w="432"/>
          </w:tcPr>
          <w:p>
            <w:r/>
            <w:r>
              <w:rPr>
                <w:b w:val="0"/>
                <w:i w:val="0"/>
                <w:sz w:val="16"/>
              </w:rPr>
              <w:t>12</w:t>
            </w:r>
          </w:p>
        </w:tc>
        <w:tc>
          <w:tcPr>
            <w:tcW w:type="dxa" w:w="1512"/>
          </w:tcPr>
          <w:p>
            <w:r/>
            <w:r>
              <w:rPr>
                <w:b w:val="0"/>
                <w:i w:val="0"/>
                <w:sz w:val="16"/>
              </w:rPr>
              <w:t>Tail parties / catch-alls (§5(a) to (d) and the following paragraph)</w:t>
            </w:r>
          </w:p>
        </w:tc>
        <w:tc>
          <w:tcPr>
            <w:tcW w:type="dxa" w:w="2088"/>
          </w:tcPr>
          <w:p>
            <w:r/>
            <w:r>
              <w:rPr>
                <w:b w:val="0"/>
                <w:i w:val="0"/>
                <w:sz w:val="16"/>
              </w:rPr>
              <w:t>Covers any party contacted by or known to Thorngate, any party that contacted the Company on its own initiative, any party on any list, and any party "otherwise known to Thorngate"; applies "regardless of who introduced" the party or the type of transaction.</w:t>
            </w:r>
          </w:p>
        </w:tc>
        <w:tc>
          <w:tcPr>
            <w:tcW w:type="dxa" w:w="2304"/>
          </w:tcPr>
          <w:p>
            <w:r/>
            <w:r>
              <w:rPr>
                <w:b w:val="0"/>
                <w:i w:val="0"/>
                <w:sz w:val="16"/>
              </w:rPr>
              <w:t>Tail limited to parties on a written Tail Party List delivered within 10 business days of termination, limited to parties Thorngate actually contacted on the Company's behalf (or provided information to with approval), and inbound parties introduced by Thorngate with whom it held discussions. The Company has 15 business days to object. Clauses (c) and (d) and the "regardless" language are deleted.</w:t>
            </w:r>
          </w:p>
        </w:tc>
        <w:tc>
          <w:tcPr>
            <w:tcW w:type="dxa" w:w="2088"/>
          </w:tcPr>
          <w:p>
            <w:r/>
            <w:r>
              <w:rPr>
                <w:b w:val="0"/>
                <w:i w:val="0"/>
                <w:sz w:val="16"/>
              </w:rPr>
              <w:t>The draft categories have no defined limit and would capture essentially every logical buyer in the sector for two years, including buyers who approach the Company independently. A defined list is market.</w:t>
            </w:r>
          </w:p>
        </w:tc>
        <w:tc>
          <w:tcPr>
            <w:tcW w:type="dxa" w:w="1080"/>
            <w:shd w:val="clear" w:color="auto" w:fill="F4CCCC"/>
          </w:tcPr>
          <w:p>
            <w:r/>
            <w:r>
              <w:rPr>
                <w:b w:val="0"/>
                <w:i w:val="0"/>
                <w:sz w:val="16"/>
              </w:rPr>
              <w:t>Critical</w:t>
            </w:r>
          </w:p>
        </w:tc>
      </w:tr>
      <w:tr>
        <w:tc>
          <w:tcPr>
            <w:tcW w:type="dxa" w:w="432"/>
          </w:tcPr>
          <w:p>
            <w:r/>
            <w:r>
              <w:rPr>
                <w:b w:val="0"/>
                <w:i w:val="0"/>
                <w:sz w:val="16"/>
              </w:rPr>
              <w:t>13</w:t>
            </w:r>
          </w:p>
        </w:tc>
        <w:tc>
          <w:tcPr>
            <w:tcW w:type="dxa" w:w="1512"/>
          </w:tcPr>
          <w:p>
            <w:r/>
            <w:r>
              <w:rPr>
                <w:b w:val="0"/>
                <w:i w:val="0"/>
                <w:sz w:val="16"/>
              </w:rPr>
              <w:t>Early termination fee (§7)</w:t>
            </w:r>
          </w:p>
        </w:tc>
        <w:tc>
          <w:tcPr>
            <w:tcW w:type="dxa" w:w="2088"/>
          </w:tcPr>
          <w:p>
            <w:r/>
            <w:r>
              <w:rPr>
                <w:b w:val="0"/>
                <w:i w:val="0"/>
                <w:sz w:val="16"/>
              </w:rPr>
              <w:t>$500,000 if the Company terminates before the 6-month anniversary, in addition to accrued retainers and expenses; non-creditable.</w:t>
            </w:r>
          </w:p>
        </w:tc>
        <w:tc>
          <w:tcPr>
            <w:tcW w:type="dxa" w:w="2304"/>
          </w:tcPr>
          <w:p>
            <w:r/>
            <w:r>
              <w:rPr>
                <w:b w:val="0"/>
                <w:i w:val="0"/>
                <w:sz w:val="16"/>
              </w:rPr>
              <w:t>Deleted. Termination is at will on 30 days' notice without penalty; on termination the Company owes only accrued retainer, expenses, the tail (if applicable) and indemnity.</w:t>
            </w:r>
          </w:p>
        </w:tc>
        <w:tc>
          <w:tcPr>
            <w:tcW w:type="dxa" w:w="2088"/>
          </w:tcPr>
          <w:p>
            <w:r/>
            <w:r>
              <w:rPr>
                <w:b w:val="0"/>
                <w:i w:val="0"/>
                <w:sz w:val="16"/>
              </w:rPr>
              <w:t>Termination fees are not customary in sell-side engagements. The Committee must be able to suspend the process or replace an underperforming advisor without penalty, and this is a first-time relationship.</w:t>
            </w:r>
          </w:p>
        </w:tc>
        <w:tc>
          <w:tcPr>
            <w:tcW w:type="dxa" w:w="1080"/>
            <w:shd w:val="clear" w:color="auto" w:fill="F4CCCC"/>
          </w:tcPr>
          <w:p>
            <w:r/>
            <w:r>
              <w:rPr>
                <w:b w:val="0"/>
                <w:i w:val="0"/>
                <w:sz w:val="16"/>
              </w:rPr>
              <w:t>Critical</w:t>
            </w:r>
          </w:p>
        </w:tc>
      </w:tr>
      <w:tr>
        <w:tc>
          <w:tcPr>
            <w:tcW w:type="dxa" w:w="432"/>
          </w:tcPr>
          <w:p>
            <w:r/>
            <w:r>
              <w:rPr>
                <w:b w:val="0"/>
                <w:i w:val="0"/>
                <w:sz w:val="16"/>
              </w:rPr>
              <w:t>14</w:t>
            </w:r>
          </w:p>
        </w:tc>
        <w:tc>
          <w:tcPr>
            <w:tcW w:type="dxa" w:w="1512"/>
          </w:tcPr>
          <w:p>
            <w:r/>
            <w:r>
              <w:rPr>
                <w:b w:val="0"/>
                <w:i w:val="0"/>
                <w:sz w:val="16"/>
              </w:rPr>
              <w:t>Termination for Cause; key person (§7, §1)</w:t>
            </w:r>
          </w:p>
        </w:tc>
        <w:tc>
          <w:tcPr>
            <w:tcW w:type="dxa" w:w="2088"/>
          </w:tcPr>
          <w:p>
            <w:r/>
            <w:r>
              <w:rPr>
                <w:b w:val="0"/>
                <w:i w:val="0"/>
                <w:sz w:val="16"/>
              </w:rPr>
              <w:t>No Cause concept. The tail survives every termination, and there is no key-person commitment.</w:t>
            </w:r>
          </w:p>
        </w:tc>
        <w:tc>
          <w:tcPr>
            <w:tcW w:type="dxa" w:w="2304"/>
          </w:tcPr>
          <w:p>
            <w:r/>
            <w:r>
              <w:rPr>
                <w:b w:val="0"/>
                <w:i w:val="0"/>
                <w:sz w:val="16"/>
              </w:rPr>
              <w:t>Immediate termination for Cause (uncured material breach; gross negligence, willful misconduct, bad faith or fraud; or loss of Mr. Castellan without an acceptable replacement). No tail on termination for Cause. Mr. Castellan to remain actively involved, with consultation before senior staffing changes. The draft's error listing "confidentiality obligations" among the Company's continuing obligations is corrected.</w:t>
            </w:r>
          </w:p>
        </w:tc>
        <w:tc>
          <w:tcPr>
            <w:tcW w:type="dxa" w:w="2088"/>
          </w:tcPr>
          <w:p>
            <w:r/>
            <w:r>
              <w:rPr>
                <w:b w:val="0"/>
                <w:i w:val="0"/>
                <w:sz w:val="16"/>
              </w:rPr>
              <w:t>Implements the playbook's no-tail-on-Cause position and the Committee's concern about unsatisfactory performance. The key-person provision is moderate, since Thorngate can designate an acceptable replacement.</w:t>
            </w:r>
          </w:p>
        </w:tc>
        <w:tc>
          <w:tcPr>
            <w:tcW w:type="dxa" w:w="1080"/>
            <w:shd w:val="clear" w:color="auto" w:fill="FCE5CD"/>
          </w:tcPr>
          <w:p>
            <w:r/>
            <w:r>
              <w:rPr>
                <w:b w:val="0"/>
                <w:i w:val="0"/>
                <w:sz w:val="16"/>
              </w:rPr>
              <w:t>Important</w:t>
            </w:r>
          </w:p>
        </w:tc>
      </w:tr>
    </w:tbl>
    <w:p>
      <w:pPr>
        <w:spacing w:after="40"/>
      </w:pPr>
    </w:p>
    <w:p>
      <w:pPr>
        <w:pStyle w:val="Heading2"/>
      </w:pPr>
      <w:r>
        <w:t>D. Indemnification and Limitation of Liability</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432"/>
            <w:shd w:val="clear" w:color="auto" w:fill="D9D9D9"/>
          </w:tcPr>
          <w:p>
            <w:r/>
            <w:r>
              <w:rPr>
                <w:b/>
                <w:i w:val="0"/>
                <w:sz w:val="16"/>
              </w:rPr>
              <w:t>#</w:t>
            </w:r>
          </w:p>
        </w:tc>
        <w:tc>
          <w:tcPr>
            <w:tcW w:type="dxa" w:w="1512"/>
            <w:shd w:val="clear" w:color="auto" w:fill="D9D9D9"/>
          </w:tcPr>
          <w:p>
            <w:r/>
            <w:r>
              <w:rPr>
                <w:b/>
                <w:i w:val="0"/>
                <w:sz w:val="16"/>
              </w:rPr>
              <w:t>Provision</w:t>
            </w:r>
          </w:p>
        </w:tc>
        <w:tc>
          <w:tcPr>
            <w:tcW w:type="dxa" w:w="2088"/>
            <w:shd w:val="clear" w:color="auto" w:fill="D9D9D9"/>
          </w:tcPr>
          <w:p>
            <w:r/>
            <w:r>
              <w:rPr>
                <w:b/>
                <w:i w:val="0"/>
                <w:sz w:val="16"/>
              </w:rPr>
              <w:t>Draft term / issue</w:t>
            </w:r>
          </w:p>
        </w:tc>
        <w:tc>
          <w:tcPr>
            <w:tcW w:type="dxa" w:w="2304"/>
            <w:shd w:val="clear" w:color="auto" w:fill="D9D9D9"/>
          </w:tcPr>
          <w:p>
            <w:r/>
            <w:r>
              <w:rPr>
                <w:b/>
                <w:i w:val="0"/>
                <w:sz w:val="16"/>
              </w:rPr>
              <w:t>Proposed resolution (as marked)</w:t>
            </w:r>
          </w:p>
        </w:tc>
        <w:tc>
          <w:tcPr>
            <w:tcW w:type="dxa" w:w="2088"/>
            <w:shd w:val="clear" w:color="auto" w:fill="D9D9D9"/>
          </w:tcPr>
          <w:p>
            <w:r/>
            <w:r>
              <w:rPr>
                <w:b/>
                <w:i w:val="0"/>
                <w:sz w:val="16"/>
              </w:rPr>
              <w:t>Rationale</w:t>
            </w:r>
          </w:p>
        </w:tc>
        <w:tc>
          <w:tcPr>
            <w:tcW w:type="dxa" w:w="1080"/>
            <w:shd w:val="clear" w:color="auto" w:fill="D9D9D9"/>
          </w:tcPr>
          <w:p>
            <w:r/>
            <w:r>
              <w:rPr>
                <w:b/>
                <w:i w:val="0"/>
                <w:sz w:val="16"/>
              </w:rPr>
              <w:t>Priority</w:t>
            </w:r>
          </w:p>
        </w:tc>
      </w:tr>
      <w:tr>
        <w:tc>
          <w:tcPr>
            <w:tcW w:type="dxa" w:w="432"/>
          </w:tcPr>
          <w:p>
            <w:r/>
            <w:r>
              <w:rPr>
                <w:b w:val="0"/>
                <w:i w:val="0"/>
                <w:sz w:val="16"/>
              </w:rPr>
              <w:t>15</w:t>
            </w:r>
          </w:p>
        </w:tc>
        <w:tc>
          <w:tcPr>
            <w:tcW w:type="dxa" w:w="1512"/>
          </w:tcPr>
          <w:p>
            <w:r/>
            <w:r>
              <w:rPr>
                <w:b w:val="0"/>
                <w:i w:val="0"/>
                <w:sz w:val="16"/>
              </w:rPr>
              <w:t>Indemnification carve-outs (§8; Ex. A "Limitation on Indemnification")</w:t>
            </w:r>
          </w:p>
        </w:tc>
        <w:tc>
          <w:tcPr>
            <w:tcW w:type="dxa" w:w="2088"/>
          </w:tcPr>
          <w:p>
            <w:r/>
            <w:r>
              <w:rPr>
                <w:b w:val="0"/>
                <w:i w:val="0"/>
                <w:sz w:val="16"/>
              </w:rPr>
              <w:t>Exclusions limited to gross negligence and willful misconduct, as "finally judicially determined by a court". Exhibit A adds: "No other exceptions, exclusions, or carve-outs shall apply."</w:t>
            </w:r>
          </w:p>
        </w:tc>
        <w:tc>
          <w:tcPr>
            <w:tcW w:type="dxa" w:w="2304"/>
          </w:tcPr>
          <w:p>
            <w:r/>
            <w:r>
              <w:rPr>
                <w:b w:val="0"/>
                <w:i w:val="0"/>
                <w:sz w:val="16"/>
              </w:rPr>
              <w:t>Carve-outs expanded to bad faith, fraud, and material breach of the letter. The "finally determined" standard is retained but covers an arbitral award. Exclusions apply to each Indemnified Person. Indemnity excludes the Company's own claims against Thorngate. The "no other exceptions" sentence is deleted. Advancement is limited to reasonable, documented expenses against a written undertaking.</w:t>
            </w:r>
          </w:p>
        </w:tc>
        <w:tc>
          <w:tcPr>
            <w:tcW w:type="dxa" w:w="2088"/>
          </w:tcPr>
          <w:p>
            <w:r/>
            <w:r>
              <w:rPr>
                <w:b w:val="0"/>
                <w:i w:val="0"/>
                <w:sz w:val="16"/>
              </w:rPr>
              <w:t>Indemnity is accepted in principle (market). The broader carve-out set is the firm standard. Because §13 requires arbitration, a "judicial" determination may never occur, which would make the carve-outs illusory. Without the inter-party exclusion, the Company could fund Thorngate's defense against the Company's own claims.</w:t>
            </w:r>
          </w:p>
        </w:tc>
        <w:tc>
          <w:tcPr>
            <w:tcW w:type="dxa" w:w="1080"/>
            <w:shd w:val="clear" w:color="auto" w:fill="F4CCCC"/>
          </w:tcPr>
          <w:p>
            <w:r/>
            <w:r>
              <w:rPr>
                <w:b w:val="0"/>
                <w:i w:val="0"/>
                <w:sz w:val="16"/>
              </w:rPr>
              <w:t>Critical</w:t>
            </w:r>
          </w:p>
        </w:tc>
      </w:tr>
      <w:tr>
        <w:tc>
          <w:tcPr>
            <w:tcW w:type="dxa" w:w="432"/>
          </w:tcPr>
          <w:p>
            <w:r/>
            <w:r>
              <w:rPr>
                <w:b w:val="0"/>
                <w:i w:val="0"/>
                <w:sz w:val="16"/>
              </w:rPr>
              <w:t>16</w:t>
            </w:r>
          </w:p>
        </w:tc>
        <w:tc>
          <w:tcPr>
            <w:tcW w:type="dxa" w:w="1512"/>
          </w:tcPr>
          <w:p>
            <w:r/>
            <w:r>
              <w:rPr>
                <w:b w:val="0"/>
                <w:i w:val="0"/>
                <w:sz w:val="16"/>
              </w:rPr>
              <w:t>Indemnification survival (§8; Ex. A "Survival")</w:t>
            </w:r>
          </w:p>
        </w:tc>
        <w:tc>
          <w:tcPr>
            <w:tcW w:type="dxa" w:w="2088"/>
          </w:tcPr>
          <w:p>
            <w:r/>
            <w:r>
              <w:rPr>
                <w:b w:val="0"/>
                <w:i w:val="0"/>
                <w:sz w:val="16"/>
              </w:rPr>
              <w:t>Indefinite: "without limitation as to time".</w:t>
            </w:r>
          </w:p>
        </w:tc>
        <w:tc>
          <w:tcPr>
            <w:tcW w:type="dxa" w:w="2304"/>
          </w:tcPr>
          <w:p>
            <w:r/>
            <w:r>
              <w:rPr>
                <w:b w:val="0"/>
                <w:i w:val="0"/>
                <w:sz w:val="16"/>
              </w:rPr>
              <w:t>3 years after the later of termination or expiration and closing; claims noticed within the period are preserved until resolved.</w:t>
            </w:r>
          </w:p>
        </w:tc>
        <w:tc>
          <w:tcPr>
            <w:tcW w:type="dxa" w:w="2088"/>
          </w:tcPr>
          <w:p>
            <w:r/>
            <w:r>
              <w:rPr>
                <w:b w:val="0"/>
                <w:i w:val="0"/>
                <w:sz w:val="16"/>
              </w:rPr>
              <w:t>The firm standard is 2 to 3 years, and indefinite survival is disfavored. We opened at the upper end of the range to leave room for a trade; fallback is 2 years with the claims-pending preservation.</w:t>
            </w:r>
          </w:p>
        </w:tc>
        <w:tc>
          <w:tcPr>
            <w:tcW w:type="dxa" w:w="1080"/>
            <w:shd w:val="clear" w:color="auto" w:fill="FCE5CD"/>
          </w:tcPr>
          <w:p>
            <w:r/>
            <w:r>
              <w:rPr>
                <w:b w:val="0"/>
                <w:i w:val="0"/>
                <w:sz w:val="16"/>
              </w:rPr>
              <w:t>Important</w:t>
            </w:r>
          </w:p>
        </w:tc>
      </w:tr>
      <w:tr>
        <w:tc>
          <w:tcPr>
            <w:tcW w:type="dxa" w:w="432"/>
          </w:tcPr>
          <w:p>
            <w:r/>
            <w:r>
              <w:rPr>
                <w:b w:val="0"/>
                <w:i w:val="0"/>
                <w:sz w:val="16"/>
              </w:rPr>
              <w:t>17</w:t>
            </w:r>
          </w:p>
        </w:tc>
        <w:tc>
          <w:tcPr>
            <w:tcW w:type="dxa" w:w="1512"/>
          </w:tcPr>
          <w:p>
            <w:r/>
            <w:r>
              <w:rPr>
                <w:b w:val="0"/>
                <w:i w:val="0"/>
                <w:sz w:val="16"/>
              </w:rPr>
              <w:t>Exhibit A precedence and missing terms (§8; Ex. A "Governing Terms" and closing bracket)</w:t>
            </w:r>
          </w:p>
        </w:tc>
        <w:tc>
          <w:tcPr>
            <w:tcW w:type="dxa" w:w="2088"/>
          </w:tcPr>
          <w:p>
            <w:r/>
            <w:r>
              <w:rPr>
                <w:b w:val="0"/>
                <w:i w:val="0"/>
                <w:sz w:val="16"/>
              </w:rPr>
              <w:t>Exhibit A controls over the letter, and Exhibit A refers to "Detailed Terms and Conditions — Attached", which were not provided.</w:t>
            </w:r>
          </w:p>
        </w:tc>
        <w:tc>
          <w:tcPr>
            <w:tcW w:type="dxa" w:w="2304"/>
          </w:tcPr>
          <w:p>
            <w:r/>
            <w:r>
              <w:rPr>
                <w:b w:val="0"/>
                <w:i w:val="0"/>
                <w:sz w:val="16"/>
              </w:rPr>
              <w:t>The letter controls over Exhibit A. An integration sentence confirms that no further terms apply. Thorngate is asked to deliver the complete Exhibit A for review before execution.</w:t>
            </w:r>
          </w:p>
        </w:tc>
        <w:tc>
          <w:tcPr>
            <w:tcW w:type="dxa" w:w="2088"/>
          </w:tcPr>
          <w:p>
            <w:r/>
            <w:r>
              <w:rPr>
                <w:b w:val="0"/>
                <w:i w:val="0"/>
                <w:sz w:val="16"/>
              </w:rPr>
              <w:t>The Company cannot sign an indemnity that incorporates, and gives priority to, terms it has not seen. Typical detailed terms (defense control, settlement consent, contribution) need review.</w:t>
            </w:r>
          </w:p>
        </w:tc>
        <w:tc>
          <w:tcPr>
            <w:tcW w:type="dxa" w:w="1080"/>
            <w:shd w:val="clear" w:color="auto" w:fill="F4CCCC"/>
          </w:tcPr>
          <w:p>
            <w:r/>
            <w:r>
              <w:rPr>
                <w:b w:val="0"/>
                <w:i w:val="0"/>
                <w:sz w:val="16"/>
              </w:rPr>
              <w:t>Critical</w:t>
            </w:r>
          </w:p>
        </w:tc>
      </w:tr>
      <w:tr>
        <w:tc>
          <w:tcPr>
            <w:tcW w:type="dxa" w:w="432"/>
          </w:tcPr>
          <w:p>
            <w:r/>
            <w:r>
              <w:rPr>
                <w:b w:val="0"/>
                <w:i w:val="0"/>
                <w:sz w:val="16"/>
              </w:rPr>
              <w:t>18</w:t>
            </w:r>
          </w:p>
        </w:tc>
        <w:tc>
          <w:tcPr>
            <w:tcW w:type="dxa" w:w="1512"/>
          </w:tcPr>
          <w:p>
            <w:r/>
            <w:r>
              <w:rPr>
                <w:b w:val="0"/>
                <w:i w:val="0"/>
                <w:sz w:val="16"/>
              </w:rPr>
              <w:t>Limitation of liability (§9)</w:t>
            </w:r>
          </w:p>
        </w:tc>
        <w:tc>
          <w:tcPr>
            <w:tcW w:type="dxa" w:w="2088"/>
          </w:tcPr>
          <w:p>
            <w:r/>
            <w:r>
              <w:rPr>
                <w:b w:val="0"/>
                <w:i w:val="0"/>
                <w:sz w:val="16"/>
              </w:rPr>
              <w:t>Thorngate's aggregate liability (and its affiliates' and personnel's) is capped at fees actually received, with no exceptions, "notwithstanding" anything in Exhibit A or any other agreement. One-way: the Company is uncapped.</w:t>
            </w:r>
          </w:p>
        </w:tc>
        <w:tc>
          <w:tcPr>
            <w:tcW w:type="dxa" w:w="2304"/>
          </w:tcPr>
          <w:p>
            <w:r/>
            <w:r>
              <w:rPr>
                <w:b w:val="0"/>
                <w:i w:val="0"/>
                <w:sz w:val="16"/>
              </w:rPr>
              <w:t>Cap retained, but it does not apply to fraud, bad faith, willful misconduct, gross negligence, or breach of the confidentiality (§11) or conflicts (§10) provisions.</w:t>
            </w:r>
          </w:p>
        </w:tc>
        <w:tc>
          <w:tcPr>
            <w:tcW w:type="dxa" w:w="2088"/>
          </w:tcPr>
          <w:p>
            <w:r/>
            <w:r>
              <w:rPr>
                <w:b w:val="0"/>
                <w:i w:val="0"/>
                <w:sz w:val="16"/>
              </w:rPr>
              <w:t>Implication: if the engagement ends after two months, Thorngate's maximum exposure for, say, leaking the sale process to the market or a competitor would be about $150,000. Deleting the cap is an option some clients take, but a cap with carve-outs is a balanced position that a reasonable bank should accept.</w:t>
            </w:r>
          </w:p>
        </w:tc>
        <w:tc>
          <w:tcPr>
            <w:tcW w:type="dxa" w:w="1080"/>
            <w:shd w:val="clear" w:color="auto" w:fill="FCE5CD"/>
          </w:tcPr>
          <w:p>
            <w:r/>
            <w:r>
              <w:rPr>
                <w:b w:val="0"/>
                <w:i w:val="0"/>
                <w:sz w:val="16"/>
              </w:rPr>
              <w:t>Important</w:t>
            </w:r>
          </w:p>
        </w:tc>
      </w:tr>
    </w:tbl>
    <w:p>
      <w:pPr>
        <w:spacing w:after="40"/>
      </w:pPr>
    </w:p>
    <w:p>
      <w:pPr>
        <w:pStyle w:val="Heading2"/>
      </w:pPr>
      <w:r>
        <w:t>E. Conflict-of-Interest Provisions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432"/>
            <w:shd w:val="clear" w:color="auto" w:fill="D9D9D9"/>
          </w:tcPr>
          <w:p>
            <w:r/>
            <w:r>
              <w:rPr>
                <w:b/>
                <w:i w:val="0"/>
                <w:sz w:val="16"/>
              </w:rPr>
              <w:t>#</w:t>
            </w:r>
          </w:p>
        </w:tc>
        <w:tc>
          <w:tcPr>
            <w:tcW w:type="dxa" w:w="1512"/>
            <w:shd w:val="clear" w:color="auto" w:fill="D9D9D9"/>
          </w:tcPr>
          <w:p>
            <w:r/>
            <w:r>
              <w:rPr>
                <w:b/>
                <w:i w:val="0"/>
                <w:sz w:val="16"/>
              </w:rPr>
              <w:t>Provision</w:t>
            </w:r>
          </w:p>
        </w:tc>
        <w:tc>
          <w:tcPr>
            <w:tcW w:type="dxa" w:w="2088"/>
            <w:shd w:val="clear" w:color="auto" w:fill="D9D9D9"/>
          </w:tcPr>
          <w:p>
            <w:r/>
            <w:r>
              <w:rPr>
                <w:b/>
                <w:i w:val="0"/>
                <w:sz w:val="16"/>
              </w:rPr>
              <w:t>Draft term / issue</w:t>
            </w:r>
          </w:p>
        </w:tc>
        <w:tc>
          <w:tcPr>
            <w:tcW w:type="dxa" w:w="2304"/>
            <w:shd w:val="clear" w:color="auto" w:fill="D9D9D9"/>
          </w:tcPr>
          <w:p>
            <w:r/>
            <w:r>
              <w:rPr>
                <w:b/>
                <w:i w:val="0"/>
                <w:sz w:val="16"/>
              </w:rPr>
              <w:t>Proposed resolution (as marked)</w:t>
            </w:r>
          </w:p>
        </w:tc>
        <w:tc>
          <w:tcPr>
            <w:tcW w:type="dxa" w:w="2088"/>
            <w:shd w:val="clear" w:color="auto" w:fill="D9D9D9"/>
          </w:tcPr>
          <w:p>
            <w:r/>
            <w:r>
              <w:rPr>
                <w:b/>
                <w:i w:val="0"/>
                <w:sz w:val="16"/>
              </w:rPr>
              <w:t>Rationale</w:t>
            </w:r>
          </w:p>
        </w:tc>
        <w:tc>
          <w:tcPr>
            <w:tcW w:type="dxa" w:w="1080"/>
            <w:shd w:val="clear" w:color="auto" w:fill="D9D9D9"/>
          </w:tcPr>
          <w:p>
            <w:r/>
            <w:r>
              <w:rPr>
                <w:b/>
                <w:i w:val="0"/>
                <w:sz w:val="16"/>
              </w:rPr>
              <w:t>Priority</w:t>
            </w:r>
          </w:p>
        </w:tc>
      </w:tr>
      <w:tr>
        <w:tc>
          <w:tcPr>
            <w:tcW w:type="dxa" w:w="432"/>
          </w:tcPr>
          <w:p>
            <w:r/>
            <w:r>
              <w:rPr>
                <w:b w:val="0"/>
                <w:i w:val="0"/>
                <w:sz w:val="16"/>
              </w:rPr>
              <w:t>19</w:t>
            </w:r>
          </w:p>
        </w:tc>
        <w:tc>
          <w:tcPr>
            <w:tcW w:type="dxa" w:w="1512"/>
          </w:tcPr>
          <w:p>
            <w:r/>
            <w:r>
              <w:rPr>
                <w:b w:val="0"/>
                <w:i w:val="0"/>
                <w:sz w:val="16"/>
              </w:rPr>
              <w:t>Thorngate or its affiliates as principal or buyer (§10, first paragraph)</w:t>
            </w:r>
          </w:p>
        </w:tc>
        <w:tc>
          <w:tcPr>
            <w:tcW w:type="dxa" w:w="2088"/>
          </w:tcPr>
          <w:p>
            <w:r/>
            <w:r>
              <w:rPr>
                <w:b w:val="0"/>
                <w:i w:val="0"/>
                <w:sz w:val="16"/>
              </w:rPr>
              <w:t>Thorngate and its affiliates, clients or managed funds may act as principal in any Transaction, including by acquiring equity, debt or assets; disclosure is required only of the fact of participation, and the Company agrees no consent, Board action or fairness opinion is required.</w:t>
            </w:r>
          </w:p>
        </w:tc>
        <w:tc>
          <w:tcPr>
            <w:tcW w:type="dxa" w:w="2304"/>
          </w:tcPr>
          <w:p>
            <w:r/>
            <w:r>
              <w:rPr>
                <w:b w:val="0"/>
                <w:i w:val="0"/>
                <w:sz w:val="16"/>
              </w:rPr>
              <w:t>Prohibited unless Thorngate gives full advance written disclosure, the Transaction Committee gives prior written consent (in its sole discretion), and an independent advisor selected by the Committee delivers a fairness opinion. No Transaction Fee is payable on a Transaction in which Thorngate is principal, unless the Committee agrees.</w:t>
            </w:r>
          </w:p>
        </w:tc>
        <w:tc>
          <w:tcPr>
            <w:tcW w:type="dxa" w:w="2088"/>
          </w:tcPr>
          <w:p>
            <w:r/>
            <w:r>
              <w:rPr>
                <w:b w:val="0"/>
                <w:i w:val="0"/>
                <w:sz w:val="16"/>
              </w:rPr>
              <w:t>This is a fundamental conflict: the advisor would be on both sides of price and process, with access to all Confidential Information. It also undermines the Board's ability to demonstrate a fair process to stockholders. The firm's preference is deletion; the drafted prohibition preserves only the minimum safeguards. Fallback: a reduced fee rather than no fee.</w:t>
            </w:r>
          </w:p>
        </w:tc>
        <w:tc>
          <w:tcPr>
            <w:tcW w:type="dxa" w:w="1080"/>
            <w:shd w:val="clear" w:color="auto" w:fill="F4CCCC"/>
          </w:tcPr>
          <w:p>
            <w:r/>
            <w:r>
              <w:rPr>
                <w:b w:val="0"/>
                <w:i w:val="0"/>
                <w:sz w:val="16"/>
              </w:rPr>
              <w:t>Critical</w:t>
            </w:r>
          </w:p>
        </w:tc>
      </w:tr>
      <w:tr>
        <w:tc>
          <w:tcPr>
            <w:tcW w:type="dxa" w:w="432"/>
          </w:tcPr>
          <w:p>
            <w:r/>
            <w:r>
              <w:rPr>
                <w:b w:val="0"/>
                <w:i w:val="0"/>
                <w:sz w:val="16"/>
              </w:rPr>
              <w:t>20</w:t>
            </w:r>
          </w:p>
        </w:tc>
        <w:tc>
          <w:tcPr>
            <w:tcW w:type="dxa" w:w="1512"/>
          </w:tcPr>
          <w:p>
            <w:r/>
            <w:r>
              <w:rPr>
                <w:b w:val="0"/>
                <w:i w:val="0"/>
                <w:sz w:val="16"/>
              </w:rPr>
              <w:t>Fee sharing (§4(e))</w:t>
            </w:r>
          </w:p>
        </w:tc>
        <w:tc>
          <w:tcPr>
            <w:tcW w:type="dxa" w:w="2088"/>
          </w:tcPr>
          <w:p>
            <w:r/>
            <w:r>
              <w:rPr>
                <w:b w:val="0"/>
                <w:i w:val="0"/>
                <w:sz w:val="16"/>
              </w:rPr>
              <w:t>Thorngate may share fees with brokers, finders or intermediaries "in its sole discretion", without notice or consent.</w:t>
            </w:r>
          </w:p>
        </w:tc>
        <w:tc>
          <w:tcPr>
            <w:tcW w:type="dxa" w:w="2304"/>
          </w:tcPr>
          <w:p>
            <w:r/>
            <w:r>
              <w:rPr>
                <w:b w:val="0"/>
                <w:i w:val="0"/>
                <w:sz w:val="16"/>
              </w:rPr>
              <w:t>Prior written disclosure and Company consent are required; any shared fee is paid out of Thorngate's fee, not added to the Company's cost.</w:t>
            </w:r>
          </w:p>
        </w:tc>
        <w:tc>
          <w:tcPr>
            <w:tcW w:type="dxa" w:w="2088"/>
          </w:tcPr>
          <w:p>
            <w:r/>
            <w:r>
              <w:rPr>
                <w:b w:val="0"/>
                <w:i w:val="0"/>
                <w:sz w:val="16"/>
              </w:rPr>
              <w:t>Undisclosed fee-sharing creates hidden incentives (for example, to favor a bidder introduced by a fee-sharing finder).</w:t>
            </w:r>
          </w:p>
        </w:tc>
        <w:tc>
          <w:tcPr>
            <w:tcW w:type="dxa" w:w="1080"/>
            <w:shd w:val="clear" w:color="auto" w:fill="FCE5CD"/>
          </w:tcPr>
          <w:p>
            <w:r/>
            <w:r>
              <w:rPr>
                <w:b w:val="0"/>
                <w:i w:val="0"/>
                <w:sz w:val="16"/>
              </w:rPr>
              <w:t>Important</w:t>
            </w:r>
          </w:p>
        </w:tc>
      </w:tr>
      <w:tr>
        <w:tc>
          <w:tcPr>
            <w:tcW w:type="dxa" w:w="432"/>
          </w:tcPr>
          <w:p>
            <w:r/>
            <w:r>
              <w:rPr>
                <w:b w:val="0"/>
                <w:i w:val="0"/>
                <w:sz w:val="16"/>
              </w:rPr>
              <w:t>21</w:t>
            </w:r>
          </w:p>
        </w:tc>
        <w:tc>
          <w:tcPr>
            <w:tcW w:type="dxa" w:w="1512"/>
          </w:tcPr>
          <w:p>
            <w:r/>
            <w:r>
              <w:rPr>
                <w:b w:val="0"/>
                <w:i w:val="0"/>
                <w:sz w:val="16"/>
              </w:rPr>
              <w:t>Other conflicts: dual roles, competing bidders, staple financing, information barriers (§10, second paragraph; §4(d))</w:t>
            </w:r>
          </w:p>
        </w:tc>
        <w:tc>
          <w:tcPr>
            <w:tcW w:type="dxa" w:w="2088"/>
          </w:tcPr>
          <w:p>
            <w:r/>
            <w:r>
              <w:rPr>
                <w:b w:val="0"/>
                <w:i w:val="0"/>
                <w:sz w:val="16"/>
              </w:rPr>
              <w:t>Thorngate may advise potential acquirors. The only bar is serving as financial advisor on a "direct" competing bid during the Engagement Period. No relationship disclosure.</w:t>
            </w:r>
          </w:p>
        </w:tc>
        <w:tc>
          <w:tcPr>
            <w:tcW w:type="dxa" w:w="2304"/>
          </w:tcPr>
          <w:p>
            <w:r/>
            <w:r>
              <w:rPr>
                <w:b w:val="0"/>
                <w:i w:val="0"/>
                <w:sz w:val="16"/>
              </w:rPr>
              <w:t>Thorngate must disclose material relationships with a potential acquiror (within the past 2 years) before contacting it, and keep disclosure current. It may not advise or finance any party on an acquisition of, or competing bid for, the Company or its material assets during the Engagement Period and the Tail Period. Customary information barriers are required. Staple or buyer financing requires Committee consent (see item 8).</w:t>
            </w:r>
          </w:p>
        </w:tc>
        <w:tc>
          <w:tcPr>
            <w:tcW w:type="dxa" w:w="2088"/>
          </w:tcPr>
          <w:p>
            <w:r/>
            <w:r>
              <w:rPr>
                <w:b w:val="0"/>
                <w:i w:val="0"/>
                <w:sz w:val="16"/>
              </w:rPr>
              <w:t>Responds to your request for conflict issues beyond the principal provision. Relationship disclosure is now standard practice and supports the Board's process record.</w:t>
            </w:r>
          </w:p>
        </w:tc>
        <w:tc>
          <w:tcPr>
            <w:tcW w:type="dxa" w:w="1080"/>
            <w:shd w:val="clear" w:color="auto" w:fill="FCE5CD"/>
          </w:tcPr>
          <w:p>
            <w:r/>
            <w:r>
              <w:rPr>
                <w:b w:val="0"/>
                <w:i w:val="0"/>
                <w:sz w:val="16"/>
              </w:rPr>
              <w:t>Important</w:t>
            </w:r>
          </w:p>
        </w:tc>
      </w:tr>
      <w:tr>
        <w:tc>
          <w:tcPr>
            <w:tcW w:type="dxa" w:w="432"/>
          </w:tcPr>
          <w:p>
            <w:r/>
            <w:r>
              <w:rPr>
                <w:b w:val="0"/>
                <w:i w:val="0"/>
                <w:sz w:val="16"/>
              </w:rPr>
              <w:t>22</w:t>
            </w:r>
          </w:p>
        </w:tc>
        <w:tc>
          <w:tcPr>
            <w:tcW w:type="dxa" w:w="1512"/>
          </w:tcPr>
          <w:p>
            <w:r/>
            <w:r>
              <w:rPr>
                <w:b w:val="0"/>
                <w:i w:val="0"/>
                <w:sz w:val="16"/>
              </w:rPr>
              <w:t>Assignment (§14)</w:t>
            </w:r>
          </w:p>
        </w:tc>
        <w:tc>
          <w:tcPr>
            <w:tcW w:type="dxa" w:w="2088"/>
          </w:tcPr>
          <w:p>
            <w:r/>
            <w:r>
              <w:rPr>
                <w:b w:val="0"/>
                <w:i w:val="0"/>
                <w:sz w:val="16"/>
              </w:rPr>
              <w:t>Thorngate may assign to any affiliate without consent; the Company needs Thorngate's consent.</w:t>
            </w:r>
          </w:p>
        </w:tc>
        <w:tc>
          <w:tcPr>
            <w:tcW w:type="dxa" w:w="2304"/>
          </w:tcPr>
          <w:p>
            <w:r/>
            <w:r>
              <w:rPr>
                <w:b w:val="0"/>
                <w:i w:val="0"/>
                <w:sz w:val="16"/>
              </w:rPr>
              <w:t>Mutual consent requirement.</w:t>
            </w:r>
          </w:p>
        </w:tc>
        <w:tc>
          <w:tcPr>
            <w:tcW w:type="dxa" w:w="2088"/>
          </w:tcPr>
          <w:p>
            <w:r/>
            <w:r>
              <w:rPr>
                <w:b w:val="0"/>
                <w:i w:val="0"/>
                <w:sz w:val="16"/>
              </w:rPr>
              <w:t>Prevents the engagement migrating away from the selected team or to an affiliate with principal-investing interests.</w:t>
            </w:r>
          </w:p>
        </w:tc>
        <w:tc>
          <w:tcPr>
            <w:tcW w:type="dxa" w:w="1080"/>
            <w:shd w:val="clear" w:color="auto" w:fill="D9EAD3"/>
          </w:tcPr>
          <w:p>
            <w:r/>
            <w:r>
              <w:rPr>
                <w:b w:val="0"/>
                <w:i w:val="0"/>
                <w:sz w:val="16"/>
              </w:rPr>
              <w:t>Minor</w:t>
            </w:r>
          </w:p>
        </w:tc>
      </w:tr>
    </w:tbl>
    <w:p>
      <w:pPr>
        <w:spacing w:after="40"/>
      </w:pPr>
    </w:p>
    <w:p>
      <w:pPr>
        <w:pStyle w:val="Heading2"/>
      </w:pPr>
      <w:r>
        <w:t>F. Administrative and Miscellaneous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432"/>
            <w:shd w:val="clear" w:color="auto" w:fill="D9D9D9"/>
          </w:tcPr>
          <w:p>
            <w:r/>
            <w:r>
              <w:rPr>
                <w:b/>
                <w:i w:val="0"/>
                <w:sz w:val="16"/>
              </w:rPr>
              <w:t>#</w:t>
            </w:r>
          </w:p>
        </w:tc>
        <w:tc>
          <w:tcPr>
            <w:tcW w:type="dxa" w:w="1512"/>
            <w:shd w:val="clear" w:color="auto" w:fill="D9D9D9"/>
          </w:tcPr>
          <w:p>
            <w:r/>
            <w:r>
              <w:rPr>
                <w:b/>
                <w:i w:val="0"/>
                <w:sz w:val="16"/>
              </w:rPr>
              <w:t>Provision</w:t>
            </w:r>
          </w:p>
        </w:tc>
        <w:tc>
          <w:tcPr>
            <w:tcW w:type="dxa" w:w="2088"/>
            <w:shd w:val="clear" w:color="auto" w:fill="D9D9D9"/>
          </w:tcPr>
          <w:p>
            <w:r/>
            <w:r>
              <w:rPr>
                <w:b/>
                <w:i w:val="0"/>
                <w:sz w:val="16"/>
              </w:rPr>
              <w:t>Draft term / issue</w:t>
            </w:r>
          </w:p>
        </w:tc>
        <w:tc>
          <w:tcPr>
            <w:tcW w:type="dxa" w:w="2304"/>
            <w:shd w:val="clear" w:color="auto" w:fill="D9D9D9"/>
          </w:tcPr>
          <w:p>
            <w:r/>
            <w:r>
              <w:rPr>
                <w:b/>
                <w:i w:val="0"/>
                <w:sz w:val="16"/>
              </w:rPr>
              <w:t>Proposed resolution (as marked)</w:t>
            </w:r>
          </w:p>
        </w:tc>
        <w:tc>
          <w:tcPr>
            <w:tcW w:type="dxa" w:w="2088"/>
            <w:shd w:val="clear" w:color="auto" w:fill="D9D9D9"/>
          </w:tcPr>
          <w:p>
            <w:r/>
            <w:r>
              <w:rPr>
                <w:b/>
                <w:i w:val="0"/>
                <w:sz w:val="16"/>
              </w:rPr>
              <w:t>Rationale</w:t>
            </w:r>
          </w:p>
        </w:tc>
        <w:tc>
          <w:tcPr>
            <w:tcW w:type="dxa" w:w="1080"/>
            <w:shd w:val="clear" w:color="auto" w:fill="D9D9D9"/>
          </w:tcPr>
          <w:p>
            <w:r/>
            <w:r>
              <w:rPr>
                <w:b/>
                <w:i w:val="0"/>
                <w:sz w:val="16"/>
              </w:rPr>
              <w:t>Priority</w:t>
            </w:r>
          </w:p>
        </w:tc>
      </w:tr>
      <w:tr>
        <w:tc>
          <w:tcPr>
            <w:tcW w:type="dxa" w:w="432"/>
          </w:tcPr>
          <w:p>
            <w:r/>
            <w:r>
              <w:rPr>
                <w:b w:val="0"/>
                <w:i w:val="0"/>
                <w:sz w:val="16"/>
              </w:rPr>
              <w:t>23</w:t>
            </w:r>
          </w:p>
        </w:tc>
        <w:tc>
          <w:tcPr>
            <w:tcW w:type="dxa" w:w="1512"/>
          </w:tcPr>
          <w:p>
            <w:r/>
            <w:r>
              <w:rPr>
                <w:b w:val="0"/>
                <w:i w:val="0"/>
                <w:sz w:val="16"/>
              </w:rPr>
              <w:t>Arbitration seat and enforcement jurisdiction (§13)</w:t>
            </w:r>
          </w:p>
        </w:tc>
        <w:tc>
          <w:tcPr>
            <w:tcW w:type="dxa" w:w="2088"/>
          </w:tcPr>
          <w:p>
            <w:r/>
            <w:r>
              <w:rPr>
                <w:b w:val="0"/>
                <w:i w:val="0"/>
                <w:sz w:val="16"/>
              </w:rPr>
              <w:t>AAA seat and court jurisdiction in Washington, DC (Thorngate's home city), while governing law is New York and the Company is in Michigan.</w:t>
            </w:r>
          </w:p>
        </w:tc>
        <w:tc>
          <w:tcPr>
            <w:tcW w:type="dxa" w:w="2304"/>
          </w:tcPr>
          <w:p>
            <w:r/>
            <w:r>
              <w:rPr>
                <w:b w:val="0"/>
                <w:i w:val="0"/>
                <w:sz w:val="16"/>
              </w:rPr>
              <w:t>Seat and enforcement courts moved to New York, New York (Manhattan). New York law, AAA Commercial Rules, a single arbitrator, a mutual prevailing-party fee provision and the jury waiver are retained.</w:t>
            </w:r>
          </w:p>
        </w:tc>
        <w:tc>
          <w:tcPr>
            <w:tcW w:type="dxa" w:w="2088"/>
          </w:tcPr>
          <w:p>
            <w:r/>
            <w:r>
              <w:rPr>
                <w:b w:val="0"/>
                <w:i w:val="0"/>
                <w:sz w:val="16"/>
              </w:rPr>
              <w:t>Venue should align with the governing-law jurisdiction or the client's home, not the bank's home city.</w:t>
            </w:r>
          </w:p>
        </w:tc>
        <w:tc>
          <w:tcPr>
            <w:tcW w:type="dxa" w:w="1080"/>
            <w:shd w:val="clear" w:color="auto" w:fill="FCE5CD"/>
          </w:tcPr>
          <w:p>
            <w:r/>
            <w:r>
              <w:rPr>
                <w:b w:val="0"/>
                <w:i w:val="0"/>
                <w:sz w:val="16"/>
              </w:rPr>
              <w:t>Important</w:t>
            </w:r>
          </w:p>
        </w:tc>
      </w:tr>
      <w:tr>
        <w:tc>
          <w:tcPr>
            <w:tcW w:type="dxa" w:w="432"/>
          </w:tcPr>
          <w:p>
            <w:r/>
            <w:r>
              <w:rPr>
                <w:b w:val="0"/>
                <w:i w:val="0"/>
                <w:sz w:val="16"/>
              </w:rPr>
              <w:t>24</w:t>
            </w:r>
          </w:p>
        </w:tc>
        <w:tc>
          <w:tcPr>
            <w:tcW w:type="dxa" w:w="1512"/>
          </w:tcPr>
          <w:p>
            <w:r/>
            <w:r>
              <w:rPr>
                <w:b w:val="0"/>
                <w:i w:val="0"/>
                <w:sz w:val="16"/>
              </w:rPr>
              <w:t>Use of name and logo; publicity (§12)</w:t>
            </w:r>
          </w:p>
        </w:tc>
        <w:tc>
          <w:tcPr>
            <w:tcW w:type="dxa" w:w="2088"/>
          </w:tcPr>
          <w:p>
            <w:r/>
            <w:r>
              <w:rPr>
                <w:b w:val="0"/>
                <w:i w:val="0"/>
                <w:sz w:val="16"/>
              </w:rPr>
              <w:t>Perpetual, irrevocable licence to use the Company's name and logo in any marketing, before or after closing (or with no deal at all), without review.</w:t>
            </w:r>
          </w:p>
        </w:tc>
        <w:tc>
          <w:tcPr>
            <w:tcW w:type="dxa" w:w="2304"/>
          </w:tcPr>
          <w:p>
            <w:r/>
            <w:r>
              <w:rPr>
                <w:b w:val="0"/>
                <w:i w:val="0"/>
                <w:sz w:val="16"/>
              </w:rPr>
              <w:t>Post-closing tombstones and references only, using public information and subject to the Company's prior review and written approval (not to be unreasonably withheld). No use before closing or if no deal closes.</w:t>
            </w:r>
          </w:p>
        </w:tc>
        <w:tc>
          <w:tcPr>
            <w:tcW w:type="dxa" w:w="2088"/>
          </w:tcPr>
          <w:p>
            <w:r/>
            <w:r>
              <w:rPr>
                <w:b w:val="0"/>
                <w:i w:val="0"/>
                <w:sz w:val="16"/>
              </w:rPr>
              <w:t>Protects the confidentiality of an unannounced process; a post-closing tombstone exception is customary.</w:t>
            </w:r>
          </w:p>
        </w:tc>
        <w:tc>
          <w:tcPr>
            <w:tcW w:type="dxa" w:w="1080"/>
            <w:shd w:val="clear" w:color="auto" w:fill="D9EAD3"/>
          </w:tcPr>
          <w:p>
            <w:r/>
            <w:r>
              <w:rPr>
                <w:b w:val="0"/>
                <w:i w:val="0"/>
                <w:sz w:val="16"/>
              </w:rPr>
              <w:t>Minor</w:t>
            </w:r>
          </w:p>
        </w:tc>
      </w:tr>
      <w:tr>
        <w:tc>
          <w:tcPr>
            <w:tcW w:type="dxa" w:w="432"/>
          </w:tcPr>
          <w:p>
            <w:r/>
            <w:r>
              <w:rPr>
                <w:b w:val="0"/>
                <w:i w:val="0"/>
                <w:sz w:val="16"/>
              </w:rPr>
              <w:t>25</w:t>
            </w:r>
          </w:p>
        </w:tc>
        <w:tc>
          <w:tcPr>
            <w:tcW w:type="dxa" w:w="1512"/>
          </w:tcPr>
          <w:p>
            <w:r/>
            <w:r>
              <w:rPr>
                <w:b w:val="0"/>
                <w:i w:val="0"/>
                <w:sz w:val="16"/>
              </w:rPr>
              <w:t>Confidentiality (§11)</w:t>
            </w:r>
          </w:p>
        </w:tc>
        <w:tc>
          <w:tcPr>
            <w:tcW w:type="dxa" w:w="2088"/>
          </w:tcPr>
          <w:p>
            <w:r/>
            <w:r>
              <w:rPr>
                <w:b w:val="0"/>
                <w:i w:val="0"/>
                <w:sz w:val="16"/>
              </w:rPr>
              <w:t>Generally market-standard, but there is no express right to share information with bidders and no responsibility for representatives.</w:t>
            </w:r>
          </w:p>
        </w:tc>
        <w:tc>
          <w:tcPr>
            <w:tcW w:type="dxa" w:w="2304"/>
          </w:tcPr>
          <w:p>
            <w:r/>
            <w:r>
              <w:rPr>
                <w:b w:val="0"/>
                <w:i w:val="0"/>
                <w:sz w:val="16"/>
              </w:rPr>
              <w:t>Thorngate is responsible for breaches by its representatives, and may disclose to Company-approved bidders under Company-approved NDAs. Otherwise unchanged.</w:t>
            </w:r>
          </w:p>
        </w:tc>
        <w:tc>
          <w:tcPr>
            <w:tcW w:type="dxa" w:w="2088"/>
          </w:tcPr>
          <w:p>
            <w:r/>
            <w:r>
              <w:rPr>
                <w:b w:val="0"/>
                <w:i w:val="0"/>
                <w:sz w:val="16"/>
              </w:rPr>
              <w:t>Closes a practical gap and an accountability gap. The rest of the clause is market and is not over-negotiated.</w:t>
            </w:r>
          </w:p>
        </w:tc>
        <w:tc>
          <w:tcPr>
            <w:tcW w:type="dxa" w:w="1080"/>
            <w:shd w:val="clear" w:color="auto" w:fill="D9EAD3"/>
          </w:tcPr>
          <w:p>
            <w:r/>
            <w:r>
              <w:rPr>
                <w:b w:val="0"/>
                <w:i w:val="0"/>
                <w:sz w:val="16"/>
              </w:rPr>
              <w:t>Minor</w:t>
            </w:r>
          </w:p>
        </w:tc>
      </w:tr>
      <w:tr>
        <w:tc>
          <w:tcPr>
            <w:tcW w:type="dxa" w:w="432"/>
          </w:tcPr>
          <w:p>
            <w:r/>
            <w:r>
              <w:rPr>
                <w:b w:val="0"/>
                <w:i w:val="0"/>
                <w:sz w:val="16"/>
              </w:rPr>
              <w:t>26</w:t>
            </w:r>
          </w:p>
        </w:tc>
        <w:tc>
          <w:tcPr>
            <w:tcW w:type="dxa" w:w="1512"/>
          </w:tcPr>
          <w:p>
            <w:r/>
            <w:r>
              <w:rPr>
                <w:b w:val="0"/>
                <w:i w:val="0"/>
                <w:sz w:val="16"/>
              </w:rPr>
              <w:t>Survival and conforming changes (§7, §14 "Survival")</w:t>
            </w:r>
          </w:p>
        </w:tc>
        <w:tc>
          <w:tcPr>
            <w:tcW w:type="dxa" w:w="2088"/>
          </w:tcPr>
          <w:p>
            <w:r/>
            <w:r>
              <w:rPr>
                <w:b w:val="0"/>
                <w:i w:val="0"/>
                <w:sz w:val="16"/>
              </w:rPr>
              <w:t>Blanket survival of §§4, 6 and 8; §10 does not survive.</w:t>
            </w:r>
          </w:p>
        </w:tc>
        <w:tc>
          <w:tcPr>
            <w:tcW w:type="dxa" w:w="2304"/>
          </w:tcPr>
          <w:p>
            <w:r/>
            <w:r>
              <w:rPr>
                <w:b w:val="0"/>
                <w:i w:val="0"/>
                <w:sz w:val="16"/>
              </w:rPr>
              <w:t>Survival is tied to accrued amounts, tail fees and the 3-year indemnity period; §10 conflict protections survive.</w:t>
            </w:r>
          </w:p>
        </w:tc>
        <w:tc>
          <w:tcPr>
            <w:tcW w:type="dxa" w:w="2088"/>
          </w:tcPr>
          <w:p>
            <w:r/>
            <w:r>
              <w:rPr>
                <w:b w:val="0"/>
                <w:i w:val="0"/>
                <w:sz w:val="16"/>
              </w:rPr>
              <w:t>Conforming changes needed for internal consistency.</w:t>
            </w:r>
          </w:p>
        </w:tc>
        <w:tc>
          <w:tcPr>
            <w:tcW w:type="dxa" w:w="1080"/>
            <w:shd w:val="clear" w:color="auto" w:fill="D9EAD3"/>
          </w:tcPr>
          <w:p>
            <w:r/>
            <w:r>
              <w:rPr>
                <w:b w:val="0"/>
                <w:i w:val="0"/>
                <w:sz w:val="16"/>
              </w:rPr>
              <w:t>Minor</w:t>
            </w:r>
          </w:p>
        </w:tc>
      </w:tr>
    </w:tbl>
    <w:p>
      <w:pPr>
        <w:spacing w:after="40"/>
      </w:pPr>
    </w:p>
    <w:p>
      <w:pPr>
        <w:pStyle w:val="Heading1"/>
      </w:pPr>
      <w:r>
        <w:t>V. Responses to Your Specific Questions</w:t>
      </w:r>
    </w:p>
    <w:p>
      <w:r>
        <w:rPr>
          <w:b/>
          <w:i w:val="0"/>
        </w:rPr>
        <w:t>Is a $500,000 early termination fee standard?</w:t>
      </w:r>
      <w:r>
        <w:rPr>
          <w:b w:val="0"/>
          <w:i w:val="0"/>
        </w:rPr>
        <w:t xml:space="preserve"> No. Early termination fees are not customary in sell-side M&amp;A advisory engagements, and we recommend deleting it (Critical). The bank is already protected by the non-refundable retainer and the tail.</w:t>
      </w:r>
    </w:p>
    <w:p>
      <w:r>
        <w:rPr>
          <w:b/>
          <w:i w:val="0"/>
        </w:rPr>
        <w:t>Is a 24-month tail market?</w:t>
      </w:r>
      <w:r>
        <w:rPr>
          <w:b w:val="0"/>
          <w:i w:val="0"/>
        </w:rPr>
        <w:t xml:space="preserve"> No. A 12-month tail is market, and 18 months is the outer limit of what we would accept. The draft's tail-party categories are also broader than market. We proposed 12 months, tied to a delivered Tail Party List (Critical).</w:t>
      </w:r>
    </w:p>
    <w:p>
      <w:r>
        <w:rPr>
          <w:b/>
          <w:i w:val="0"/>
        </w:rPr>
        <w:t>Can the Company terminate without penalty if the Board suspends the process or Thorngate underperforms?</w:t>
      </w:r>
      <w:r>
        <w:rPr>
          <w:b w:val="0"/>
          <w:i w:val="0"/>
        </w:rPr>
        <w:t xml:space="preserve"> Under our markup, yes. Either party may terminate on 30 days' notice without penalty. The Company owes only accrued retainer and approved expenses, and the 12-month listed-party tail. The Company may also terminate immediately for Cause, in which case no tail applies. Note that underperformance alone is not Cause unless it amounts to an uncured material breach or loss of the key person. In that situation the Company would still terminate at will, and the narrowed tail would apply only to parties Thorngate actually worked with.</w:t>
      </w:r>
    </w:p>
    <w:p>
      <w:r>
        <w:rPr>
          <w:b/>
          <w:i w:val="0"/>
        </w:rPr>
        <w:t>Is the Japanese robotics JV clearly excluded?</w:t>
      </w:r>
      <w:r>
        <w:rPr>
          <w:b w:val="0"/>
          <w:i w:val="0"/>
        </w:rPr>
        <w:t xml:space="preserve"> Yes. The narrowed Change of Control definition would not reach a joint venture in any event, and the markup also excludes JVs and that pending JV expressly (without naming the counterparty). Exclusivity no longer restricts advisors on non-Transaction matters, so the Company can use other advisors on the JV.</w:t>
      </w:r>
    </w:p>
    <w:p>
      <w:r>
        <w:rPr>
          <w:b/>
          <w:i w:val="0"/>
        </w:rPr>
        <w:t>Does the principal-transaction provision create a conflict?</w:t>
      </w:r>
      <w:r>
        <w:rPr>
          <w:b w:val="0"/>
          <w:i w:val="0"/>
        </w:rPr>
        <w:t xml:space="preserve"> Yes, a fundamental one (Critical). The markup prohibits Thorngate or its funds from acting as buyer, investor or financing source unless there is full advance disclosure, prior Transaction Committee consent and an independent fairness opinion, and in that case no fee is payable unless the Committee agrees. Before execution, the Committee should also ask Thorngate directly whether any Thorngate affiliate or managed fund has an interest in the sector.</w:t>
      </w:r>
    </w:p>
    <w:p>
      <w:r>
        <w:rPr>
          <w:b/>
          <w:i w:val="0"/>
        </w:rPr>
        <w:t>What are the implications of the liability cap?</w:t>
      </w:r>
      <w:r>
        <w:rPr>
          <w:b w:val="0"/>
          <w:i w:val="0"/>
        </w:rPr>
        <w:t xml:space="preserve"> As drafted, Thorngate's total exposure is limited to fees actually received, with no exceptions. Early in the engagement that is only one or two months of retainer, even for a confidentiality breach, a conflict or fraud. Meanwhile the Company's indemnity of Thorngate is uncapped. Our markup keeps the cap, as a concession, but carves out fraud, bad faith, willful misconduct, gross negligence, and confidentiality and conflict breaches (Important).</w:t>
      </w:r>
    </w:p>
    <w:p>
      <w:r>
        <w:rPr>
          <w:b/>
          <w:i w:val="0"/>
        </w:rPr>
        <w:t>Are there conflict issues beyond the principal provision?</w:t>
      </w:r>
      <w:r>
        <w:rPr>
          <w:b w:val="0"/>
          <w:i w:val="0"/>
        </w:rPr>
        <w:t xml:space="preserve"> Yes: undisclosed fee-sharing; the Financing Fee and staple financing (the advisor financing a buyer); unrestricted service to potential acquirors after the Engagement Period; free assignment to affiliates; and the absence of relationship disclosure. Each is addressed in items 8 and 19 to 22.</w:t>
      </w:r>
    </w:p>
    <w:p>
      <w:r>
        <w:rPr>
          <w:b/>
          <w:i w:val="0"/>
        </w:rPr>
        <w:t>Indemnification and expenses (which you asked us to scrub).</w:t>
      </w:r>
      <w:r>
        <w:rPr>
          <w:b w:val="0"/>
          <w:i w:val="0"/>
        </w:rPr>
        <w:t xml:space="preserve"> See items 15 to 17 (indemnity) and item 10 (expenses). The most significant points are: the carve-outs that would be illusory because of arbitration; the indefinite survival; Exhibit A overriding the letter; the missing "detailed terms"; the absence of an aggregate expense cap; and the first-class travel and travel pre-approval exemption.</w:t>
      </w:r>
    </w:p>
    <w:p>
      <w:pPr>
        <w:pStyle w:val="Heading1"/>
      </w:pPr>
      <w:r>
        <w:t>VI. Provisions That Are Market-Standard (No Change, or Drafting Changes Only)</w:t>
      </w:r>
    </w:p>
    <w:p>
      <w:r>
        <w:rPr>
          <w:b w:val="0"/>
          <w:i w:val="0"/>
        </w:rPr>
        <w:t>To avoid over-negotiating, we did not revise the following provisions in substance. We recommend telling Thorngate that we accept them, which should build credibility for our Critical asks.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592"/>
            <w:shd w:val="clear" w:color="auto" w:fill="D9D9D9"/>
          </w:tcPr>
          <w:p>
            <w:r/>
            <w:r>
              <w:rPr>
                <w:b/>
                <w:i w:val="0"/>
                <w:sz w:val="18"/>
              </w:rPr>
              <w:t>Provision</w:t>
            </w:r>
          </w:p>
        </w:tc>
        <w:tc>
          <w:tcPr>
            <w:tcW w:type="dxa" w:w="2880"/>
            <w:shd w:val="clear" w:color="auto" w:fill="D9D9D9"/>
          </w:tcPr>
          <w:p>
            <w:r/>
            <w:r>
              <w:rPr>
                <w:b/>
                <w:i w:val="0"/>
                <w:sz w:val="18"/>
              </w:rPr>
              <w:t>Draft term</w:t>
            </w:r>
          </w:p>
        </w:tc>
        <w:tc>
          <w:tcPr>
            <w:tcW w:type="dxa" w:w="3888"/>
            <w:shd w:val="clear" w:color="auto" w:fill="D9D9D9"/>
          </w:tcPr>
          <w:p>
            <w:r/>
            <w:r>
              <w:rPr>
                <w:b/>
                <w:i w:val="0"/>
                <w:sz w:val="18"/>
              </w:rPr>
              <w:t>Assessment</w:t>
            </w:r>
          </w:p>
        </w:tc>
      </w:tr>
      <w:tr>
        <w:tc>
          <w:tcPr>
            <w:tcW w:type="dxa" w:w="2592"/>
          </w:tcPr>
          <w:p>
            <w:r/>
            <w:r>
              <w:rPr>
                <w:b w:val="0"/>
                <w:i w:val="0"/>
                <w:sz w:val="18"/>
              </w:rPr>
              <w:t>Monthly Retainer amount (§4(a))</w:t>
            </w:r>
          </w:p>
        </w:tc>
        <w:tc>
          <w:tcPr>
            <w:tcW w:type="dxa" w:w="2880"/>
          </w:tcPr>
          <w:p>
            <w:r/>
            <w:r>
              <w:rPr>
                <w:b w:val="0"/>
                <w:i w:val="0"/>
                <w:sz w:val="18"/>
              </w:rPr>
              <w:t>$75,000/month, non-refundable</w:t>
            </w:r>
          </w:p>
        </w:tc>
        <w:tc>
          <w:tcPr>
            <w:tcW w:type="dxa" w:w="3888"/>
          </w:tcPr>
          <w:p>
            <w:r/>
            <w:r>
              <w:rPr>
                <w:b w:val="0"/>
                <w:i w:val="0"/>
                <w:sz w:val="18"/>
              </w:rPr>
              <w:t>Within the $50,000 to $100,000 market range. Only the mechanics are conformed.</w:t>
            </w:r>
          </w:p>
        </w:tc>
      </w:tr>
      <w:tr>
        <w:tc>
          <w:tcPr>
            <w:tcW w:type="dxa" w:w="2592"/>
          </w:tcPr>
          <w:p>
            <w:r/>
            <w:r>
              <w:rPr>
                <w:b w:val="0"/>
                <w:i w:val="0"/>
                <w:sz w:val="18"/>
              </w:rPr>
              <w:t>Engagement Period (§2)</w:t>
            </w:r>
          </w:p>
        </w:tc>
        <w:tc>
          <w:tcPr>
            <w:tcW w:type="dxa" w:w="2880"/>
          </w:tcPr>
          <w:p>
            <w:r/>
            <w:r>
              <w:rPr>
                <w:b w:val="0"/>
                <w:i w:val="0"/>
                <w:sz w:val="18"/>
              </w:rPr>
              <w:t>12 months from countersignature</w:t>
            </w:r>
          </w:p>
        </w:tc>
        <w:tc>
          <w:tcPr>
            <w:tcW w:type="dxa" w:w="3888"/>
          </w:tcPr>
          <w:p>
            <w:r/>
            <w:r>
              <w:rPr>
                <w:b w:val="0"/>
                <w:i w:val="0"/>
                <w:sz w:val="18"/>
              </w:rPr>
              <w:t>Customary; it can be extended by mutual agreement if needed.</w:t>
            </w:r>
          </w:p>
        </w:tc>
      </w:tr>
      <w:tr>
        <w:tc>
          <w:tcPr>
            <w:tcW w:type="dxa" w:w="2592"/>
          </w:tcPr>
          <w:p>
            <w:r/>
            <w:r>
              <w:rPr>
                <w:b w:val="0"/>
                <w:i w:val="0"/>
                <w:sz w:val="18"/>
              </w:rPr>
              <w:t>Exclusivity concept (§3)</w:t>
            </w:r>
          </w:p>
        </w:tc>
        <w:tc>
          <w:tcPr>
            <w:tcW w:type="dxa" w:w="2880"/>
          </w:tcPr>
          <w:p>
            <w:r/>
            <w:r>
              <w:rPr>
                <w:b w:val="0"/>
                <w:i w:val="0"/>
                <w:sz w:val="18"/>
              </w:rPr>
              <w:t>Sole and exclusive advisor</w:t>
            </w:r>
          </w:p>
        </w:tc>
        <w:tc>
          <w:tcPr>
            <w:tcW w:type="dxa" w:w="3888"/>
          </w:tcPr>
          <w:p>
            <w:r/>
            <w:r>
              <w:rPr>
                <w:b w:val="0"/>
                <w:i w:val="0"/>
                <w:sz w:val="18"/>
              </w:rPr>
              <w:t>Customary for a sell-side mandate; scope conformed only.</w:t>
            </w:r>
          </w:p>
        </w:tc>
      </w:tr>
      <w:tr>
        <w:tc>
          <w:tcPr>
            <w:tcW w:type="dxa" w:w="2592"/>
          </w:tcPr>
          <w:p>
            <w:r/>
            <w:r>
              <w:rPr>
                <w:b w:val="0"/>
                <w:i w:val="0"/>
                <w:sz w:val="18"/>
              </w:rPr>
              <w:t>Minimum fee concept (§4(b))</w:t>
            </w:r>
          </w:p>
        </w:tc>
        <w:tc>
          <w:tcPr>
            <w:tcW w:type="dxa" w:w="2880"/>
          </w:tcPr>
          <w:p>
            <w:r/>
            <w:r>
              <w:rPr>
                <w:b w:val="0"/>
                <w:i w:val="0"/>
                <w:sz w:val="18"/>
              </w:rPr>
              <w:t>Fee floor</w:t>
            </w:r>
          </w:p>
        </w:tc>
        <w:tc>
          <w:tcPr>
            <w:tcW w:type="dxa" w:w="3888"/>
          </w:tcPr>
          <w:p>
            <w:r/>
            <w:r>
              <w:rPr>
                <w:b w:val="0"/>
                <w:i w:val="0"/>
                <w:sz w:val="18"/>
              </w:rPr>
              <w:t>Customary; only the amount is adjusted to the revised rate.</w:t>
            </w:r>
          </w:p>
        </w:tc>
      </w:tr>
      <w:tr>
        <w:tc>
          <w:tcPr>
            <w:tcW w:type="dxa" w:w="2592"/>
          </w:tcPr>
          <w:p>
            <w:r/>
            <w:r>
              <w:rPr>
                <w:b w:val="0"/>
                <w:i w:val="0"/>
                <w:sz w:val="18"/>
              </w:rPr>
              <w:t>Seller notes and assumed debt in Aggregate Consideration</w:t>
            </w:r>
          </w:p>
        </w:tc>
        <w:tc>
          <w:tcPr>
            <w:tcW w:type="dxa" w:w="2880"/>
          </w:tcPr>
          <w:p>
            <w:r/>
            <w:r>
              <w:rPr>
                <w:b w:val="0"/>
                <w:i w:val="0"/>
                <w:sz w:val="18"/>
              </w:rPr>
              <w:t>Included at face value</w:t>
            </w:r>
          </w:p>
        </w:tc>
        <w:tc>
          <w:tcPr>
            <w:tcW w:type="dxa" w:w="3888"/>
          </w:tcPr>
          <w:p>
            <w:r/>
            <w:r>
              <w:rPr>
                <w:b w:val="0"/>
                <w:i w:val="0"/>
                <w:sz w:val="18"/>
              </w:rPr>
              <w:t>Market; retained, with debt limited to borrowed money.</w:t>
            </w:r>
          </w:p>
        </w:tc>
      </w:tr>
      <w:tr>
        <w:tc>
          <w:tcPr>
            <w:tcW w:type="dxa" w:w="2592"/>
          </w:tcPr>
          <w:p>
            <w:r/>
            <w:r>
              <w:rPr>
                <w:b w:val="0"/>
                <w:i w:val="0"/>
                <w:sz w:val="18"/>
              </w:rPr>
              <w:t>Per-item expense threshold; payment terms (§6)</w:t>
            </w:r>
          </w:p>
        </w:tc>
        <w:tc>
          <w:tcPr>
            <w:tcW w:type="dxa" w:w="2880"/>
          </w:tcPr>
          <w:p>
            <w:r/>
            <w:r>
              <w:rPr>
                <w:b w:val="0"/>
                <w:i w:val="0"/>
                <w:sz w:val="18"/>
              </w:rPr>
              <w:t>$5,000 per item; 30 days</w:t>
            </w:r>
          </w:p>
        </w:tc>
        <w:tc>
          <w:tcPr>
            <w:tcW w:type="dxa" w:w="3888"/>
          </w:tcPr>
          <w:p>
            <w:r/>
            <w:r>
              <w:rPr>
                <w:b w:val="0"/>
                <w:i w:val="0"/>
                <w:sz w:val="18"/>
              </w:rPr>
              <w:t>Within the $2,500 to $5,000 market range; retained.</w:t>
            </w:r>
          </w:p>
        </w:tc>
      </w:tr>
      <w:tr>
        <w:tc>
          <w:tcPr>
            <w:tcW w:type="dxa" w:w="2592"/>
          </w:tcPr>
          <w:p>
            <w:r/>
            <w:r>
              <w:rPr>
                <w:b w:val="0"/>
                <w:i w:val="0"/>
                <w:sz w:val="18"/>
              </w:rPr>
              <w:t>Termination notice (§7)</w:t>
            </w:r>
          </w:p>
        </w:tc>
        <w:tc>
          <w:tcPr>
            <w:tcW w:type="dxa" w:w="2880"/>
          </w:tcPr>
          <w:p>
            <w:r/>
            <w:r>
              <w:rPr>
                <w:b w:val="0"/>
                <w:i w:val="0"/>
                <w:sz w:val="18"/>
              </w:rPr>
              <w:t>Mutual, 30 days' written notice</w:t>
            </w:r>
          </w:p>
        </w:tc>
        <w:tc>
          <w:tcPr>
            <w:tcW w:type="dxa" w:w="3888"/>
          </w:tcPr>
          <w:p>
            <w:r/>
            <w:r>
              <w:rPr>
                <w:b w:val="0"/>
                <w:i w:val="0"/>
                <w:sz w:val="18"/>
              </w:rPr>
              <w:t>Market standard; retained.</w:t>
            </w:r>
          </w:p>
        </w:tc>
      </w:tr>
      <w:tr>
        <w:tc>
          <w:tcPr>
            <w:tcW w:type="dxa" w:w="2592"/>
          </w:tcPr>
          <w:p>
            <w:r/>
            <w:r>
              <w:rPr>
                <w:b w:val="0"/>
                <w:i w:val="0"/>
                <w:sz w:val="18"/>
              </w:rPr>
              <w:t>Indemnity in principle; "finally determined" standard; advancement (§8)</w:t>
            </w:r>
          </w:p>
        </w:tc>
        <w:tc>
          <w:tcPr>
            <w:tcW w:type="dxa" w:w="2880"/>
          </w:tcPr>
          <w:p>
            <w:r/>
            <w:r>
              <w:rPr>
                <w:b w:val="0"/>
                <w:i w:val="0"/>
                <w:sz w:val="18"/>
              </w:rPr>
              <w:t>Customary bank indemnity</w:t>
            </w:r>
          </w:p>
        </w:tc>
        <w:tc>
          <w:tcPr>
            <w:tcW w:type="dxa" w:w="3888"/>
          </w:tcPr>
          <w:p>
            <w:r/>
            <w:r>
              <w:rPr>
                <w:b w:val="0"/>
                <w:i w:val="0"/>
                <w:sz w:val="18"/>
              </w:rPr>
              <w:t>Accepted; we revised only the carve-outs, the survival period, precedence and the arbitral-award point.</w:t>
            </w:r>
          </w:p>
        </w:tc>
      </w:tr>
      <w:tr>
        <w:tc>
          <w:tcPr>
            <w:tcW w:type="dxa" w:w="2592"/>
          </w:tcPr>
          <w:p>
            <w:r/>
            <w:r>
              <w:rPr>
                <w:b w:val="0"/>
                <w:i w:val="0"/>
                <w:sz w:val="18"/>
              </w:rPr>
              <w:t>Governing law (§13)</w:t>
            </w:r>
          </w:p>
        </w:tc>
        <w:tc>
          <w:tcPr>
            <w:tcW w:type="dxa" w:w="2880"/>
          </w:tcPr>
          <w:p>
            <w:r/>
            <w:r>
              <w:rPr>
                <w:b w:val="0"/>
                <w:i w:val="0"/>
                <w:sz w:val="18"/>
              </w:rPr>
              <w:t>New York</w:t>
            </w:r>
          </w:p>
        </w:tc>
        <w:tc>
          <w:tcPr>
            <w:tcW w:type="dxa" w:w="3888"/>
          </w:tcPr>
          <w:p>
            <w:r/>
            <w:r>
              <w:rPr>
                <w:b w:val="0"/>
                <w:i w:val="0"/>
                <w:sz w:val="18"/>
              </w:rPr>
              <w:t>Market; acceptable.</w:t>
            </w:r>
          </w:p>
        </w:tc>
      </w:tr>
      <w:tr>
        <w:tc>
          <w:tcPr>
            <w:tcW w:type="dxa" w:w="2592"/>
          </w:tcPr>
          <w:p>
            <w:r/>
            <w:r>
              <w:rPr>
                <w:b w:val="0"/>
                <w:i w:val="0"/>
                <w:sz w:val="18"/>
              </w:rPr>
              <w:t>Arbitration (§13)</w:t>
            </w:r>
          </w:p>
        </w:tc>
        <w:tc>
          <w:tcPr>
            <w:tcW w:type="dxa" w:w="2880"/>
          </w:tcPr>
          <w:p>
            <w:r/>
            <w:r>
              <w:rPr>
                <w:b w:val="0"/>
                <w:i w:val="0"/>
                <w:sz w:val="18"/>
              </w:rPr>
              <w:t>AAA Commercial Rules, single arbitrator, no punitive damages, mutual prevailing-party fees</w:t>
            </w:r>
          </w:p>
        </w:tc>
        <w:tc>
          <w:tcPr>
            <w:tcW w:type="dxa" w:w="3888"/>
          </w:tcPr>
          <w:p>
            <w:r/>
            <w:r>
              <w:rPr>
                <w:b w:val="0"/>
                <w:i w:val="0"/>
                <w:sz w:val="18"/>
              </w:rPr>
              <w:t>Market; acceptable. Only the seat moves.</w:t>
            </w:r>
          </w:p>
        </w:tc>
      </w:tr>
      <w:tr>
        <w:tc>
          <w:tcPr>
            <w:tcW w:type="dxa" w:w="2592"/>
          </w:tcPr>
          <w:p>
            <w:r/>
            <w:r>
              <w:rPr>
                <w:b w:val="0"/>
                <w:i w:val="0"/>
                <w:sz w:val="18"/>
              </w:rPr>
              <w:t>Jury waiver (§13)</w:t>
            </w:r>
          </w:p>
        </w:tc>
        <w:tc>
          <w:tcPr>
            <w:tcW w:type="dxa" w:w="2880"/>
          </w:tcPr>
          <w:p>
            <w:r/>
            <w:r>
              <w:rPr>
                <w:b w:val="0"/>
                <w:i w:val="0"/>
                <w:sz w:val="18"/>
              </w:rPr>
              <w:t>Mutual</w:t>
            </w:r>
          </w:p>
        </w:tc>
        <w:tc>
          <w:tcPr>
            <w:tcW w:type="dxa" w:w="3888"/>
          </w:tcPr>
          <w:p>
            <w:r/>
            <w:r>
              <w:rPr>
                <w:b w:val="0"/>
                <w:i w:val="0"/>
                <w:sz w:val="18"/>
              </w:rPr>
              <w:t>Standard in commercial agreements.</w:t>
            </w:r>
          </w:p>
        </w:tc>
      </w:tr>
      <w:tr>
        <w:tc>
          <w:tcPr>
            <w:tcW w:type="dxa" w:w="2592"/>
          </w:tcPr>
          <w:p>
            <w:r/>
            <w:r>
              <w:rPr>
                <w:b w:val="0"/>
                <w:i w:val="0"/>
                <w:sz w:val="18"/>
              </w:rPr>
              <w:t>Confidentiality core terms (§11)</w:t>
            </w:r>
          </w:p>
        </w:tc>
        <w:tc>
          <w:tcPr>
            <w:tcW w:type="dxa" w:w="2880"/>
          </w:tcPr>
          <w:p>
            <w:r/>
            <w:r>
              <w:rPr>
                <w:b w:val="0"/>
                <w:i w:val="0"/>
                <w:sz w:val="18"/>
              </w:rPr>
              <w:t>Standard exceptions; disclosure to Pemberton &amp; Locke</w:t>
            </w:r>
          </w:p>
        </w:tc>
        <w:tc>
          <w:tcPr>
            <w:tcW w:type="dxa" w:w="3888"/>
          </w:tcPr>
          <w:p>
            <w:r/>
            <w:r>
              <w:rPr>
                <w:b w:val="0"/>
                <w:i w:val="0"/>
                <w:sz w:val="18"/>
              </w:rPr>
              <w:t>Market; only minor additions.</w:t>
            </w:r>
          </w:p>
        </w:tc>
      </w:tr>
      <w:tr>
        <w:tc>
          <w:tcPr>
            <w:tcW w:type="dxa" w:w="2592"/>
          </w:tcPr>
          <w:p>
            <w:r/>
            <w:r>
              <w:rPr>
                <w:b w:val="0"/>
                <w:i w:val="0"/>
                <w:sz w:val="18"/>
              </w:rPr>
              <w:t>Boilerplate (§14)</w:t>
            </w:r>
          </w:p>
        </w:tc>
        <w:tc>
          <w:tcPr>
            <w:tcW w:type="dxa" w:w="2880"/>
          </w:tcPr>
          <w:p>
            <w:r/>
            <w:r>
              <w:rPr>
                <w:b w:val="0"/>
                <w:i w:val="0"/>
                <w:sz w:val="18"/>
              </w:rPr>
              <w:t>Entire agreement, amendments, counterparts, notices, severability, third-party beneficiaries (Indemnified Persons)</w:t>
            </w:r>
          </w:p>
        </w:tc>
        <w:tc>
          <w:tcPr>
            <w:tcW w:type="dxa" w:w="3888"/>
          </w:tcPr>
          <w:p>
            <w:r/>
            <w:r>
              <w:rPr>
                <w:b w:val="0"/>
                <w:i w:val="0"/>
                <w:sz w:val="18"/>
              </w:rPr>
              <w:t>Customary. The notice details for Deidre Hartwell are correct.</w:t>
            </w:r>
          </w:p>
        </w:tc>
      </w:tr>
    </w:tbl>
    <w:p>
      <w:pPr>
        <w:spacing w:after="40"/>
      </w:pPr>
    </w:p>
    <w:p>
      <w:pPr>
        <w:pStyle w:val="Heading1"/>
      </w:pPr>
      <w:r>
        <w:t>VII. Negotiation Strategy and Fallback Positions</w:t>
      </w:r>
    </w:p>
    <w:p>
      <w:r>
        <w:rPr>
          <w:b w:val="0"/>
          <w:i w:val="0"/>
        </w:rPr>
        <w:t>We recommend the Transaction Committee authorize the following negotiating range at the March 18 meeting: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728"/>
            <w:shd w:val="clear" w:color="auto" w:fill="D9D9D9"/>
          </w:tcPr>
          <w:p>
            <w:r/>
            <w:r>
              <w:rPr>
                <w:b/>
                <w:i w:val="0"/>
                <w:sz w:val="16"/>
              </w:rPr>
              <w:t>Item</w:t>
            </w:r>
          </w:p>
        </w:tc>
        <w:tc>
          <w:tcPr>
            <w:tcW w:type="dxa" w:w="2520"/>
            <w:shd w:val="clear" w:color="auto" w:fill="D9D9D9"/>
          </w:tcPr>
          <w:p>
            <w:r/>
            <w:r>
              <w:rPr>
                <w:b/>
                <w:i w:val="0"/>
                <w:sz w:val="16"/>
              </w:rPr>
              <w:t>Opening position (markup)</w:t>
            </w:r>
          </w:p>
        </w:tc>
        <w:tc>
          <w:tcPr>
            <w:tcW w:type="dxa" w:w="2664"/>
            <w:shd w:val="clear" w:color="auto" w:fill="D9D9D9"/>
          </w:tcPr>
          <w:p>
            <w:r/>
            <w:r>
              <w:rPr>
                <w:b/>
                <w:i w:val="0"/>
                <w:sz w:val="16"/>
              </w:rPr>
              <w:t>Acceptable fallback</w:t>
            </w:r>
          </w:p>
        </w:tc>
        <w:tc>
          <w:tcPr>
            <w:tcW w:type="dxa" w:w="2448"/>
            <w:shd w:val="clear" w:color="auto" w:fill="D9D9D9"/>
          </w:tcPr>
          <w:p>
            <w:r/>
            <w:r>
              <w:rPr>
                <w:b/>
                <w:i w:val="0"/>
                <w:sz w:val="16"/>
              </w:rPr>
              <w:t>Walk-away / must-have</w:t>
            </w:r>
          </w:p>
        </w:tc>
      </w:tr>
      <w:tr>
        <w:tc>
          <w:tcPr>
            <w:tcW w:type="dxa" w:w="1728"/>
          </w:tcPr>
          <w:p>
            <w:r/>
            <w:r>
              <w:rPr>
                <w:b w:val="0"/>
                <w:i w:val="0"/>
                <w:sz w:val="16"/>
              </w:rPr>
              <w:t>Transaction definition</w:t>
            </w:r>
          </w:p>
        </w:tc>
        <w:tc>
          <w:tcPr>
            <w:tcW w:type="dxa" w:w="2520"/>
          </w:tcPr>
          <w:p>
            <w:r/>
            <w:r>
              <w:rPr>
                <w:b w:val="0"/>
                <w:i w:val="0"/>
                <w:sz w:val="16"/>
              </w:rPr>
              <w:t>Change of Control only, with express exclusions</w:t>
            </w:r>
          </w:p>
        </w:tc>
        <w:tc>
          <w:tcPr>
            <w:tcW w:type="dxa" w:w="2664"/>
          </w:tcPr>
          <w:p>
            <w:r/>
            <w:r>
              <w:rPr>
                <w:b w:val="0"/>
                <w:i w:val="0"/>
                <w:sz w:val="16"/>
              </w:rPr>
              <w:t>Add a narrowly defined sale of a majority of the business (e.g., more than 50% of consolidated revenue), if Thorngate needs it</w:t>
            </w:r>
          </w:p>
        </w:tc>
        <w:tc>
          <w:tcPr>
            <w:tcW w:type="dxa" w:w="2448"/>
          </w:tcPr>
          <w:p>
            <w:r/>
            <w:r>
              <w:rPr>
                <w:b w:val="0"/>
                <w:i w:val="0"/>
                <w:sz w:val="16"/>
              </w:rPr>
              <w:t>JVs (including the robotics JV), minority investments and financings must be excluded</w:t>
            </w:r>
          </w:p>
        </w:tc>
      </w:tr>
      <w:tr>
        <w:tc>
          <w:tcPr>
            <w:tcW w:type="dxa" w:w="1728"/>
          </w:tcPr>
          <w:p>
            <w:r/>
            <w:r>
              <w:rPr>
                <w:b w:val="0"/>
                <w:i w:val="0"/>
                <w:sz w:val="16"/>
              </w:rPr>
              <w:t>Success fee</w:t>
            </w:r>
          </w:p>
        </w:tc>
        <w:tc>
          <w:tcPr>
            <w:tcW w:type="dxa" w:w="2520"/>
          </w:tcPr>
          <w:p>
            <w:r/>
            <w:r>
              <w:rPr>
                <w:b w:val="0"/>
                <w:i w:val="0"/>
                <w:sz w:val="16"/>
              </w:rPr>
              <w:t>1.50% up to $200M / 1.25% above</w:t>
            </w:r>
          </w:p>
        </w:tc>
        <w:tc>
          <w:tcPr>
            <w:tcW w:type="dxa" w:w="2664"/>
          </w:tcPr>
          <w:p>
            <w:r/>
            <w:r>
              <w:rPr>
                <w:b w:val="0"/>
                <w:i w:val="0"/>
                <w:sz w:val="16"/>
              </w:rPr>
              <w:t>Flat 1.50%; or an incentive structure (lower base rate plus a higher rate above target)</w:t>
            </w:r>
          </w:p>
        </w:tc>
        <w:tc>
          <w:tcPr>
            <w:tcW w:type="dxa" w:w="2448"/>
          </w:tcPr>
          <w:p>
            <w:r/>
            <w:r>
              <w:rPr>
                <w:b w:val="0"/>
                <w:i w:val="0"/>
                <w:sz w:val="16"/>
              </w:rPr>
              <w:t>Not above 1.50% effective at the expected value, absent a competing-bid benchmark that supports it</w:t>
            </w:r>
          </w:p>
        </w:tc>
      </w:tr>
      <w:tr>
        <w:tc>
          <w:tcPr>
            <w:tcW w:type="dxa" w:w="1728"/>
          </w:tcPr>
          <w:p>
            <w:r/>
            <w:r>
              <w:rPr>
                <w:b w:val="0"/>
                <w:i w:val="0"/>
                <w:sz w:val="16"/>
              </w:rPr>
              <w:t>Retainer credit</w:t>
            </w:r>
          </w:p>
        </w:tc>
        <w:tc>
          <w:tcPr>
            <w:tcW w:type="dxa" w:w="2520"/>
          </w:tcPr>
          <w:p>
            <w:r/>
            <w:r>
              <w:rPr>
                <w:b w:val="0"/>
                <w:i w:val="0"/>
                <w:sz w:val="16"/>
              </w:rPr>
              <w:t>100%</w:t>
            </w:r>
          </w:p>
        </w:tc>
        <w:tc>
          <w:tcPr>
            <w:tcW w:type="dxa" w:w="2664"/>
          </w:tcPr>
          <w:p>
            <w:r/>
            <w:r>
              <w:rPr>
                <w:b w:val="0"/>
                <w:i w:val="0"/>
                <w:sz w:val="16"/>
              </w:rPr>
              <w:t>100% credit with a reduced retainer after month 6, if Thorngate wants retainer economics</w:t>
            </w:r>
          </w:p>
        </w:tc>
        <w:tc>
          <w:tcPr>
            <w:tcW w:type="dxa" w:w="2448"/>
          </w:tcPr>
          <w:p>
            <w:r/>
            <w:r>
              <w:rPr>
                <w:b w:val="0"/>
                <w:i w:val="0"/>
                <w:sz w:val="16"/>
              </w:rPr>
              <w:t>100% (or an equivalent economic outcome)</w:t>
            </w:r>
          </w:p>
        </w:tc>
      </w:tr>
      <w:tr>
        <w:tc>
          <w:tcPr>
            <w:tcW w:type="dxa" w:w="1728"/>
          </w:tcPr>
          <w:p>
            <w:r/>
            <w:r>
              <w:rPr>
                <w:b w:val="0"/>
                <w:i w:val="0"/>
                <w:sz w:val="16"/>
              </w:rPr>
              <w:t>Minimum Fee</w:t>
            </w:r>
          </w:p>
        </w:tc>
        <w:tc>
          <w:tcPr>
            <w:tcW w:type="dxa" w:w="2520"/>
          </w:tcPr>
          <w:p>
            <w:r/>
            <w:r>
              <w:rPr>
                <w:b w:val="0"/>
                <w:i w:val="0"/>
                <w:sz w:val="16"/>
              </w:rPr>
              <w:t>$2.0M</w:t>
            </w:r>
          </w:p>
        </w:tc>
        <w:tc>
          <w:tcPr>
            <w:tcW w:type="dxa" w:w="2664"/>
          </w:tcPr>
          <w:p>
            <w:r/>
            <w:r>
              <w:rPr>
                <w:b w:val="0"/>
                <w:i w:val="0"/>
                <w:sz w:val="16"/>
              </w:rPr>
              <w:t>$2.25M</w:t>
            </w:r>
          </w:p>
        </w:tc>
        <w:tc>
          <w:tcPr>
            <w:tcW w:type="dxa" w:w="2448"/>
          </w:tcPr>
          <w:p>
            <w:r/>
            <w:r>
              <w:rPr>
                <w:b w:val="0"/>
                <w:i w:val="0"/>
                <w:sz w:val="16"/>
              </w:rPr>
              <w:t>Breakpoint below the expected EV range</w:t>
            </w:r>
          </w:p>
        </w:tc>
      </w:tr>
      <w:tr>
        <w:tc>
          <w:tcPr>
            <w:tcW w:type="dxa" w:w="1728"/>
          </w:tcPr>
          <w:p>
            <w:r/>
            <w:r>
              <w:rPr>
                <w:b w:val="0"/>
                <w:i w:val="0"/>
                <w:sz w:val="16"/>
              </w:rPr>
              <w:t>Aggregate Consideration</w:t>
            </w:r>
          </w:p>
        </w:tc>
        <w:tc>
          <w:tcPr>
            <w:tcW w:type="dxa" w:w="2520"/>
          </w:tcPr>
          <w:p>
            <w:r/>
            <w:r>
              <w:rPr>
                <w:b w:val="0"/>
                <w:i w:val="0"/>
                <w:sz w:val="16"/>
              </w:rPr>
              <w:t>Earnouts and escrows when paid; personal compensation excluded</w:t>
            </w:r>
          </w:p>
        </w:tc>
        <w:tc>
          <w:tcPr>
            <w:tcW w:type="dxa" w:w="2664"/>
          </w:tcPr>
          <w:p>
            <w:r/>
            <w:r>
              <w:rPr>
                <w:b w:val="0"/>
                <w:i w:val="0"/>
                <w:sz w:val="16"/>
              </w:rPr>
              <w:t>Earnouts at agreed fair value at closing, paid at closing</w:t>
            </w:r>
          </w:p>
        </w:tc>
        <w:tc>
          <w:tcPr>
            <w:tcW w:type="dxa" w:w="2448"/>
          </w:tcPr>
          <w:p>
            <w:r/>
            <w:r>
              <w:rPr>
                <w:b w:val="0"/>
                <w:i w:val="0"/>
                <w:sz w:val="16"/>
              </w:rPr>
              <w:t>No maximum earnout value; no fee on Mr. Voss's personal arrangements</w:t>
            </w:r>
          </w:p>
        </w:tc>
      </w:tr>
      <w:tr>
        <w:tc>
          <w:tcPr>
            <w:tcW w:type="dxa" w:w="1728"/>
          </w:tcPr>
          <w:p>
            <w:r/>
            <w:r>
              <w:rPr>
                <w:b w:val="0"/>
                <w:i w:val="0"/>
                <w:sz w:val="16"/>
              </w:rPr>
              <w:t>Financing Fee</w:t>
            </w:r>
          </w:p>
        </w:tc>
        <w:tc>
          <w:tcPr>
            <w:tcW w:type="dxa" w:w="2520"/>
          </w:tcPr>
          <w:p>
            <w:r/>
            <w:r>
              <w:rPr>
                <w:b w:val="0"/>
                <w:i w:val="0"/>
                <w:sz w:val="16"/>
              </w:rPr>
              <w:t>Deleted</w:t>
            </w:r>
          </w:p>
        </w:tc>
        <w:tc>
          <w:tcPr>
            <w:tcW w:type="dxa" w:w="2664"/>
          </w:tcPr>
          <w:p>
            <w:r/>
            <w:r>
              <w:rPr>
                <w:b w:val="0"/>
                <w:i w:val="0"/>
                <w:sz w:val="16"/>
              </w:rPr>
              <w:t>Separate mandate only if the Company engages Thorngate for financing</w:t>
            </w:r>
          </w:p>
        </w:tc>
        <w:tc>
          <w:tcPr>
            <w:tcW w:type="dxa" w:w="2448"/>
          </w:tcPr>
          <w:p>
            <w:r/>
            <w:r>
              <w:rPr>
                <w:b w:val="0"/>
                <w:i w:val="0"/>
                <w:sz w:val="16"/>
              </w:rPr>
              <w:t>No fee on buyer financing</w:t>
            </w:r>
          </w:p>
        </w:tc>
      </w:tr>
      <w:tr>
        <w:tc>
          <w:tcPr>
            <w:tcW w:type="dxa" w:w="1728"/>
          </w:tcPr>
          <w:p>
            <w:r/>
            <w:r>
              <w:rPr>
                <w:b w:val="0"/>
                <w:i w:val="0"/>
                <w:sz w:val="16"/>
              </w:rPr>
              <w:t>Tail</w:t>
            </w:r>
          </w:p>
        </w:tc>
        <w:tc>
          <w:tcPr>
            <w:tcW w:type="dxa" w:w="2520"/>
          </w:tcPr>
          <w:p>
            <w:r/>
            <w:r>
              <w:rPr>
                <w:b w:val="0"/>
                <w:i w:val="0"/>
                <w:sz w:val="16"/>
              </w:rPr>
              <w:t>12 months; delivered list</w:t>
            </w:r>
          </w:p>
        </w:tc>
        <w:tc>
          <w:tcPr>
            <w:tcW w:type="dxa" w:w="2664"/>
          </w:tcPr>
          <w:p>
            <w:r/>
            <w:r>
              <w:rPr>
                <w:b w:val="0"/>
                <w:i w:val="0"/>
                <w:sz w:val="16"/>
              </w:rPr>
              <w:t>18 months with the list mechanics</w:t>
            </w:r>
          </w:p>
        </w:tc>
        <w:tc>
          <w:tcPr>
            <w:tcW w:type="dxa" w:w="2448"/>
          </w:tcPr>
          <w:p>
            <w:r/>
            <w:r>
              <w:rPr>
                <w:b w:val="0"/>
                <w:i w:val="0"/>
                <w:sz w:val="16"/>
              </w:rPr>
              <w:t>List-based; no "otherwise known" or inbound categories</w:t>
            </w:r>
          </w:p>
        </w:tc>
      </w:tr>
      <w:tr>
        <w:tc>
          <w:tcPr>
            <w:tcW w:type="dxa" w:w="1728"/>
          </w:tcPr>
          <w:p>
            <w:r/>
            <w:r>
              <w:rPr>
                <w:b w:val="0"/>
                <w:i w:val="0"/>
                <w:sz w:val="16"/>
              </w:rPr>
              <w:t>Termination fee</w:t>
            </w:r>
          </w:p>
        </w:tc>
        <w:tc>
          <w:tcPr>
            <w:tcW w:type="dxa" w:w="2520"/>
          </w:tcPr>
          <w:p>
            <w:r/>
            <w:r>
              <w:rPr>
                <w:b w:val="0"/>
                <w:i w:val="0"/>
                <w:sz w:val="16"/>
              </w:rPr>
              <w:t>Deleted</w:t>
            </w:r>
          </w:p>
        </w:tc>
        <w:tc>
          <w:tcPr>
            <w:tcW w:type="dxa" w:w="2664"/>
          </w:tcPr>
          <w:p>
            <w:r/>
            <w:r>
              <w:rPr>
                <w:b w:val="0"/>
                <w:i w:val="0"/>
                <w:sz w:val="16"/>
              </w:rPr>
              <w:t>None</w:t>
            </w:r>
          </w:p>
        </w:tc>
        <w:tc>
          <w:tcPr>
            <w:tcW w:type="dxa" w:w="2448"/>
          </w:tcPr>
          <w:p>
            <w:r/>
            <w:r>
              <w:rPr>
                <w:b w:val="0"/>
                <w:i w:val="0"/>
                <w:sz w:val="16"/>
              </w:rPr>
              <w:t>No termination fee</w:t>
            </w:r>
          </w:p>
        </w:tc>
      </w:tr>
      <w:tr>
        <w:tc>
          <w:tcPr>
            <w:tcW w:type="dxa" w:w="1728"/>
          </w:tcPr>
          <w:p>
            <w:r/>
            <w:r>
              <w:rPr>
                <w:b w:val="0"/>
                <w:i w:val="0"/>
                <w:sz w:val="16"/>
              </w:rPr>
              <w:t>Indemnity carve-outs and survival</w:t>
            </w:r>
          </w:p>
        </w:tc>
        <w:tc>
          <w:tcPr>
            <w:tcW w:type="dxa" w:w="2520"/>
          </w:tcPr>
          <w:p>
            <w:r/>
            <w:r>
              <w:rPr>
                <w:b w:val="0"/>
                <w:i w:val="0"/>
                <w:sz w:val="16"/>
              </w:rPr>
              <w:t>GN, WM, bad faith, fraud, material breach; 3 years</w:t>
            </w:r>
          </w:p>
        </w:tc>
        <w:tc>
          <w:tcPr>
            <w:tcW w:type="dxa" w:w="2664"/>
          </w:tcPr>
          <w:p>
            <w:r/>
            <w:r>
              <w:rPr>
                <w:b w:val="0"/>
                <w:i w:val="0"/>
                <w:sz w:val="16"/>
              </w:rPr>
              <w:t>Material breach limited to breaches of §§10 and 11; 2 years</w:t>
            </w:r>
          </w:p>
        </w:tc>
        <w:tc>
          <w:tcPr>
            <w:tcW w:type="dxa" w:w="2448"/>
          </w:tcPr>
          <w:p>
            <w:r/>
            <w:r>
              <w:rPr>
                <w:b w:val="0"/>
                <w:i w:val="0"/>
                <w:sz w:val="16"/>
              </w:rPr>
              <w:t>Bad faith and fraud carve-outs; finite survival; letter controls; full Exhibit A reviewed</w:t>
            </w:r>
          </w:p>
        </w:tc>
      </w:tr>
      <w:tr>
        <w:tc>
          <w:tcPr>
            <w:tcW w:type="dxa" w:w="1728"/>
          </w:tcPr>
          <w:p>
            <w:r/>
            <w:r>
              <w:rPr>
                <w:b w:val="0"/>
                <w:i w:val="0"/>
                <w:sz w:val="16"/>
              </w:rPr>
              <w:t>Principal transactions</w:t>
            </w:r>
          </w:p>
        </w:tc>
        <w:tc>
          <w:tcPr>
            <w:tcW w:type="dxa" w:w="2520"/>
          </w:tcPr>
          <w:p>
            <w:r/>
            <w:r>
              <w:rPr>
                <w:b w:val="0"/>
                <w:i w:val="0"/>
                <w:sz w:val="16"/>
              </w:rPr>
              <w:t>Prohibited absent consent, fairness opinion and disclosure; no fee</w:t>
            </w:r>
          </w:p>
        </w:tc>
        <w:tc>
          <w:tcPr>
            <w:tcW w:type="dxa" w:w="2664"/>
          </w:tcPr>
          <w:p>
            <w:r/>
            <w:r>
              <w:rPr>
                <w:b w:val="0"/>
                <w:i w:val="0"/>
                <w:sz w:val="16"/>
              </w:rPr>
              <w:t>Reduced fee rather than no fee</w:t>
            </w:r>
          </w:p>
        </w:tc>
        <w:tc>
          <w:tcPr>
            <w:tcW w:type="dxa" w:w="2448"/>
          </w:tcPr>
          <w:p>
            <w:r/>
            <w:r>
              <w:rPr>
                <w:b w:val="0"/>
                <w:i w:val="0"/>
                <w:sz w:val="16"/>
              </w:rPr>
              <w:t>Prior Committee consent plus an independent fairness opinion</w:t>
            </w:r>
          </w:p>
        </w:tc>
      </w:tr>
      <w:tr>
        <w:tc>
          <w:tcPr>
            <w:tcW w:type="dxa" w:w="1728"/>
          </w:tcPr>
          <w:p>
            <w:r/>
            <w:r>
              <w:rPr>
                <w:b w:val="0"/>
                <w:i w:val="0"/>
                <w:sz w:val="16"/>
              </w:rPr>
              <w:t>Liability cap</w:t>
            </w:r>
          </w:p>
        </w:tc>
        <w:tc>
          <w:tcPr>
            <w:tcW w:type="dxa" w:w="2520"/>
          </w:tcPr>
          <w:p>
            <w:r/>
            <w:r>
              <w:rPr>
                <w:b w:val="0"/>
                <w:i w:val="0"/>
                <w:sz w:val="16"/>
              </w:rPr>
              <w:t>Cap with carve-outs</w:t>
            </w:r>
          </w:p>
        </w:tc>
        <w:tc>
          <w:tcPr>
            <w:tcW w:type="dxa" w:w="2664"/>
          </w:tcPr>
          <w:p>
            <w:r/>
            <w:r>
              <w:rPr>
                <w:b w:val="0"/>
                <w:i w:val="0"/>
                <w:sz w:val="16"/>
              </w:rPr>
              <w:t>Carve-outs limited to fraud, WM, GN and confidentiality breach</w:t>
            </w:r>
          </w:p>
        </w:tc>
        <w:tc>
          <w:tcPr>
            <w:tcW w:type="dxa" w:w="2448"/>
          </w:tcPr>
          <w:p>
            <w:r/>
            <w:r>
              <w:rPr>
                <w:b w:val="0"/>
                <w:i w:val="0"/>
                <w:sz w:val="16"/>
              </w:rPr>
              <w:t>Fraud, WM, GN and confidentiality carved out</w:t>
            </w:r>
          </w:p>
        </w:tc>
      </w:tr>
      <w:tr>
        <w:tc>
          <w:tcPr>
            <w:tcW w:type="dxa" w:w="1728"/>
          </w:tcPr>
          <w:p>
            <w:r/>
            <w:r>
              <w:rPr>
                <w:b w:val="0"/>
                <w:i w:val="0"/>
                <w:sz w:val="16"/>
              </w:rPr>
              <w:t>Expenses</w:t>
            </w:r>
          </w:p>
        </w:tc>
        <w:tc>
          <w:tcPr>
            <w:tcW w:type="dxa" w:w="2520"/>
          </w:tcPr>
          <w:p>
            <w:r/>
            <w:r>
              <w:rPr>
                <w:b w:val="0"/>
                <w:i w:val="0"/>
                <w:sz w:val="16"/>
              </w:rPr>
              <w:t>$75,000 cap; CFO approval</w:t>
            </w:r>
          </w:p>
        </w:tc>
        <w:tc>
          <w:tcPr>
            <w:tcW w:type="dxa" w:w="2664"/>
          </w:tcPr>
          <w:p>
            <w:r/>
            <w:r>
              <w:rPr>
                <w:b w:val="0"/>
                <w:i w:val="0"/>
                <w:sz w:val="16"/>
              </w:rPr>
              <w:t>$100,000 cap</w:t>
            </w:r>
          </w:p>
        </w:tc>
        <w:tc>
          <w:tcPr>
            <w:tcW w:type="dxa" w:w="2448"/>
          </w:tcPr>
          <w:p>
            <w:r/>
            <w:r>
              <w:rPr>
                <w:b w:val="0"/>
                <w:i w:val="0"/>
                <w:sz w:val="16"/>
              </w:rPr>
              <w:t>An aggregate cap with CFO approval</w:t>
            </w:r>
          </w:p>
        </w:tc>
      </w:tr>
      <w:tr>
        <w:tc>
          <w:tcPr>
            <w:tcW w:type="dxa" w:w="1728"/>
          </w:tcPr>
          <w:p>
            <w:r/>
            <w:r>
              <w:rPr>
                <w:b w:val="0"/>
                <w:i w:val="0"/>
                <w:sz w:val="16"/>
              </w:rPr>
              <w:t>Arbitration seat</w:t>
            </w:r>
          </w:p>
        </w:tc>
        <w:tc>
          <w:tcPr>
            <w:tcW w:type="dxa" w:w="2520"/>
          </w:tcPr>
          <w:p>
            <w:r/>
            <w:r>
              <w:rPr>
                <w:b w:val="0"/>
                <w:i w:val="0"/>
                <w:sz w:val="16"/>
              </w:rPr>
              <w:t>New York</w:t>
            </w:r>
          </w:p>
        </w:tc>
        <w:tc>
          <w:tcPr>
            <w:tcW w:type="dxa" w:w="2664"/>
          </w:tcPr>
          <w:p>
            <w:r/>
            <w:r>
              <w:rPr>
                <w:b w:val="0"/>
                <w:i w:val="0"/>
                <w:sz w:val="16"/>
              </w:rPr>
              <w:t>Detroit/Troy, Michigan (the client's home)</w:t>
            </w:r>
          </w:p>
        </w:tc>
        <w:tc>
          <w:tcPr>
            <w:tcW w:type="dxa" w:w="2448"/>
          </w:tcPr>
          <w:p>
            <w:r/>
            <w:r>
              <w:rPr>
                <w:b w:val="0"/>
                <w:i w:val="0"/>
                <w:sz w:val="16"/>
              </w:rPr>
              <w:t>Not Washington, DC</w:t>
            </w:r>
          </w:p>
        </w:tc>
      </w:tr>
    </w:tbl>
    <w:p>
      <w:pPr>
        <w:spacing w:after="40"/>
      </w:pPr>
    </w:p>
    <w:p>
      <w:r>
        <w:rPr>
          <w:b/>
          <w:i w:val="0"/>
        </w:rPr>
        <w:t>Trade currency.</w:t>
      </w:r>
      <w:r>
        <w:rPr>
          <w:b w:val="0"/>
          <w:i w:val="0"/>
        </w:rPr>
        <w:t xml:space="preserve"> The Minimum Fee, key-person language, assignment, publicity, the survival period within 2 to 3 years, the expense cap level and the fallback fee structure are all items the Company can concede in exchange for Thorngate accepting the Critical items. We would not concede the Transaction definition, the termination fee, the tail list mechanics, the principal-transaction safeguards or the Exhibit A issues.</w:t>
      </w:r>
    </w:p>
    <w:p>
      <w:pPr>
        <w:pStyle w:val="Heading1"/>
      </w:pPr>
      <w:r>
        <w:t>VIII. Open Items and Recommended Next Steps</w:t>
      </w:r>
    </w:p>
    <w:p>
      <w:pPr>
        <w:pStyle w:val="ListBullet"/>
      </w:pPr>
      <w:r>
        <w:rPr>
          <w:b/>
          <w:i w:val="0"/>
        </w:rPr>
        <w:t>Complete Exhibit A.</w:t>
      </w:r>
      <w:r>
        <w:rPr>
          <w:b w:val="0"/>
          <w:i w:val="0"/>
        </w:rPr>
        <w:t xml:space="preserve"> Ask Thorngate and Pemberton &amp; Locke to deliver the "Detailed Terms and Conditions" of Exhibit A now. We will review them before the letter is signed.</w:t>
      </w:r>
    </w:p>
    <w:p>
      <w:pPr>
        <w:pStyle w:val="ListBullet"/>
      </w:pPr>
      <w:r>
        <w:rPr>
          <w:b/>
          <w:i w:val="0"/>
        </w:rPr>
        <w:t>Competing proposals.</w:t>
      </w:r>
      <w:r>
        <w:rPr>
          <w:b w:val="0"/>
          <w:i w:val="0"/>
        </w:rPr>
        <w:t xml:space="preserve"> Ask Ms. Sung-Kwan to share the Oakvale and Halberd fee proposals (rate, retainer, credit, tail, termination fee) so we can confirm our fee benchmark and use them in negotiation.</w:t>
      </w:r>
    </w:p>
    <w:p>
      <w:pPr>
        <w:pStyle w:val="ListBullet"/>
      </w:pPr>
      <w:r>
        <w:rPr>
          <w:b/>
          <w:i w:val="0"/>
        </w:rPr>
        <w:t>Thorngate conflicts questionnaire.</w:t>
      </w:r>
      <w:r>
        <w:rPr>
          <w:b w:val="0"/>
          <w:i w:val="0"/>
        </w:rPr>
        <w:t xml:space="preserve"> Before signing, ask Thorngate to confirm in writing any relationships with likely buyers, and whether any affiliate or managed fund invests in industrial automation or controls.</w:t>
      </w:r>
    </w:p>
    <w:p>
      <w:pPr>
        <w:pStyle w:val="ListBullet"/>
      </w:pPr>
      <w:r>
        <w:rPr>
          <w:b/>
          <w:i w:val="0"/>
        </w:rPr>
        <w:t>Robotics JV.</w:t>
      </w:r>
      <w:r>
        <w:rPr>
          <w:b w:val="0"/>
          <w:i w:val="0"/>
        </w:rPr>
        <w:t xml:space="preserve"> Confirm whether the Company prefers to identify the JV counterparty by name in a confidential side letter, or rely on the generic exclusion as drafted.</w:t>
      </w:r>
    </w:p>
    <w:p>
      <w:pPr>
        <w:pStyle w:val="ListBullet"/>
      </w:pPr>
      <w:r>
        <w:rPr>
          <w:b/>
          <w:i w:val="0"/>
        </w:rPr>
        <w:t>Mr. Voss's arrangements.</w:t>
      </w:r>
      <w:r>
        <w:rPr>
          <w:b w:val="0"/>
          <w:i w:val="0"/>
        </w:rPr>
        <w:t xml:space="preserve"> Flag to the Board that any post-closing consulting or transition arrangement for Mr. Voss is outside the fee base under our markup. Those arrangements should be negotiated separately and should be considered for Board-level conflict review in due course.</w:t>
      </w:r>
    </w:p>
    <w:p>
      <w:pPr>
        <w:pStyle w:val="ListBullet"/>
      </w:pPr>
      <w:r>
        <w:rPr>
          <w:b/>
          <w:i w:val="0"/>
        </w:rPr>
        <w:t>Governance.</w:t>
      </w:r>
      <w:r>
        <w:rPr>
          <w:b w:val="0"/>
          <w:i w:val="0"/>
        </w:rPr>
        <w:t xml:space="preserve"> The Transaction Committee should approve the negotiating range (Part VII) on March 18 and delegate authority to the General Counsel to finalize within that range. The final letter should be countersigned by an authorized officer under the Committee's resolution.</w:t>
      </w:r>
    </w:p>
    <w:p>
      <w:pPr>
        <w:pStyle w:val="ListBullet"/>
      </w:pPr>
      <w:r>
        <w:rPr>
          <w:b/>
          <w:i w:val="0"/>
        </w:rPr>
        <w:t>Transmittal.</w:t>
      </w:r>
      <w:r>
        <w:rPr>
          <w:b w:val="0"/>
          <w:i w:val="0"/>
        </w:rPr>
        <w:t xml:space="preserve"> We suggest sending the redline to Pemberton &amp; Locke with a short cover note. The note should acknowledge the provisions we accepted (Part VI) and identify the Critical items, which keeps the tone collaborative.</w:t>
      </w:r>
    </w:p>
    <w:p>
      <w:pPr>
        <w:pStyle w:val="ListBullet"/>
      </w:pPr>
      <w:r>
        <w:rPr>
          <w:b/>
          <w:i w:val="0"/>
        </w:rPr>
        <w:t>Note on the redline.</w:t>
      </w:r>
      <w:r>
        <w:rPr>
          <w:b w:val="0"/>
          <w:i w:val="0"/>
        </w:rPr>
        <w:t xml:space="preserve"> Our margin comments are written for the Company. Before the markup goes to Thorngate, we will remove or recast the internal comments (including the fee benchmarks and fallback positions) into external-facing explanations.</w:t>
      </w:r>
    </w:p>
    <w:p>
      <w:pPr>
        <w:pStyle w:val="Heading1"/>
      </w:pPr>
      <w:r>
        <w:t>Appendix: Priority Summary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72"/>
            <w:shd w:val="clear" w:color="auto" w:fill="D9D9D9"/>
          </w:tcPr>
          <w:p>
            <w:r/>
            <w:r>
              <w:rPr>
                <w:b/>
                <w:i w:val="0"/>
                <w:sz w:val="18"/>
              </w:rPr>
              <w:t>Priority</w:t>
            </w:r>
          </w:p>
        </w:tc>
        <w:tc>
          <w:tcPr>
            <w:tcW w:type="dxa" w:w="7488"/>
            <w:shd w:val="clear" w:color="auto" w:fill="D9D9D9"/>
          </w:tcPr>
          <w:p>
            <w:r/>
            <w:r>
              <w:rPr>
                <w:b/>
                <w:i w:val="0"/>
                <w:sz w:val="18"/>
              </w:rPr>
              <w:t>Items</w:t>
            </w:r>
          </w:p>
        </w:tc>
      </w:tr>
      <w:tr>
        <w:tc>
          <w:tcPr>
            <w:tcW w:type="dxa" w:w="1872"/>
            <w:shd w:val="clear" w:color="auto" w:fill="F4CCCC"/>
          </w:tcPr>
          <w:p>
            <w:r/>
            <w:r>
              <w:rPr>
                <w:b w:val="0"/>
                <w:i w:val="0"/>
                <w:sz w:val="18"/>
              </w:rPr>
              <w:t>Critical (8)</w:t>
            </w:r>
          </w:p>
        </w:tc>
        <w:tc>
          <w:tcPr>
            <w:tcW w:type="dxa" w:w="7488"/>
          </w:tcPr>
          <w:p>
            <w:r/>
            <w:r>
              <w:rPr>
                <w:b w:val="0"/>
                <w:i w:val="0"/>
                <w:sz w:val="18"/>
              </w:rPr>
              <w:t>1 Transaction definition; 5 Aggregate Consideration; 11 Tail length; 12 Tail parties and list; 13 Termination fee; 15 Indemnity carve-outs; 17 Exhibit A precedence and missing terms; 19 Thorngate as principal</w:t>
            </w:r>
          </w:p>
        </w:tc>
      </w:tr>
      <w:tr>
        <w:tc>
          <w:tcPr>
            <w:tcW w:type="dxa" w:w="1872"/>
            <w:shd w:val="clear" w:color="auto" w:fill="FCE5CD"/>
          </w:tcPr>
          <w:p>
            <w:r/>
            <w:r>
              <w:rPr>
                <w:b w:val="0"/>
                <w:i w:val="0"/>
                <w:sz w:val="18"/>
              </w:rPr>
              <w:t>Important (11)</w:t>
            </w:r>
          </w:p>
        </w:tc>
        <w:tc>
          <w:tcPr>
            <w:tcW w:type="dxa" w:w="7488"/>
          </w:tcPr>
          <w:p>
            <w:r/>
            <w:r>
              <w:rPr>
                <w:b w:val="0"/>
                <w:i w:val="0"/>
                <w:sz w:val="18"/>
              </w:rPr>
              <w:t>3 Exclusivity; 4 Success fee rate (elevated); 6 Retainer credit (elevated); 8 Financing Fee; 10 Expenses; 14 Cause and key person; 16 Indemnity survival; 18 Liability cap; 20 Fee sharing; 21 Other conflicts; 23 Arbitration seat</w:t>
            </w:r>
          </w:p>
        </w:tc>
      </w:tr>
      <w:tr>
        <w:tc>
          <w:tcPr>
            <w:tcW w:type="dxa" w:w="1872"/>
            <w:shd w:val="clear" w:color="auto" w:fill="D9EAD3"/>
          </w:tcPr>
          <w:p>
            <w:r/>
            <w:r>
              <w:rPr>
                <w:b w:val="0"/>
                <w:i w:val="0"/>
                <w:sz w:val="18"/>
              </w:rPr>
              <w:t>Minor (7)</w:t>
            </w:r>
          </w:p>
        </w:tc>
        <w:tc>
          <w:tcPr>
            <w:tcW w:type="dxa" w:w="7488"/>
          </w:tcPr>
          <w:p>
            <w:r/>
            <w:r>
              <w:rPr>
                <w:b w:val="0"/>
                <w:i w:val="0"/>
                <w:sz w:val="18"/>
              </w:rPr>
              <w:t>2 Outreach approval; 7 Minimum Fee; 9 Retainer mechanics; 22 Assignment; 24 Publicity; 25 Confidentiality; 26 Survival and conforming changes</w:t>
            </w:r>
          </w:p>
        </w:tc>
      </w:tr>
    </w:tbl>
    <w:p>
      <w:pPr>
        <w:spacing w:after="40"/>
      </w:pPr>
    </w:p>
    <w:p>
      <w:r>
        <w:rPr>
          <w:b w:val="0"/>
          <w:i/>
          <w:sz w:val="20"/>
        </w:rPr>
        <w:t>This memorandum is based on the draft letter dated March 3, 2025, your email of March 10, 2025, and our internal guidance. The market observations reflect our general experience with mid-market sell-side engagements and should be read alongside the competing proposals the Committee received. Please call us with any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