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PRIVILEGED AND CONFIDENTIAL — ATTORNEY-CLIENT COMMUNICATION / ATTORNEY WORK PRODUCT</w:t>
      </w:r>
    </w:p>
    <w:p>
      <w:pPr>
        <w:jc w:val="center"/>
      </w:pPr>
      <w:r>
        <w:rPr>
          <w:b/>
        </w:rPr>
        <w:t>MEMORANDUM</w:t>
      </w:r>
    </w:p>
    <w:tbl>
      <w:tblPr>
        <w:tblStyle w:val="TableGrid"/>
        <w:tblW w:type="auto" w:w="0"/>
        <w:jc w:val="center"/>
        <w:tblLook w:firstColumn="1" w:firstRow="1" w:lastColumn="0" w:lastRow="0" w:noHBand="0" w:noVBand="1" w:val="04A0"/>
      </w:tblPr>
      <w:tblGrid>
        <w:gridCol w:w="4680"/>
        <w:gridCol w:w="4680"/>
      </w:tblGrid>
      <w:tr>
        <w:tc>
          <w:tcPr>
            <w:tcW w:type="dxa" w:w="1296"/>
          </w:tcPr>
          <w:p>
            <w:r>
              <w:rPr>
                <w:sz w:val="20"/>
              </w:rPr>
            </w:r>
            <w:r>
              <w:rPr>
                <w:b/>
                <w:sz w:val="20"/>
              </w:rPr>
              <w:t>TO:</w:t>
            </w:r>
          </w:p>
        </w:tc>
        <w:tc>
          <w:tcPr>
            <w:tcW w:type="dxa" w:w="8064"/>
          </w:tcPr>
          <w:p>
            <w:r>
              <w:rPr>
                <w:sz w:val="20"/>
              </w:rPr>
            </w:r>
            <w:r>
              <w:rPr>
                <w:sz w:val="20"/>
              </w:rPr>
              <w:t>Victor Almonte, General Counsel, Ridgeline Health Systems, Inc.</w:t>
              <w:br/>
              <w:t>Priya Narayanan, Chief Information Security Officer, Ridgeline Health Systems, Inc.</w:t>
            </w:r>
          </w:p>
        </w:tc>
      </w:tr>
      <w:tr>
        <w:tc>
          <w:tcPr>
            <w:tcW w:type="dxa" w:w="1296"/>
          </w:tcPr>
          <w:p>
            <w:r>
              <w:rPr>
                <w:sz w:val="20"/>
              </w:rPr>
            </w:r>
            <w:r>
              <w:rPr>
                <w:b/>
                <w:sz w:val="20"/>
              </w:rPr>
              <w:t>CC:</w:t>
            </w:r>
          </w:p>
        </w:tc>
        <w:tc>
          <w:tcPr>
            <w:tcW w:type="dxa" w:w="8064"/>
          </w:tcPr>
          <w:p>
            <w:r>
              <w:rPr>
                <w:sz w:val="20"/>
              </w:rPr>
            </w:r>
            <w:r>
              <w:rPr>
                <w:sz w:val="20"/>
              </w:rPr>
              <w:t>Sandra Feliciano, DPO, Ridgeline Health Europe B.V.; Carlos Eduardo Viana, Privacy Counsel, Ridgeline Saúde Ltda.</w:t>
            </w:r>
          </w:p>
        </w:tc>
      </w:tr>
      <w:tr>
        <w:tc>
          <w:tcPr>
            <w:tcW w:type="dxa" w:w="1296"/>
          </w:tcPr>
          <w:p>
            <w:r>
              <w:rPr>
                <w:sz w:val="20"/>
              </w:rPr>
            </w:r>
            <w:r>
              <w:rPr>
                <w:b/>
                <w:sz w:val="20"/>
              </w:rPr>
              <w:t>FROM:</w:t>
            </w:r>
          </w:p>
        </w:tc>
        <w:tc>
          <w:tcPr>
            <w:tcW w:type="dxa" w:w="8064"/>
          </w:tcPr>
          <w:p>
            <w:r>
              <w:rPr>
                <w:sz w:val="20"/>
              </w:rPr>
            </w:r>
            <w:r>
              <w:rPr>
                <w:sz w:val="20"/>
              </w:rPr>
              <w:t>Thornfield &amp; Associates LLP — Margaret Hsu, Lead Partner; Daniel Okafor, Supervising Associate</w:t>
            </w:r>
          </w:p>
        </w:tc>
      </w:tr>
      <w:tr>
        <w:tc>
          <w:tcPr>
            <w:tcW w:type="dxa" w:w="1296"/>
          </w:tcPr>
          <w:p>
            <w:r>
              <w:rPr>
                <w:sz w:val="20"/>
              </w:rPr>
            </w:r>
            <w:r>
              <w:rPr>
                <w:b/>
                <w:sz w:val="20"/>
              </w:rPr>
              <w:t>DATE:</w:t>
            </w:r>
          </w:p>
        </w:tc>
        <w:tc>
          <w:tcPr>
            <w:tcW w:type="dxa" w:w="8064"/>
          </w:tcPr>
          <w:p>
            <w:r>
              <w:rPr>
                <w:sz w:val="20"/>
              </w:rPr>
            </w:r>
            <w:r>
              <w:rPr>
                <w:sz w:val="20"/>
              </w:rPr>
              <w:t>April 9, 2025</w:t>
            </w:r>
          </w:p>
        </w:tc>
      </w:tr>
      <w:tr>
        <w:tc>
          <w:tcPr>
            <w:tcW w:type="dxa" w:w="1296"/>
          </w:tcPr>
          <w:p>
            <w:r>
              <w:rPr>
                <w:sz w:val="20"/>
              </w:rPr>
            </w:r>
            <w:r>
              <w:rPr>
                <w:b/>
                <w:sz w:val="20"/>
              </w:rPr>
              <w:t>RE:</w:t>
            </w:r>
          </w:p>
        </w:tc>
        <w:tc>
          <w:tcPr>
            <w:tcW w:type="dxa" w:w="8064"/>
          </w:tcPr>
          <w:p>
            <w:r>
              <w:rPr>
                <w:sz w:val="20"/>
              </w:rPr>
            </w:r>
            <w:r>
              <w:rPr>
                <w:sz w:val="20"/>
              </w:rPr>
              <w:t>Incident RHS-IR-2025-0042 — Gap Analysis of the April 7, 2025 Breach Notification Schedule against the January 15, 2025 Multi-Jurisdiction Regulatory Guidance Memorandum and Applicable Law</w:t>
            </w:r>
          </w:p>
        </w:tc>
      </w:tr>
    </w:tbl>
    <w:p/>
    <w:p>
      <w:pPr>
        <w:pStyle w:val="Heading1"/>
      </w:pPr>
      <w:r>
        <w:t>I. Bottom Line</w:t>
      </w:r>
    </w:p>
    <w:p>
      <w:r>
        <w:t xml:space="preserve">The Breach Notification Schedule (the "Schedule") is </w:t>
      </w:r>
      <w:r>
        <w:rPr>
          <w:b/>
        </w:rPr>
        <w:t>not legally sound in its current form and should not be presented to the Board on April 14 as an executable plan without the corrections below.</w:t>
      </w:r>
      <w:r>
        <w:t xml:space="preserve"> We identified </w:t>
      </w:r>
      <w:r>
        <w:rPr>
          <w:b/>
        </w:rPr>
        <w:t>30 findings: 6 Critical, 10 High, 9 Medium and 5 Low.</w:t>
      </w:r>
      <w:r>
        <w:t xml:space="preserve"> The most serious problems are structural rather than clerical:</w:t>
      </w:r>
    </w:p>
    <w:p>
      <w:pPr>
        <w:pStyle w:val="ListBullet"/>
      </w:pPr>
      <w:r>
        <w:rPr>
          <w:b/>
        </w:rPr>
        <w:t>Wrong trigger date.</w:t>
      </w:r>
      <w:r>
        <w:t xml:space="preserve"> The Schedule anchors HIPAA and GDPR deadlines to the April 5 forensic confirmation. Under 45 CFR § 164.404(a)(2), GDPR Art. 33(1) (as interpreted by EDPB/WP250rev.01) and ANPD Resolution CD/ANPD No. 15/2024, the clock started on </w:t>
      </w:r>
      <w:r>
        <w:rPr>
          <w:b/>
        </w:rPr>
        <w:t>April 2, 2025 at 3:17 PM CDT</w:t>
      </w:r>
      <w:r>
        <w:t>, when the SOC detected bulk exfiltration traced to the Pinnacle service account and — in the Incident Summary Report’s own words — had "reasonable certainty that a security incident involving patient data had occurred." Our January 15 Memorandum says this expressly (Sections I, II, III.B, V.B and VIII.B.1).</w:t>
      </w:r>
    </w:p>
    <w:p>
      <w:pPr>
        <w:pStyle w:val="ListBullet"/>
      </w:pPr>
      <w:r>
        <w:rPr>
          <w:b/>
        </w:rPr>
        <w:t>Two foreign regulatory deadlines have already passed.</w:t>
      </w:r>
      <w:r>
        <w:t xml:space="preserve"> The GDPR Art. 33 notification to the Autoriteit Persoonsgegevens (AP) was due </w:t>
      </w:r>
      <w:r>
        <w:rPr>
          <w:b/>
        </w:rPr>
        <w:t>Saturday, April 5, 2025, 22:17 CEST</w:t>
      </w:r>
      <w:r>
        <w:t xml:space="preserve">, and the LGPD notification to the ANPD (and, under Resolution 15/2024, the communication to Brazilian data subjects) was due </w:t>
      </w:r>
      <w:r>
        <w:rPr>
          <w:b/>
        </w:rPr>
        <w:t>Monday, April 7, 2025</w:t>
      </w:r>
      <w:r>
        <w:t xml:space="preserve"> (three business days). Both must be filed </w:t>
      </w:r>
      <w:r>
        <w:rPr>
          <w:b/>
        </w:rPr>
        <w:t>today</w:t>
      </w:r>
      <w:r>
        <w:t>, as late notifications with reasons for the delay.</w:t>
      </w:r>
    </w:p>
    <w:p>
      <w:pPr>
        <w:pStyle w:val="ListBullet"/>
      </w:pPr>
      <w:r>
        <w:rPr>
          <w:b/>
        </w:rPr>
        <w:t>GDPR Art. 34 data subject notice is required.</w:t>
      </w:r>
      <w:r>
        <w:t xml:space="preserve"> The Art. 34(3)(a) encryption exception does not apply: the attacker read the data in plaintext through the application decryption pathway using valid (compromised) credentials and exfiltrated it over an unencrypted channel (Incident Summary Report § 4.2). The Schedule’s "Closed — No Action" entry must be reversed. We do not validate the team’s preliminary view.</w:t>
      </w:r>
    </w:p>
    <w:p>
      <w:pPr>
        <w:pStyle w:val="ListBullet"/>
      </w:pPr>
      <w:r>
        <w:rPr>
          <w:b/>
        </w:rPr>
        <w:t>Five U.S. 30-day obligations are calendared at 60 days.</w:t>
      </w:r>
      <w:r>
        <w:t xml:space="preserve"> Texas AG, Florida individuals, Florida Department of Legal Affairs, Colorado individuals and Colorado AG are all due </w:t>
      </w:r>
      <w:r>
        <w:rPr>
          <w:b/>
        </w:rPr>
        <w:t>Friday, May 2, 2025</w:t>
      </w:r>
      <w:r>
        <w:t xml:space="preserve">, not June 1. (New York’s amended SHIELD Act should also be treated as due May 2 — see Finding C-5.) Ohio is due </w:t>
      </w:r>
      <w:r>
        <w:rPr>
          <w:b/>
        </w:rPr>
        <w:t>May 17</w:t>
      </w:r>
      <w:r>
        <w:t xml:space="preserve"> (45 days), not June 1.</w:t>
      </w:r>
    </w:p>
    <w:p>
      <w:pPr>
        <w:pStyle w:val="ListBullet"/>
      </w:pPr>
      <w:r>
        <w:rPr>
          <w:b/>
        </w:rPr>
        <w:t>Whole obligations are missing:</w:t>
      </w:r>
      <w:r>
        <w:t xml:space="preserve"> HIPAA media notice in 9 of the 11 states; Massachusetts AG/OCABR filing; Colorado AG; California CMIA/CDPH; consumer reporting agency notices in at least seven states; the Pinnacle business associate notification line item; and BSN-specific content for the AP.</w:t>
      </w:r>
    </w:p>
    <w:p>
      <w:r>
        <w:t xml:space="preserve">The deadlines that remain open can all still be met if the corrected plan is adopted now. Several should not wait for the April 14 Board meeting: the AP and ANPD filings (overdue), the Pinnacle demand letter (Pinnacle’s outside contractual deadline is </w:t>
      </w:r>
      <w:r>
        <w:rPr>
          <w:b/>
        </w:rPr>
        <w:t>April 10</w:t>
      </w:r>
      <w:r>
        <w:t>), and the potential CDPH report (</w:t>
      </w:r>
      <w:r>
        <w:rPr>
          <w:b/>
        </w:rPr>
        <w:t>April 23</w:t>
      </w:r>
      <w:r>
        <w:t>).</w:t>
      </w:r>
    </w:p>
    <w:p>
      <w:pPr>
        <w:pStyle w:val="Heading1"/>
      </w:pPr>
      <w:r>
        <w:t>II. Scope, Materials Reviewed and Assumptions</w:t>
      </w:r>
    </w:p>
    <w:p>
      <w:r>
        <w:t>At your request (email of April 8, 2025), we reviewed: (1) breach-notification-schedule.xlsx (Summary; U.S. State-by-State Detail rows US-01 to US-22; International Detail rows INT-01 to INT-06), completed April 7, 2025; (2) our Multi-Jurisdiction Data Breach Notification Regulatory Guidance Memorandum dated January 15, 2025 (the "Guidance Memo"); (3) the Incident Summary Report dated April 8, 2025; and (4) the BAA excerpt between Ridgeline Clinical Services, LLC ("RCS") and Pinnacle Cloud Solutions, Inc. ("Pinnacle"), effective July 1, 2023. We addressed each of the five review tasks in your email and the two specific questions (trigger date; Art. 34 encryption).</w:t>
      </w:r>
    </w:p>
    <w:p>
      <w:r>
        <w:t>Key facts relied on (all from the Incident Summary Report and transmittal email): SOC detection April 2, 2025, 3:17 PM CDT (20:17 UTC; 22:17 CEST; 17:17 BRT); compromised Pinnacle admin service account; breach window approx. March 19 – April 2, 2025; Aldersgate confirmed exfiltration April 5; Pinnacle informed by Ridgeline April 3; no formal Pinnacle notice under BAA § 4.3 as of April 8; 312,000 affected individuals (273,500 U.S. in 11 states; 29,100 Netherlands; 9,400 Brazil); data elements: names, email addresses, DOB, mailing addresses, health conditions/diagnoses, prescription histories, SSN/BSN/CPF; no financial account, payment card, patient credential or insurance-number data. Every state population exceeds 500, and Texas exceeds 10,000.</w:t>
      </w:r>
    </w:p>
    <w:p>
      <w:r>
        <w:t>Assumptions and limits: we have not seen the full BAA, the MSA, any GDPR Art. 28 or LGPD operator agreement with Pinnacle, the Everwatch policy, or Aldersgate’s report. The documents do not show whether an AP or ANPD filing was made on or after April 7–8; if one was, the corrective actions below still apply (supplementation and reasons for delay). Where we flag legal developments after or outside the Guidance Memo (e.g., New York’s December 2024 SHIELD Act amendment), we say so, and those points should be confirmed before filing. Dates are 2025 unless stated otherwise.</w:t>
      </w:r>
    </w:p>
    <w:p>
      <w:pPr>
        <w:pStyle w:val="Heading1"/>
      </w:pPr>
      <w:r>
        <w:t>III. Severity Scale</w:t>
      </w:r>
    </w:p>
    <w:tbl>
      <w:tblPr>
        <w:tblStyle w:val="TableGrid"/>
        <w:tblW w:type="auto" w:w="0"/>
        <w:jc w:val="center"/>
        <w:tblLook w:firstColumn="1" w:firstRow="1" w:lastColumn="0" w:lastRow="0" w:noHBand="0" w:noVBand="1" w:val="04A0"/>
      </w:tblPr>
      <w:tblGrid>
        <w:gridCol w:w="4680"/>
        <w:gridCol w:w="4680"/>
      </w:tblGrid>
      <w:tr>
        <w:tc>
          <w:tcPr>
            <w:tcW w:type="dxa" w:w="1584"/>
            <w:shd w:val="clear" w:color="auto" w:fill="1F3A5F"/>
          </w:tcPr>
          <w:p>
            <w:r/>
            <w:r>
              <w:rPr>
                <w:b/>
                <w:color w:val="FFFFFF"/>
                <w:sz w:val="18"/>
              </w:rPr>
              <w:t>Severity</w:t>
            </w:r>
          </w:p>
        </w:tc>
        <w:tc>
          <w:tcPr>
            <w:tcW w:type="dxa" w:w="7776"/>
            <w:shd w:val="clear" w:color="auto" w:fill="1F3A5F"/>
          </w:tcPr>
          <w:p>
            <w:r/>
            <w:r>
              <w:rPr>
                <w:b/>
                <w:color w:val="FFFFFF"/>
                <w:sz w:val="18"/>
              </w:rPr>
              <w:t>Meaning</w:t>
            </w:r>
          </w:p>
        </w:tc>
      </w:tr>
      <w:tr>
        <w:tc>
          <w:tcPr>
            <w:tcW w:type="dxa" w:w="1584"/>
            <w:shd w:val="clear" w:color="auto" w:fill="F4CCCC"/>
          </w:tcPr>
          <w:p>
            <w:r>
              <w:rPr>
                <w:sz w:val="18"/>
              </w:rPr>
            </w:r>
            <w:r>
              <w:rPr>
                <w:sz w:val="18"/>
              </w:rPr>
              <w:t>CRITICAL</w:t>
            </w:r>
          </w:p>
        </w:tc>
        <w:tc>
          <w:tcPr>
            <w:tcW w:type="dxa" w:w="7776"/>
          </w:tcPr>
          <w:p>
            <w:r>
              <w:rPr>
                <w:sz w:val="18"/>
              </w:rPr>
            </w:r>
            <w:r>
              <w:rPr>
                <w:sz w:val="18"/>
              </w:rPr>
              <w:t>A deadline has already passed or will be missed under the current Schedule, or a required notification has been wrongly ruled out; immediate action needed (before the Board meeting).</w:t>
            </w:r>
          </w:p>
        </w:tc>
      </w:tr>
      <w:tr>
        <w:tc>
          <w:tcPr>
            <w:tcW w:type="dxa" w:w="1584"/>
            <w:shd w:val="clear" w:color="auto" w:fill="FCE5CD"/>
          </w:tcPr>
          <w:p>
            <w:r>
              <w:rPr>
                <w:sz w:val="18"/>
              </w:rPr>
            </w:r>
            <w:r>
              <w:rPr>
                <w:sz w:val="18"/>
              </w:rPr>
              <w:t>HIGH</w:t>
            </w:r>
          </w:p>
        </w:tc>
        <w:tc>
          <w:tcPr>
            <w:tcW w:type="dxa" w:w="7776"/>
          </w:tcPr>
          <w:p>
            <w:r>
              <w:rPr>
                <w:sz w:val="18"/>
              </w:rPr>
            </w:r>
            <w:r>
              <w:rPr>
                <w:sz w:val="18"/>
              </w:rPr>
              <w:t>A required notification, recipient or mandatory content element is missing or materially wrong; if not fixed it will cause a violation.</w:t>
            </w:r>
          </w:p>
        </w:tc>
      </w:tr>
      <w:tr>
        <w:tc>
          <w:tcPr>
            <w:tcW w:type="dxa" w:w="1584"/>
            <w:shd w:val="clear" w:color="auto" w:fill="FFF2CC"/>
          </w:tcPr>
          <w:p>
            <w:r>
              <w:rPr>
                <w:sz w:val="18"/>
              </w:rPr>
            </w:r>
            <w:r>
              <w:rPr>
                <w:sz w:val="18"/>
              </w:rPr>
              <w:t>MEDIUM</w:t>
            </w:r>
          </w:p>
        </w:tc>
        <w:tc>
          <w:tcPr>
            <w:tcW w:type="dxa" w:w="7776"/>
          </w:tcPr>
          <w:p>
            <w:r>
              <w:rPr>
                <w:sz w:val="18"/>
              </w:rPr>
            </w:r>
            <w:r>
              <w:rPr>
                <w:sz w:val="18"/>
              </w:rPr>
              <w:t>Content, sequencing, documentation or privilege weakness that creates real enforcement or litigation risk but can be fixed in the normal drafting cycle.</w:t>
            </w:r>
          </w:p>
        </w:tc>
      </w:tr>
      <w:tr>
        <w:tc>
          <w:tcPr>
            <w:tcW w:type="dxa" w:w="1584"/>
            <w:shd w:val="clear" w:color="auto" w:fill="D9EAD3"/>
          </w:tcPr>
          <w:p>
            <w:r>
              <w:rPr>
                <w:sz w:val="18"/>
              </w:rPr>
            </w:r>
            <w:r>
              <w:rPr>
                <w:sz w:val="18"/>
              </w:rPr>
              <w:t>LOW</w:t>
            </w:r>
          </w:p>
        </w:tc>
        <w:tc>
          <w:tcPr>
            <w:tcW w:type="dxa" w:w="7776"/>
          </w:tcPr>
          <w:p>
            <w:r>
              <w:rPr>
                <w:sz w:val="18"/>
              </w:rPr>
            </w:r>
            <w:r>
              <w:rPr>
                <w:sz w:val="18"/>
              </w:rPr>
              <w:t>Citation, labeling or administrative matters that should be cleaned up for accuracy and defensibility.</w:t>
            </w:r>
          </w:p>
        </w:tc>
      </w:tr>
    </w:tbl>
    <w:p/>
    <w:p>
      <w:pPr>
        <w:pStyle w:val="Heading1"/>
      </w:pPr>
      <w:r>
        <w:t>IV. Answers to Your Specific Questions</w:t>
      </w:r>
    </w:p>
    <w:p>
      <w:r>
        <w:rPr>
          <w:b/>
        </w:rPr>
        <w:t>1. April 2 or April 5 as the trigger?</w:t>
      </w:r>
      <w:r>
        <w:t xml:space="preserve"> </w:t>
      </w:r>
      <w:r>
        <w:rPr>
          <w:b/>
        </w:rPr>
        <w:t>April 2, 2025, 3:17 PM CDT</w:t>
      </w:r>
      <w:r>
        <w:t xml:space="preserve"> for HIPAA, GDPR and LGPD. HIPAA treats a breach as discovered on the first day it is known, or by exercising reasonable diligence would have been known, to the covered entity (45 CFR § 164.404(a)(2)); HIPAA presumes a breach (§ 164.402) and does not wait for proof of exfiltration. GDPR awareness requires only a "reasonable degree of certainty" that personal data was compromised. LGPD runs from the controller’s knowledge. On April 2 the SOC saw bulk outbound transfers of patient data to an unknown external IP, traced them to the Pinnacle account, revoked credentials and activated the IR Plan. That is awareness. For acquisition-based U.S. state statutes keyed to the date the entity "determines" a breach occurred (e.g., Texas, Florida, Colorado), April 5 is a fallback argument only (it would move the 30-day dates from May 2 to May 5). We recommend against relying on it: April 2 is the conservative date, our Guidance Memo adopts it, and the documents already admit April 2 awareness. We also caution that the discovery date could be </w:t>
      </w:r>
      <w:r>
        <w:rPr>
          <w:b/>
        </w:rPr>
        <w:t>earlier</w:t>
      </w:r>
      <w:r>
        <w:t xml:space="preserve"> than April 2 (Finding H-3).</w:t>
      </w:r>
    </w:p>
    <w:p>
      <w:r>
        <w:rPr>
          <w:b/>
        </w:rPr>
        <w:t>2. Is GDPR Art. 34 notice excused by encryption?</w:t>
      </w:r>
      <w:r>
        <w:t xml:space="preserve"> </w:t>
      </w:r>
      <w:r>
        <w:rPr>
          <w:b/>
        </w:rPr>
        <w:t>No.</w:t>
      </w:r>
      <w:r>
        <w:t xml:space="preserve"> Art. 34(3)(a) applies only where the measures "render the personal data unintelligible to any person who is not authorised to access it." Encryption at rest did not protect against this attack. The attacker used valid admin credentials to read data through the application decryption pathway and moved it out over an unencrypted channel (Incident Summary Report § 4.2). Health data (Art. 9) combined with BSNs for 29,100 people is high risk. Art. 34 notice is mandatory (Guidance Memo § V.C and VIII.B.4). The same facts defeat the HIPAA "secured PHI" safe harbor (and BAA § 1.6 deems the PHI unsecured where decryption credentials were compromised), as well as the encryption carve-outs in the state statutes.</w:t>
      </w:r>
    </w:p>
    <w:p>
      <w:r>
        <w:rPr>
          <w:b/>
        </w:rPr>
        <w:t>3. Review tasks (1)–(5) in your email.</w:t>
      </w:r>
      <w:r>
        <w:t xml:space="preserve"> (1) Deadline accuracy: Findings C-1 to C-5, H-6, H-7 and the corrected master timeline in Section VI. (2) Recipients: Findings H-1, H-2, H-4, H-5, H-6 and C-5 (Colorado AG). (3) Content checklists: Findings H-2, H-8, H-9, H-10, M-2 and M-5. (4) Missed obligations: Findings C-4, C-6, H-1 to H-5, M-2 and M-4. (5) Notification chain and Pinnacle: Findings H-3, M-4 and M-6.</w:t>
      </w:r>
    </w:p>
    <w:p>
      <w:pPr>
        <w:pStyle w:val="Heading1"/>
      </w:pPr>
      <w:r>
        <w:t>V. Findings by Severity</w:t>
      </w:r>
    </w:p>
    <w:p>
      <w:r>
        <w:t>Summary table (detail follows). "Schedule" deadline means the date currently shown in the Schedule; "Correct" means the deadline we advise calendaring.</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648"/>
            <w:shd w:val="clear" w:color="auto" w:fill="1F3A5F"/>
          </w:tcPr>
          <w:p>
            <w:r/>
            <w:r>
              <w:rPr>
                <w:b/>
                <w:color w:val="FFFFFF"/>
                <w:sz w:val="16"/>
              </w:rPr>
              <w:t>ID</w:t>
            </w:r>
          </w:p>
        </w:tc>
        <w:tc>
          <w:tcPr>
            <w:tcW w:type="dxa" w:w="1152"/>
            <w:shd w:val="clear" w:color="auto" w:fill="1F3A5F"/>
          </w:tcPr>
          <w:p>
            <w:r/>
            <w:r>
              <w:rPr>
                <w:b/>
                <w:color w:val="FFFFFF"/>
                <w:sz w:val="16"/>
              </w:rPr>
              <w:t>Severity</w:t>
            </w:r>
          </w:p>
        </w:tc>
        <w:tc>
          <w:tcPr>
            <w:tcW w:type="dxa" w:w="3672"/>
            <w:shd w:val="clear" w:color="auto" w:fill="1F3A5F"/>
          </w:tcPr>
          <w:p>
            <w:r/>
            <w:r>
              <w:rPr>
                <w:b/>
                <w:color w:val="FFFFFF"/>
                <w:sz w:val="16"/>
              </w:rPr>
              <w:t>Issue</w:t>
            </w:r>
          </w:p>
        </w:tc>
        <w:tc>
          <w:tcPr>
            <w:tcW w:type="dxa" w:w="1728"/>
            <w:shd w:val="clear" w:color="auto" w:fill="1F3A5F"/>
          </w:tcPr>
          <w:p>
            <w:r/>
            <w:r>
              <w:rPr>
                <w:b/>
                <w:color w:val="FFFFFF"/>
                <w:sz w:val="16"/>
              </w:rPr>
              <w:t>Schedule</w:t>
            </w:r>
          </w:p>
        </w:tc>
        <w:tc>
          <w:tcPr>
            <w:tcW w:type="dxa" w:w="2160"/>
            <w:shd w:val="clear" w:color="auto" w:fill="1F3A5F"/>
          </w:tcPr>
          <w:p>
            <w:r/>
            <w:r>
              <w:rPr>
                <w:b/>
                <w:color w:val="FFFFFF"/>
                <w:sz w:val="16"/>
              </w:rPr>
              <w:t>Correct / action date</w:t>
            </w:r>
          </w:p>
        </w:tc>
      </w:tr>
      <w:tr>
        <w:tc>
          <w:tcPr>
            <w:tcW w:type="dxa" w:w="648"/>
          </w:tcPr>
          <w:p>
            <w:r>
              <w:rPr>
                <w:sz w:val="16"/>
              </w:rPr>
            </w:r>
            <w:r>
              <w:rPr>
                <w:sz w:val="16"/>
              </w:rPr>
              <w:t>C-1</w:t>
            </w:r>
          </w:p>
        </w:tc>
        <w:tc>
          <w:tcPr>
            <w:tcW w:type="dxa" w:w="1152"/>
            <w:shd w:val="clear" w:color="auto" w:fill="F4CCCC"/>
          </w:tcPr>
          <w:p>
            <w:r>
              <w:rPr>
                <w:sz w:val="16"/>
              </w:rPr>
            </w:r>
            <w:r>
              <w:rPr>
                <w:sz w:val="16"/>
              </w:rPr>
              <w:t>CRITICAL</w:t>
            </w:r>
          </w:p>
        </w:tc>
        <w:tc>
          <w:tcPr>
            <w:tcW w:type="dxa" w:w="3672"/>
          </w:tcPr>
          <w:p>
            <w:r>
              <w:rPr>
                <w:sz w:val="16"/>
              </w:rPr>
            </w:r>
            <w:r>
              <w:rPr>
                <w:sz w:val="16"/>
              </w:rPr>
              <w:t>Deadlines anchored to April 5 forensic confirmation, not April 2 discovery (HIPAA, GDPR)</w:t>
            </w:r>
          </w:p>
        </w:tc>
        <w:tc>
          <w:tcPr>
            <w:tcW w:type="dxa" w:w="1728"/>
          </w:tcPr>
          <w:p>
            <w:r>
              <w:rPr>
                <w:sz w:val="16"/>
              </w:rPr>
            </w:r>
            <w:r>
              <w:rPr>
                <w:sz w:val="16"/>
              </w:rPr>
              <w:t>June 4 (HIPAA); Apr 8 (GDPR)</w:t>
            </w:r>
          </w:p>
        </w:tc>
        <w:tc>
          <w:tcPr>
            <w:tcW w:type="dxa" w:w="2160"/>
          </w:tcPr>
          <w:p>
            <w:r>
              <w:rPr>
                <w:sz w:val="16"/>
              </w:rPr>
            </w:r>
            <w:r>
              <w:rPr>
                <w:sz w:val="16"/>
              </w:rPr>
              <w:t>June 1 (HIPAA outer limit); Apr 5 (GDPR)</w:t>
            </w:r>
          </w:p>
        </w:tc>
      </w:tr>
      <w:tr>
        <w:tc>
          <w:tcPr>
            <w:tcW w:type="dxa" w:w="648"/>
          </w:tcPr>
          <w:p>
            <w:r>
              <w:rPr>
                <w:sz w:val="16"/>
              </w:rPr>
            </w:r>
            <w:r>
              <w:rPr>
                <w:sz w:val="16"/>
              </w:rPr>
              <w:t>C-2</w:t>
            </w:r>
          </w:p>
        </w:tc>
        <w:tc>
          <w:tcPr>
            <w:tcW w:type="dxa" w:w="1152"/>
            <w:shd w:val="clear" w:color="auto" w:fill="F4CCCC"/>
          </w:tcPr>
          <w:p>
            <w:r>
              <w:rPr>
                <w:sz w:val="16"/>
              </w:rPr>
            </w:r>
            <w:r>
              <w:rPr>
                <w:sz w:val="16"/>
              </w:rPr>
              <w:t>CRITICAL</w:t>
            </w:r>
          </w:p>
        </w:tc>
        <w:tc>
          <w:tcPr>
            <w:tcW w:type="dxa" w:w="3672"/>
          </w:tcPr>
          <w:p>
            <w:r>
              <w:rPr>
                <w:sz w:val="16"/>
              </w:rPr>
            </w:r>
            <w:r>
              <w:rPr>
                <w:sz w:val="16"/>
              </w:rPr>
              <w:t>GDPR Art. 33 notice to the AP is overdue</w:t>
            </w:r>
          </w:p>
        </w:tc>
        <w:tc>
          <w:tcPr>
            <w:tcW w:type="dxa" w:w="1728"/>
          </w:tcPr>
          <w:p>
            <w:r>
              <w:rPr>
                <w:sz w:val="16"/>
              </w:rPr>
            </w:r>
            <w:r>
              <w:rPr>
                <w:sz w:val="16"/>
              </w:rPr>
              <w:t>Apr 8, 3:17 PM "CET"</w:t>
            </w:r>
          </w:p>
        </w:tc>
        <w:tc>
          <w:tcPr>
            <w:tcW w:type="dxa" w:w="2160"/>
          </w:tcPr>
          <w:p>
            <w:r>
              <w:rPr>
                <w:sz w:val="16"/>
              </w:rPr>
            </w:r>
            <w:r>
              <w:rPr>
                <w:sz w:val="16"/>
              </w:rPr>
              <w:t>Was due Apr 5, 22:17 CEST — file today with reasons for delay</w:t>
            </w:r>
          </w:p>
        </w:tc>
      </w:tr>
      <w:tr>
        <w:tc>
          <w:tcPr>
            <w:tcW w:type="dxa" w:w="648"/>
          </w:tcPr>
          <w:p>
            <w:r>
              <w:rPr>
                <w:sz w:val="16"/>
              </w:rPr>
            </w:r>
            <w:r>
              <w:rPr>
                <w:sz w:val="16"/>
              </w:rPr>
              <w:t>C-3</w:t>
            </w:r>
          </w:p>
        </w:tc>
        <w:tc>
          <w:tcPr>
            <w:tcW w:type="dxa" w:w="1152"/>
            <w:shd w:val="clear" w:color="auto" w:fill="F4CCCC"/>
          </w:tcPr>
          <w:p>
            <w:r>
              <w:rPr>
                <w:sz w:val="16"/>
              </w:rPr>
            </w:r>
            <w:r>
              <w:rPr>
                <w:sz w:val="16"/>
              </w:rPr>
              <w:t>CRITICAL</w:t>
            </w:r>
          </w:p>
        </w:tc>
        <w:tc>
          <w:tcPr>
            <w:tcW w:type="dxa" w:w="3672"/>
          </w:tcPr>
          <w:p>
            <w:r>
              <w:rPr>
                <w:sz w:val="16"/>
              </w:rPr>
            </w:r>
            <w:r>
              <w:rPr>
                <w:sz w:val="16"/>
              </w:rPr>
              <w:t>LGPD/ANPD deadline uses a 72-hour standard instead of 3 business days; now overdue</w:t>
            </w:r>
          </w:p>
        </w:tc>
        <w:tc>
          <w:tcPr>
            <w:tcW w:type="dxa" w:w="1728"/>
          </w:tcPr>
          <w:p>
            <w:r>
              <w:rPr>
                <w:sz w:val="16"/>
              </w:rPr>
            </w:r>
            <w:r>
              <w:rPr>
                <w:sz w:val="16"/>
              </w:rPr>
              <w:t>Apr 5 (Sat)</w:t>
            </w:r>
          </w:p>
        </w:tc>
        <w:tc>
          <w:tcPr>
            <w:tcW w:type="dxa" w:w="2160"/>
          </w:tcPr>
          <w:p>
            <w:r>
              <w:rPr>
                <w:sz w:val="16"/>
              </w:rPr>
            </w:r>
            <w:r>
              <w:rPr>
                <w:sz w:val="16"/>
              </w:rPr>
              <w:t>Was due Apr 7 — file today with reasons for delay</w:t>
            </w:r>
          </w:p>
        </w:tc>
      </w:tr>
      <w:tr>
        <w:tc>
          <w:tcPr>
            <w:tcW w:type="dxa" w:w="648"/>
          </w:tcPr>
          <w:p>
            <w:r>
              <w:rPr>
                <w:sz w:val="16"/>
              </w:rPr>
            </w:r>
            <w:r>
              <w:rPr>
                <w:sz w:val="16"/>
              </w:rPr>
              <w:t>C-4</w:t>
            </w:r>
          </w:p>
        </w:tc>
        <w:tc>
          <w:tcPr>
            <w:tcW w:type="dxa" w:w="1152"/>
            <w:shd w:val="clear" w:color="auto" w:fill="F4CCCC"/>
          </w:tcPr>
          <w:p>
            <w:r>
              <w:rPr>
                <w:sz w:val="16"/>
              </w:rPr>
            </w:r>
            <w:r>
              <w:rPr>
                <w:sz w:val="16"/>
              </w:rPr>
              <w:t>CRITICAL</w:t>
            </w:r>
          </w:p>
        </w:tc>
        <w:tc>
          <w:tcPr>
            <w:tcW w:type="dxa" w:w="3672"/>
          </w:tcPr>
          <w:p>
            <w:r>
              <w:rPr>
                <w:sz w:val="16"/>
              </w:rPr>
            </w:r>
            <w:r>
              <w:rPr>
                <w:sz w:val="16"/>
              </w:rPr>
              <w:t>LGPD data subject communication treated as "awaiting ANPD guidance"</w:t>
            </w:r>
          </w:p>
        </w:tc>
        <w:tc>
          <w:tcPr>
            <w:tcW w:type="dxa" w:w="1728"/>
          </w:tcPr>
          <w:p>
            <w:r>
              <w:rPr>
                <w:sz w:val="16"/>
              </w:rPr>
            </w:r>
            <w:r>
              <w:rPr>
                <w:sz w:val="16"/>
              </w:rPr>
              <w:t>TBD</w:t>
            </w:r>
          </w:p>
        </w:tc>
        <w:tc>
          <w:tcPr>
            <w:tcW w:type="dxa" w:w="2160"/>
          </w:tcPr>
          <w:p>
            <w:r>
              <w:rPr>
                <w:sz w:val="16"/>
              </w:rPr>
            </w:r>
            <w:r>
              <w:rPr>
                <w:sz w:val="16"/>
              </w:rPr>
              <w:t>Was due Apr 7 under Res. 15/2024 — send now</w:t>
            </w:r>
          </w:p>
        </w:tc>
      </w:tr>
      <w:tr>
        <w:tc>
          <w:tcPr>
            <w:tcW w:type="dxa" w:w="648"/>
          </w:tcPr>
          <w:p>
            <w:r>
              <w:rPr>
                <w:sz w:val="16"/>
              </w:rPr>
            </w:r>
            <w:r>
              <w:rPr>
                <w:sz w:val="16"/>
              </w:rPr>
              <w:t>C-5</w:t>
            </w:r>
          </w:p>
        </w:tc>
        <w:tc>
          <w:tcPr>
            <w:tcW w:type="dxa" w:w="1152"/>
            <w:shd w:val="clear" w:color="auto" w:fill="F4CCCC"/>
          </w:tcPr>
          <w:p>
            <w:r>
              <w:rPr>
                <w:sz w:val="16"/>
              </w:rPr>
            </w:r>
            <w:r>
              <w:rPr>
                <w:sz w:val="16"/>
              </w:rPr>
              <w:t>CRITICAL</w:t>
            </w:r>
          </w:p>
        </w:tc>
        <w:tc>
          <w:tcPr>
            <w:tcW w:type="dxa" w:w="3672"/>
          </w:tcPr>
          <w:p>
            <w:r>
              <w:rPr>
                <w:sz w:val="16"/>
              </w:rPr>
            </w:r>
            <w:r>
              <w:rPr>
                <w:sz w:val="16"/>
              </w:rPr>
              <w:t>30-day U.S. deadlines calendared at 60 days; CO AG row missing; NY amendment</w:t>
            </w:r>
          </w:p>
        </w:tc>
        <w:tc>
          <w:tcPr>
            <w:tcW w:type="dxa" w:w="1728"/>
          </w:tcPr>
          <w:p>
            <w:r>
              <w:rPr>
                <w:sz w:val="16"/>
              </w:rPr>
            </w:r>
            <w:r>
              <w:rPr>
                <w:sz w:val="16"/>
              </w:rPr>
              <w:t>June 1</w:t>
            </w:r>
          </w:p>
        </w:tc>
        <w:tc>
          <w:tcPr>
            <w:tcW w:type="dxa" w:w="2160"/>
          </w:tcPr>
          <w:p>
            <w:r>
              <w:rPr>
                <w:sz w:val="16"/>
              </w:rPr>
            </w:r>
            <w:r>
              <w:rPr>
                <w:sz w:val="16"/>
              </w:rPr>
              <w:t>May 2 (TX AG; FL indiv. + DLA; CO indiv. + AG; NY indiv.)</w:t>
            </w:r>
          </w:p>
        </w:tc>
      </w:tr>
      <w:tr>
        <w:tc>
          <w:tcPr>
            <w:tcW w:type="dxa" w:w="648"/>
          </w:tcPr>
          <w:p>
            <w:r>
              <w:rPr>
                <w:sz w:val="16"/>
              </w:rPr>
            </w:r>
            <w:r>
              <w:rPr>
                <w:sz w:val="16"/>
              </w:rPr>
              <w:t>C-6</w:t>
            </w:r>
          </w:p>
        </w:tc>
        <w:tc>
          <w:tcPr>
            <w:tcW w:type="dxa" w:w="1152"/>
            <w:shd w:val="clear" w:color="auto" w:fill="F4CCCC"/>
          </w:tcPr>
          <w:p>
            <w:r>
              <w:rPr>
                <w:sz w:val="16"/>
              </w:rPr>
            </w:r>
            <w:r>
              <w:rPr>
                <w:sz w:val="16"/>
              </w:rPr>
              <w:t>CRITICAL</w:t>
            </w:r>
          </w:p>
        </w:tc>
        <w:tc>
          <w:tcPr>
            <w:tcW w:type="dxa" w:w="3672"/>
          </w:tcPr>
          <w:p>
            <w:r>
              <w:rPr>
                <w:sz w:val="16"/>
              </w:rPr>
            </w:r>
            <w:r>
              <w:rPr>
                <w:sz w:val="16"/>
              </w:rPr>
              <w:t>GDPR Art. 34 encryption exception wrongly applied</w:t>
            </w:r>
          </w:p>
        </w:tc>
        <w:tc>
          <w:tcPr>
            <w:tcW w:type="dxa" w:w="1728"/>
          </w:tcPr>
          <w:p>
            <w:r>
              <w:rPr>
                <w:sz w:val="16"/>
              </w:rPr>
            </w:r>
            <w:r>
              <w:rPr>
                <w:sz w:val="16"/>
              </w:rPr>
              <w:t>Closed — No Action</w:t>
            </w:r>
          </w:p>
        </w:tc>
        <w:tc>
          <w:tcPr>
            <w:tcW w:type="dxa" w:w="2160"/>
          </w:tcPr>
          <w:p>
            <w:r>
              <w:rPr>
                <w:sz w:val="16"/>
              </w:rPr>
            </w:r>
            <w:r>
              <w:rPr>
                <w:sz w:val="16"/>
              </w:rPr>
              <w:t>Required — without undue delay</w:t>
            </w:r>
          </w:p>
        </w:tc>
      </w:tr>
      <w:tr>
        <w:tc>
          <w:tcPr>
            <w:tcW w:type="dxa" w:w="648"/>
          </w:tcPr>
          <w:p>
            <w:r>
              <w:rPr>
                <w:sz w:val="16"/>
              </w:rPr>
            </w:r>
            <w:r>
              <w:rPr>
                <w:sz w:val="16"/>
              </w:rPr>
              <w:t>H-1</w:t>
            </w:r>
          </w:p>
        </w:tc>
        <w:tc>
          <w:tcPr>
            <w:tcW w:type="dxa" w:w="1152"/>
            <w:shd w:val="clear" w:color="auto" w:fill="FCE5CD"/>
          </w:tcPr>
          <w:p>
            <w:r>
              <w:rPr>
                <w:sz w:val="16"/>
              </w:rPr>
            </w:r>
            <w:r>
              <w:rPr>
                <w:sz w:val="16"/>
              </w:rPr>
              <w:t>HIGH</w:t>
            </w:r>
          </w:p>
        </w:tc>
        <w:tc>
          <w:tcPr>
            <w:tcW w:type="dxa" w:w="3672"/>
          </w:tcPr>
          <w:p>
            <w:r>
              <w:rPr>
                <w:sz w:val="16"/>
              </w:rPr>
            </w:r>
            <w:r>
              <w:rPr>
                <w:sz w:val="16"/>
              </w:rPr>
              <w:t>HIPAA media notice planned for TX and CA only</w:t>
            </w:r>
          </w:p>
        </w:tc>
        <w:tc>
          <w:tcPr>
            <w:tcW w:type="dxa" w:w="1728"/>
          </w:tcPr>
          <w:p>
            <w:r>
              <w:rPr>
                <w:sz w:val="16"/>
              </w:rPr>
            </w:r>
            <w:r>
              <w:rPr>
                <w:sz w:val="16"/>
              </w:rPr>
              <w:t>2 of 11 states</w:t>
            </w:r>
          </w:p>
        </w:tc>
        <w:tc>
          <w:tcPr>
            <w:tcW w:type="dxa" w:w="2160"/>
          </w:tcPr>
          <w:p>
            <w:r>
              <w:rPr>
                <w:sz w:val="16"/>
              </w:rPr>
            </w:r>
            <w:r>
              <w:rPr>
                <w:sz w:val="16"/>
              </w:rPr>
              <w:t>All 11 states, by June 1 at the latest</w:t>
            </w:r>
          </w:p>
        </w:tc>
      </w:tr>
      <w:tr>
        <w:tc>
          <w:tcPr>
            <w:tcW w:type="dxa" w:w="648"/>
          </w:tcPr>
          <w:p>
            <w:r>
              <w:rPr>
                <w:sz w:val="16"/>
              </w:rPr>
            </w:r>
            <w:r>
              <w:rPr>
                <w:sz w:val="16"/>
              </w:rPr>
              <w:t>H-2</w:t>
            </w:r>
          </w:p>
        </w:tc>
        <w:tc>
          <w:tcPr>
            <w:tcW w:type="dxa" w:w="1152"/>
            <w:shd w:val="clear" w:color="auto" w:fill="FCE5CD"/>
          </w:tcPr>
          <w:p>
            <w:r>
              <w:rPr>
                <w:sz w:val="16"/>
              </w:rPr>
            </w:r>
            <w:r>
              <w:rPr>
                <w:sz w:val="16"/>
              </w:rPr>
              <w:t>HIGH</w:t>
            </w:r>
          </w:p>
        </w:tc>
        <w:tc>
          <w:tcPr>
            <w:tcW w:type="dxa" w:w="3672"/>
          </w:tcPr>
          <w:p>
            <w:r>
              <w:rPr>
                <w:sz w:val="16"/>
              </w:rPr>
            </w:r>
            <w:r>
              <w:rPr>
                <w:sz w:val="16"/>
              </w:rPr>
              <w:t>Massachusetts AG and OCABR filing omitted; MA content rules not reflected</w:t>
            </w:r>
          </w:p>
        </w:tc>
        <w:tc>
          <w:tcPr>
            <w:tcW w:type="dxa" w:w="1728"/>
          </w:tcPr>
          <w:p>
            <w:r>
              <w:rPr>
                <w:sz w:val="16"/>
              </w:rPr>
            </w:r>
            <w:r>
              <w:rPr>
                <w:sz w:val="16"/>
              </w:rPr>
              <w:t>None</w:t>
            </w:r>
          </w:p>
        </w:tc>
        <w:tc>
          <w:tcPr>
            <w:tcW w:type="dxa" w:w="2160"/>
          </w:tcPr>
          <w:p>
            <w:r>
              <w:rPr>
                <w:sz w:val="16"/>
              </w:rPr>
            </w:r>
            <w:r>
              <w:rPr>
                <w:sz w:val="16"/>
              </w:rPr>
              <w:t>Before or with MA resident notices</w:t>
            </w:r>
          </w:p>
        </w:tc>
      </w:tr>
      <w:tr>
        <w:tc>
          <w:tcPr>
            <w:tcW w:type="dxa" w:w="648"/>
          </w:tcPr>
          <w:p>
            <w:r>
              <w:rPr>
                <w:sz w:val="16"/>
              </w:rPr>
            </w:r>
            <w:r>
              <w:rPr>
                <w:sz w:val="16"/>
              </w:rPr>
              <w:t>H-3</w:t>
            </w:r>
          </w:p>
        </w:tc>
        <w:tc>
          <w:tcPr>
            <w:tcW w:type="dxa" w:w="1152"/>
            <w:shd w:val="clear" w:color="auto" w:fill="FCE5CD"/>
          </w:tcPr>
          <w:p>
            <w:r>
              <w:rPr>
                <w:sz w:val="16"/>
              </w:rPr>
            </w:r>
            <w:r>
              <w:rPr>
                <w:sz w:val="16"/>
              </w:rPr>
              <w:t>HIGH</w:t>
            </w:r>
          </w:p>
        </w:tc>
        <w:tc>
          <w:tcPr>
            <w:tcW w:type="dxa" w:w="3672"/>
          </w:tcPr>
          <w:p>
            <w:r>
              <w:rPr>
                <w:sz w:val="16"/>
              </w:rPr>
            </w:r>
            <w:r>
              <w:rPr>
                <w:sz w:val="16"/>
              </w:rPr>
              <w:t>No business associate (Pinnacle) notification line item; BAA § 4.3 compliance not tracked</w:t>
            </w:r>
          </w:p>
        </w:tc>
        <w:tc>
          <w:tcPr>
            <w:tcW w:type="dxa" w:w="1728"/>
          </w:tcPr>
          <w:p>
            <w:r>
              <w:rPr>
                <w:sz w:val="16"/>
              </w:rPr>
            </w:r>
            <w:r>
              <w:rPr>
                <w:sz w:val="16"/>
              </w:rPr>
              <w:t>None</w:t>
            </w:r>
          </w:p>
        </w:tc>
        <w:tc>
          <w:tcPr>
            <w:tcW w:type="dxa" w:w="2160"/>
          </w:tcPr>
          <w:p>
            <w:r>
              <w:rPr>
                <w:sz w:val="16"/>
              </w:rPr>
            </w:r>
            <w:r>
              <w:rPr>
                <w:sz w:val="16"/>
              </w:rPr>
              <w:t>Pinnacle § 4.3 notice due by Apr 10 at the latest; send demand now</w:t>
            </w:r>
          </w:p>
        </w:tc>
      </w:tr>
      <w:tr>
        <w:tc>
          <w:tcPr>
            <w:tcW w:type="dxa" w:w="648"/>
          </w:tcPr>
          <w:p>
            <w:r>
              <w:rPr>
                <w:sz w:val="16"/>
              </w:rPr>
            </w:r>
            <w:r>
              <w:rPr>
                <w:sz w:val="16"/>
              </w:rPr>
              <w:t>H-4</w:t>
            </w:r>
          </w:p>
        </w:tc>
        <w:tc>
          <w:tcPr>
            <w:tcW w:type="dxa" w:w="1152"/>
            <w:shd w:val="clear" w:color="auto" w:fill="FCE5CD"/>
          </w:tcPr>
          <w:p>
            <w:r>
              <w:rPr>
                <w:sz w:val="16"/>
              </w:rPr>
            </w:r>
            <w:r>
              <w:rPr>
                <w:sz w:val="16"/>
              </w:rPr>
              <w:t>HIGH</w:t>
            </w:r>
          </w:p>
        </w:tc>
        <w:tc>
          <w:tcPr>
            <w:tcW w:type="dxa" w:w="3672"/>
          </w:tcPr>
          <w:p>
            <w:r>
              <w:rPr>
                <w:sz w:val="16"/>
              </w:rPr>
            </w:r>
            <w:r>
              <w:rPr>
                <w:sz w:val="16"/>
              </w:rPr>
              <w:t>California CMIA / CDPH obligation omitted</w:t>
            </w:r>
          </w:p>
        </w:tc>
        <w:tc>
          <w:tcPr>
            <w:tcW w:type="dxa" w:w="1728"/>
          </w:tcPr>
          <w:p>
            <w:r>
              <w:rPr>
                <w:sz w:val="16"/>
              </w:rPr>
            </w:r>
            <w:r>
              <w:rPr>
                <w:sz w:val="16"/>
              </w:rPr>
              <w:t>None</w:t>
            </w:r>
          </w:p>
        </w:tc>
        <w:tc>
          <w:tcPr>
            <w:tcW w:type="dxa" w:w="2160"/>
          </w:tcPr>
          <w:p>
            <w:r>
              <w:rPr>
                <w:sz w:val="16"/>
              </w:rPr>
            </w:r>
            <w:r>
              <w:rPr>
                <w:sz w:val="16"/>
              </w:rPr>
              <w:t>Assess now; Apr 23 if H&amp;S Code § 1280.15 applies</w:t>
            </w:r>
          </w:p>
        </w:tc>
      </w:tr>
      <w:tr>
        <w:tc>
          <w:tcPr>
            <w:tcW w:type="dxa" w:w="648"/>
          </w:tcPr>
          <w:p>
            <w:r>
              <w:rPr>
                <w:sz w:val="16"/>
              </w:rPr>
            </w:r>
            <w:r>
              <w:rPr>
                <w:sz w:val="16"/>
              </w:rPr>
              <w:t>H-5</w:t>
            </w:r>
          </w:p>
        </w:tc>
        <w:tc>
          <w:tcPr>
            <w:tcW w:type="dxa" w:w="1152"/>
            <w:shd w:val="clear" w:color="auto" w:fill="FCE5CD"/>
          </w:tcPr>
          <w:p>
            <w:r>
              <w:rPr>
                <w:sz w:val="16"/>
              </w:rPr>
            </w:r>
            <w:r>
              <w:rPr>
                <w:sz w:val="16"/>
              </w:rPr>
              <w:t>HIGH</w:t>
            </w:r>
          </w:p>
        </w:tc>
        <w:tc>
          <w:tcPr>
            <w:tcW w:type="dxa" w:w="3672"/>
          </w:tcPr>
          <w:p>
            <w:r>
              <w:rPr>
                <w:sz w:val="16"/>
              </w:rPr>
            </w:r>
            <w:r>
              <w:rPr>
                <w:sz w:val="16"/>
              </w:rPr>
              <w:t>Consumer reporting agency notices not scheduled (TX, NY, FL, PA, OH, NJ, CO)</w:t>
            </w:r>
          </w:p>
        </w:tc>
        <w:tc>
          <w:tcPr>
            <w:tcW w:type="dxa" w:w="1728"/>
          </w:tcPr>
          <w:p>
            <w:r>
              <w:rPr>
                <w:sz w:val="16"/>
              </w:rPr>
            </w:r>
            <w:r>
              <w:rPr>
                <w:sz w:val="16"/>
              </w:rPr>
              <w:t>None</w:t>
            </w:r>
          </w:p>
        </w:tc>
        <w:tc>
          <w:tcPr>
            <w:tcW w:type="dxa" w:w="2160"/>
          </w:tcPr>
          <w:p>
            <w:r>
              <w:rPr>
                <w:sz w:val="16"/>
              </w:rPr>
            </w:r>
            <w:r>
              <w:rPr>
                <w:sz w:val="16"/>
              </w:rPr>
              <w:t>With the individual mailings</w:t>
            </w:r>
          </w:p>
        </w:tc>
      </w:tr>
      <w:tr>
        <w:tc>
          <w:tcPr>
            <w:tcW w:type="dxa" w:w="648"/>
          </w:tcPr>
          <w:p>
            <w:r>
              <w:rPr>
                <w:sz w:val="16"/>
              </w:rPr>
            </w:r>
            <w:r>
              <w:rPr>
                <w:sz w:val="16"/>
              </w:rPr>
              <w:t>H-6</w:t>
            </w:r>
          </w:p>
        </w:tc>
        <w:tc>
          <w:tcPr>
            <w:tcW w:type="dxa" w:w="1152"/>
            <w:shd w:val="clear" w:color="auto" w:fill="FCE5CD"/>
          </w:tcPr>
          <w:p>
            <w:r>
              <w:rPr>
                <w:sz w:val="16"/>
              </w:rPr>
            </w:r>
            <w:r>
              <w:rPr>
                <w:sz w:val="16"/>
              </w:rPr>
              <w:t>HIGH</w:t>
            </w:r>
          </w:p>
        </w:tc>
        <w:tc>
          <w:tcPr>
            <w:tcW w:type="dxa" w:w="3672"/>
          </w:tcPr>
          <w:p>
            <w:r>
              <w:rPr>
                <w:sz w:val="16"/>
              </w:rPr>
            </w:r>
            <w:r>
              <w:rPr>
                <w:sz w:val="16"/>
              </w:rPr>
              <w:t>NY and IL AG notices tied to the HHS filing (5 business days) not tracked</w:t>
            </w:r>
          </w:p>
        </w:tc>
        <w:tc>
          <w:tcPr>
            <w:tcW w:type="dxa" w:w="1728"/>
          </w:tcPr>
          <w:p>
            <w:r>
              <w:rPr>
                <w:sz w:val="16"/>
              </w:rPr>
            </w:r>
            <w:r>
              <w:rPr>
                <w:sz w:val="16"/>
              </w:rPr>
              <w:t>None</w:t>
            </w:r>
          </w:p>
        </w:tc>
        <w:tc>
          <w:tcPr>
            <w:tcW w:type="dxa" w:w="2160"/>
          </w:tcPr>
          <w:p>
            <w:r>
              <w:rPr>
                <w:sz w:val="16"/>
              </w:rPr>
            </w:r>
            <w:r>
              <w:rPr>
                <w:sz w:val="16"/>
              </w:rPr>
              <w:t>Within 5 business days of the HHS submission</w:t>
            </w:r>
          </w:p>
        </w:tc>
      </w:tr>
      <w:tr>
        <w:tc>
          <w:tcPr>
            <w:tcW w:type="dxa" w:w="648"/>
          </w:tcPr>
          <w:p>
            <w:r>
              <w:rPr>
                <w:sz w:val="16"/>
              </w:rPr>
            </w:r>
            <w:r>
              <w:rPr>
                <w:sz w:val="16"/>
              </w:rPr>
              <w:t>H-7</w:t>
            </w:r>
          </w:p>
        </w:tc>
        <w:tc>
          <w:tcPr>
            <w:tcW w:type="dxa" w:w="1152"/>
            <w:shd w:val="clear" w:color="auto" w:fill="FCE5CD"/>
          </w:tcPr>
          <w:p>
            <w:r>
              <w:rPr>
                <w:sz w:val="16"/>
              </w:rPr>
            </w:r>
            <w:r>
              <w:rPr>
                <w:sz w:val="16"/>
              </w:rPr>
              <w:t>HIGH</w:t>
            </w:r>
          </w:p>
        </w:tc>
        <w:tc>
          <w:tcPr>
            <w:tcW w:type="dxa" w:w="3672"/>
          </w:tcPr>
          <w:p>
            <w:r>
              <w:rPr>
                <w:sz w:val="16"/>
              </w:rPr>
            </w:r>
            <w:r>
              <w:rPr>
                <w:sz w:val="16"/>
              </w:rPr>
              <w:t>Ohio 45-day deadline calendared at 60 days</w:t>
            </w:r>
          </w:p>
        </w:tc>
        <w:tc>
          <w:tcPr>
            <w:tcW w:type="dxa" w:w="1728"/>
          </w:tcPr>
          <w:p>
            <w:r>
              <w:rPr>
                <w:sz w:val="16"/>
              </w:rPr>
            </w:r>
            <w:r>
              <w:rPr>
                <w:sz w:val="16"/>
              </w:rPr>
              <w:t>June 1</w:t>
            </w:r>
          </w:p>
        </w:tc>
        <w:tc>
          <w:tcPr>
            <w:tcW w:type="dxa" w:w="2160"/>
          </w:tcPr>
          <w:p>
            <w:r>
              <w:rPr>
                <w:sz w:val="16"/>
              </w:rPr>
            </w:r>
            <w:r>
              <w:rPr>
                <w:sz w:val="16"/>
              </w:rPr>
              <w:t>May 17 (Sat) — mail by May 16</w:t>
            </w:r>
          </w:p>
        </w:tc>
      </w:tr>
      <w:tr>
        <w:tc>
          <w:tcPr>
            <w:tcW w:type="dxa" w:w="648"/>
          </w:tcPr>
          <w:p>
            <w:r>
              <w:rPr>
                <w:sz w:val="16"/>
              </w:rPr>
            </w:r>
            <w:r>
              <w:rPr>
                <w:sz w:val="16"/>
              </w:rPr>
              <w:t>H-8</w:t>
            </w:r>
          </w:p>
        </w:tc>
        <w:tc>
          <w:tcPr>
            <w:tcW w:type="dxa" w:w="1152"/>
            <w:shd w:val="clear" w:color="auto" w:fill="FCE5CD"/>
          </w:tcPr>
          <w:p>
            <w:r>
              <w:rPr>
                <w:sz w:val="16"/>
              </w:rPr>
            </w:r>
            <w:r>
              <w:rPr>
                <w:sz w:val="16"/>
              </w:rPr>
              <w:t>HIGH</w:t>
            </w:r>
          </w:p>
        </w:tc>
        <w:tc>
          <w:tcPr>
            <w:tcW w:type="dxa" w:w="3672"/>
          </w:tcPr>
          <w:p>
            <w:r>
              <w:rPr>
                <w:sz w:val="16"/>
              </w:rPr>
            </w:r>
            <w:r>
              <w:rPr>
                <w:sz w:val="16"/>
              </w:rPr>
              <w:t>NY SHIELD Act mandatory content omitted</w:t>
            </w:r>
          </w:p>
        </w:tc>
        <w:tc>
          <w:tcPr>
            <w:tcW w:type="dxa" w:w="1728"/>
          </w:tcPr>
          <w:p>
            <w:r>
              <w:rPr>
                <w:sz w:val="16"/>
              </w:rPr>
            </w:r>
            <w:r>
              <w:rPr>
                <w:sz w:val="16"/>
              </w:rPr>
              <w:t>Generic checklist</w:t>
            </w:r>
          </w:p>
        </w:tc>
        <w:tc>
          <w:tcPr>
            <w:tcW w:type="dxa" w:w="2160"/>
          </w:tcPr>
          <w:p>
            <w:r>
              <w:rPr>
                <w:sz w:val="16"/>
              </w:rPr>
            </w:r>
            <w:r>
              <w:rPr>
                <w:sz w:val="16"/>
              </w:rPr>
              <w:t>Add NY AG and CRA contact details</w:t>
            </w:r>
          </w:p>
        </w:tc>
      </w:tr>
      <w:tr>
        <w:tc>
          <w:tcPr>
            <w:tcW w:type="dxa" w:w="648"/>
          </w:tcPr>
          <w:p>
            <w:r>
              <w:rPr>
                <w:sz w:val="16"/>
              </w:rPr>
            </w:r>
            <w:r>
              <w:rPr>
                <w:sz w:val="16"/>
              </w:rPr>
              <w:t>H-9</w:t>
            </w:r>
          </w:p>
        </w:tc>
        <w:tc>
          <w:tcPr>
            <w:tcW w:type="dxa" w:w="1152"/>
            <w:shd w:val="clear" w:color="auto" w:fill="FCE5CD"/>
          </w:tcPr>
          <w:p>
            <w:r>
              <w:rPr>
                <w:sz w:val="16"/>
              </w:rPr>
            </w:r>
            <w:r>
              <w:rPr>
                <w:sz w:val="16"/>
              </w:rPr>
              <w:t>HIGH</w:t>
            </w:r>
          </w:p>
        </w:tc>
        <w:tc>
          <w:tcPr>
            <w:tcW w:type="dxa" w:w="3672"/>
          </w:tcPr>
          <w:p>
            <w:r>
              <w:rPr>
                <w:sz w:val="16"/>
              </w:rPr>
            </w:r>
            <w:r>
              <w:rPr>
                <w:sz w:val="16"/>
              </w:rPr>
              <w:t>AP notification lacks BSN-specific content</w:t>
            </w:r>
          </w:p>
        </w:tc>
        <w:tc>
          <w:tcPr>
            <w:tcW w:type="dxa" w:w="1728"/>
          </w:tcPr>
          <w:p>
            <w:r>
              <w:rPr>
                <w:sz w:val="16"/>
              </w:rPr>
            </w:r>
            <w:r>
              <w:rPr>
                <w:sz w:val="16"/>
              </w:rPr>
              <w:t>Generic Art. 33 checklist</w:t>
            </w:r>
          </w:p>
        </w:tc>
        <w:tc>
          <w:tcPr>
            <w:tcW w:type="dxa" w:w="2160"/>
          </w:tcPr>
          <w:p>
            <w:r>
              <w:rPr>
                <w:sz w:val="16"/>
              </w:rPr>
            </w:r>
            <w:r>
              <w:rPr>
                <w:sz w:val="16"/>
              </w:rPr>
              <w:t>Add BSN risk and mitigation section</w:t>
            </w:r>
          </w:p>
        </w:tc>
      </w:tr>
      <w:tr>
        <w:tc>
          <w:tcPr>
            <w:tcW w:type="dxa" w:w="648"/>
          </w:tcPr>
          <w:p>
            <w:r>
              <w:rPr>
                <w:sz w:val="16"/>
              </w:rPr>
            </w:r>
            <w:r>
              <w:rPr>
                <w:sz w:val="16"/>
              </w:rPr>
              <w:t>H-10</w:t>
            </w:r>
          </w:p>
        </w:tc>
        <w:tc>
          <w:tcPr>
            <w:tcW w:type="dxa" w:w="1152"/>
            <w:shd w:val="clear" w:color="auto" w:fill="FCE5CD"/>
          </w:tcPr>
          <w:p>
            <w:r>
              <w:rPr>
                <w:sz w:val="16"/>
              </w:rPr>
            </w:r>
            <w:r>
              <w:rPr>
                <w:sz w:val="16"/>
              </w:rPr>
              <w:t>HIGH</w:t>
            </w:r>
          </w:p>
        </w:tc>
        <w:tc>
          <w:tcPr>
            <w:tcW w:type="dxa" w:w="3672"/>
          </w:tcPr>
          <w:p>
            <w:r>
              <w:rPr>
                <w:sz w:val="16"/>
              </w:rPr>
            </w:r>
            <w:r>
              <w:rPr>
                <w:sz w:val="16"/>
              </w:rPr>
              <w:t>"Standard notice content" used for IL, PA, OH, GA, NJ, MA, CO, TX; state-mandated elements missing</w:t>
            </w:r>
          </w:p>
        </w:tc>
        <w:tc>
          <w:tcPr>
            <w:tcW w:type="dxa" w:w="1728"/>
          </w:tcPr>
          <w:p>
            <w:r>
              <w:rPr>
                <w:sz w:val="16"/>
              </w:rPr>
            </w:r>
            <w:r>
              <w:rPr>
                <w:sz w:val="16"/>
              </w:rPr>
              <w:t>Generic checklist</w:t>
            </w:r>
          </w:p>
        </w:tc>
        <w:tc>
          <w:tcPr>
            <w:tcW w:type="dxa" w:w="2160"/>
          </w:tcPr>
          <w:p>
            <w:r>
              <w:rPr>
                <w:sz w:val="16"/>
              </w:rPr>
            </w:r>
            <w:r>
              <w:rPr>
                <w:sz w:val="16"/>
              </w:rPr>
              <w:t>State-specific templates/inserts</w:t>
            </w:r>
          </w:p>
        </w:tc>
      </w:tr>
      <w:tr>
        <w:tc>
          <w:tcPr>
            <w:tcW w:type="dxa" w:w="648"/>
          </w:tcPr>
          <w:p>
            <w:r>
              <w:rPr>
                <w:sz w:val="16"/>
              </w:rPr>
            </w:r>
            <w:r>
              <w:rPr>
                <w:sz w:val="16"/>
              </w:rPr>
              <w:t>M-1</w:t>
            </w:r>
          </w:p>
        </w:tc>
        <w:tc>
          <w:tcPr>
            <w:tcW w:type="dxa" w:w="1152"/>
            <w:shd w:val="clear" w:color="auto" w:fill="FFF2CC"/>
          </w:tcPr>
          <w:p>
            <w:r>
              <w:rPr>
                <w:sz w:val="16"/>
              </w:rPr>
            </w:r>
            <w:r>
              <w:rPr>
                <w:sz w:val="16"/>
              </w:rPr>
              <w:t>MEDIUM</w:t>
            </w:r>
          </w:p>
        </w:tc>
        <w:tc>
          <w:tcPr>
            <w:tcW w:type="dxa" w:w="3672"/>
          </w:tcPr>
          <w:p>
            <w:r>
              <w:rPr>
                <w:sz w:val="16"/>
              </w:rPr>
            </w:r>
            <w:r>
              <w:rPr>
                <w:sz w:val="16"/>
              </w:rPr>
              <w:t>NJ State Police notice shown as "prior to or concurrent"</w:t>
            </w:r>
          </w:p>
        </w:tc>
        <w:tc>
          <w:tcPr>
            <w:tcW w:type="dxa" w:w="1728"/>
          </w:tcPr>
          <w:p>
            <w:r>
              <w:rPr>
                <w:sz w:val="16"/>
              </w:rPr>
            </w:r>
            <w:r>
              <w:rPr>
                <w:sz w:val="16"/>
              </w:rPr>
              <w:t>June 1</w:t>
            </w:r>
          </w:p>
        </w:tc>
        <w:tc>
          <w:tcPr>
            <w:tcW w:type="dxa" w:w="2160"/>
          </w:tcPr>
          <w:p>
            <w:r>
              <w:rPr>
                <w:sz w:val="16"/>
              </w:rPr>
            </w:r>
            <w:r>
              <w:rPr>
                <w:sz w:val="16"/>
              </w:rPr>
              <w:t>Before NJ resident notices</w:t>
            </w:r>
          </w:p>
        </w:tc>
      </w:tr>
      <w:tr>
        <w:tc>
          <w:tcPr>
            <w:tcW w:type="dxa" w:w="648"/>
          </w:tcPr>
          <w:p>
            <w:r>
              <w:rPr>
                <w:sz w:val="16"/>
              </w:rPr>
            </w:r>
            <w:r>
              <w:rPr>
                <w:sz w:val="16"/>
              </w:rPr>
              <w:t>M-2</w:t>
            </w:r>
          </w:p>
        </w:tc>
        <w:tc>
          <w:tcPr>
            <w:tcW w:type="dxa" w:w="1152"/>
            <w:shd w:val="clear" w:color="auto" w:fill="FFF2CC"/>
          </w:tcPr>
          <w:p>
            <w:r>
              <w:rPr>
                <w:sz w:val="16"/>
              </w:rPr>
            </w:r>
            <w:r>
              <w:rPr>
                <w:sz w:val="16"/>
              </w:rPr>
              <w:t>MEDIUM</w:t>
            </w:r>
          </w:p>
        </w:tc>
        <w:tc>
          <w:tcPr>
            <w:tcW w:type="dxa" w:w="3672"/>
          </w:tcPr>
          <w:p>
            <w:r>
              <w:rPr>
                <w:sz w:val="16"/>
              </w:rPr>
            </w:r>
            <w:r>
              <w:rPr>
                <w:sz w:val="16"/>
              </w:rPr>
              <w:t>HIPAA individual notice content/method items incomplete (discovery date, toll-free line, substitute notice)</w:t>
            </w:r>
          </w:p>
        </w:tc>
        <w:tc>
          <w:tcPr>
            <w:tcW w:type="dxa" w:w="1728"/>
          </w:tcPr>
          <w:p>
            <w:r>
              <w:rPr>
                <w:sz w:val="16"/>
              </w:rPr>
            </w:r>
            <w:r>
              <w:rPr>
                <w:sz w:val="16"/>
              </w:rPr>
              <w:t>Partial</w:t>
            </w:r>
          </w:p>
        </w:tc>
        <w:tc>
          <w:tcPr>
            <w:tcW w:type="dxa" w:w="2160"/>
          </w:tcPr>
          <w:p>
            <w:r>
              <w:rPr>
                <w:sz w:val="16"/>
              </w:rPr>
            </w:r>
            <w:r>
              <w:rPr>
                <w:sz w:val="16"/>
              </w:rPr>
              <w:t>Fix in templates</w:t>
            </w:r>
          </w:p>
        </w:tc>
      </w:tr>
      <w:tr>
        <w:tc>
          <w:tcPr>
            <w:tcW w:type="dxa" w:w="648"/>
          </w:tcPr>
          <w:p>
            <w:r>
              <w:rPr>
                <w:sz w:val="16"/>
              </w:rPr>
            </w:r>
            <w:r>
              <w:rPr>
                <w:sz w:val="16"/>
              </w:rPr>
              <w:t>M-3</w:t>
            </w:r>
          </w:p>
        </w:tc>
        <w:tc>
          <w:tcPr>
            <w:tcW w:type="dxa" w:w="1152"/>
            <w:shd w:val="clear" w:color="auto" w:fill="FFF2CC"/>
          </w:tcPr>
          <w:p>
            <w:r>
              <w:rPr>
                <w:sz w:val="16"/>
              </w:rPr>
            </w:r>
            <w:r>
              <w:rPr>
                <w:sz w:val="16"/>
              </w:rPr>
              <w:t>MEDIUM</w:t>
            </w:r>
          </w:p>
        </w:tc>
        <w:tc>
          <w:tcPr>
            <w:tcW w:type="dxa" w:w="3672"/>
          </w:tcPr>
          <w:p>
            <w:r>
              <w:rPr>
                <w:sz w:val="16"/>
              </w:rPr>
            </w:r>
            <w:r>
              <w:rPr>
                <w:sz w:val="16"/>
              </w:rPr>
              <w:t>Credit monitoring population/cost inconsistent; NL and BR individuals not offered identity protection</w:t>
            </w:r>
          </w:p>
        </w:tc>
        <w:tc>
          <w:tcPr>
            <w:tcW w:type="dxa" w:w="1728"/>
          </w:tcPr>
          <w:p>
            <w:r>
              <w:rPr>
                <w:sz w:val="16"/>
              </w:rPr>
            </w:r>
            <w:r>
              <w:rPr>
                <w:sz w:val="16"/>
              </w:rPr>
              <w:t>US only</w:t>
            </w:r>
          </w:p>
        </w:tc>
        <w:tc>
          <w:tcPr>
            <w:tcW w:type="dxa" w:w="2160"/>
          </w:tcPr>
          <w:p>
            <w:r>
              <w:rPr>
                <w:sz w:val="16"/>
              </w:rPr>
            </w:r>
            <w:r>
              <w:rPr>
                <w:sz w:val="16"/>
              </w:rPr>
              <w:t>Align figures; offer NL/BR services</w:t>
            </w:r>
          </w:p>
        </w:tc>
      </w:tr>
      <w:tr>
        <w:tc>
          <w:tcPr>
            <w:tcW w:type="dxa" w:w="648"/>
          </w:tcPr>
          <w:p>
            <w:r>
              <w:rPr>
                <w:sz w:val="16"/>
              </w:rPr>
            </w:r>
            <w:r>
              <w:rPr>
                <w:sz w:val="16"/>
              </w:rPr>
              <w:t>M-4</w:t>
            </w:r>
          </w:p>
        </w:tc>
        <w:tc>
          <w:tcPr>
            <w:tcW w:type="dxa" w:w="1152"/>
            <w:shd w:val="clear" w:color="auto" w:fill="FFF2CC"/>
          </w:tcPr>
          <w:p>
            <w:r>
              <w:rPr>
                <w:sz w:val="16"/>
              </w:rPr>
            </w:r>
            <w:r>
              <w:rPr>
                <w:sz w:val="16"/>
              </w:rPr>
              <w:t>MEDIUM</w:t>
            </w:r>
          </w:p>
        </w:tc>
        <w:tc>
          <w:tcPr>
            <w:tcW w:type="dxa" w:w="3672"/>
          </w:tcPr>
          <w:p>
            <w:r>
              <w:rPr>
                <w:sz w:val="16"/>
              </w:rPr>
            </w:r>
            <w:r>
              <w:rPr>
                <w:sz w:val="16"/>
              </w:rPr>
              <w:t>Pinnacle’s role as GDPR processor / LGPD operator and the US-hosting transfer issue not addressed</w:t>
            </w:r>
          </w:p>
        </w:tc>
        <w:tc>
          <w:tcPr>
            <w:tcW w:type="dxa" w:w="1728"/>
          </w:tcPr>
          <w:p>
            <w:r>
              <w:rPr>
                <w:sz w:val="16"/>
              </w:rPr>
            </w:r>
            <w:r>
              <w:rPr>
                <w:sz w:val="16"/>
              </w:rPr>
              <w:t>None</w:t>
            </w:r>
          </w:p>
        </w:tc>
        <w:tc>
          <w:tcPr>
            <w:tcW w:type="dxa" w:w="2160"/>
          </w:tcPr>
          <w:p>
            <w:r>
              <w:rPr>
                <w:sz w:val="16"/>
              </w:rPr>
            </w:r>
            <w:r>
              <w:rPr>
                <w:sz w:val="16"/>
              </w:rPr>
              <w:t>Address in AP/ANPD filings; pull DPAs</w:t>
            </w:r>
          </w:p>
        </w:tc>
      </w:tr>
      <w:tr>
        <w:tc>
          <w:tcPr>
            <w:tcW w:type="dxa" w:w="648"/>
          </w:tcPr>
          <w:p>
            <w:r>
              <w:rPr>
                <w:sz w:val="16"/>
              </w:rPr>
            </w:r>
            <w:r>
              <w:rPr>
                <w:sz w:val="16"/>
              </w:rPr>
              <w:t>M-5</w:t>
            </w:r>
          </w:p>
        </w:tc>
        <w:tc>
          <w:tcPr>
            <w:tcW w:type="dxa" w:w="1152"/>
            <w:shd w:val="clear" w:color="auto" w:fill="FFF2CC"/>
          </w:tcPr>
          <w:p>
            <w:r>
              <w:rPr>
                <w:sz w:val="16"/>
              </w:rPr>
            </w:r>
            <w:r>
              <w:rPr>
                <w:sz w:val="16"/>
              </w:rPr>
              <w:t>MEDIUM</w:t>
            </w:r>
          </w:p>
        </w:tc>
        <w:tc>
          <w:tcPr>
            <w:tcW w:type="dxa" w:w="3672"/>
          </w:tcPr>
          <w:p>
            <w:r>
              <w:rPr>
                <w:sz w:val="16"/>
              </w:rPr>
            </w:r>
            <w:r>
              <w:rPr>
                <w:sz w:val="16"/>
              </w:rPr>
              <w:t>Privilege: FL row contemplates giving the forensic report to the regulator; Aldersgate retained by the Company, not counsel</w:t>
            </w:r>
          </w:p>
        </w:tc>
        <w:tc>
          <w:tcPr>
            <w:tcW w:type="dxa" w:w="1728"/>
          </w:tcPr>
          <w:p>
            <w:r>
              <w:rPr>
                <w:sz w:val="16"/>
              </w:rPr>
            </w:r>
            <w:r>
              <w:rPr>
                <w:sz w:val="16"/>
              </w:rPr>
              <w:t>—</w:t>
            </w:r>
          </w:p>
        </w:tc>
        <w:tc>
          <w:tcPr>
            <w:tcW w:type="dxa" w:w="2160"/>
          </w:tcPr>
          <w:p>
            <w:r>
              <w:rPr>
                <w:sz w:val="16"/>
              </w:rPr>
            </w:r>
            <w:r>
              <w:rPr>
                <w:sz w:val="16"/>
              </w:rPr>
              <w:t>Re-paper engagement; give only what is requested</w:t>
            </w:r>
          </w:p>
        </w:tc>
      </w:tr>
      <w:tr>
        <w:tc>
          <w:tcPr>
            <w:tcW w:type="dxa" w:w="648"/>
          </w:tcPr>
          <w:p>
            <w:r>
              <w:rPr>
                <w:sz w:val="16"/>
              </w:rPr>
            </w:r>
            <w:r>
              <w:rPr>
                <w:sz w:val="16"/>
              </w:rPr>
              <w:t>M-6</w:t>
            </w:r>
          </w:p>
        </w:tc>
        <w:tc>
          <w:tcPr>
            <w:tcW w:type="dxa" w:w="1152"/>
            <w:shd w:val="clear" w:color="auto" w:fill="FFF2CC"/>
          </w:tcPr>
          <w:p>
            <w:r>
              <w:rPr>
                <w:sz w:val="16"/>
              </w:rPr>
            </w:r>
            <w:r>
              <w:rPr>
                <w:sz w:val="16"/>
              </w:rPr>
              <w:t>MEDIUM</w:t>
            </w:r>
          </w:p>
        </w:tc>
        <w:tc>
          <w:tcPr>
            <w:tcW w:type="dxa" w:w="3672"/>
          </w:tcPr>
          <w:p>
            <w:r>
              <w:rPr>
                <w:sz w:val="16"/>
              </w:rPr>
            </w:r>
            <w:r>
              <w:rPr>
                <w:sz w:val="16"/>
              </w:rPr>
              <w:t>Pinnacle indemnity, insurance tender and Everwatch coordination not tracked</w:t>
            </w:r>
          </w:p>
        </w:tc>
        <w:tc>
          <w:tcPr>
            <w:tcW w:type="dxa" w:w="1728"/>
          </w:tcPr>
          <w:p>
            <w:r>
              <w:rPr>
                <w:sz w:val="16"/>
              </w:rPr>
            </w:r>
            <w:r>
              <w:rPr>
                <w:sz w:val="16"/>
              </w:rPr>
              <w:t>None</w:t>
            </w:r>
          </w:p>
        </w:tc>
        <w:tc>
          <w:tcPr>
            <w:tcW w:type="dxa" w:w="2160"/>
          </w:tcPr>
          <w:p>
            <w:r>
              <w:rPr>
                <w:sz w:val="16"/>
              </w:rPr>
            </w:r>
            <w:r>
              <w:rPr>
                <w:sz w:val="16"/>
              </w:rPr>
              <w:t>Tender now; reserve rights</w:t>
            </w:r>
          </w:p>
        </w:tc>
      </w:tr>
      <w:tr>
        <w:tc>
          <w:tcPr>
            <w:tcW w:type="dxa" w:w="648"/>
          </w:tcPr>
          <w:p>
            <w:r>
              <w:rPr>
                <w:sz w:val="16"/>
              </w:rPr>
            </w:r>
            <w:r>
              <w:rPr>
                <w:sz w:val="16"/>
              </w:rPr>
              <w:t>M-7</w:t>
            </w:r>
          </w:p>
        </w:tc>
        <w:tc>
          <w:tcPr>
            <w:tcW w:type="dxa" w:w="1152"/>
            <w:shd w:val="clear" w:color="auto" w:fill="FFF2CC"/>
          </w:tcPr>
          <w:p>
            <w:r>
              <w:rPr>
                <w:sz w:val="16"/>
              </w:rPr>
            </w:r>
            <w:r>
              <w:rPr>
                <w:sz w:val="16"/>
              </w:rPr>
              <w:t>MEDIUM</w:t>
            </w:r>
          </w:p>
        </w:tc>
        <w:tc>
          <w:tcPr>
            <w:tcW w:type="dxa" w:w="3672"/>
          </w:tcPr>
          <w:p>
            <w:r>
              <w:rPr>
                <w:sz w:val="16"/>
              </w:rPr>
            </w:r>
            <w:r>
              <w:rPr>
                <w:sz w:val="16"/>
              </w:rPr>
              <w:t>Time zone and status labeling errors (CET vs CEST; "deadline not yet passed")</w:t>
            </w:r>
          </w:p>
        </w:tc>
        <w:tc>
          <w:tcPr>
            <w:tcW w:type="dxa" w:w="1728"/>
          </w:tcPr>
          <w:p>
            <w:r>
              <w:rPr>
                <w:sz w:val="16"/>
              </w:rPr>
            </w:r>
            <w:r>
              <w:rPr>
                <w:sz w:val="16"/>
              </w:rPr>
              <w:t>—</w:t>
            </w:r>
          </w:p>
        </w:tc>
        <w:tc>
          <w:tcPr>
            <w:tcW w:type="dxa" w:w="2160"/>
          </w:tcPr>
          <w:p>
            <w:r>
              <w:rPr>
                <w:sz w:val="16"/>
              </w:rPr>
            </w:r>
            <w:r>
              <w:rPr>
                <w:sz w:val="16"/>
              </w:rPr>
              <w:t>Restate all deadlines in UTC + local time</w:t>
            </w:r>
          </w:p>
        </w:tc>
      </w:tr>
      <w:tr>
        <w:tc>
          <w:tcPr>
            <w:tcW w:type="dxa" w:w="648"/>
          </w:tcPr>
          <w:p>
            <w:r>
              <w:rPr>
                <w:sz w:val="16"/>
              </w:rPr>
            </w:r>
            <w:r>
              <w:rPr>
                <w:sz w:val="16"/>
              </w:rPr>
              <w:t>M-8</w:t>
            </w:r>
          </w:p>
        </w:tc>
        <w:tc>
          <w:tcPr>
            <w:tcW w:type="dxa" w:w="1152"/>
            <w:shd w:val="clear" w:color="auto" w:fill="FFF2CC"/>
          </w:tcPr>
          <w:p>
            <w:r>
              <w:rPr>
                <w:sz w:val="16"/>
              </w:rPr>
            </w:r>
            <w:r>
              <w:rPr>
                <w:sz w:val="16"/>
              </w:rPr>
              <w:t>MEDIUM</w:t>
            </w:r>
          </w:p>
        </w:tc>
        <w:tc>
          <w:tcPr>
            <w:tcW w:type="dxa" w:w="3672"/>
          </w:tcPr>
          <w:p>
            <w:r>
              <w:rPr>
                <w:sz w:val="16"/>
              </w:rPr>
            </w:r>
            <w:r>
              <w:rPr>
                <w:sz w:val="16"/>
              </w:rPr>
              <w:t>Execution plan does not work backward from May 2 (Board, Maplewood 48-hour lead, mail house, call center, FL extension window)</w:t>
            </w:r>
          </w:p>
        </w:tc>
        <w:tc>
          <w:tcPr>
            <w:tcW w:type="dxa" w:w="1728"/>
          </w:tcPr>
          <w:p>
            <w:r>
              <w:rPr>
                <w:sz w:val="16"/>
              </w:rPr>
            </w:r>
            <w:r>
              <w:rPr>
                <w:sz w:val="16"/>
              </w:rPr>
              <w:t>—</w:t>
            </w:r>
          </w:p>
        </w:tc>
        <w:tc>
          <w:tcPr>
            <w:tcW w:type="dxa" w:w="2160"/>
          </w:tcPr>
          <w:p>
            <w:r>
              <w:rPr>
                <w:sz w:val="16"/>
              </w:rPr>
            </w:r>
            <w:r>
              <w:rPr>
                <w:sz w:val="16"/>
              </w:rPr>
              <w:t>Adopt critical path in Section VII</w:t>
            </w:r>
          </w:p>
        </w:tc>
      </w:tr>
      <w:tr>
        <w:tc>
          <w:tcPr>
            <w:tcW w:type="dxa" w:w="648"/>
          </w:tcPr>
          <w:p>
            <w:r>
              <w:rPr>
                <w:sz w:val="16"/>
              </w:rPr>
            </w:r>
            <w:r>
              <w:rPr>
                <w:sz w:val="16"/>
              </w:rPr>
              <w:t>M-9</w:t>
            </w:r>
          </w:p>
        </w:tc>
        <w:tc>
          <w:tcPr>
            <w:tcW w:type="dxa" w:w="1152"/>
            <w:shd w:val="clear" w:color="auto" w:fill="FFF2CC"/>
          </w:tcPr>
          <w:p>
            <w:r>
              <w:rPr>
                <w:sz w:val="16"/>
              </w:rPr>
            </w:r>
            <w:r>
              <w:rPr>
                <w:sz w:val="16"/>
              </w:rPr>
              <w:t>MEDIUM</w:t>
            </w:r>
          </w:p>
        </w:tc>
        <w:tc>
          <w:tcPr>
            <w:tcW w:type="dxa" w:w="3672"/>
          </w:tcPr>
          <w:p>
            <w:r>
              <w:rPr>
                <w:sz w:val="16"/>
              </w:rPr>
            </w:r>
            <w:r>
              <w:rPr>
                <w:sz w:val="16"/>
              </w:rPr>
              <w:t>Internal inconsistencies within the Schedule (FL, CO rows; LGPD note; cost figures)</w:t>
            </w:r>
          </w:p>
        </w:tc>
        <w:tc>
          <w:tcPr>
            <w:tcW w:type="dxa" w:w="1728"/>
          </w:tcPr>
          <w:p>
            <w:r>
              <w:rPr>
                <w:sz w:val="16"/>
              </w:rPr>
            </w:r>
            <w:r>
              <w:rPr>
                <w:sz w:val="16"/>
              </w:rPr>
              <w:t>—</w:t>
            </w:r>
          </w:p>
        </w:tc>
        <w:tc>
          <w:tcPr>
            <w:tcW w:type="dxa" w:w="2160"/>
          </w:tcPr>
          <w:p>
            <w:r>
              <w:rPr>
                <w:sz w:val="16"/>
              </w:rPr>
            </w:r>
            <w:r>
              <w:rPr>
                <w:sz w:val="16"/>
              </w:rPr>
              <w:t>Correct and re-issue</w:t>
            </w:r>
          </w:p>
        </w:tc>
      </w:tr>
      <w:tr>
        <w:tc>
          <w:tcPr>
            <w:tcW w:type="dxa" w:w="648"/>
          </w:tcPr>
          <w:p>
            <w:r>
              <w:rPr>
                <w:sz w:val="16"/>
              </w:rPr>
            </w:r>
            <w:r>
              <w:rPr>
                <w:sz w:val="16"/>
              </w:rPr>
              <w:t>L-1</w:t>
            </w:r>
          </w:p>
        </w:tc>
        <w:tc>
          <w:tcPr>
            <w:tcW w:type="dxa" w:w="1152"/>
            <w:shd w:val="clear" w:color="auto" w:fill="D9EAD3"/>
          </w:tcPr>
          <w:p>
            <w:r>
              <w:rPr>
                <w:sz w:val="16"/>
              </w:rPr>
            </w:r>
            <w:r>
              <w:rPr>
                <w:sz w:val="16"/>
              </w:rPr>
              <w:t>LOW</w:t>
            </w:r>
          </w:p>
        </w:tc>
        <w:tc>
          <w:tcPr>
            <w:tcW w:type="dxa" w:w="3672"/>
          </w:tcPr>
          <w:p>
            <w:r>
              <w:rPr>
                <w:sz w:val="16"/>
              </w:rPr>
            </w:r>
            <w:r>
              <w:rPr>
                <w:sz w:val="16"/>
              </w:rPr>
              <w:t>Citation errors (media notice cited as § 164.408; CCPA § 1798.150 on a notice row)</w:t>
            </w:r>
          </w:p>
        </w:tc>
        <w:tc>
          <w:tcPr>
            <w:tcW w:type="dxa" w:w="1728"/>
          </w:tcPr>
          <w:p>
            <w:r>
              <w:rPr>
                <w:sz w:val="16"/>
              </w:rPr>
            </w:r>
            <w:r>
              <w:rPr>
                <w:sz w:val="16"/>
              </w:rPr>
              <w:t>—</w:t>
            </w:r>
          </w:p>
        </w:tc>
        <w:tc>
          <w:tcPr>
            <w:tcW w:type="dxa" w:w="2160"/>
          </w:tcPr>
          <w:p>
            <w:r>
              <w:rPr>
                <w:sz w:val="16"/>
              </w:rPr>
            </w:r>
            <w:r>
              <w:rPr>
                <w:sz w:val="16"/>
              </w:rPr>
              <w:t>Correct</w:t>
            </w:r>
          </w:p>
        </w:tc>
      </w:tr>
      <w:tr>
        <w:tc>
          <w:tcPr>
            <w:tcW w:type="dxa" w:w="648"/>
          </w:tcPr>
          <w:p>
            <w:r>
              <w:rPr>
                <w:sz w:val="16"/>
              </w:rPr>
            </w:r>
            <w:r>
              <w:rPr>
                <w:sz w:val="16"/>
              </w:rPr>
              <w:t>L-2</w:t>
            </w:r>
          </w:p>
        </w:tc>
        <w:tc>
          <w:tcPr>
            <w:tcW w:type="dxa" w:w="1152"/>
            <w:shd w:val="clear" w:color="auto" w:fill="D9EAD3"/>
          </w:tcPr>
          <w:p>
            <w:r>
              <w:rPr>
                <w:sz w:val="16"/>
              </w:rPr>
            </w:r>
            <w:r>
              <w:rPr>
                <w:sz w:val="16"/>
              </w:rPr>
              <w:t>LOW</w:t>
            </w:r>
          </w:p>
        </w:tc>
        <w:tc>
          <w:tcPr>
            <w:tcW w:type="dxa" w:w="3672"/>
          </w:tcPr>
          <w:p>
            <w:r>
              <w:rPr>
                <w:sz w:val="16"/>
              </w:rPr>
            </w:r>
            <w:r>
              <w:rPr>
                <w:sz w:val="16"/>
              </w:rPr>
              <w:t>Mislabeling: Art. 30 vs Art. 33(5) breach register; encarregado "registration"; CPF classification</w:t>
            </w:r>
          </w:p>
        </w:tc>
        <w:tc>
          <w:tcPr>
            <w:tcW w:type="dxa" w:w="1728"/>
          </w:tcPr>
          <w:p>
            <w:r>
              <w:rPr>
                <w:sz w:val="16"/>
              </w:rPr>
            </w:r>
            <w:r>
              <w:rPr>
                <w:sz w:val="16"/>
              </w:rPr>
              <w:t>—</w:t>
            </w:r>
          </w:p>
        </w:tc>
        <w:tc>
          <w:tcPr>
            <w:tcW w:type="dxa" w:w="2160"/>
          </w:tcPr>
          <w:p>
            <w:r>
              <w:rPr>
                <w:sz w:val="16"/>
              </w:rPr>
            </w:r>
            <w:r>
              <w:rPr>
                <w:sz w:val="16"/>
              </w:rPr>
              <w:t>Correct</w:t>
            </w:r>
          </w:p>
        </w:tc>
      </w:tr>
      <w:tr>
        <w:tc>
          <w:tcPr>
            <w:tcW w:type="dxa" w:w="648"/>
          </w:tcPr>
          <w:p>
            <w:r>
              <w:rPr>
                <w:sz w:val="16"/>
              </w:rPr>
            </w:r>
            <w:r>
              <w:rPr>
                <w:sz w:val="16"/>
              </w:rPr>
              <w:t>L-3</w:t>
            </w:r>
          </w:p>
        </w:tc>
        <w:tc>
          <w:tcPr>
            <w:tcW w:type="dxa" w:w="1152"/>
            <w:shd w:val="clear" w:color="auto" w:fill="D9EAD3"/>
          </w:tcPr>
          <w:p>
            <w:r>
              <w:rPr>
                <w:sz w:val="16"/>
              </w:rPr>
            </w:r>
            <w:r>
              <w:rPr>
                <w:sz w:val="16"/>
              </w:rPr>
              <w:t>LOW</w:t>
            </w:r>
          </w:p>
        </w:tc>
        <w:tc>
          <w:tcPr>
            <w:tcW w:type="dxa" w:w="3672"/>
          </w:tcPr>
          <w:p>
            <w:r>
              <w:rPr>
                <w:sz w:val="16"/>
              </w:rPr>
            </w:r>
            <w:r>
              <w:rPr>
                <w:sz w:val="16"/>
              </w:rPr>
              <w:t>Nearly all items assigned to one owner; no back-up owners or sign-off fields</w:t>
            </w:r>
          </w:p>
        </w:tc>
        <w:tc>
          <w:tcPr>
            <w:tcW w:type="dxa" w:w="1728"/>
          </w:tcPr>
          <w:p>
            <w:r>
              <w:rPr>
                <w:sz w:val="16"/>
              </w:rPr>
            </w:r>
            <w:r>
              <w:rPr>
                <w:sz w:val="16"/>
              </w:rPr>
              <w:t>—</w:t>
            </w:r>
          </w:p>
        </w:tc>
        <w:tc>
          <w:tcPr>
            <w:tcW w:type="dxa" w:w="2160"/>
          </w:tcPr>
          <w:p>
            <w:r>
              <w:rPr>
                <w:sz w:val="16"/>
              </w:rPr>
            </w:r>
            <w:r>
              <w:rPr>
                <w:sz w:val="16"/>
              </w:rPr>
              <w:t>Assign RACI</w:t>
            </w:r>
          </w:p>
        </w:tc>
      </w:tr>
      <w:tr>
        <w:tc>
          <w:tcPr>
            <w:tcW w:type="dxa" w:w="648"/>
          </w:tcPr>
          <w:p>
            <w:r>
              <w:rPr>
                <w:sz w:val="16"/>
              </w:rPr>
            </w:r>
            <w:r>
              <w:rPr>
                <w:sz w:val="16"/>
              </w:rPr>
              <w:t>L-4</w:t>
            </w:r>
          </w:p>
        </w:tc>
        <w:tc>
          <w:tcPr>
            <w:tcW w:type="dxa" w:w="1152"/>
            <w:shd w:val="clear" w:color="auto" w:fill="D9EAD3"/>
          </w:tcPr>
          <w:p>
            <w:r>
              <w:rPr>
                <w:sz w:val="16"/>
              </w:rPr>
            </w:r>
            <w:r>
              <w:rPr>
                <w:sz w:val="16"/>
              </w:rPr>
              <w:t>LOW</w:t>
            </w:r>
          </w:p>
        </w:tc>
        <w:tc>
          <w:tcPr>
            <w:tcW w:type="dxa" w:w="3672"/>
          </w:tcPr>
          <w:p>
            <w:r>
              <w:rPr>
                <w:sz w:val="16"/>
              </w:rPr>
            </w:r>
            <w:r>
              <w:rPr>
                <w:sz w:val="16"/>
              </w:rPr>
              <w:t>Law enforcement reporting and the § 164.412 delay protocol not tracked</w:t>
            </w:r>
          </w:p>
        </w:tc>
        <w:tc>
          <w:tcPr>
            <w:tcW w:type="dxa" w:w="1728"/>
          </w:tcPr>
          <w:p>
            <w:r>
              <w:rPr>
                <w:sz w:val="16"/>
              </w:rPr>
            </w:r>
            <w:r>
              <w:rPr>
                <w:sz w:val="16"/>
              </w:rPr>
              <w:t>None</w:t>
            </w:r>
          </w:p>
        </w:tc>
        <w:tc>
          <w:tcPr>
            <w:tcW w:type="dxa" w:w="2160"/>
          </w:tcPr>
          <w:p>
            <w:r>
              <w:rPr>
                <w:sz w:val="16"/>
              </w:rPr>
            </w:r>
            <w:r>
              <w:rPr>
                <w:sz w:val="16"/>
              </w:rPr>
              <w:t>Add line item</w:t>
            </w:r>
          </w:p>
        </w:tc>
      </w:tr>
      <w:tr>
        <w:tc>
          <w:tcPr>
            <w:tcW w:type="dxa" w:w="648"/>
          </w:tcPr>
          <w:p>
            <w:r>
              <w:rPr>
                <w:sz w:val="16"/>
              </w:rPr>
            </w:r>
            <w:r>
              <w:rPr>
                <w:sz w:val="16"/>
              </w:rPr>
              <w:t>L-5</w:t>
            </w:r>
          </w:p>
        </w:tc>
        <w:tc>
          <w:tcPr>
            <w:tcW w:type="dxa" w:w="1152"/>
            <w:shd w:val="clear" w:color="auto" w:fill="D9EAD3"/>
          </w:tcPr>
          <w:p>
            <w:r>
              <w:rPr>
                <w:sz w:val="16"/>
              </w:rPr>
            </w:r>
            <w:r>
              <w:rPr>
                <w:sz w:val="16"/>
              </w:rPr>
              <w:t>LOW</w:t>
            </w:r>
          </w:p>
        </w:tc>
        <w:tc>
          <w:tcPr>
            <w:tcW w:type="dxa" w:w="3672"/>
          </w:tcPr>
          <w:p>
            <w:r>
              <w:rPr>
                <w:sz w:val="16"/>
              </w:rPr>
            </w:r>
            <w:r>
              <w:rPr>
                <w:sz w:val="16"/>
              </w:rPr>
              <w:t>GDPR fine exposure overstated in the transmittal; insurer conditions not tracked</w:t>
            </w:r>
          </w:p>
        </w:tc>
        <w:tc>
          <w:tcPr>
            <w:tcW w:type="dxa" w:w="1728"/>
          </w:tcPr>
          <w:p>
            <w:r>
              <w:rPr>
                <w:sz w:val="16"/>
              </w:rPr>
            </w:r>
            <w:r>
              <w:rPr>
                <w:sz w:val="16"/>
              </w:rPr>
              <w:t>—</w:t>
            </w:r>
          </w:p>
        </w:tc>
        <w:tc>
          <w:tcPr>
            <w:tcW w:type="dxa" w:w="2160"/>
          </w:tcPr>
          <w:p>
            <w:r>
              <w:rPr>
                <w:sz w:val="16"/>
              </w:rPr>
            </w:r>
            <w:r>
              <w:rPr>
                <w:sz w:val="16"/>
              </w:rPr>
              <w:t>Correct Board materials</w:t>
            </w:r>
          </w:p>
        </w:tc>
      </w:tr>
    </w:tbl>
    <w:p/>
    <w:p>
      <w:pPr>
        <w:pStyle w:val="Heading2"/>
      </w:pPr>
      <w:r>
        <w:t>A. CRITICAL Findings</w:t>
      </w:r>
    </w:p>
    <w:p>
      <w:pPr>
        <w:pStyle w:val="Heading3"/>
      </w:pPr>
      <w:r>
        <w:t>C-1  Deadlines anchored to the forensic confirmation date (April 5) rather than discovery (April 2)</w:t>
      </w:r>
    </w:p>
    <w:tbl>
      <w:tblPr>
        <w:tblStyle w:val="TableGrid"/>
        <w:tblW w:type="auto" w:w="0"/>
        <w:tblLook w:firstColumn="1" w:firstRow="1" w:lastColumn="0" w:lastRow="0" w:noHBand="0" w:noVBand="1" w:val="04A0"/>
      </w:tblPr>
      <w:tblGrid>
        <w:gridCol w:w="4680"/>
        <w:gridCol w:w="4680"/>
      </w:tblGrid>
      <w:tr>
        <w:tc>
          <w:tcPr>
            <w:tcW w:type="dxa" w:w="2088"/>
            <w:shd w:val="clear" w:color="auto" w:fill="DCE6F1"/>
          </w:tcPr>
          <w:p>
            <w:r/>
            <w:r>
              <w:rPr>
                <w:b/>
                <w:sz w:val="18"/>
              </w:rPr>
              <w:t>Severity</w:t>
            </w:r>
          </w:p>
        </w:tc>
        <w:tc>
          <w:tcPr>
            <w:tcW w:type="dxa" w:w="7272"/>
            <w:shd w:val="clear" w:color="auto" w:fill="F4CCCC"/>
          </w:tcPr>
          <w:p>
            <w:r>
              <w:rPr>
                <w:sz w:val="18"/>
              </w:rPr>
            </w:r>
            <w:r>
              <w:rPr>
                <w:sz w:val="18"/>
              </w:rPr>
              <w:t>CRITICAL</w:t>
            </w:r>
          </w:p>
        </w:tc>
      </w:tr>
      <w:tr>
        <w:tc>
          <w:tcPr>
            <w:tcW w:type="dxa" w:w="2088"/>
            <w:shd w:val="clear" w:color="auto" w:fill="DCE6F1"/>
          </w:tcPr>
          <w:p>
            <w:r/>
            <w:r>
              <w:rPr>
                <w:b/>
                <w:sz w:val="18"/>
              </w:rPr>
              <w:t>Schedule reference</w:t>
            </w:r>
          </w:p>
        </w:tc>
        <w:tc>
          <w:tcPr>
            <w:tcW w:type="dxa" w:w="7272"/>
          </w:tcPr>
          <w:p>
            <w:r>
              <w:rPr>
                <w:sz w:val="18"/>
              </w:rPr>
            </w:r>
            <w:r>
              <w:rPr>
                <w:sz w:val="18"/>
              </w:rPr>
              <w:t>Summary rows HIPAA HHS/Individual/Media; US-01, US-02, US-05, US-08 (anchor "April 5, 2025"; deadline June 4); INT-01 ("awareness defined as date of forensic confirmation").</w:t>
            </w:r>
          </w:p>
        </w:tc>
      </w:tr>
      <w:tr>
        <w:tc>
          <w:tcPr>
            <w:tcW w:type="dxa" w:w="2088"/>
            <w:shd w:val="clear" w:color="auto" w:fill="DCE6F1"/>
          </w:tcPr>
          <w:p>
            <w:r/>
            <w:r>
              <w:rPr>
                <w:b/>
                <w:sz w:val="18"/>
              </w:rPr>
              <w:t>Requirement</w:t>
            </w:r>
          </w:p>
        </w:tc>
        <w:tc>
          <w:tcPr>
            <w:tcW w:type="dxa" w:w="7272"/>
          </w:tcPr>
          <w:p>
            <w:r>
              <w:rPr>
                <w:sz w:val="18"/>
              </w:rPr>
            </w:r>
            <w:r>
              <w:rPr>
                <w:sz w:val="18"/>
              </w:rPr>
              <w:t>HIPAA: 60 calendar days from discovery; a breach is discovered on the first day it is known, or by exercising reasonable diligence would have been known, to the covered entity (45 CFR §§ 164.404(a)(2), (b); 164.406(b); 164.408(b)). GDPR Art. 33(1): 72 hours from awareness, meaning a reasonable degree of certainty (WP250rev.01). LGPD: from the controller’s knowledge (Res. CD/ANPD 15/2024).</w:t>
            </w:r>
          </w:p>
          <w:p>
            <w:r>
              <w:rPr>
                <w:sz w:val="18"/>
              </w:rPr>
              <w:t>Guidance Memo § I ("not from the date of forensic confirmation"), § II, § III.B, § V.B and § VIII.B.1 ("the most common and most dangerous error").</w:t>
            </w:r>
          </w:p>
        </w:tc>
      </w:tr>
      <w:tr>
        <w:tc>
          <w:tcPr>
            <w:tcW w:type="dxa" w:w="2088"/>
            <w:shd w:val="clear" w:color="auto" w:fill="DCE6F1"/>
          </w:tcPr>
          <w:p>
            <w:r/>
            <w:r>
              <w:rPr>
                <w:b/>
                <w:sz w:val="18"/>
              </w:rPr>
              <w:t>Gap / analysis</w:t>
            </w:r>
          </w:p>
        </w:tc>
        <w:tc>
          <w:tcPr>
            <w:tcW w:type="dxa" w:w="7272"/>
          </w:tcPr>
          <w:p>
            <w:r>
              <w:rPr>
                <w:sz w:val="18"/>
              </w:rPr>
            </w:r>
            <w:r>
              <w:rPr>
                <w:sz w:val="18"/>
              </w:rPr>
              <w:t>The SOC had reasonable certainty on April 2 (Incident Summary Report § 3.2): it detected bulk exfiltration to an unknown IP, traced it to the Pinnacle account, revoked credentials, isolated the database and activated the IR Plan. BAA § 4.1 itself states that discovery "does not require forensic confirmation of data exfiltration." The Schedule is also internally inconsistent: it uses April 2 for the state rows and LGPD, but April 5 for HIPAA and GDPR.</w:t>
            </w:r>
          </w:p>
          <w:p>
            <w:r>
              <w:rPr>
                <w:sz w:val="18"/>
              </w:rPr>
              <w:t xml:space="preserve">Consequences: HIPAA individual, HHS and media deadlines move from June 4 to </w:t>
            </w:r>
            <w:r>
              <w:rPr>
                <w:b/>
                <w:sz w:val="18"/>
              </w:rPr>
              <w:t>June 1, 2025 (Sunday)</w:t>
            </w:r>
            <w:r>
              <w:rPr>
                <w:sz w:val="18"/>
              </w:rPr>
              <w:t xml:space="preserve">; the GDPR deadline moves from April 8 to </w:t>
            </w:r>
            <w:r>
              <w:rPr>
                <w:b/>
                <w:sz w:val="18"/>
              </w:rPr>
              <w:t>April 5</w:t>
            </w:r>
            <w:r>
              <w:rPr>
                <w:sz w:val="18"/>
              </w:rPr>
              <w:t xml:space="preserve"> (Finding C-2). The written record in the Incident Summary Report (§ 3.4: the team "determined that forensic confirmation was necessary before regulatory notification deadlines could be reliably triggered") is unhelpful and will be discoverable if privilege fails. Future documents should state the April 2 trigger.</w:t>
            </w:r>
          </w:p>
          <w:p>
            <w:r>
              <w:rPr>
                <w:sz w:val="18"/>
              </w:rPr>
              <w:t>Earlier-discovery risk: the 14-day undetected window (March 19 – April 2) and Pinnacle’s contractual monitoring role (BAA § 4.1; Exhibit A ¶ 3) create a risk that a regulator argues discovery should be imputed earlier, through reasonable diligence or through Pinnacle’s knowledge if Pinnacle is RCS’s agent under the federal common law of agency (see H-3). Planning to an April 2 trigger, and notifying well before June 1, reduces this risk.</w:t>
            </w:r>
          </w:p>
        </w:tc>
      </w:tr>
      <w:tr>
        <w:tc>
          <w:tcPr>
            <w:tcW w:type="dxa" w:w="2088"/>
            <w:shd w:val="clear" w:color="auto" w:fill="DCE6F1"/>
          </w:tcPr>
          <w:p>
            <w:r/>
            <w:r>
              <w:rPr>
                <w:b/>
                <w:sz w:val="18"/>
              </w:rPr>
              <w:t>Required corrective action</w:t>
            </w:r>
          </w:p>
        </w:tc>
        <w:tc>
          <w:tcPr>
            <w:tcW w:type="dxa" w:w="7272"/>
          </w:tcPr>
          <w:p>
            <w:r>
              <w:rPr>
                <w:sz w:val="18"/>
              </w:rPr>
            </w:r>
            <w:r>
              <w:rPr>
                <w:sz w:val="18"/>
              </w:rPr>
              <w:t xml:space="preserve">Re-anchor every HIPAA, GDPR and LGPD deadline to April 2, 2025, 3:17 PM CDT. Calendar HIPAA notices for no later than </w:t>
            </w:r>
            <w:r>
              <w:rPr>
                <w:b/>
                <w:sz w:val="18"/>
              </w:rPr>
              <w:t>Friday, May 30</w:t>
            </w:r>
            <w:r>
              <w:rPr>
                <w:sz w:val="18"/>
              </w:rPr>
              <w:t xml:space="preserve"> (June 1 is a Sunday and HIPAA does not extend for weekends). In practice, mail all U.S. notices together by </w:t>
            </w:r>
            <w:r>
              <w:rPr>
                <w:b/>
                <w:sz w:val="18"/>
              </w:rPr>
              <w:t>May 2</w:t>
            </w:r>
            <w:r>
              <w:rPr>
                <w:sz w:val="18"/>
              </w:rPr>
              <w:t xml:space="preserve"> to satisfy the 30-day states (C-5). Note that HIPAA requires notice "without unreasonable delay"; the 60 days is an outer limit, not a safe harbor. Document the April 2 determination in a counsel-directed memorandum to file.</w:t>
            </w:r>
          </w:p>
        </w:tc>
      </w:tr>
      <w:tr>
        <w:tc>
          <w:tcPr>
            <w:tcW w:type="dxa" w:w="2088"/>
            <w:shd w:val="clear" w:color="auto" w:fill="DCE6F1"/>
          </w:tcPr>
          <w:p>
            <w:r/>
            <w:r>
              <w:rPr>
                <w:b/>
                <w:sz w:val="18"/>
              </w:rPr>
              <w:t>Sources</w:t>
            </w:r>
          </w:p>
        </w:tc>
        <w:tc>
          <w:tcPr>
            <w:tcW w:type="dxa" w:w="7272"/>
          </w:tcPr>
          <w:p>
            <w:r>
              <w:rPr>
                <w:sz w:val="18"/>
              </w:rPr>
            </w:r>
            <w:r>
              <w:rPr>
                <w:sz w:val="18"/>
              </w:rPr>
              <w:t>Schedule; Incident Summary Report §§ 3.2, 3.4, 6.1, 10(4)–(5); BAA §§ 4.1, 4.3; Guidance Memo §§ I, II, III.B, V.B, VIII.B.1.</w:t>
            </w:r>
          </w:p>
        </w:tc>
      </w:tr>
    </w:tbl>
    <w:p/>
    <w:p>
      <w:pPr>
        <w:pStyle w:val="Heading3"/>
      </w:pPr>
      <w:r>
        <w:t>C-2  GDPR Art. 33 notification to the Autoriteit Persoonsgegevens is overdue</w:t>
      </w:r>
    </w:p>
    <w:tbl>
      <w:tblPr>
        <w:tblStyle w:val="TableGrid"/>
        <w:tblW w:type="auto" w:w="0"/>
        <w:tblLook w:firstColumn="1" w:firstRow="1" w:lastColumn="0" w:lastRow="0" w:noHBand="0" w:noVBand="1" w:val="04A0"/>
      </w:tblPr>
      <w:tblGrid>
        <w:gridCol w:w="4680"/>
        <w:gridCol w:w="4680"/>
      </w:tblGrid>
      <w:tr>
        <w:tc>
          <w:tcPr>
            <w:tcW w:type="dxa" w:w="2088"/>
            <w:shd w:val="clear" w:color="auto" w:fill="DCE6F1"/>
          </w:tcPr>
          <w:p>
            <w:r/>
            <w:r>
              <w:rPr>
                <w:b/>
                <w:sz w:val="18"/>
              </w:rPr>
              <w:t>Severity</w:t>
            </w:r>
          </w:p>
        </w:tc>
        <w:tc>
          <w:tcPr>
            <w:tcW w:type="dxa" w:w="7272"/>
            <w:shd w:val="clear" w:color="auto" w:fill="F4CCCC"/>
          </w:tcPr>
          <w:p>
            <w:r>
              <w:rPr>
                <w:sz w:val="18"/>
              </w:rPr>
            </w:r>
            <w:r>
              <w:rPr>
                <w:sz w:val="18"/>
              </w:rPr>
              <w:t>CRITICAL</w:t>
            </w:r>
          </w:p>
        </w:tc>
      </w:tr>
      <w:tr>
        <w:tc>
          <w:tcPr>
            <w:tcW w:type="dxa" w:w="2088"/>
            <w:shd w:val="clear" w:color="auto" w:fill="DCE6F1"/>
          </w:tcPr>
          <w:p>
            <w:r/>
            <w:r>
              <w:rPr>
                <w:b/>
                <w:sz w:val="18"/>
              </w:rPr>
              <w:t>Schedule reference</w:t>
            </w:r>
          </w:p>
        </w:tc>
        <w:tc>
          <w:tcPr>
            <w:tcW w:type="dxa" w:w="7272"/>
          </w:tcPr>
          <w:p>
            <w:r>
              <w:rPr>
                <w:sz w:val="18"/>
              </w:rPr>
            </w:r>
            <w:r>
              <w:rPr>
                <w:sz w:val="18"/>
              </w:rPr>
              <w:t>INT-01 (deadline "April 8, 2025 at 3:17 PM CET"; status "Pending — Deadline not yet passed per schedule"); Summary row GDPR Art. 33.</w:t>
            </w:r>
          </w:p>
        </w:tc>
      </w:tr>
      <w:tr>
        <w:tc>
          <w:tcPr>
            <w:tcW w:type="dxa" w:w="2088"/>
            <w:shd w:val="clear" w:color="auto" w:fill="DCE6F1"/>
          </w:tcPr>
          <w:p>
            <w:r/>
            <w:r>
              <w:rPr>
                <w:b/>
                <w:sz w:val="18"/>
              </w:rPr>
              <w:t>Requirement</w:t>
            </w:r>
          </w:p>
        </w:tc>
        <w:tc>
          <w:tcPr>
            <w:tcW w:type="dxa" w:w="7272"/>
          </w:tcPr>
          <w:p>
            <w:r>
              <w:rPr>
                <w:sz w:val="18"/>
              </w:rPr>
            </w:r>
            <w:r>
              <w:rPr>
                <w:sz w:val="18"/>
              </w:rPr>
              <w:t>GDPR Art. 33(1): notify the AP without undue delay and, where feasible, not later than 72 hours after becoming aware; a late notification "shall be accompanied by reasons for the delay." Art. 33(4) permits phased notification. Guidance Memo § V.B and § VIII.A ("Immediate — Within the First 72 Hours").</w:t>
            </w:r>
          </w:p>
        </w:tc>
      </w:tr>
      <w:tr>
        <w:tc>
          <w:tcPr>
            <w:tcW w:type="dxa" w:w="2088"/>
            <w:shd w:val="clear" w:color="auto" w:fill="DCE6F1"/>
          </w:tcPr>
          <w:p>
            <w:r/>
            <w:r>
              <w:rPr>
                <w:b/>
                <w:sz w:val="18"/>
              </w:rPr>
              <w:t>Gap / analysis</w:t>
            </w:r>
          </w:p>
        </w:tc>
        <w:tc>
          <w:tcPr>
            <w:tcW w:type="dxa" w:w="7272"/>
          </w:tcPr>
          <w:p>
            <w:r>
              <w:rPr>
                <w:sz w:val="18"/>
              </w:rPr>
            </w:r>
            <w:r>
              <w:rPr>
                <w:sz w:val="18"/>
              </w:rPr>
              <w:t xml:space="preserve">With awareness at April 2, 20:17 UTC, the 72-hour period ended </w:t>
            </w:r>
            <w:r>
              <w:rPr>
                <w:b/>
                <w:sz w:val="18"/>
              </w:rPr>
              <w:t>Saturday, April 5, 2025, 22:17 CEST (20:17 UTC)</w:t>
            </w:r>
            <w:r>
              <w:rPr>
                <w:sz w:val="18"/>
              </w:rPr>
              <w:t>. The period runs through weekends. The deadline has been missed by more than three days. The Schedule’s time stamp is also wrong on its own terms: the Netherlands was on CEST (UTC+2) from March 30, and "3:17 PM" is the CDT discovery time carried over without conversion.</w:t>
            </w:r>
          </w:p>
          <w:p>
            <w:r>
              <w:rPr>
                <w:sz w:val="18"/>
              </w:rPr>
              <w:t>Health data (Art. 9) and BSNs make the "unlikely to result in a risk" exception unavailable. Each further day of delay aggravates exposure (fines up to €20 million or 4% of worldwide group turnover, whichever is higher).</w:t>
            </w:r>
          </w:p>
        </w:tc>
      </w:tr>
      <w:tr>
        <w:tc>
          <w:tcPr>
            <w:tcW w:type="dxa" w:w="2088"/>
            <w:shd w:val="clear" w:color="auto" w:fill="DCE6F1"/>
          </w:tcPr>
          <w:p>
            <w:r/>
            <w:r>
              <w:rPr>
                <w:b/>
                <w:sz w:val="18"/>
              </w:rPr>
              <w:t>Required corrective action</w:t>
            </w:r>
          </w:p>
        </w:tc>
        <w:tc>
          <w:tcPr>
            <w:tcW w:type="dxa" w:w="7272"/>
          </w:tcPr>
          <w:p>
            <w:r>
              <w:rPr>
                <w:sz w:val="18"/>
              </w:rPr>
            </w:r>
            <w:r>
              <w:rPr>
                <w:sz w:val="18"/>
              </w:rPr>
              <w:t xml:space="preserve">File the Art. 33 notification through the AP Meldplicht Datalekken portal </w:t>
            </w:r>
            <w:r>
              <w:rPr>
                <w:b/>
                <w:sz w:val="18"/>
              </w:rPr>
              <w:t>today</w:t>
            </w:r>
            <w:r>
              <w:rPr>
                <w:sz w:val="18"/>
              </w:rPr>
              <w:t xml:space="preserve"> (Sandra Feliciano with Thornfield Amsterdam). Use phased notification under Art. 33(4) rather than waiting for complete information. Include a candid statement of reasons for the delay (the internal team mistakenly treated forensic confirmation as the awareness trigger; detection and containment were immediate). Include BSN-specific content (H-9), the Art. 34 decision (C-6), and Pinnacle’s processor role (M-4). If a filing was already made on April 8, supplement it with the reasons for delay and the BSN content. Record everything in the Art. 33(5) breach register.</w:t>
            </w:r>
          </w:p>
        </w:tc>
      </w:tr>
      <w:tr>
        <w:tc>
          <w:tcPr>
            <w:tcW w:type="dxa" w:w="2088"/>
            <w:shd w:val="clear" w:color="auto" w:fill="DCE6F1"/>
          </w:tcPr>
          <w:p>
            <w:r/>
            <w:r>
              <w:rPr>
                <w:b/>
                <w:sz w:val="18"/>
              </w:rPr>
              <w:t>Sources</w:t>
            </w:r>
          </w:p>
        </w:tc>
        <w:tc>
          <w:tcPr>
            <w:tcW w:type="dxa" w:w="7272"/>
          </w:tcPr>
          <w:p>
            <w:r>
              <w:rPr>
                <w:sz w:val="18"/>
              </w:rPr>
            </w:r>
            <w:r>
              <w:rPr>
                <w:sz w:val="18"/>
              </w:rPr>
              <w:t>INT-01; Incident Summary Report §§ 3.2, 6.2, 10(5), 11; Guidance Memo §§ V.B, VIII.A, VIII.B.1.</w:t>
            </w:r>
          </w:p>
        </w:tc>
      </w:tr>
    </w:tbl>
    <w:p/>
    <w:p>
      <w:pPr>
        <w:pStyle w:val="Heading3"/>
      </w:pPr>
      <w:r>
        <w:t>C-3  LGPD notification to the ANPD: wrong legal standard and an expired deadline</w:t>
      </w:r>
    </w:p>
    <w:tbl>
      <w:tblPr>
        <w:tblStyle w:val="TableGrid"/>
        <w:tblW w:type="auto" w:w="0"/>
        <w:tblLook w:firstColumn="1" w:firstRow="1" w:lastColumn="0" w:lastRow="0" w:noHBand="0" w:noVBand="1" w:val="04A0"/>
      </w:tblPr>
      <w:tblGrid>
        <w:gridCol w:w="4680"/>
        <w:gridCol w:w="4680"/>
      </w:tblGrid>
      <w:tr>
        <w:tc>
          <w:tcPr>
            <w:tcW w:type="dxa" w:w="2088"/>
            <w:shd w:val="clear" w:color="auto" w:fill="DCE6F1"/>
          </w:tcPr>
          <w:p>
            <w:r/>
            <w:r>
              <w:rPr>
                <w:b/>
                <w:sz w:val="18"/>
              </w:rPr>
              <w:t>Severity</w:t>
            </w:r>
          </w:p>
        </w:tc>
        <w:tc>
          <w:tcPr>
            <w:tcW w:type="dxa" w:w="7272"/>
            <w:shd w:val="clear" w:color="auto" w:fill="F4CCCC"/>
          </w:tcPr>
          <w:p>
            <w:r>
              <w:rPr>
                <w:sz w:val="18"/>
              </w:rPr>
            </w:r>
            <w:r>
              <w:rPr>
                <w:sz w:val="18"/>
              </w:rPr>
              <w:t>CRITICAL</w:t>
            </w:r>
          </w:p>
        </w:tc>
      </w:tr>
      <w:tr>
        <w:tc>
          <w:tcPr>
            <w:tcW w:type="dxa" w:w="2088"/>
            <w:shd w:val="clear" w:color="auto" w:fill="DCE6F1"/>
          </w:tcPr>
          <w:p>
            <w:r/>
            <w:r>
              <w:rPr>
                <w:b/>
                <w:sz w:val="18"/>
              </w:rPr>
              <w:t>Schedule reference</w:t>
            </w:r>
          </w:p>
        </w:tc>
        <w:tc>
          <w:tcPr>
            <w:tcW w:type="dxa" w:w="7272"/>
          </w:tcPr>
          <w:p>
            <w:r>
              <w:rPr>
                <w:sz w:val="18"/>
              </w:rPr>
            </w:r>
            <w:r>
              <w:rPr>
                <w:sz w:val="18"/>
              </w:rPr>
              <w:t>INT-03 (deadline "April 5, 2025 (Saturday)"; "72 hours from discovery"; note: "LGPD Art. 48 states ‘reasonable time’ — schedule applies 72-hour GDPR-style standard"); status "Pending — Deadline imminent."</w:t>
            </w:r>
          </w:p>
        </w:tc>
      </w:tr>
      <w:tr>
        <w:tc>
          <w:tcPr>
            <w:tcW w:type="dxa" w:w="2088"/>
            <w:shd w:val="clear" w:color="auto" w:fill="DCE6F1"/>
          </w:tcPr>
          <w:p>
            <w:r/>
            <w:r>
              <w:rPr>
                <w:b/>
                <w:sz w:val="18"/>
              </w:rPr>
              <w:t>Requirement</w:t>
            </w:r>
          </w:p>
        </w:tc>
        <w:tc>
          <w:tcPr>
            <w:tcW w:type="dxa" w:w="7272"/>
          </w:tcPr>
          <w:p>
            <w:r>
              <w:rPr>
                <w:sz w:val="18"/>
              </w:rPr>
            </w:r>
            <w:r>
              <w:rPr>
                <w:sz w:val="18"/>
              </w:rPr>
              <w:t xml:space="preserve">LGPD Art. 48 and Resolution CD/ANPD No. 15/2024: notify the ANPD within </w:t>
            </w:r>
            <w:r>
              <w:rPr>
                <w:b/>
                <w:sz w:val="18"/>
              </w:rPr>
              <w:t>3 business days</w:t>
            </w:r>
            <w:r>
              <w:rPr>
                <w:sz w:val="18"/>
              </w:rPr>
              <w:t xml:space="preserve"> (dias úteis) of the controller’s knowledge that the incident affected personal data, with the reasons for any delay (Art. 48 § 1, VI). Guidance Memo § VI.B ("The LGPD notification deadline is not 72 hours … must not conflate") and § VIII.A.</w:t>
            </w:r>
          </w:p>
        </w:tc>
      </w:tr>
      <w:tr>
        <w:tc>
          <w:tcPr>
            <w:tcW w:type="dxa" w:w="2088"/>
            <w:shd w:val="clear" w:color="auto" w:fill="DCE6F1"/>
          </w:tcPr>
          <w:p>
            <w:r/>
            <w:r>
              <w:rPr>
                <w:b/>
                <w:sz w:val="18"/>
              </w:rPr>
              <w:t>Gap / analysis</w:t>
            </w:r>
          </w:p>
        </w:tc>
        <w:tc>
          <w:tcPr>
            <w:tcW w:type="dxa" w:w="7272"/>
          </w:tcPr>
          <w:p>
            <w:r>
              <w:rPr>
                <w:sz w:val="18"/>
              </w:rPr>
            </w:r>
            <w:r>
              <w:rPr>
                <w:sz w:val="18"/>
              </w:rPr>
              <w:t xml:space="preserve">Knowledge arose on Wednesday, April 2. The business days are Thu April 3 (1), Fri April 4 (2) and Mon April 7 (3), with no Brazilian national holiday in that window (Good Friday falls on April 18 and Tiradentes on April 21). The deadline was </w:t>
            </w:r>
            <w:r>
              <w:rPr>
                <w:b/>
                <w:sz w:val="18"/>
              </w:rPr>
              <w:t>Monday, April 7, 2025</w:t>
            </w:r>
            <w:r>
              <w:rPr>
                <w:sz w:val="18"/>
              </w:rPr>
              <w:t>. The Schedule both applied the wrong standard (GDPR 72 hours) and used the wrong legal premise ("reasonable time"), even though the Guidance Memo explains the 2024 Resolution. As of April 8 the item was still "Pending," so the deadline appears to have been missed.</w:t>
            </w:r>
          </w:p>
          <w:p>
            <w:r>
              <w:rPr>
                <w:sz w:val="18"/>
              </w:rPr>
              <w:t>Ironically, the correct standard would have given the team two more days than the GDPR-style standard it applied.</w:t>
            </w:r>
          </w:p>
        </w:tc>
      </w:tr>
      <w:tr>
        <w:tc>
          <w:tcPr>
            <w:tcW w:type="dxa" w:w="2088"/>
            <w:shd w:val="clear" w:color="auto" w:fill="DCE6F1"/>
          </w:tcPr>
          <w:p>
            <w:r/>
            <w:r>
              <w:rPr>
                <w:b/>
                <w:sz w:val="18"/>
              </w:rPr>
              <w:t>Required corrective action</w:t>
            </w:r>
          </w:p>
        </w:tc>
        <w:tc>
          <w:tcPr>
            <w:tcW w:type="dxa" w:w="7272"/>
          </w:tcPr>
          <w:p>
            <w:r>
              <w:rPr>
                <w:sz w:val="18"/>
              </w:rPr>
            </w:r>
            <w:r>
              <w:rPr>
                <w:sz w:val="18"/>
              </w:rPr>
              <w:t xml:space="preserve">Carlos Eduardo Viana to file through the ANPD electronic portal </w:t>
            </w:r>
            <w:r>
              <w:rPr>
                <w:b/>
                <w:sz w:val="18"/>
              </w:rPr>
              <w:t>today</w:t>
            </w:r>
            <w:r>
              <w:rPr>
                <w:sz w:val="18"/>
              </w:rPr>
              <w:t>. Content must cover Art. 48 § 1 items I–VI plus the Res. 15/2024 elements (incident timeline of detection, containment and notification; estimated number of data subjects; controller and encarregado contact details), with an explicit statement of reasons for the delay. Information not yet available may be supplemented later (Res. 15/2024 allows complementary information within 20 business days; Brazilian counsel to confirm). Open and keep the incident record required by Res. 15/2024 (5-year retention).</w:t>
            </w:r>
          </w:p>
        </w:tc>
      </w:tr>
      <w:tr>
        <w:tc>
          <w:tcPr>
            <w:tcW w:type="dxa" w:w="2088"/>
            <w:shd w:val="clear" w:color="auto" w:fill="DCE6F1"/>
          </w:tcPr>
          <w:p>
            <w:r/>
            <w:r>
              <w:rPr>
                <w:b/>
                <w:sz w:val="18"/>
              </w:rPr>
              <w:t>Sources</w:t>
            </w:r>
          </w:p>
        </w:tc>
        <w:tc>
          <w:tcPr>
            <w:tcW w:type="dxa" w:w="7272"/>
          </w:tcPr>
          <w:p>
            <w:r>
              <w:rPr>
                <w:sz w:val="18"/>
              </w:rPr>
            </w:r>
            <w:r>
              <w:rPr>
                <w:sz w:val="18"/>
              </w:rPr>
              <w:t>INT-03; Incident Summary Report § 6.3; Guidance Memo §§ II, VI.B, VIII.A.</w:t>
            </w:r>
          </w:p>
        </w:tc>
      </w:tr>
    </w:tbl>
    <w:p/>
    <w:p>
      <w:pPr>
        <w:pStyle w:val="Heading3"/>
      </w:pPr>
      <w:r>
        <w:t>C-4  LGPD data subject communication is deferred to an ANPD order that is not a precondition</w:t>
      </w:r>
    </w:p>
    <w:tbl>
      <w:tblPr>
        <w:tblStyle w:val="TableGrid"/>
        <w:tblW w:type="auto" w:w="0"/>
        <w:tblLook w:firstColumn="1" w:firstRow="1" w:lastColumn="0" w:lastRow="0" w:noHBand="0" w:noVBand="1" w:val="04A0"/>
      </w:tblPr>
      <w:tblGrid>
        <w:gridCol w:w="4680"/>
        <w:gridCol w:w="4680"/>
      </w:tblGrid>
      <w:tr>
        <w:tc>
          <w:tcPr>
            <w:tcW w:type="dxa" w:w="2088"/>
            <w:shd w:val="clear" w:color="auto" w:fill="DCE6F1"/>
          </w:tcPr>
          <w:p>
            <w:r/>
            <w:r>
              <w:rPr>
                <w:b/>
                <w:sz w:val="18"/>
              </w:rPr>
              <w:t>Severity</w:t>
            </w:r>
          </w:p>
        </w:tc>
        <w:tc>
          <w:tcPr>
            <w:tcW w:type="dxa" w:w="7272"/>
            <w:shd w:val="clear" w:color="auto" w:fill="F4CCCC"/>
          </w:tcPr>
          <w:p>
            <w:r>
              <w:rPr>
                <w:sz w:val="18"/>
              </w:rPr>
            </w:r>
            <w:r>
              <w:rPr>
                <w:sz w:val="18"/>
              </w:rPr>
              <w:t>CRITICAL</w:t>
            </w:r>
          </w:p>
        </w:tc>
      </w:tr>
      <w:tr>
        <w:tc>
          <w:tcPr>
            <w:tcW w:type="dxa" w:w="2088"/>
            <w:shd w:val="clear" w:color="auto" w:fill="DCE6F1"/>
          </w:tcPr>
          <w:p>
            <w:r/>
            <w:r>
              <w:rPr>
                <w:b/>
                <w:sz w:val="18"/>
              </w:rPr>
              <w:t>Schedule reference</w:t>
            </w:r>
          </w:p>
        </w:tc>
        <w:tc>
          <w:tcPr>
            <w:tcW w:type="dxa" w:w="7272"/>
          </w:tcPr>
          <w:p>
            <w:r>
              <w:rPr>
                <w:sz w:val="18"/>
              </w:rPr>
            </w:r>
            <w:r>
              <w:rPr>
                <w:sz w:val="18"/>
              </w:rPr>
              <w:t>INT-04 ("To be determined — concurrent with or following ANPD notification"; "Pending — Awaiting ANPD guidance"); Summary row LGPD individual notification.</w:t>
            </w:r>
          </w:p>
        </w:tc>
      </w:tr>
      <w:tr>
        <w:tc>
          <w:tcPr>
            <w:tcW w:type="dxa" w:w="2088"/>
            <w:shd w:val="clear" w:color="auto" w:fill="DCE6F1"/>
          </w:tcPr>
          <w:p>
            <w:r/>
            <w:r>
              <w:rPr>
                <w:b/>
                <w:sz w:val="18"/>
              </w:rPr>
              <w:t>Requirement</w:t>
            </w:r>
          </w:p>
        </w:tc>
        <w:tc>
          <w:tcPr>
            <w:tcW w:type="dxa" w:w="7272"/>
          </w:tcPr>
          <w:p>
            <w:r>
              <w:rPr>
                <w:sz w:val="18"/>
              </w:rPr>
            </w:r>
            <w:r>
              <w:rPr>
                <w:sz w:val="18"/>
              </w:rPr>
              <w:t xml:space="preserve">LGPD Art. 48 requires communication to the data subject as well as to the ANPD whenever the incident may cause relevant risk or harm. Resolution CD/ANPD No. 15/2024 sets the same </w:t>
            </w:r>
            <w:r>
              <w:rPr>
                <w:b/>
                <w:sz w:val="18"/>
              </w:rPr>
              <w:t>3-business-day</w:t>
            </w:r>
            <w:r>
              <w:rPr>
                <w:sz w:val="18"/>
              </w:rPr>
              <w:t xml:space="preserve"> period for communicating with affected data subjects, in clear and simple language, directly and individually where possible, and requires the controller to confirm to the ANPD that the communication was made.</w:t>
            </w:r>
          </w:p>
          <w:p>
            <w:r>
              <w:rPr>
                <w:sz w:val="18"/>
              </w:rPr>
              <w:t>Note: the Guidance Memo (§ VI.C, § VIII.A) describes data subject timing as a "reasonable time … or as directed by the ANPD." That statement is incomplete and is corrected in Section VIII below; the Schedule followed it.</w:t>
            </w:r>
          </w:p>
        </w:tc>
      </w:tr>
      <w:tr>
        <w:tc>
          <w:tcPr>
            <w:tcW w:type="dxa" w:w="2088"/>
            <w:shd w:val="clear" w:color="auto" w:fill="DCE6F1"/>
          </w:tcPr>
          <w:p>
            <w:r/>
            <w:r>
              <w:rPr>
                <w:b/>
                <w:sz w:val="18"/>
              </w:rPr>
              <w:t>Gap / analysis</w:t>
            </w:r>
          </w:p>
        </w:tc>
        <w:tc>
          <w:tcPr>
            <w:tcW w:type="dxa" w:w="7272"/>
          </w:tcPr>
          <w:p>
            <w:r>
              <w:rPr>
                <w:sz w:val="18"/>
              </w:rPr>
            </w:r>
            <w:r>
              <w:rPr>
                <w:sz w:val="18"/>
              </w:rPr>
              <w:t>Health data plus CPF numbers for 9,400 people is plainly relevant risk (the Guidance Memo concedes notice is "highly likely to be required"). The ANPD’s power to order additional measures (Art. 48 § 2) is in addition to the controller’s own duty, not a condition for it. The communication was due April 7 and is overdue.</w:t>
            </w:r>
          </w:p>
        </w:tc>
      </w:tr>
      <w:tr>
        <w:tc>
          <w:tcPr>
            <w:tcW w:type="dxa" w:w="2088"/>
            <w:shd w:val="clear" w:color="auto" w:fill="DCE6F1"/>
          </w:tcPr>
          <w:p>
            <w:r/>
            <w:r>
              <w:rPr>
                <w:b/>
                <w:sz w:val="18"/>
              </w:rPr>
              <w:t>Required corrective action</w:t>
            </w:r>
          </w:p>
        </w:tc>
        <w:tc>
          <w:tcPr>
            <w:tcW w:type="dxa" w:w="7272"/>
          </w:tcPr>
          <w:p>
            <w:r>
              <w:rPr>
                <w:sz w:val="18"/>
              </w:rPr>
            </w:r>
            <w:r>
              <w:rPr>
                <w:sz w:val="18"/>
              </w:rPr>
              <w:t xml:space="preserve">Send Portuguese-language direct communications (email plus letter) to the 9,400 Brazilian data subjects as soon as the text is approved, targeting no later than </w:t>
            </w:r>
            <w:r>
              <w:rPr>
                <w:b/>
                <w:sz w:val="18"/>
              </w:rPr>
              <w:t>April 11</w:t>
            </w:r>
            <w:r>
              <w:rPr>
                <w:sz w:val="18"/>
              </w:rPr>
              <w:t>. Include the Res. 15/2024 content (nature of the data; risks; measures adopted; mitigation steps the individual can take; contact channels and the encarregado) and offer CPF/identity-protection services (M-3). Report completion to the ANPD as part of the notification file.</w:t>
            </w:r>
          </w:p>
        </w:tc>
      </w:tr>
      <w:tr>
        <w:tc>
          <w:tcPr>
            <w:tcW w:type="dxa" w:w="2088"/>
            <w:shd w:val="clear" w:color="auto" w:fill="DCE6F1"/>
          </w:tcPr>
          <w:p>
            <w:r/>
            <w:r>
              <w:rPr>
                <w:b/>
                <w:sz w:val="18"/>
              </w:rPr>
              <w:t>Sources</w:t>
            </w:r>
          </w:p>
        </w:tc>
        <w:tc>
          <w:tcPr>
            <w:tcW w:type="dxa" w:w="7272"/>
          </w:tcPr>
          <w:p>
            <w:r>
              <w:rPr>
                <w:sz w:val="18"/>
              </w:rPr>
            </w:r>
            <w:r>
              <w:rPr>
                <w:sz w:val="18"/>
              </w:rPr>
              <w:t>INT-04; Guidance Memo §§ VI.C, VIII.A.</w:t>
            </w:r>
          </w:p>
        </w:tc>
      </w:tr>
    </w:tbl>
    <w:p/>
    <w:p>
      <w:pPr>
        <w:pStyle w:val="Heading3"/>
      </w:pPr>
      <w:r>
        <w:t>C-5  30-day U.S. deadlines placed under a blanket 60-day timeline; Colorado AG obligation omitted</w:t>
      </w:r>
    </w:p>
    <w:tbl>
      <w:tblPr>
        <w:tblStyle w:val="TableGrid"/>
        <w:tblW w:type="auto" w:w="0"/>
        <w:tblLook w:firstColumn="1" w:firstRow="1" w:lastColumn="0" w:lastRow="0" w:noHBand="0" w:noVBand="1" w:val="04A0"/>
      </w:tblPr>
      <w:tblGrid>
        <w:gridCol w:w="4680"/>
        <w:gridCol w:w="4680"/>
      </w:tblGrid>
      <w:tr>
        <w:tc>
          <w:tcPr>
            <w:tcW w:type="dxa" w:w="2088"/>
            <w:shd w:val="clear" w:color="auto" w:fill="DCE6F1"/>
          </w:tcPr>
          <w:p>
            <w:r/>
            <w:r>
              <w:rPr>
                <w:b/>
                <w:sz w:val="18"/>
              </w:rPr>
              <w:t>Severity</w:t>
            </w:r>
          </w:p>
        </w:tc>
        <w:tc>
          <w:tcPr>
            <w:tcW w:type="dxa" w:w="7272"/>
            <w:shd w:val="clear" w:color="auto" w:fill="F4CCCC"/>
          </w:tcPr>
          <w:p>
            <w:r>
              <w:rPr>
                <w:sz w:val="18"/>
              </w:rPr>
            </w:r>
            <w:r>
              <w:rPr>
                <w:sz w:val="18"/>
              </w:rPr>
              <w:t>CRITICAL</w:t>
            </w:r>
          </w:p>
        </w:tc>
      </w:tr>
      <w:tr>
        <w:tc>
          <w:tcPr>
            <w:tcW w:type="dxa" w:w="2088"/>
            <w:shd w:val="clear" w:color="auto" w:fill="DCE6F1"/>
          </w:tcPr>
          <w:p>
            <w:r/>
            <w:r>
              <w:rPr>
                <w:b/>
                <w:sz w:val="18"/>
              </w:rPr>
              <w:t>Schedule reference</w:t>
            </w:r>
          </w:p>
        </w:tc>
        <w:tc>
          <w:tcPr>
            <w:tcW w:type="dxa" w:w="7272"/>
          </w:tcPr>
          <w:p>
            <w:r>
              <w:rPr>
                <w:sz w:val="18"/>
              </w:rPr>
            </w:r>
            <w:r>
              <w:rPr>
                <w:sz w:val="18"/>
              </w:rPr>
              <w:t>US-04 (TX AG — June 1, "Schedule uses 60-day period"); US-11 and US-12 (FL individual and Department of Legal Affairs — June 1, with notes conceding the 30-day rule); US-22 (CO — "grouped under 60-day blanket"; "No separate CO AG notification row"); US-09 (NY — June 1).</w:t>
            </w:r>
          </w:p>
        </w:tc>
      </w:tr>
      <w:tr>
        <w:tc>
          <w:tcPr>
            <w:tcW w:type="dxa" w:w="2088"/>
            <w:shd w:val="clear" w:color="auto" w:fill="DCE6F1"/>
          </w:tcPr>
          <w:p>
            <w:r/>
            <w:r>
              <w:rPr>
                <w:b/>
                <w:sz w:val="18"/>
              </w:rPr>
              <w:t>Requirement</w:t>
            </w:r>
          </w:p>
        </w:tc>
        <w:tc>
          <w:tcPr>
            <w:tcW w:type="dxa" w:w="7272"/>
          </w:tcPr>
          <w:p>
            <w:r>
              <w:rPr>
                <w:sz w:val="18"/>
              </w:rPr>
            </w:r>
            <w:r>
              <w:rPr>
                <w:sz w:val="18"/>
              </w:rPr>
              <w:t>Texas: AG notice no later than 30 days after determining the breach occurred, where 250 or more Texans are affected (Tex. Bus. &amp; Com. Code § 521.053, as amended effective Sept. 1, 2023), via the OAG electronic form. Florida: individuals within 30 days (Fla. Stat. § 501.171(4)(a)) and the Department of Legal Affairs within 30 days where 500 or more Floridians are affected (§ 501.171(3)). Colorado: individuals within 30 days and AG within 30 days where 500 or more Coloradans are affected (C.R.S. § 6-1-716(2)). Guidance Memo §§ IV.B, IV.E, IV.L, IV.M, VII.A, VIII.B.2.</w:t>
            </w:r>
          </w:p>
          <w:p>
            <w:r>
              <w:rPr>
                <w:sz w:val="18"/>
              </w:rPr>
              <w:t>New York: N.Y. Gen. Bus. Law § 899-aa was amended in December 2024 to impose a 30-day outer limit on notice to affected New York residents. This post-dates the Guidance Memo’s drafting and is not reflected in it (see Section VIII). Confirm before mailing; we recommend treating May 2 as binding.</w:t>
            </w:r>
          </w:p>
        </w:tc>
      </w:tr>
      <w:tr>
        <w:tc>
          <w:tcPr>
            <w:tcW w:type="dxa" w:w="2088"/>
            <w:shd w:val="clear" w:color="auto" w:fill="DCE6F1"/>
          </w:tcPr>
          <w:p>
            <w:r/>
            <w:r>
              <w:rPr>
                <w:b/>
                <w:sz w:val="18"/>
              </w:rPr>
              <w:t>Gap / analysis</w:t>
            </w:r>
          </w:p>
        </w:tc>
        <w:tc>
          <w:tcPr>
            <w:tcW w:type="dxa" w:w="7272"/>
          </w:tcPr>
          <w:p>
            <w:r>
              <w:rPr>
                <w:sz w:val="18"/>
              </w:rPr>
            </w:r>
            <w:r>
              <w:rPr>
                <w:sz w:val="18"/>
              </w:rPr>
              <w:t xml:space="preserve">All five obligations (six counting New York) fall due </w:t>
            </w:r>
            <w:r>
              <w:rPr>
                <w:b/>
                <w:sz w:val="18"/>
              </w:rPr>
              <w:t>Friday, May 2, 2025</w:t>
            </w:r>
            <w:r>
              <w:rPr>
                <w:sz w:val="18"/>
              </w:rPr>
              <w:t>: TX AG (87,400 Texans); FL individuals and DLA (28,900); CO individuals and AG (2,200); NY individuals (41,200). Missing these deadlines carries real penalty exposure. Florida, for example, imposes up to $1,000 per day for the first 30 days, then $50,000 per 30-day period, capped at $500,000. The Schedule’s own notes acknowledge the Florida and Colorado errors but leave the wrong dates in place.</w:t>
            </w:r>
          </w:p>
          <w:p>
            <w:r>
              <w:rPr>
                <w:sz w:val="18"/>
              </w:rPr>
              <w:t>Texas AG content (§ 521.053(i)): a detailed description of the nature and circumstances of the breach; the number of affected Texans; measures taken and planned; and whether law enforcement is engaged. The Schedule’s "same content as individual notice" is not sufficient. The Texas AG publishes submitted breach reports, which should be coordinated with Maplewood.</w:t>
            </w:r>
          </w:p>
          <w:p>
            <w:r>
              <w:rPr>
                <w:sz w:val="18"/>
              </w:rPr>
              <w:t>The "determination" language in the Texas, Florida and Colorado statutes supports an argument for April 5 (giving May 5). Do not rely on it (see Section IV.1). If more time is genuinely needed for Florida, a written 15-day extension request for good cause must be made to the Department of Legal Affairs within the 30-day period.</w:t>
            </w:r>
          </w:p>
        </w:tc>
      </w:tr>
      <w:tr>
        <w:tc>
          <w:tcPr>
            <w:tcW w:type="dxa" w:w="2088"/>
            <w:shd w:val="clear" w:color="auto" w:fill="DCE6F1"/>
          </w:tcPr>
          <w:p>
            <w:r/>
            <w:r>
              <w:rPr>
                <w:b/>
                <w:sz w:val="18"/>
              </w:rPr>
              <w:t>Required corrective action</w:t>
            </w:r>
          </w:p>
        </w:tc>
        <w:tc>
          <w:tcPr>
            <w:tcW w:type="dxa" w:w="7272"/>
          </w:tcPr>
          <w:p>
            <w:r>
              <w:rPr>
                <w:sz w:val="18"/>
              </w:rPr>
            </w:r>
            <w:r>
              <w:rPr>
                <w:sz w:val="18"/>
              </w:rPr>
              <w:t xml:space="preserve">Correct US-04, US-11, US-12, US-22 and US-09 to May 2. Add a new row for the </w:t>
            </w:r>
            <w:r>
              <w:rPr>
                <w:b/>
                <w:sz w:val="18"/>
              </w:rPr>
              <w:t>Colorado AG</w:t>
            </w:r>
            <w:r>
              <w:rPr>
                <w:sz w:val="18"/>
              </w:rPr>
              <w:t xml:space="preserve"> (May 2). Make May 2 the consolidated U.S. mail-drop target for all individual notices (see Section VII), which also satisfies Ohio, HIPAA and the "without unreasonable delay" states. Prepare the TX AG form, the FL DLA submission and the CO AG submission for filing by April 30.</w:t>
            </w:r>
          </w:p>
        </w:tc>
      </w:tr>
      <w:tr>
        <w:tc>
          <w:tcPr>
            <w:tcW w:type="dxa" w:w="2088"/>
            <w:shd w:val="clear" w:color="auto" w:fill="DCE6F1"/>
          </w:tcPr>
          <w:p>
            <w:r/>
            <w:r>
              <w:rPr>
                <w:b/>
                <w:sz w:val="18"/>
              </w:rPr>
              <w:t>Sources</w:t>
            </w:r>
          </w:p>
        </w:tc>
        <w:tc>
          <w:tcPr>
            <w:tcW w:type="dxa" w:w="7272"/>
          </w:tcPr>
          <w:p>
            <w:r>
              <w:rPr>
                <w:sz w:val="18"/>
              </w:rPr>
            </w:r>
            <w:r>
              <w:rPr>
                <w:sz w:val="18"/>
              </w:rPr>
              <w:t>Schedule rows cited; Guidance Memo §§ IV.B, IV.E, IV.L, IV.M, VII.A, VIII.A, VIII.B.2.</w:t>
            </w:r>
          </w:p>
        </w:tc>
      </w:tr>
    </w:tbl>
    <w:p/>
    <w:p>
      <w:pPr>
        <w:pStyle w:val="Heading3"/>
      </w:pPr>
      <w:r>
        <w:t>C-6  GDPR Art. 34 data subject notification wrongly closed on the encryption exception</w:t>
      </w:r>
    </w:p>
    <w:tbl>
      <w:tblPr>
        <w:tblStyle w:val="TableGrid"/>
        <w:tblW w:type="auto" w:w="0"/>
        <w:tblLook w:firstColumn="1" w:firstRow="1" w:lastColumn="0" w:lastRow="0" w:noHBand="0" w:noVBand="1" w:val="04A0"/>
      </w:tblPr>
      <w:tblGrid>
        <w:gridCol w:w="4680"/>
        <w:gridCol w:w="4680"/>
      </w:tblGrid>
      <w:tr>
        <w:tc>
          <w:tcPr>
            <w:tcW w:type="dxa" w:w="2088"/>
            <w:shd w:val="clear" w:color="auto" w:fill="DCE6F1"/>
          </w:tcPr>
          <w:p>
            <w:r/>
            <w:r>
              <w:rPr>
                <w:b/>
                <w:sz w:val="18"/>
              </w:rPr>
              <w:t>Severity</w:t>
            </w:r>
          </w:p>
        </w:tc>
        <w:tc>
          <w:tcPr>
            <w:tcW w:type="dxa" w:w="7272"/>
            <w:shd w:val="clear" w:color="auto" w:fill="F4CCCC"/>
          </w:tcPr>
          <w:p>
            <w:r>
              <w:rPr>
                <w:sz w:val="18"/>
              </w:rPr>
            </w:r>
            <w:r>
              <w:rPr>
                <w:sz w:val="18"/>
              </w:rPr>
              <w:t>CRITICAL</w:t>
            </w:r>
          </w:p>
        </w:tc>
      </w:tr>
      <w:tr>
        <w:tc>
          <w:tcPr>
            <w:tcW w:type="dxa" w:w="2088"/>
            <w:shd w:val="clear" w:color="auto" w:fill="DCE6F1"/>
          </w:tcPr>
          <w:p>
            <w:r/>
            <w:r>
              <w:rPr>
                <w:b/>
                <w:sz w:val="18"/>
              </w:rPr>
              <w:t>Schedule reference</w:t>
            </w:r>
          </w:p>
        </w:tc>
        <w:tc>
          <w:tcPr>
            <w:tcW w:type="dxa" w:w="7272"/>
          </w:tcPr>
          <w:p>
            <w:r>
              <w:rPr>
                <w:sz w:val="18"/>
              </w:rPr>
            </w:r>
            <w:r>
              <w:rPr>
                <w:sz w:val="18"/>
              </w:rPr>
              <w:t>INT-02 ("Database encrypted at rest … AES-256 … Art. 34(3)(a) exception applies. No data subject notification required"; status "Closed — No Action Required"); Summary row GDPR Art. 34.</w:t>
            </w:r>
          </w:p>
        </w:tc>
      </w:tr>
      <w:tr>
        <w:tc>
          <w:tcPr>
            <w:tcW w:type="dxa" w:w="2088"/>
            <w:shd w:val="clear" w:color="auto" w:fill="DCE6F1"/>
          </w:tcPr>
          <w:p>
            <w:r/>
            <w:r>
              <w:rPr>
                <w:b/>
                <w:sz w:val="18"/>
              </w:rPr>
              <w:t>Requirement</w:t>
            </w:r>
          </w:p>
        </w:tc>
        <w:tc>
          <w:tcPr>
            <w:tcW w:type="dxa" w:w="7272"/>
          </w:tcPr>
          <w:p>
            <w:r>
              <w:rPr>
                <w:sz w:val="18"/>
              </w:rPr>
            </w:r>
            <w:r>
              <w:rPr>
                <w:sz w:val="18"/>
              </w:rPr>
              <w:t>GDPR Art. 34(1): communicate without undue delay where there is likely high risk. Art. 34(3)(a) applies only if the measures rendered the data "unintelligible to any person who is not authorised to access it." Guidance Memo § V.C ("Critical Analysis of the Encryption Exception") and § VIII.B.4.</w:t>
            </w:r>
          </w:p>
        </w:tc>
      </w:tr>
      <w:tr>
        <w:tc>
          <w:tcPr>
            <w:tcW w:type="dxa" w:w="2088"/>
            <w:shd w:val="clear" w:color="auto" w:fill="DCE6F1"/>
          </w:tcPr>
          <w:p>
            <w:r/>
            <w:r>
              <w:rPr>
                <w:b/>
                <w:sz w:val="18"/>
              </w:rPr>
              <w:t>Gap / analysis</w:t>
            </w:r>
          </w:p>
        </w:tc>
        <w:tc>
          <w:tcPr>
            <w:tcW w:type="dxa" w:w="7272"/>
          </w:tcPr>
          <w:p>
            <w:r>
              <w:rPr>
                <w:sz w:val="18"/>
              </w:rPr>
            </w:r>
            <w:r>
              <w:rPr>
                <w:sz w:val="18"/>
              </w:rPr>
              <w:t>The exception fails on the facts: (i) the compromised admin credentials gave access through the application layer, which decrypts on access, so the attacker read plaintext; (ii) the data was exfiltrated over an unencrypted outbound channel; (iii) the Incident Summary Report concludes that encryption "was not an effective safeguard against this specific attack vector" (§ 4.2). Encryption at rest protects only against media theft or raw-file access, which is not what happened here.</w:t>
            </w:r>
          </w:p>
          <w:p>
            <w:r>
              <w:rPr>
                <w:sz w:val="18"/>
              </w:rPr>
              <w:t>High risk is clear: Art. 9 health data, prescription histories and BSNs for 29,100 people, held by a health provider. Neither Art. 34(3)(b) (subsequent measures removing the high risk) nor (c) (disproportionate effort) is available: the data is already in the attacker’s hands, and Ridgeline holds direct contact details.</w:t>
            </w:r>
          </w:p>
        </w:tc>
      </w:tr>
      <w:tr>
        <w:tc>
          <w:tcPr>
            <w:tcW w:type="dxa" w:w="2088"/>
            <w:shd w:val="clear" w:color="auto" w:fill="DCE6F1"/>
          </w:tcPr>
          <w:p>
            <w:r/>
            <w:r>
              <w:rPr>
                <w:b/>
                <w:sz w:val="18"/>
              </w:rPr>
              <w:t>Required corrective action</w:t>
            </w:r>
          </w:p>
        </w:tc>
        <w:tc>
          <w:tcPr>
            <w:tcW w:type="dxa" w:w="7272"/>
          </w:tcPr>
          <w:p>
            <w:r>
              <w:rPr>
                <w:sz w:val="18"/>
              </w:rPr>
            </w:r>
            <w:r>
              <w:rPr>
                <w:sz w:val="18"/>
              </w:rPr>
              <w:t xml:space="preserve">Reopen INT-02 as a required notification. Send direct communications (email plus letter) in Dutch, in clear and plain language, separate from any marketing, with the Art. 34(2) content (nature of the breach; DPO contact; likely consequences, including BSN identity-fraud risk; measures taken and proposed; practical steps such as vigilance against phishing that exploits health data). Target dispatch by </w:t>
            </w:r>
            <w:r>
              <w:rPr>
                <w:b/>
                <w:sz w:val="18"/>
              </w:rPr>
              <w:t>April 16</w:t>
            </w:r>
            <w:r>
              <w:rPr>
                <w:sz w:val="18"/>
              </w:rPr>
              <w:t xml:space="preserve"> and state the Art. 34 decision in the AP filing (the AP can order notice under Art. 34(4) in any event). Correct the reasoning record in INT-02 so that the file does not keep an erroneous "no notice" determination.</w:t>
            </w:r>
          </w:p>
        </w:tc>
      </w:tr>
      <w:tr>
        <w:tc>
          <w:tcPr>
            <w:tcW w:type="dxa" w:w="2088"/>
            <w:shd w:val="clear" w:color="auto" w:fill="DCE6F1"/>
          </w:tcPr>
          <w:p>
            <w:r/>
            <w:r>
              <w:rPr>
                <w:b/>
                <w:sz w:val="18"/>
              </w:rPr>
              <w:t>Sources</w:t>
            </w:r>
          </w:p>
        </w:tc>
        <w:tc>
          <w:tcPr>
            <w:tcW w:type="dxa" w:w="7272"/>
          </w:tcPr>
          <w:p>
            <w:r>
              <w:rPr>
                <w:sz w:val="18"/>
              </w:rPr>
            </w:r>
            <w:r>
              <w:rPr>
                <w:sz w:val="18"/>
              </w:rPr>
              <w:t>INT-02; Incident Summary Report §§ 4.2, 6.2, 10(3); transmittal email; Guidance Memo §§ V.C, VIII.A, VIII.B.4.</w:t>
            </w:r>
          </w:p>
        </w:tc>
      </w:tr>
    </w:tbl>
    <w:p/>
    <w:p>
      <w:pPr>
        <w:pStyle w:val="Heading2"/>
      </w:pPr>
      <w:r>
        <w:t>B. HIGH Findings</w:t>
      </w:r>
    </w:p>
    <w:p>
      <w:pPr>
        <w:pStyle w:val="Heading3"/>
      </w:pPr>
      <w:r>
        <w:t>H-1  HIPAA media notice limited to Texas and California</w:t>
      </w:r>
    </w:p>
    <w:tbl>
      <w:tblPr>
        <w:tblStyle w:val="TableGrid"/>
        <w:tblW w:type="auto" w:w="0"/>
        <w:tblLook w:firstColumn="1" w:firstRow="1" w:lastColumn="0" w:lastRow="0" w:noHBand="0" w:noVBand="1" w:val="04A0"/>
      </w:tblPr>
      <w:tblGrid>
        <w:gridCol w:w="4680"/>
        <w:gridCol w:w="4680"/>
      </w:tblGrid>
      <w:tr>
        <w:tc>
          <w:tcPr>
            <w:tcW w:type="dxa" w:w="2088"/>
            <w:shd w:val="clear" w:color="auto" w:fill="DCE6F1"/>
          </w:tcPr>
          <w:p>
            <w:r/>
            <w:r>
              <w:rPr>
                <w:b/>
                <w:sz w:val="18"/>
              </w:rPr>
              <w:t>Severity</w:t>
            </w:r>
          </w:p>
        </w:tc>
        <w:tc>
          <w:tcPr>
            <w:tcW w:type="dxa" w:w="7272"/>
            <w:shd w:val="clear" w:color="auto" w:fill="FCE5CD"/>
          </w:tcPr>
          <w:p>
            <w:r>
              <w:rPr>
                <w:sz w:val="18"/>
              </w:rPr>
            </w:r>
            <w:r>
              <w:rPr>
                <w:sz w:val="18"/>
              </w:rPr>
              <w:t>HIGH</w:t>
            </w:r>
          </w:p>
        </w:tc>
      </w:tr>
      <w:tr>
        <w:tc>
          <w:tcPr>
            <w:tcW w:type="dxa" w:w="2088"/>
            <w:shd w:val="clear" w:color="auto" w:fill="DCE6F1"/>
          </w:tcPr>
          <w:p>
            <w:r/>
            <w:r>
              <w:rPr>
                <w:b/>
                <w:sz w:val="18"/>
              </w:rPr>
              <w:t>Schedule reference</w:t>
            </w:r>
          </w:p>
        </w:tc>
        <w:tc>
          <w:tcPr>
            <w:tcW w:type="dxa" w:w="7272"/>
          </w:tcPr>
          <w:p>
            <w:r>
              <w:rPr>
                <w:sz w:val="18"/>
              </w:rPr>
            </w:r>
            <w:r>
              <w:rPr>
                <w:sz w:val="18"/>
              </w:rPr>
              <w:t>Summary rows "HIPAA — Media Notification (TX)" and "(CA)" only; US-05, US-08; US-13 note ("No media notification row for IL despite &gt;500 threshold").</w:t>
            </w:r>
          </w:p>
        </w:tc>
      </w:tr>
      <w:tr>
        <w:tc>
          <w:tcPr>
            <w:tcW w:type="dxa" w:w="2088"/>
            <w:shd w:val="clear" w:color="auto" w:fill="DCE6F1"/>
          </w:tcPr>
          <w:p>
            <w:r/>
            <w:r>
              <w:rPr>
                <w:b/>
                <w:sz w:val="18"/>
              </w:rPr>
              <w:t>Requirement</w:t>
            </w:r>
          </w:p>
        </w:tc>
        <w:tc>
          <w:tcPr>
            <w:tcW w:type="dxa" w:w="7272"/>
          </w:tcPr>
          <w:p>
            <w:r>
              <w:rPr>
                <w:sz w:val="18"/>
              </w:rPr>
            </w:r>
            <w:r>
              <w:rPr>
                <w:sz w:val="18"/>
              </w:rPr>
              <w:t>45 CFR § 164.406: notice to prominent media outlets serving each State or jurisdiction in which more than 500 residents are affected, without unreasonable delay and no later than 60 days after discovery. Guidance Memo § III.D ("applies to every State … not merely the states with the highest numbers"), § IV.M and § VIII.B.6.</w:t>
            </w:r>
          </w:p>
        </w:tc>
      </w:tr>
      <w:tr>
        <w:tc>
          <w:tcPr>
            <w:tcW w:type="dxa" w:w="2088"/>
            <w:shd w:val="clear" w:color="auto" w:fill="DCE6F1"/>
          </w:tcPr>
          <w:p>
            <w:r/>
            <w:r>
              <w:rPr>
                <w:b/>
                <w:sz w:val="18"/>
              </w:rPr>
              <w:t>Gap / analysis</w:t>
            </w:r>
          </w:p>
        </w:tc>
        <w:tc>
          <w:tcPr>
            <w:tcW w:type="dxa" w:w="7272"/>
          </w:tcPr>
          <w:p>
            <w:r>
              <w:rPr>
                <w:sz w:val="18"/>
              </w:rPr>
            </w:r>
            <w:r>
              <w:rPr>
                <w:sz w:val="18"/>
              </w:rPr>
              <w:t xml:space="preserve">Every one of the 11 states exceeds 500 (the smallest, Colorado, has 2,200). Media notice is missing for </w:t>
            </w:r>
            <w:r>
              <w:rPr>
                <w:b/>
                <w:sz w:val="18"/>
              </w:rPr>
              <w:t>New York, Florida, Illinois, Pennsylvania, Ohio, Georgia, New Jersey, Massachusetts and Colorado</w:t>
            </w:r>
            <w:r>
              <w:rPr>
                <w:sz w:val="18"/>
              </w:rPr>
              <w:t>: nine separate violations if uncorrected. Existing rows also carry the wrong deadline (June 4) and citation (L-1).</w:t>
            </w:r>
          </w:p>
        </w:tc>
      </w:tr>
      <w:tr>
        <w:tc>
          <w:tcPr>
            <w:tcW w:type="dxa" w:w="2088"/>
            <w:shd w:val="clear" w:color="auto" w:fill="DCE6F1"/>
          </w:tcPr>
          <w:p>
            <w:r/>
            <w:r>
              <w:rPr>
                <w:b/>
                <w:sz w:val="18"/>
              </w:rPr>
              <w:t>Required corrective action</w:t>
            </w:r>
          </w:p>
        </w:tc>
        <w:tc>
          <w:tcPr>
            <w:tcW w:type="dxa" w:w="7272"/>
          </w:tcPr>
          <w:p>
            <w:r>
              <w:rPr>
                <w:sz w:val="18"/>
              </w:rPr>
            </w:r>
            <w:r>
              <w:rPr>
                <w:sz w:val="18"/>
              </w:rPr>
              <w:t>Add nine media rows (11 in total), each with a deadline of no later than June 1 (target: the same day as the U.S. mail drop) and identified outlets per state. Under the Guidance Memo, media notices must contain the § 164.404(c) individual notice content. Give Maplewood the outlet list and final text at least 48 hours before release, and do not let media releases precede the regulator filings or individual notices.</w:t>
            </w:r>
          </w:p>
        </w:tc>
      </w:tr>
      <w:tr>
        <w:tc>
          <w:tcPr>
            <w:tcW w:type="dxa" w:w="2088"/>
            <w:shd w:val="clear" w:color="auto" w:fill="DCE6F1"/>
          </w:tcPr>
          <w:p>
            <w:r/>
            <w:r>
              <w:rPr>
                <w:b/>
                <w:sz w:val="18"/>
              </w:rPr>
              <w:t>Sources</w:t>
            </w:r>
          </w:p>
        </w:tc>
        <w:tc>
          <w:tcPr>
            <w:tcW w:type="dxa" w:w="7272"/>
          </w:tcPr>
          <w:p>
            <w:r>
              <w:rPr>
                <w:sz w:val="18"/>
              </w:rPr>
            </w:r>
            <w:r>
              <w:rPr>
                <w:sz w:val="18"/>
              </w:rPr>
              <w:t>Schedule; Incident Summary Report § 5.2; Guidance Memo §§ III.D, IV.C–IV.L, VIII.B.6.</w:t>
            </w:r>
          </w:p>
        </w:tc>
      </w:tr>
    </w:tbl>
    <w:p/>
    <w:p>
      <w:pPr>
        <w:pStyle w:val="Heading3"/>
      </w:pPr>
      <w:r>
        <w:t>H-2  Massachusetts AG and OCABR filing missing; Massachusetts content rules not reflected</w:t>
      </w:r>
    </w:p>
    <w:tbl>
      <w:tblPr>
        <w:tblStyle w:val="TableGrid"/>
        <w:tblW w:type="auto" w:w="0"/>
        <w:tblLook w:firstColumn="1" w:firstRow="1" w:lastColumn="0" w:lastRow="0" w:noHBand="0" w:noVBand="1" w:val="04A0"/>
      </w:tblPr>
      <w:tblGrid>
        <w:gridCol w:w="4680"/>
        <w:gridCol w:w="4680"/>
      </w:tblGrid>
      <w:tr>
        <w:tc>
          <w:tcPr>
            <w:tcW w:type="dxa" w:w="2088"/>
            <w:shd w:val="clear" w:color="auto" w:fill="DCE6F1"/>
          </w:tcPr>
          <w:p>
            <w:r/>
            <w:r>
              <w:rPr>
                <w:b/>
                <w:sz w:val="18"/>
              </w:rPr>
              <w:t>Severity</w:t>
            </w:r>
          </w:p>
        </w:tc>
        <w:tc>
          <w:tcPr>
            <w:tcW w:type="dxa" w:w="7272"/>
            <w:shd w:val="clear" w:color="auto" w:fill="FCE5CD"/>
          </w:tcPr>
          <w:p>
            <w:r>
              <w:rPr>
                <w:sz w:val="18"/>
              </w:rPr>
            </w:r>
            <w:r>
              <w:rPr>
                <w:sz w:val="18"/>
              </w:rPr>
              <w:t>HIGH</w:t>
            </w:r>
          </w:p>
        </w:tc>
      </w:tr>
      <w:tr>
        <w:tc>
          <w:tcPr>
            <w:tcW w:type="dxa" w:w="2088"/>
            <w:shd w:val="clear" w:color="auto" w:fill="DCE6F1"/>
          </w:tcPr>
          <w:p>
            <w:r/>
            <w:r>
              <w:rPr>
                <w:b/>
                <w:sz w:val="18"/>
              </w:rPr>
              <w:t>Schedule reference</w:t>
            </w:r>
          </w:p>
        </w:tc>
        <w:tc>
          <w:tcPr>
            <w:tcW w:type="dxa" w:w="7272"/>
          </w:tcPr>
          <w:p>
            <w:r>
              <w:rPr>
                <w:sz w:val="18"/>
              </w:rPr>
            </w:r>
            <w:r>
              <w:rPr>
                <w:sz w:val="18"/>
              </w:rPr>
              <w:t>US-21 (note: "No line item for MA AG or MA Office of Consumer Affairs and Business Regulation filing"; checklist "Standard notice content").</w:t>
            </w:r>
          </w:p>
        </w:tc>
      </w:tr>
      <w:tr>
        <w:tc>
          <w:tcPr>
            <w:tcW w:type="dxa" w:w="2088"/>
            <w:shd w:val="clear" w:color="auto" w:fill="DCE6F1"/>
          </w:tcPr>
          <w:p>
            <w:r/>
            <w:r>
              <w:rPr>
                <w:b/>
                <w:sz w:val="18"/>
              </w:rPr>
              <w:t>Requirement</w:t>
            </w:r>
          </w:p>
        </w:tc>
        <w:tc>
          <w:tcPr>
            <w:tcW w:type="dxa" w:w="7272"/>
          </w:tcPr>
          <w:p>
            <w:r>
              <w:rPr>
                <w:sz w:val="18"/>
              </w:rPr>
            </w:r>
            <w:r>
              <w:rPr>
                <w:sz w:val="18"/>
              </w:rPr>
              <w:t>Mass. Gen. Laws ch. 93H, § 3(b): notice "as soon as practicable and without unreasonable delay" to the Attorney General, the Director of OCABR and the affected residents. The regulator notice must state the nature of the breach, the number of Massachusetts residents affected, steps taken or planned, and whether the entity maintains a written information security program (201 CMR 17.00). Guidance Memo § IV.K and § IV.M.</w:t>
            </w:r>
          </w:p>
          <w:p>
            <w:r>
              <w:rPr>
                <w:sz w:val="18"/>
              </w:rPr>
              <w:t xml:space="preserve">Resident notice content: the right to obtain a police report; how to request a security freeze (free of charge) and the information needed to do so; and any mitigation services offered. Section 3(b) also provides that the resident notice </w:t>
            </w:r>
            <w:r>
              <w:rPr>
                <w:b/>
                <w:sz w:val="18"/>
              </w:rPr>
              <w:t>shall not include the nature of the breach or the number of Massachusetts residents affected</w:t>
            </w:r>
            <w:r>
              <w:rPr>
                <w:sz w:val="18"/>
              </w:rPr>
              <w:t>. Where SSNs are involved, ch. 93H, § 3A requires at least 18 months of free credit monitoring.</w:t>
            </w:r>
          </w:p>
        </w:tc>
      </w:tr>
      <w:tr>
        <w:tc>
          <w:tcPr>
            <w:tcW w:type="dxa" w:w="2088"/>
            <w:shd w:val="clear" w:color="auto" w:fill="DCE6F1"/>
          </w:tcPr>
          <w:p>
            <w:r/>
            <w:r>
              <w:rPr>
                <w:b/>
                <w:sz w:val="18"/>
              </w:rPr>
              <w:t>Gap / analysis</w:t>
            </w:r>
          </w:p>
        </w:tc>
        <w:tc>
          <w:tcPr>
            <w:tcW w:type="dxa" w:w="7272"/>
          </w:tcPr>
          <w:p>
            <w:r>
              <w:rPr>
                <w:sz w:val="18"/>
              </w:rPr>
            </w:r>
            <w:r>
              <w:rPr>
                <w:sz w:val="18"/>
              </w:rPr>
              <w:t xml:space="preserve">The filing is omitted entirely. Timing (a gap the Guidance Memo flagged for incident-specific research): the statute applies the same "as soon as practicable" standard to the AG, OCABR and residents. The prudent course is to file with the AG and OCABR (via the AG’s online form) </w:t>
            </w:r>
            <w:r>
              <w:rPr>
                <w:b/>
                <w:sz w:val="18"/>
              </w:rPr>
              <w:t>before or at the same time as</w:t>
            </w:r>
            <w:r>
              <w:rPr>
                <w:sz w:val="18"/>
              </w:rPr>
              <w:t xml:space="preserve"> resident notices, and in any event no later than the May 2 mail drop.</w:t>
            </w:r>
          </w:p>
          <w:p>
            <w:r>
              <w:rPr>
                <w:sz w:val="18"/>
              </w:rPr>
              <w:t xml:space="preserve">Content risk: the Guidance Memo (§ IV.K) says Massachusetts notices must include the nature of the breach and the number of residents. That is correct for the regulator notice but </w:t>
            </w:r>
            <w:r>
              <w:rPr>
                <w:b/>
                <w:sz w:val="18"/>
              </w:rPr>
              <w:t>wrong for the resident letter</w:t>
            </w:r>
            <w:r>
              <w:rPr>
                <w:sz w:val="18"/>
              </w:rPr>
              <w:t>, which is barred from including those items. A HIPAA-form letter (which must describe what happened) sits in tension with § 3(b). Use a Massachusetts-specific letter, or rely on ch. 93H, § 5’s deemed-compliance provision for entities following federal-regulator procedures only after confirming that position; even then, the AG and OCABR filings are still required.</w:t>
            </w:r>
          </w:p>
        </w:tc>
      </w:tr>
      <w:tr>
        <w:tc>
          <w:tcPr>
            <w:tcW w:type="dxa" w:w="2088"/>
            <w:shd w:val="clear" w:color="auto" w:fill="DCE6F1"/>
          </w:tcPr>
          <w:p>
            <w:r/>
            <w:r>
              <w:rPr>
                <w:b/>
                <w:sz w:val="18"/>
              </w:rPr>
              <w:t>Required corrective action</w:t>
            </w:r>
          </w:p>
        </w:tc>
        <w:tc>
          <w:tcPr>
            <w:tcW w:type="dxa" w:w="7272"/>
          </w:tcPr>
          <w:p>
            <w:r>
              <w:rPr>
                <w:sz w:val="18"/>
              </w:rPr>
            </w:r>
            <w:r>
              <w:rPr>
                <w:sz w:val="18"/>
              </w:rPr>
              <w:t>Add rows for the MA AG and OCABR (target: on or before May 2, ahead of the mail drop). Prepare a Massachusetts resident letter with the required elements, without the prohibited ones, and confirm that the 24-month credit monitoring offer (which exceeds the 18-month minimum) is described.</w:t>
            </w:r>
          </w:p>
        </w:tc>
      </w:tr>
      <w:tr>
        <w:tc>
          <w:tcPr>
            <w:tcW w:type="dxa" w:w="2088"/>
            <w:shd w:val="clear" w:color="auto" w:fill="DCE6F1"/>
          </w:tcPr>
          <w:p>
            <w:r/>
            <w:r>
              <w:rPr>
                <w:b/>
                <w:sz w:val="18"/>
              </w:rPr>
              <w:t>Sources</w:t>
            </w:r>
          </w:p>
        </w:tc>
        <w:tc>
          <w:tcPr>
            <w:tcW w:type="dxa" w:w="7272"/>
          </w:tcPr>
          <w:p>
            <w:r>
              <w:rPr>
                <w:sz w:val="18"/>
              </w:rPr>
            </w:r>
            <w:r>
              <w:rPr>
                <w:sz w:val="18"/>
              </w:rPr>
              <w:t>US-21; Guidance Memo §§ IV.K, IV.M, VIII.A, IX.</w:t>
            </w:r>
          </w:p>
        </w:tc>
      </w:tr>
    </w:tbl>
    <w:p/>
    <w:p>
      <w:pPr>
        <w:pStyle w:val="Heading3"/>
      </w:pPr>
      <w:r>
        <w:t>H-3  Business associate notification chain (Pinnacle) not tracked; BAA § 4.3 deadline imminent</w:t>
      </w:r>
    </w:p>
    <w:tbl>
      <w:tblPr>
        <w:tblStyle w:val="TableGrid"/>
        <w:tblW w:type="auto" w:w="0"/>
        <w:tblLook w:firstColumn="1" w:firstRow="1" w:lastColumn="0" w:lastRow="0" w:noHBand="0" w:noVBand="1" w:val="04A0"/>
      </w:tblPr>
      <w:tblGrid>
        <w:gridCol w:w="4680"/>
        <w:gridCol w:w="4680"/>
      </w:tblGrid>
      <w:tr>
        <w:tc>
          <w:tcPr>
            <w:tcW w:type="dxa" w:w="2088"/>
            <w:shd w:val="clear" w:color="auto" w:fill="DCE6F1"/>
          </w:tcPr>
          <w:p>
            <w:r/>
            <w:r>
              <w:rPr>
                <w:b/>
                <w:sz w:val="18"/>
              </w:rPr>
              <w:t>Severity</w:t>
            </w:r>
          </w:p>
        </w:tc>
        <w:tc>
          <w:tcPr>
            <w:tcW w:type="dxa" w:w="7272"/>
            <w:shd w:val="clear" w:color="auto" w:fill="FCE5CD"/>
          </w:tcPr>
          <w:p>
            <w:r>
              <w:rPr>
                <w:sz w:val="18"/>
              </w:rPr>
            </w:r>
            <w:r>
              <w:rPr>
                <w:sz w:val="18"/>
              </w:rPr>
              <w:t>HIGH</w:t>
            </w:r>
          </w:p>
        </w:tc>
      </w:tr>
      <w:tr>
        <w:tc>
          <w:tcPr>
            <w:tcW w:type="dxa" w:w="2088"/>
            <w:shd w:val="clear" w:color="auto" w:fill="DCE6F1"/>
          </w:tcPr>
          <w:p>
            <w:r/>
            <w:r>
              <w:rPr>
                <w:b/>
                <w:sz w:val="18"/>
              </w:rPr>
              <w:t>Schedule reference</w:t>
            </w:r>
          </w:p>
        </w:tc>
        <w:tc>
          <w:tcPr>
            <w:tcW w:type="dxa" w:w="7272"/>
          </w:tcPr>
          <w:p>
            <w:r>
              <w:rPr>
                <w:sz w:val="18"/>
              </w:rPr>
            </w:r>
            <w:r>
              <w:rPr>
                <w:sz w:val="18"/>
              </w:rPr>
              <w:t>No row anywhere in the Schedule; Incident Summary Report § 7 ("does not include a line item tracking Pinnacle’s inbound notification obligations").</w:t>
            </w:r>
          </w:p>
        </w:tc>
      </w:tr>
      <w:tr>
        <w:tc>
          <w:tcPr>
            <w:tcW w:type="dxa" w:w="2088"/>
            <w:shd w:val="clear" w:color="auto" w:fill="DCE6F1"/>
          </w:tcPr>
          <w:p>
            <w:r/>
            <w:r>
              <w:rPr>
                <w:b/>
                <w:sz w:val="18"/>
              </w:rPr>
              <w:t>Requirement</w:t>
            </w:r>
          </w:p>
        </w:tc>
        <w:tc>
          <w:tcPr>
            <w:tcW w:type="dxa" w:w="7272"/>
          </w:tcPr>
          <w:p>
            <w:r>
              <w:rPr>
                <w:sz w:val="18"/>
              </w:rPr>
            </w:r>
            <w:r>
              <w:rPr>
                <w:sz w:val="18"/>
              </w:rPr>
              <w:t xml:space="preserve">45 CFR § 164.410 (business associate must notify the covered entity without unreasonable delay, ≤60 days); BAA § 4.1 (Pinnacle discovers a Breach when it is known, or by reasonable diligence would have been known, to any Pinnacle employee, officer or agent other than the wrongdoer, and discovery does not require forensic confirmation); BAA § 4.3 (written notice within </w:t>
            </w:r>
            <w:r>
              <w:rPr>
                <w:b/>
                <w:sz w:val="18"/>
              </w:rPr>
              <w:t>5 business days</w:t>
            </w:r>
            <w:r>
              <w:rPr>
                <w:sz w:val="18"/>
              </w:rPr>
              <w:t>, with items (a)–(f), and notice may not be delayed to compile information); § 4.4 (cooperation, evidence preservation, assistance with notices); § 4.5 (subcontractors report within 3 business days).</w:t>
            </w:r>
          </w:p>
          <w:p>
            <w:r>
              <w:rPr>
                <w:sz w:val="18"/>
              </w:rPr>
              <w:t>Guidance Memo § III.E ("should include a specific line item … should not be omitted"), § VIII.A and § VIII.B.8.</w:t>
            </w:r>
          </w:p>
        </w:tc>
      </w:tr>
      <w:tr>
        <w:tc>
          <w:tcPr>
            <w:tcW w:type="dxa" w:w="2088"/>
            <w:shd w:val="clear" w:color="auto" w:fill="DCE6F1"/>
          </w:tcPr>
          <w:p>
            <w:r/>
            <w:r>
              <w:rPr>
                <w:b/>
                <w:sz w:val="18"/>
              </w:rPr>
              <w:t>Gap / analysis</w:t>
            </w:r>
          </w:p>
        </w:tc>
        <w:tc>
          <w:tcPr>
            <w:tcW w:type="dxa" w:w="7272"/>
          </w:tcPr>
          <w:p>
            <w:r>
              <w:rPr>
                <w:sz w:val="18"/>
              </w:rPr>
            </w:r>
            <w:r>
              <w:rPr>
                <w:sz w:val="18"/>
              </w:rPr>
              <w:t xml:space="preserve">Pinnacle’s outside date: Ridgeline told Pinnacle of the compromise on Thursday, April 3, so Pinnacle had actual knowledge by then at the latest. Five business days runs </w:t>
            </w:r>
            <w:r>
              <w:rPr>
                <w:b/>
                <w:sz w:val="18"/>
              </w:rPr>
              <w:t>Fri 4, Mon 7, Tue 8, Wed 9, Thu 10</w:t>
            </w:r>
            <w:r>
              <w:rPr>
                <w:sz w:val="18"/>
              </w:rPr>
              <w:t xml:space="preserve">, so written notice is due no later than </w:t>
            </w:r>
            <w:r>
              <w:rPr>
                <w:b/>
                <w:sz w:val="18"/>
              </w:rPr>
              <w:t>Thursday, April 10, 2025</w:t>
            </w:r>
            <w:r>
              <w:rPr>
                <w:sz w:val="18"/>
              </w:rPr>
              <w:t>. If Pinnacle’s own monitoring (BAA § 4.1; Exhibit A ¶ 3) should have detected misuse of its service account, or if the phished employee reported the phishing, discovery was earlier and Pinnacle is already in breach of § 4.3.</w:t>
            </w:r>
          </w:p>
          <w:p>
            <w:r>
              <w:rPr>
                <w:sz w:val="18"/>
              </w:rPr>
              <w:t xml:space="preserve">Why this matters to Ridgeline’s own clock: RCS discovered the breach independently on April 2, so Pinnacle’s notice does not extend any RCS deadline (BAA § 4.3, final paragraph). However, if Pinnacle is RCS’s </w:t>
            </w:r>
            <w:r>
              <w:rPr>
                <w:b/>
                <w:sz w:val="18"/>
              </w:rPr>
              <w:t>agent</w:t>
            </w:r>
            <w:r>
              <w:rPr>
                <w:sz w:val="18"/>
              </w:rPr>
              <w:t xml:space="preserve"> under the federal common law of agency (relevant factors include RCS’s right to control Pinnacle’s monitoring and incident response duties under Exhibit A), Pinnacle’s earlier knowledge could be imputed to RCS under § 164.404(a)(2) and move RCS’s discovery date earlier than April 2. Aldersgate’s work on Pinnacle’s timeline is therefore deadline-critical, not just a contract matter.</w:t>
            </w:r>
          </w:p>
          <w:p>
            <w:r>
              <w:rPr>
                <w:sz w:val="18"/>
              </w:rPr>
              <w:t>Pinnacle also likely has independent state-law duties as an entity that "maintains" data for the owner, to notify the owner immediately after discovery (e.g., Cal. Civ. Code § 1798.82(b); Tex. Bus. &amp; Com. Code § 521.053(c)). Those duties should be included in the demand letter.</w:t>
            </w:r>
          </w:p>
        </w:tc>
      </w:tr>
      <w:tr>
        <w:tc>
          <w:tcPr>
            <w:tcW w:type="dxa" w:w="2088"/>
            <w:shd w:val="clear" w:color="auto" w:fill="DCE6F1"/>
          </w:tcPr>
          <w:p>
            <w:r/>
            <w:r>
              <w:rPr>
                <w:b/>
                <w:sz w:val="18"/>
              </w:rPr>
              <w:t>Required corrective action</w:t>
            </w:r>
          </w:p>
        </w:tc>
        <w:tc>
          <w:tcPr>
            <w:tcW w:type="dxa" w:w="7272"/>
          </w:tcPr>
          <w:p>
            <w:r>
              <w:rPr>
                <w:sz w:val="18"/>
              </w:rPr>
            </w:r>
            <w:r>
              <w:rPr>
                <w:sz w:val="18"/>
              </w:rPr>
              <w:t>Add row "BA-01 Pinnacle → RCS notice (BAA § 4.3)" with a deadline of April 10, and track the four documentation items in Guidance Memo § III.E (Pinnacle’s awareness date; date of notice; compliance with 5 business days; completeness of items (a)–(f)).</w:t>
            </w:r>
          </w:p>
          <w:p>
            <w:r>
              <w:rPr>
                <w:sz w:val="18"/>
              </w:rPr>
              <w:t xml:space="preserve">Send a formal written notice and demand to Pinnacle </w:t>
            </w:r>
            <w:r>
              <w:rPr>
                <w:b/>
                <w:sz w:val="18"/>
              </w:rPr>
              <w:t>today</w:t>
            </w:r>
            <w:r>
              <w:rPr>
                <w:sz w:val="18"/>
              </w:rPr>
              <w:t>. It should: (i) require § 4.3 written notice by April 10 with items (a)–(f) and identification of Pinnacle’s breach response lead; (ii) invoke § 4.4 cooperation and evidence preservation (logs, the phished employee’s mailbox, SIEM/alert history for March 19 – April 2); (iii) require disclosure of subcontractors and § 4.5 reports; (iv) request Pinnacle’s own discovery timeline; (v) give notice of claims under §§ 6.1–6.2 and reserve all rights; and (vi) tender to Pinnacle’s cyber insurer (M-6). Route communications through counsel.</w:t>
            </w:r>
          </w:p>
        </w:tc>
      </w:tr>
      <w:tr>
        <w:tc>
          <w:tcPr>
            <w:tcW w:type="dxa" w:w="2088"/>
            <w:shd w:val="clear" w:color="auto" w:fill="DCE6F1"/>
          </w:tcPr>
          <w:p>
            <w:r/>
            <w:r>
              <w:rPr>
                <w:b/>
                <w:sz w:val="18"/>
              </w:rPr>
              <w:t>Sources</w:t>
            </w:r>
          </w:p>
        </w:tc>
        <w:tc>
          <w:tcPr>
            <w:tcW w:type="dxa" w:w="7272"/>
          </w:tcPr>
          <w:p>
            <w:r>
              <w:rPr>
                <w:sz w:val="18"/>
              </w:rPr>
            </w:r>
            <w:r>
              <w:rPr>
                <w:sz w:val="18"/>
              </w:rPr>
              <w:t>BAA §§ 1.5, 1.6, 4.1–4.5, 6.1–6.3, Exhibit A; Incident Summary Report §§ 3.1, 3.3, 4.1, 7, 10(2); Guidance Memo §§ III.E, VIII.A, VIII.B.8.</w:t>
            </w:r>
          </w:p>
        </w:tc>
      </w:tr>
    </w:tbl>
    <w:p/>
    <w:p>
      <w:pPr>
        <w:pStyle w:val="Heading3"/>
      </w:pPr>
      <w:r>
        <w:t>H-4  California CMIA / CDPH obligation omitted</w:t>
      </w:r>
    </w:p>
    <w:tbl>
      <w:tblPr>
        <w:tblStyle w:val="TableGrid"/>
        <w:tblW w:type="auto" w:w="0"/>
        <w:tblLook w:firstColumn="1" w:firstRow="1" w:lastColumn="0" w:lastRow="0" w:noHBand="0" w:noVBand="1" w:val="04A0"/>
      </w:tblPr>
      <w:tblGrid>
        <w:gridCol w:w="4680"/>
        <w:gridCol w:w="4680"/>
      </w:tblGrid>
      <w:tr>
        <w:tc>
          <w:tcPr>
            <w:tcW w:type="dxa" w:w="2088"/>
            <w:shd w:val="clear" w:color="auto" w:fill="DCE6F1"/>
          </w:tcPr>
          <w:p>
            <w:r/>
            <w:r>
              <w:rPr>
                <w:b/>
                <w:sz w:val="18"/>
              </w:rPr>
              <w:t>Severity</w:t>
            </w:r>
          </w:p>
        </w:tc>
        <w:tc>
          <w:tcPr>
            <w:tcW w:type="dxa" w:w="7272"/>
            <w:shd w:val="clear" w:color="auto" w:fill="FCE5CD"/>
          </w:tcPr>
          <w:p>
            <w:r>
              <w:rPr>
                <w:sz w:val="18"/>
              </w:rPr>
            </w:r>
            <w:r>
              <w:rPr>
                <w:sz w:val="18"/>
              </w:rPr>
              <w:t>HIGH</w:t>
            </w:r>
          </w:p>
        </w:tc>
      </w:tr>
      <w:tr>
        <w:tc>
          <w:tcPr>
            <w:tcW w:type="dxa" w:w="2088"/>
            <w:shd w:val="clear" w:color="auto" w:fill="DCE6F1"/>
          </w:tcPr>
          <w:p>
            <w:r/>
            <w:r>
              <w:rPr>
                <w:b/>
                <w:sz w:val="18"/>
              </w:rPr>
              <w:t>Schedule reference</w:t>
            </w:r>
          </w:p>
        </w:tc>
        <w:tc>
          <w:tcPr>
            <w:tcW w:type="dxa" w:w="7272"/>
          </w:tcPr>
          <w:p>
            <w:r>
              <w:rPr>
                <w:sz w:val="18"/>
              </w:rPr>
            </w:r>
            <w:r>
              <w:rPr>
                <w:sz w:val="18"/>
              </w:rPr>
              <w:t>US-06 (note: "No CMIA or CDPH notification line item included. Treated exclusively under § 1798.82").</w:t>
            </w:r>
          </w:p>
        </w:tc>
      </w:tr>
      <w:tr>
        <w:tc>
          <w:tcPr>
            <w:tcW w:type="dxa" w:w="2088"/>
            <w:shd w:val="clear" w:color="auto" w:fill="DCE6F1"/>
          </w:tcPr>
          <w:p>
            <w:r/>
            <w:r>
              <w:rPr>
                <w:b/>
                <w:sz w:val="18"/>
              </w:rPr>
              <w:t>Requirement</w:t>
            </w:r>
          </w:p>
        </w:tc>
        <w:tc>
          <w:tcPr>
            <w:tcW w:type="dxa" w:w="7272"/>
          </w:tcPr>
          <w:p>
            <w:r>
              <w:rPr>
                <w:sz w:val="18"/>
              </w:rPr>
            </w:r>
            <w:r>
              <w:rPr>
                <w:sz w:val="18"/>
              </w:rPr>
              <w:t xml:space="preserve">Guidance Memo § IV.C, § IV.M and § VIII.B.3: CMIA (Cal. Civ. Code §§ 56–56.37) obligations are separate from, and in addition to, § 1798.82, and need a </w:t>
            </w:r>
            <w:r>
              <w:rPr>
                <w:b/>
                <w:sz w:val="18"/>
              </w:rPr>
              <w:t>separate line item</w:t>
            </w:r>
            <w:r>
              <w:rPr>
                <w:sz w:val="18"/>
              </w:rPr>
              <w:t xml:space="preserve"> including CDPH notification.</w:t>
            </w:r>
          </w:p>
          <w:p>
            <w:r>
              <w:rPr>
                <w:sz w:val="18"/>
              </w:rPr>
              <w:t xml:space="preserve">Supplementing the Guidance Memo, which did not specify the CDPH timeframe: the CDPH reporting duty is in Cal. Health &amp; Safety Code § 1280.15. It applies to licensed clinics, health facilities, home health agencies and hospices, and requires a report to CDPH and to each affected patient within </w:t>
            </w:r>
            <w:r>
              <w:rPr>
                <w:b/>
                <w:sz w:val="18"/>
              </w:rPr>
              <w:t>15 business days</w:t>
            </w:r>
            <w:r>
              <w:rPr>
                <w:sz w:val="18"/>
              </w:rPr>
              <w:t xml:space="preserve"> after the unauthorized access is detected.</w:t>
            </w:r>
          </w:p>
        </w:tc>
      </w:tr>
      <w:tr>
        <w:tc>
          <w:tcPr>
            <w:tcW w:type="dxa" w:w="2088"/>
            <w:shd w:val="clear" w:color="auto" w:fill="DCE6F1"/>
          </w:tcPr>
          <w:p>
            <w:r/>
            <w:r>
              <w:rPr>
                <w:b/>
                <w:sz w:val="18"/>
              </w:rPr>
              <w:t>Gap / analysis</w:t>
            </w:r>
          </w:p>
        </w:tc>
        <w:tc>
          <w:tcPr>
            <w:tcW w:type="dxa" w:w="7272"/>
          </w:tcPr>
          <w:p>
            <w:r>
              <w:rPr>
                <w:sz w:val="18"/>
              </w:rPr>
            </w:r>
            <w:r>
              <w:rPr>
                <w:sz w:val="18"/>
              </w:rPr>
              <w:t xml:space="preserve">62,300 California residents’ diagnoses and prescription histories are "medical information" under § 56.05. Whether § 1280.15 applies depends on whether RCS (or an affiliate) holds a California license of the relevant type; a telehealth provider may not. If it applies, 15 business days from April 2 is </w:t>
            </w:r>
            <w:r>
              <w:rPr>
                <w:b/>
                <w:sz w:val="18"/>
              </w:rPr>
              <w:t>Wednesday, April 23, 2025</w:t>
            </w:r>
            <w:r>
              <w:rPr>
                <w:sz w:val="18"/>
              </w:rPr>
              <w:t>. Separately, CMIA exposure (including nominal damages of $1,000 per patient without proof of harm under § 56.36(b)) is significant class-action risk that the Board should understand alongside CCPA § 1798.150 exposure.</w:t>
            </w:r>
          </w:p>
        </w:tc>
      </w:tr>
      <w:tr>
        <w:tc>
          <w:tcPr>
            <w:tcW w:type="dxa" w:w="2088"/>
            <w:shd w:val="clear" w:color="auto" w:fill="DCE6F1"/>
          </w:tcPr>
          <w:p>
            <w:r/>
            <w:r>
              <w:rPr>
                <w:b/>
                <w:sz w:val="18"/>
              </w:rPr>
              <w:t>Required corrective action</w:t>
            </w:r>
          </w:p>
        </w:tc>
        <w:tc>
          <w:tcPr>
            <w:tcW w:type="dxa" w:w="7272"/>
          </w:tcPr>
          <w:p>
            <w:r>
              <w:rPr>
                <w:sz w:val="18"/>
              </w:rPr>
            </w:r>
            <w:r>
              <w:rPr>
                <w:sz w:val="18"/>
              </w:rPr>
              <w:t xml:space="preserve">Add a CMIA/CDPH row. Confirm California licensure by </w:t>
            </w:r>
            <w:r>
              <w:rPr>
                <w:b/>
                <w:sz w:val="18"/>
              </w:rPr>
              <w:t>April 14</w:t>
            </w:r>
            <w:r>
              <w:rPr>
                <w:sz w:val="18"/>
              </w:rPr>
              <w:t>. If licensed, calendar April 23 for the CDPH report and the patient notice. If not, record the analysis and keep the CMIA content (description of the medical information involved) in the California letter. Also add CMIA statutory damages to the litigation exposure brief.</w:t>
            </w:r>
          </w:p>
        </w:tc>
      </w:tr>
      <w:tr>
        <w:tc>
          <w:tcPr>
            <w:tcW w:type="dxa" w:w="2088"/>
            <w:shd w:val="clear" w:color="auto" w:fill="DCE6F1"/>
          </w:tcPr>
          <w:p>
            <w:r/>
            <w:r>
              <w:rPr>
                <w:b/>
                <w:sz w:val="18"/>
              </w:rPr>
              <w:t>Sources</w:t>
            </w:r>
          </w:p>
        </w:tc>
        <w:tc>
          <w:tcPr>
            <w:tcW w:type="dxa" w:w="7272"/>
          </w:tcPr>
          <w:p>
            <w:r>
              <w:rPr>
                <w:sz w:val="18"/>
              </w:rPr>
            </w:r>
            <w:r>
              <w:rPr>
                <w:sz w:val="18"/>
              </w:rPr>
              <w:t>US-06; Guidance Memo §§ IV.C, IV.M, VIII.A, VIII.B.3.</w:t>
            </w:r>
          </w:p>
        </w:tc>
      </w:tr>
    </w:tbl>
    <w:p/>
    <w:p>
      <w:pPr>
        <w:pStyle w:val="Heading3"/>
      </w:pPr>
      <w:r>
        <w:t>H-5  Consumer reporting agency (CRA) notifications not scheduled</w:t>
      </w:r>
    </w:p>
    <w:tbl>
      <w:tblPr>
        <w:tblStyle w:val="TableGrid"/>
        <w:tblW w:type="auto" w:w="0"/>
        <w:tblLook w:firstColumn="1" w:firstRow="1" w:lastColumn="0" w:lastRow="0" w:noHBand="0" w:noVBand="1" w:val="04A0"/>
      </w:tblPr>
      <w:tblGrid>
        <w:gridCol w:w="4680"/>
        <w:gridCol w:w="4680"/>
      </w:tblGrid>
      <w:tr>
        <w:tc>
          <w:tcPr>
            <w:tcW w:type="dxa" w:w="2088"/>
            <w:shd w:val="clear" w:color="auto" w:fill="DCE6F1"/>
          </w:tcPr>
          <w:p>
            <w:r/>
            <w:r>
              <w:rPr>
                <w:b/>
                <w:sz w:val="18"/>
              </w:rPr>
              <w:t>Severity</w:t>
            </w:r>
          </w:p>
        </w:tc>
        <w:tc>
          <w:tcPr>
            <w:tcW w:type="dxa" w:w="7272"/>
            <w:shd w:val="clear" w:color="auto" w:fill="FCE5CD"/>
          </w:tcPr>
          <w:p>
            <w:r>
              <w:rPr>
                <w:sz w:val="18"/>
              </w:rPr>
            </w:r>
            <w:r>
              <w:rPr>
                <w:sz w:val="18"/>
              </w:rPr>
              <w:t>HIGH</w:t>
            </w:r>
          </w:p>
        </w:tc>
      </w:tr>
      <w:tr>
        <w:tc>
          <w:tcPr>
            <w:tcW w:type="dxa" w:w="2088"/>
            <w:shd w:val="clear" w:color="auto" w:fill="DCE6F1"/>
          </w:tcPr>
          <w:p>
            <w:r/>
            <w:r>
              <w:rPr>
                <w:b/>
                <w:sz w:val="18"/>
              </w:rPr>
              <w:t>Schedule reference</w:t>
            </w:r>
          </w:p>
        </w:tc>
        <w:tc>
          <w:tcPr>
            <w:tcW w:type="dxa" w:w="7272"/>
          </w:tcPr>
          <w:p>
            <w:r>
              <w:rPr>
                <w:sz w:val="18"/>
              </w:rPr>
            </w:r>
            <w:r>
              <w:rPr>
                <w:sz w:val="18"/>
              </w:rPr>
              <w:t>No CRA rows; the CA, NY and TX checklists refer only to CRA contact details in letters.</w:t>
            </w:r>
          </w:p>
        </w:tc>
      </w:tr>
      <w:tr>
        <w:tc>
          <w:tcPr>
            <w:tcW w:type="dxa" w:w="2088"/>
            <w:shd w:val="clear" w:color="auto" w:fill="DCE6F1"/>
          </w:tcPr>
          <w:p>
            <w:r/>
            <w:r>
              <w:rPr>
                <w:b/>
                <w:sz w:val="18"/>
              </w:rPr>
              <w:t>Requirement</w:t>
            </w:r>
          </w:p>
        </w:tc>
        <w:tc>
          <w:tcPr>
            <w:tcW w:type="dxa" w:w="7272"/>
          </w:tcPr>
          <w:p>
            <w:r>
              <w:rPr>
                <w:sz w:val="18"/>
              </w:rPr>
            </w:r>
            <w:r>
              <w:rPr>
                <w:sz w:val="18"/>
              </w:rPr>
              <w:t>Several statutes require notice to the nationwide CRAs (Equifax, Experian, TransUnion) above resident thresholds. Examples: Texas (more than 10,000 persons; § 521.053(h)); New York (more than 5,000; § 899-aa(8)(b)); Florida (more than 1,000; § 501.171(5)); Pennsylvania (more than 1,000); Ohio (more than 1,000; R.C. § 1349.19(G)); New Jersey (more than 1,000; N.J.S.A. § 56:8-163(f)); Colorado (more than 1,000; C.R.S. § 6-1-716(2)(d)). Georgia (more than 10,000) is not triggered at 7,100. The Guidance Memo does not address CRA notices; this is a gap in both documents.</w:t>
            </w:r>
          </w:p>
        </w:tc>
      </w:tr>
      <w:tr>
        <w:tc>
          <w:tcPr>
            <w:tcW w:type="dxa" w:w="2088"/>
            <w:shd w:val="clear" w:color="auto" w:fill="DCE6F1"/>
          </w:tcPr>
          <w:p>
            <w:r/>
            <w:r>
              <w:rPr>
                <w:b/>
                <w:sz w:val="18"/>
              </w:rPr>
              <w:t>Gap / analysis</w:t>
            </w:r>
          </w:p>
        </w:tc>
        <w:tc>
          <w:tcPr>
            <w:tcW w:type="dxa" w:w="7272"/>
          </w:tcPr>
          <w:p>
            <w:r>
              <w:rPr>
                <w:sz w:val="18"/>
              </w:rPr>
            </w:r>
            <w:r>
              <w:rPr>
                <w:sz w:val="18"/>
              </w:rPr>
              <w:t>Each of TX (87,400), NY (41,200), FL (28,900), PA (11,800), OH (9,400), NJ (5,600) and CO (2,200) exceeds its threshold. CRAs also need advance notice so they can handle a call surge from 273,500 people.</w:t>
            </w:r>
          </w:p>
        </w:tc>
      </w:tr>
      <w:tr>
        <w:tc>
          <w:tcPr>
            <w:tcW w:type="dxa" w:w="2088"/>
            <w:shd w:val="clear" w:color="auto" w:fill="DCE6F1"/>
          </w:tcPr>
          <w:p>
            <w:r/>
            <w:r>
              <w:rPr>
                <w:b/>
                <w:sz w:val="18"/>
              </w:rPr>
              <w:t>Required corrective action</w:t>
            </w:r>
          </w:p>
        </w:tc>
        <w:tc>
          <w:tcPr>
            <w:tcW w:type="dxa" w:w="7272"/>
          </w:tcPr>
          <w:p>
            <w:r>
              <w:rPr>
                <w:sz w:val="18"/>
              </w:rPr>
            </w:r>
            <w:r>
              <w:rPr>
                <w:sz w:val="18"/>
              </w:rPr>
              <w:t>Add one CRA row per triggered state (or a consolidated row listing the statutes). Send to all three CRAs with the timing, distribution and content of the notices, ahead of or with the May 2 mail drop. Confirm thresholds and content during template finalization.</w:t>
            </w:r>
          </w:p>
        </w:tc>
      </w:tr>
      <w:tr>
        <w:tc>
          <w:tcPr>
            <w:tcW w:type="dxa" w:w="2088"/>
            <w:shd w:val="clear" w:color="auto" w:fill="DCE6F1"/>
          </w:tcPr>
          <w:p>
            <w:r/>
            <w:r>
              <w:rPr>
                <w:b/>
                <w:sz w:val="18"/>
              </w:rPr>
              <w:t>Sources</w:t>
            </w:r>
          </w:p>
        </w:tc>
        <w:tc>
          <w:tcPr>
            <w:tcW w:type="dxa" w:w="7272"/>
          </w:tcPr>
          <w:p>
            <w:r>
              <w:rPr>
                <w:sz w:val="18"/>
              </w:rPr>
            </w:r>
            <w:r>
              <w:rPr>
                <w:sz w:val="18"/>
              </w:rPr>
              <w:t>Schedule; Incident Summary Report § 5.2.</w:t>
            </w:r>
          </w:p>
        </w:tc>
      </w:tr>
    </w:tbl>
    <w:p/>
    <w:p>
      <w:pPr>
        <w:pStyle w:val="Heading3"/>
      </w:pPr>
      <w:r>
        <w:t>H-6  HIPAA-linked state AG notices (5 business days after the HHS submission) not tracked</w:t>
      </w:r>
    </w:p>
    <w:tbl>
      <w:tblPr>
        <w:tblStyle w:val="TableGrid"/>
        <w:tblW w:type="auto" w:w="0"/>
        <w:tblLook w:firstColumn="1" w:firstRow="1" w:lastColumn="0" w:lastRow="0" w:noHBand="0" w:noVBand="1" w:val="04A0"/>
      </w:tblPr>
      <w:tblGrid>
        <w:gridCol w:w="4680"/>
        <w:gridCol w:w="4680"/>
      </w:tblGrid>
      <w:tr>
        <w:tc>
          <w:tcPr>
            <w:tcW w:type="dxa" w:w="2088"/>
            <w:shd w:val="clear" w:color="auto" w:fill="DCE6F1"/>
          </w:tcPr>
          <w:p>
            <w:r/>
            <w:r>
              <w:rPr>
                <w:b/>
                <w:sz w:val="18"/>
              </w:rPr>
              <w:t>Severity</w:t>
            </w:r>
          </w:p>
        </w:tc>
        <w:tc>
          <w:tcPr>
            <w:tcW w:type="dxa" w:w="7272"/>
            <w:shd w:val="clear" w:color="auto" w:fill="FCE5CD"/>
          </w:tcPr>
          <w:p>
            <w:r>
              <w:rPr>
                <w:sz w:val="18"/>
              </w:rPr>
            </w:r>
            <w:r>
              <w:rPr>
                <w:sz w:val="18"/>
              </w:rPr>
              <w:t>HIGH</w:t>
            </w:r>
          </w:p>
        </w:tc>
      </w:tr>
      <w:tr>
        <w:tc>
          <w:tcPr>
            <w:tcW w:type="dxa" w:w="2088"/>
            <w:shd w:val="clear" w:color="auto" w:fill="DCE6F1"/>
          </w:tcPr>
          <w:p>
            <w:r/>
            <w:r>
              <w:rPr>
                <w:b/>
                <w:sz w:val="18"/>
              </w:rPr>
              <w:t>Schedule reference</w:t>
            </w:r>
          </w:p>
        </w:tc>
        <w:tc>
          <w:tcPr>
            <w:tcW w:type="dxa" w:w="7272"/>
          </w:tcPr>
          <w:p>
            <w:r>
              <w:rPr>
                <w:sz w:val="18"/>
              </w:rPr>
            </w:r>
            <w:r>
              <w:rPr>
                <w:sz w:val="18"/>
              </w:rPr>
              <w:t>US-10 and US-14 tie the NY and IL AG notices to "expedient" or "&gt;500" without reference to the HHS filing.</w:t>
            </w:r>
          </w:p>
        </w:tc>
      </w:tr>
      <w:tr>
        <w:tc>
          <w:tcPr>
            <w:tcW w:type="dxa" w:w="2088"/>
            <w:shd w:val="clear" w:color="auto" w:fill="DCE6F1"/>
          </w:tcPr>
          <w:p>
            <w:r/>
            <w:r>
              <w:rPr>
                <w:b/>
                <w:sz w:val="18"/>
              </w:rPr>
              <w:t>Requirement</w:t>
            </w:r>
          </w:p>
        </w:tc>
        <w:tc>
          <w:tcPr>
            <w:tcW w:type="dxa" w:w="7272"/>
          </w:tcPr>
          <w:p>
            <w:r>
              <w:rPr>
                <w:sz w:val="18"/>
              </w:rPr>
            </w:r>
            <w:r>
              <w:rPr>
                <w:sz w:val="18"/>
              </w:rPr>
              <w:t xml:space="preserve">N.Y. Gen. Bus. Law § 899-aa(9): a HIPAA covered entity that must notify HHS must also notify the New York AG within </w:t>
            </w:r>
            <w:r>
              <w:rPr>
                <w:b/>
                <w:sz w:val="18"/>
              </w:rPr>
              <w:t>5 business days</w:t>
            </w:r>
            <w:r>
              <w:rPr>
                <w:sz w:val="18"/>
              </w:rPr>
              <w:t xml:space="preserve"> of notifying HHS. 815 ILCS 530/50: a HIPAA covered entity that complies with HIPAA is deemed compliant with PIPA but, where it must notify HHS, must notify the Illinois AG within </w:t>
            </w:r>
            <w:r>
              <w:rPr>
                <w:b/>
                <w:sz w:val="18"/>
              </w:rPr>
              <w:t>5 business days</w:t>
            </w:r>
            <w:r>
              <w:rPr>
                <w:sz w:val="18"/>
              </w:rPr>
              <w:t xml:space="preserve"> of doing so. The Guidance Memo does not address these provisions.</w:t>
            </w:r>
          </w:p>
        </w:tc>
      </w:tr>
      <w:tr>
        <w:tc>
          <w:tcPr>
            <w:tcW w:type="dxa" w:w="2088"/>
            <w:shd w:val="clear" w:color="auto" w:fill="DCE6F1"/>
          </w:tcPr>
          <w:p>
            <w:r/>
            <w:r>
              <w:rPr>
                <w:b/>
                <w:sz w:val="18"/>
              </w:rPr>
              <w:t>Gap / analysis</w:t>
            </w:r>
          </w:p>
        </w:tc>
        <w:tc>
          <w:tcPr>
            <w:tcW w:type="dxa" w:w="7272"/>
          </w:tcPr>
          <w:p>
            <w:r>
              <w:rPr>
                <w:sz w:val="18"/>
              </w:rPr>
            </w:r>
            <w:r>
              <w:rPr>
                <w:sz w:val="18"/>
              </w:rPr>
              <w:t>The NY and IL AG deadlines therefore depend on the date the HHS portal submission is made, not only on the date individual notices go out. The Schedule could produce a late AG filing if HHS is filed early and the AG is filed later with the individual notices.</w:t>
            </w:r>
          </w:p>
        </w:tc>
      </w:tr>
      <w:tr>
        <w:tc>
          <w:tcPr>
            <w:tcW w:type="dxa" w:w="2088"/>
            <w:shd w:val="clear" w:color="auto" w:fill="DCE6F1"/>
          </w:tcPr>
          <w:p>
            <w:r/>
            <w:r>
              <w:rPr>
                <w:b/>
                <w:sz w:val="18"/>
              </w:rPr>
              <w:t>Required corrective action</w:t>
            </w:r>
          </w:p>
        </w:tc>
        <w:tc>
          <w:tcPr>
            <w:tcW w:type="dxa" w:w="7272"/>
          </w:tcPr>
          <w:p>
            <w:r>
              <w:rPr>
                <w:sz w:val="18"/>
              </w:rPr>
            </w:r>
            <w:r>
              <w:rPr>
                <w:sz w:val="18"/>
              </w:rPr>
              <w:t>Add a trigger field linking US-10 and US-14 to the HHS submission (US-01). Recommended practice: file HHS, NY (AG, Department of State, State Police) and IL AG on the same day as the May 2 mail drop. Also provide the New York agencies with the content required by the Guidance Memo § IV.D.</w:t>
            </w:r>
          </w:p>
        </w:tc>
      </w:tr>
      <w:tr>
        <w:tc>
          <w:tcPr>
            <w:tcW w:type="dxa" w:w="2088"/>
            <w:shd w:val="clear" w:color="auto" w:fill="DCE6F1"/>
          </w:tcPr>
          <w:p>
            <w:r/>
            <w:r>
              <w:rPr>
                <w:b/>
                <w:sz w:val="18"/>
              </w:rPr>
              <w:t>Sources</w:t>
            </w:r>
          </w:p>
        </w:tc>
        <w:tc>
          <w:tcPr>
            <w:tcW w:type="dxa" w:w="7272"/>
          </w:tcPr>
          <w:p>
            <w:r>
              <w:rPr>
                <w:sz w:val="18"/>
              </w:rPr>
            </w:r>
            <w:r>
              <w:rPr>
                <w:sz w:val="18"/>
              </w:rPr>
              <w:t>US-01, US-10, US-14; Guidance Memo §§ IV.D, IV.F.</w:t>
            </w:r>
          </w:p>
        </w:tc>
      </w:tr>
    </w:tbl>
    <w:p/>
    <w:p>
      <w:pPr>
        <w:pStyle w:val="Heading3"/>
      </w:pPr>
      <w:r>
        <w:t>H-7  Ohio 45-day deadline calendared at 60 days</w:t>
      </w:r>
    </w:p>
    <w:tbl>
      <w:tblPr>
        <w:tblStyle w:val="TableGrid"/>
        <w:tblW w:type="auto" w:w="0"/>
        <w:tblLook w:firstColumn="1" w:firstRow="1" w:lastColumn="0" w:lastRow="0" w:noHBand="0" w:noVBand="1" w:val="04A0"/>
      </w:tblPr>
      <w:tblGrid>
        <w:gridCol w:w="4680"/>
        <w:gridCol w:w="4680"/>
      </w:tblGrid>
      <w:tr>
        <w:tc>
          <w:tcPr>
            <w:tcW w:type="dxa" w:w="2088"/>
            <w:shd w:val="clear" w:color="auto" w:fill="DCE6F1"/>
          </w:tcPr>
          <w:p>
            <w:r/>
            <w:r>
              <w:rPr>
                <w:b/>
                <w:sz w:val="18"/>
              </w:rPr>
              <w:t>Severity</w:t>
            </w:r>
          </w:p>
        </w:tc>
        <w:tc>
          <w:tcPr>
            <w:tcW w:type="dxa" w:w="7272"/>
            <w:shd w:val="clear" w:color="auto" w:fill="FCE5CD"/>
          </w:tcPr>
          <w:p>
            <w:r>
              <w:rPr>
                <w:sz w:val="18"/>
              </w:rPr>
            </w:r>
            <w:r>
              <w:rPr>
                <w:sz w:val="18"/>
              </w:rPr>
              <w:t>HIGH</w:t>
            </w:r>
          </w:p>
        </w:tc>
      </w:tr>
      <w:tr>
        <w:tc>
          <w:tcPr>
            <w:tcW w:type="dxa" w:w="2088"/>
            <w:shd w:val="clear" w:color="auto" w:fill="DCE6F1"/>
          </w:tcPr>
          <w:p>
            <w:r/>
            <w:r>
              <w:rPr>
                <w:b/>
                <w:sz w:val="18"/>
              </w:rPr>
              <w:t>Schedule reference</w:t>
            </w:r>
          </w:p>
        </w:tc>
        <w:tc>
          <w:tcPr>
            <w:tcW w:type="dxa" w:w="7272"/>
          </w:tcPr>
          <w:p>
            <w:r>
              <w:rPr>
                <w:sz w:val="18"/>
              </w:rPr>
            </w:r>
            <w:r>
              <w:rPr>
                <w:sz w:val="18"/>
              </w:rPr>
              <w:t>US-17 and Summary row OH ("no later than 45 days" stated, but the deadline is shown as June 1).</w:t>
            </w:r>
          </w:p>
        </w:tc>
      </w:tr>
      <w:tr>
        <w:tc>
          <w:tcPr>
            <w:tcW w:type="dxa" w:w="2088"/>
            <w:shd w:val="clear" w:color="auto" w:fill="DCE6F1"/>
          </w:tcPr>
          <w:p>
            <w:r/>
            <w:r>
              <w:rPr>
                <w:b/>
                <w:sz w:val="18"/>
              </w:rPr>
              <w:t>Requirement</w:t>
            </w:r>
          </w:p>
        </w:tc>
        <w:tc>
          <w:tcPr>
            <w:tcW w:type="dxa" w:w="7272"/>
          </w:tcPr>
          <w:p>
            <w:r>
              <w:rPr>
                <w:sz w:val="18"/>
              </w:rPr>
            </w:r>
            <w:r>
              <w:rPr>
                <w:sz w:val="18"/>
              </w:rPr>
              <w:t>Ohio Rev. Code § 1349.19: most expedient time possible, but no later than 45 days after discovery. Guidance Memo § IV.H and § VIII.A.</w:t>
            </w:r>
          </w:p>
        </w:tc>
      </w:tr>
      <w:tr>
        <w:tc>
          <w:tcPr>
            <w:tcW w:type="dxa" w:w="2088"/>
            <w:shd w:val="clear" w:color="auto" w:fill="DCE6F1"/>
          </w:tcPr>
          <w:p>
            <w:r/>
            <w:r>
              <w:rPr>
                <w:b/>
                <w:sz w:val="18"/>
              </w:rPr>
              <w:t>Gap / analysis</w:t>
            </w:r>
          </w:p>
        </w:tc>
        <w:tc>
          <w:tcPr>
            <w:tcW w:type="dxa" w:w="7272"/>
          </w:tcPr>
          <w:p>
            <w:r>
              <w:rPr>
                <w:sz w:val="18"/>
              </w:rPr>
            </w:r>
            <w:r>
              <w:rPr>
                <w:sz w:val="18"/>
              </w:rPr>
              <w:t xml:space="preserve">45 days from April 2 is </w:t>
            </w:r>
            <w:r>
              <w:rPr>
                <w:b/>
                <w:sz w:val="18"/>
              </w:rPr>
              <w:t>Saturday, May 17, 2025</w:t>
            </w:r>
            <w:r>
              <w:rPr>
                <w:sz w:val="18"/>
              </w:rPr>
              <w:t>. The Schedule’s June 1 date is 15 days late. (The same row also needs an Ohio CRA notice: see H-5.)</w:t>
            </w:r>
          </w:p>
        </w:tc>
      </w:tr>
      <w:tr>
        <w:tc>
          <w:tcPr>
            <w:tcW w:type="dxa" w:w="2088"/>
            <w:shd w:val="clear" w:color="auto" w:fill="DCE6F1"/>
          </w:tcPr>
          <w:p>
            <w:r/>
            <w:r>
              <w:rPr>
                <w:b/>
                <w:sz w:val="18"/>
              </w:rPr>
              <w:t>Required corrective action</w:t>
            </w:r>
          </w:p>
        </w:tc>
        <w:tc>
          <w:tcPr>
            <w:tcW w:type="dxa" w:w="7272"/>
          </w:tcPr>
          <w:p>
            <w:r>
              <w:rPr>
                <w:sz w:val="18"/>
              </w:rPr>
            </w:r>
            <w:r>
              <w:rPr>
                <w:sz w:val="18"/>
              </w:rPr>
              <w:t>Correct US-17 to May 17 (practical deadline Friday, May 16). The consolidated May 2 mail drop moots the issue if achieved, but the row must show the true legal deadline in case Ohio is split out of the mailing.</w:t>
            </w:r>
          </w:p>
        </w:tc>
      </w:tr>
      <w:tr>
        <w:tc>
          <w:tcPr>
            <w:tcW w:type="dxa" w:w="2088"/>
            <w:shd w:val="clear" w:color="auto" w:fill="DCE6F1"/>
          </w:tcPr>
          <w:p>
            <w:r/>
            <w:r>
              <w:rPr>
                <w:b/>
                <w:sz w:val="18"/>
              </w:rPr>
              <w:t>Sources</w:t>
            </w:r>
          </w:p>
        </w:tc>
        <w:tc>
          <w:tcPr>
            <w:tcW w:type="dxa" w:w="7272"/>
          </w:tcPr>
          <w:p>
            <w:r>
              <w:rPr>
                <w:sz w:val="18"/>
              </w:rPr>
            </w:r>
            <w:r>
              <w:rPr>
                <w:sz w:val="18"/>
              </w:rPr>
              <w:t>US-17; Guidance Memo §§ IV.H, VIII.A, VIII.B.2.</w:t>
            </w:r>
          </w:p>
        </w:tc>
      </w:tr>
    </w:tbl>
    <w:p/>
    <w:p>
      <w:pPr>
        <w:pStyle w:val="Heading3"/>
      </w:pPr>
      <w:r>
        <w:t>H-8  New York SHIELD Act mandatory content omitted</w:t>
      </w:r>
    </w:p>
    <w:tbl>
      <w:tblPr>
        <w:tblStyle w:val="TableGrid"/>
        <w:tblW w:type="auto" w:w="0"/>
        <w:tblLook w:firstColumn="1" w:firstRow="1" w:lastColumn="0" w:lastRow="0" w:noHBand="0" w:noVBand="1" w:val="04A0"/>
      </w:tblPr>
      <w:tblGrid>
        <w:gridCol w:w="4680"/>
        <w:gridCol w:w="4680"/>
      </w:tblGrid>
      <w:tr>
        <w:tc>
          <w:tcPr>
            <w:tcW w:type="dxa" w:w="2088"/>
            <w:shd w:val="clear" w:color="auto" w:fill="DCE6F1"/>
          </w:tcPr>
          <w:p>
            <w:r/>
            <w:r>
              <w:rPr>
                <w:b/>
                <w:sz w:val="18"/>
              </w:rPr>
              <w:t>Severity</w:t>
            </w:r>
          </w:p>
        </w:tc>
        <w:tc>
          <w:tcPr>
            <w:tcW w:type="dxa" w:w="7272"/>
            <w:shd w:val="clear" w:color="auto" w:fill="FCE5CD"/>
          </w:tcPr>
          <w:p>
            <w:r>
              <w:rPr>
                <w:sz w:val="18"/>
              </w:rPr>
            </w:r>
            <w:r>
              <w:rPr>
                <w:sz w:val="18"/>
              </w:rPr>
              <w:t>HIGH</w:t>
            </w:r>
          </w:p>
        </w:tc>
      </w:tr>
      <w:tr>
        <w:tc>
          <w:tcPr>
            <w:tcW w:type="dxa" w:w="2088"/>
            <w:shd w:val="clear" w:color="auto" w:fill="DCE6F1"/>
          </w:tcPr>
          <w:p>
            <w:r/>
            <w:r>
              <w:rPr>
                <w:b/>
                <w:sz w:val="18"/>
              </w:rPr>
              <w:t>Schedule reference</w:t>
            </w:r>
          </w:p>
        </w:tc>
        <w:tc>
          <w:tcPr>
            <w:tcW w:type="dxa" w:w="7272"/>
          </w:tcPr>
          <w:p>
            <w:r>
              <w:rPr>
                <w:sz w:val="18"/>
              </w:rPr>
            </w:r>
            <w:r>
              <w:rPr>
                <w:sz w:val="18"/>
              </w:rPr>
              <w:t>US-09 checklist ("Standard notice content … contact info for the entity"; note concedes the AG and CRA contact information is omitted).</w:t>
            </w:r>
          </w:p>
        </w:tc>
      </w:tr>
      <w:tr>
        <w:tc>
          <w:tcPr>
            <w:tcW w:type="dxa" w:w="2088"/>
            <w:shd w:val="clear" w:color="auto" w:fill="DCE6F1"/>
          </w:tcPr>
          <w:p>
            <w:r/>
            <w:r>
              <w:rPr>
                <w:b/>
                <w:sz w:val="18"/>
              </w:rPr>
              <w:t>Requirement</w:t>
            </w:r>
          </w:p>
        </w:tc>
        <w:tc>
          <w:tcPr>
            <w:tcW w:type="dxa" w:w="7272"/>
          </w:tcPr>
          <w:p>
            <w:r>
              <w:rPr>
                <w:sz w:val="18"/>
              </w:rPr>
            </w:r>
            <w:r>
              <w:rPr>
                <w:sz w:val="18"/>
              </w:rPr>
              <w:t>N.Y. Gen. Bus. Law § 899-aa: notice must include (1) the categories of information accessed or acquired, specifying which personal and private information elements were involved; (2) the entity’s contact information; (3) the telephone number and website of the NY Attorney General (and the other state agencies listed in the statute); (4) the telephone numbers and websites of the major CRAs; and (5) a general description of the breach. Guidance Memo § IV.D ("Each of these content elements is mandatory"), § VIII.A and § VIII.B.7.</w:t>
            </w:r>
          </w:p>
        </w:tc>
      </w:tr>
      <w:tr>
        <w:tc>
          <w:tcPr>
            <w:tcW w:type="dxa" w:w="2088"/>
            <w:shd w:val="clear" w:color="auto" w:fill="DCE6F1"/>
          </w:tcPr>
          <w:p>
            <w:r/>
            <w:r>
              <w:rPr>
                <w:b/>
                <w:sz w:val="18"/>
              </w:rPr>
              <w:t>Gap / analysis</w:t>
            </w:r>
          </w:p>
        </w:tc>
        <w:tc>
          <w:tcPr>
            <w:tcW w:type="dxa" w:w="7272"/>
          </w:tcPr>
          <w:p>
            <w:r>
              <w:rPr>
                <w:sz w:val="18"/>
              </w:rPr>
            </w:r>
            <w:r>
              <w:rPr>
                <w:sz w:val="18"/>
              </w:rPr>
              <w:t>A letter on the current checklist would be deficient for 41,200 New Yorkers. Even if Ridgeline argues that HIPAA-form notice satisfies New York’s individual notice requirement, including the New York elements costs nothing and removes the argument.</w:t>
            </w:r>
          </w:p>
        </w:tc>
      </w:tr>
      <w:tr>
        <w:tc>
          <w:tcPr>
            <w:tcW w:type="dxa" w:w="2088"/>
            <w:shd w:val="clear" w:color="auto" w:fill="DCE6F1"/>
          </w:tcPr>
          <w:p>
            <w:r/>
            <w:r>
              <w:rPr>
                <w:b/>
                <w:sz w:val="18"/>
              </w:rPr>
              <w:t>Required corrective action</w:t>
            </w:r>
          </w:p>
        </w:tc>
        <w:tc>
          <w:tcPr>
            <w:tcW w:type="dxa" w:w="7272"/>
          </w:tcPr>
          <w:p>
            <w:r>
              <w:rPr>
                <w:sz w:val="18"/>
              </w:rPr>
            </w:r>
            <w:r>
              <w:rPr>
                <w:sz w:val="18"/>
              </w:rPr>
              <w:t>Build a New York-specific letter or insert with the AG and CRA contact blocks (from Guidance Memo Appendix B) and an element-by-element list of the data involved. Add the 30-day deadline (C-5) and the 5-business-day AG filing (H-6).</w:t>
            </w:r>
          </w:p>
        </w:tc>
      </w:tr>
      <w:tr>
        <w:tc>
          <w:tcPr>
            <w:tcW w:type="dxa" w:w="2088"/>
            <w:shd w:val="clear" w:color="auto" w:fill="DCE6F1"/>
          </w:tcPr>
          <w:p>
            <w:r/>
            <w:r>
              <w:rPr>
                <w:b/>
                <w:sz w:val="18"/>
              </w:rPr>
              <w:t>Sources</w:t>
            </w:r>
          </w:p>
        </w:tc>
        <w:tc>
          <w:tcPr>
            <w:tcW w:type="dxa" w:w="7272"/>
          </w:tcPr>
          <w:p>
            <w:r>
              <w:rPr>
                <w:sz w:val="18"/>
              </w:rPr>
            </w:r>
            <w:r>
              <w:rPr>
                <w:sz w:val="18"/>
              </w:rPr>
              <w:t>US-09, US-10; Guidance Memo §§ IV.D, VIII.A, VIII.B.7, App. B.</w:t>
            </w:r>
          </w:p>
        </w:tc>
      </w:tr>
    </w:tbl>
    <w:p/>
    <w:p>
      <w:pPr>
        <w:pStyle w:val="Heading3"/>
      </w:pPr>
      <w:r>
        <w:t>H-9  AP notification lacks BSN-specific content</w:t>
      </w:r>
    </w:p>
    <w:tbl>
      <w:tblPr>
        <w:tblStyle w:val="TableGrid"/>
        <w:tblW w:type="auto" w:w="0"/>
        <w:tblLook w:firstColumn="1" w:firstRow="1" w:lastColumn="0" w:lastRow="0" w:noHBand="0" w:noVBand="1" w:val="04A0"/>
      </w:tblPr>
      <w:tblGrid>
        <w:gridCol w:w="4680"/>
        <w:gridCol w:w="4680"/>
      </w:tblGrid>
      <w:tr>
        <w:tc>
          <w:tcPr>
            <w:tcW w:type="dxa" w:w="2088"/>
            <w:shd w:val="clear" w:color="auto" w:fill="DCE6F1"/>
          </w:tcPr>
          <w:p>
            <w:r/>
            <w:r>
              <w:rPr>
                <w:b/>
                <w:sz w:val="18"/>
              </w:rPr>
              <w:t>Severity</w:t>
            </w:r>
          </w:p>
        </w:tc>
        <w:tc>
          <w:tcPr>
            <w:tcW w:type="dxa" w:w="7272"/>
            <w:shd w:val="clear" w:color="auto" w:fill="FCE5CD"/>
          </w:tcPr>
          <w:p>
            <w:r>
              <w:rPr>
                <w:sz w:val="18"/>
              </w:rPr>
            </w:r>
            <w:r>
              <w:rPr>
                <w:sz w:val="18"/>
              </w:rPr>
              <w:t>HIGH</w:t>
            </w:r>
          </w:p>
        </w:tc>
      </w:tr>
      <w:tr>
        <w:tc>
          <w:tcPr>
            <w:tcW w:type="dxa" w:w="2088"/>
            <w:shd w:val="clear" w:color="auto" w:fill="DCE6F1"/>
          </w:tcPr>
          <w:p>
            <w:r/>
            <w:r>
              <w:rPr>
                <w:b/>
                <w:sz w:val="18"/>
              </w:rPr>
              <w:t>Schedule reference</w:t>
            </w:r>
          </w:p>
        </w:tc>
        <w:tc>
          <w:tcPr>
            <w:tcW w:type="dxa" w:w="7272"/>
          </w:tcPr>
          <w:p>
            <w:r>
              <w:rPr>
                <w:sz w:val="18"/>
              </w:rPr>
            </w:r>
            <w:r>
              <w:rPr>
                <w:sz w:val="18"/>
              </w:rPr>
              <w:t>INT-01 (note: "Standard GDPR Art. 33 notification — no BSN-specific content elements included in checklist").</w:t>
            </w:r>
          </w:p>
        </w:tc>
      </w:tr>
      <w:tr>
        <w:tc>
          <w:tcPr>
            <w:tcW w:type="dxa" w:w="2088"/>
            <w:shd w:val="clear" w:color="auto" w:fill="DCE6F1"/>
          </w:tcPr>
          <w:p>
            <w:r/>
            <w:r>
              <w:rPr>
                <w:b/>
                <w:sz w:val="18"/>
              </w:rPr>
              <w:t>Requirement</w:t>
            </w:r>
          </w:p>
        </w:tc>
        <w:tc>
          <w:tcPr>
            <w:tcW w:type="dxa" w:w="7272"/>
          </w:tcPr>
          <w:p>
            <w:r>
              <w:rPr>
                <w:sz w:val="18"/>
              </w:rPr>
            </w:r>
            <w:r>
              <w:rPr>
                <w:sz w:val="18"/>
              </w:rPr>
              <w:t>GDPR Art. 33(3); UAVG Art. 46 (BSN processing) and AP guidance (Beleidsregels meldplicht datalekken). Guidance Memo § V.B (the notice must specifically identify the BSN compromise, give an elevated BSN identity-fraud risk assessment, and describe BSN-specific mitigation) and § VIII.B.5.</w:t>
            </w:r>
          </w:p>
        </w:tc>
      </w:tr>
      <w:tr>
        <w:tc>
          <w:tcPr>
            <w:tcW w:type="dxa" w:w="2088"/>
            <w:shd w:val="clear" w:color="auto" w:fill="DCE6F1"/>
          </w:tcPr>
          <w:p>
            <w:r/>
            <w:r>
              <w:rPr>
                <w:b/>
                <w:sz w:val="18"/>
              </w:rPr>
              <w:t>Gap / analysis</w:t>
            </w:r>
          </w:p>
        </w:tc>
        <w:tc>
          <w:tcPr>
            <w:tcW w:type="dxa" w:w="7272"/>
          </w:tcPr>
          <w:p>
            <w:r>
              <w:rPr>
                <w:sz w:val="18"/>
              </w:rPr>
            </w:r>
            <w:r>
              <w:rPr>
                <w:sz w:val="18"/>
              </w:rPr>
              <w:t>29,100 BSNs were exfiltrated with names, DOB, addresses and health data, which is enough for identity fraud with government, tax, healthcare and social-security bodies. A generic Art. 33 notice will draw follow-up questions from the AP and weaken the reasons-for-delay narrative.</w:t>
            </w:r>
          </w:p>
        </w:tc>
      </w:tr>
      <w:tr>
        <w:tc>
          <w:tcPr>
            <w:tcW w:type="dxa" w:w="2088"/>
            <w:shd w:val="clear" w:color="auto" w:fill="DCE6F1"/>
          </w:tcPr>
          <w:p>
            <w:r/>
            <w:r>
              <w:rPr>
                <w:b/>
                <w:sz w:val="18"/>
              </w:rPr>
              <w:t>Required corrective action</w:t>
            </w:r>
          </w:p>
        </w:tc>
        <w:tc>
          <w:tcPr>
            <w:tcW w:type="dxa" w:w="7272"/>
          </w:tcPr>
          <w:p>
            <w:r>
              <w:rPr>
                <w:sz w:val="18"/>
              </w:rPr>
            </w:r>
            <w:r>
              <w:rPr>
                <w:sz w:val="18"/>
              </w:rPr>
              <w:t>Add a BSN section to the AP filing: separate identification of the BSN data; a specific risk assessment (identity fraud, misuse in healthcare and insurance contexts, phishing using health data); and mitigation (identity-protection service for Dutch data subjects (M-3), guidance on contacting the Rijksdienst voor Identiteitsgegevens / Centraal Meldpunt Identiteitsfraude, monitoring for misuse). Mirror the practical advice in the Art. 34 letters.</w:t>
            </w:r>
          </w:p>
        </w:tc>
      </w:tr>
      <w:tr>
        <w:tc>
          <w:tcPr>
            <w:tcW w:type="dxa" w:w="2088"/>
            <w:shd w:val="clear" w:color="auto" w:fill="DCE6F1"/>
          </w:tcPr>
          <w:p>
            <w:r/>
            <w:r>
              <w:rPr>
                <w:b/>
                <w:sz w:val="18"/>
              </w:rPr>
              <w:t>Sources</w:t>
            </w:r>
          </w:p>
        </w:tc>
        <w:tc>
          <w:tcPr>
            <w:tcW w:type="dxa" w:w="7272"/>
          </w:tcPr>
          <w:p>
            <w:r>
              <w:rPr>
                <w:sz w:val="18"/>
              </w:rPr>
            </w:r>
            <w:r>
              <w:rPr>
                <w:sz w:val="18"/>
              </w:rPr>
              <w:t>INT-01; Incident Summary Report §§ 5.1, 6.2; Guidance Memo §§ V.B, V.D, VIII.B.5.</w:t>
            </w:r>
          </w:p>
        </w:tc>
      </w:tr>
    </w:tbl>
    <w:p/>
    <w:p>
      <w:pPr>
        <w:pStyle w:val="Heading3"/>
      </w:pPr>
      <w:r>
        <w:t>H-10  Generic "standard notice content" used where states mandate specific elements</w:t>
      </w:r>
    </w:p>
    <w:tbl>
      <w:tblPr>
        <w:tblStyle w:val="TableGrid"/>
        <w:tblW w:type="auto" w:w="0"/>
        <w:tblLook w:firstColumn="1" w:firstRow="1" w:lastColumn="0" w:lastRow="0" w:noHBand="0" w:noVBand="1" w:val="04A0"/>
      </w:tblPr>
      <w:tblGrid>
        <w:gridCol w:w="4680"/>
        <w:gridCol w:w="4680"/>
      </w:tblGrid>
      <w:tr>
        <w:tc>
          <w:tcPr>
            <w:tcW w:type="dxa" w:w="2088"/>
            <w:shd w:val="clear" w:color="auto" w:fill="DCE6F1"/>
          </w:tcPr>
          <w:p>
            <w:r/>
            <w:r>
              <w:rPr>
                <w:b/>
                <w:sz w:val="18"/>
              </w:rPr>
              <w:t>Severity</w:t>
            </w:r>
          </w:p>
        </w:tc>
        <w:tc>
          <w:tcPr>
            <w:tcW w:type="dxa" w:w="7272"/>
            <w:shd w:val="clear" w:color="auto" w:fill="FCE5CD"/>
          </w:tcPr>
          <w:p>
            <w:r>
              <w:rPr>
                <w:sz w:val="18"/>
              </w:rPr>
            </w:r>
            <w:r>
              <w:rPr>
                <w:sz w:val="18"/>
              </w:rPr>
              <w:t>HIGH</w:t>
            </w:r>
          </w:p>
        </w:tc>
      </w:tr>
      <w:tr>
        <w:tc>
          <w:tcPr>
            <w:tcW w:type="dxa" w:w="2088"/>
            <w:shd w:val="clear" w:color="auto" w:fill="DCE6F1"/>
          </w:tcPr>
          <w:p>
            <w:r/>
            <w:r>
              <w:rPr>
                <w:b/>
                <w:sz w:val="18"/>
              </w:rPr>
              <w:t>Schedule reference</w:t>
            </w:r>
          </w:p>
        </w:tc>
        <w:tc>
          <w:tcPr>
            <w:tcW w:type="dxa" w:w="7272"/>
          </w:tcPr>
          <w:p>
            <w:r>
              <w:rPr>
                <w:sz w:val="18"/>
              </w:rPr>
            </w:r>
            <w:r>
              <w:rPr>
                <w:sz w:val="18"/>
              </w:rPr>
              <w:t>US-03 (TX), US-13 (IL), US-15 (PA), US-17 (OH), US-18 (GA), US-19 (NJ), US-21 (MA), US-22 (CO) checklists read "Standard notice content"; US-06 (CA) is partially complete.</w:t>
            </w:r>
          </w:p>
        </w:tc>
      </w:tr>
      <w:tr>
        <w:tc>
          <w:tcPr>
            <w:tcW w:type="dxa" w:w="2088"/>
            <w:shd w:val="clear" w:color="auto" w:fill="DCE6F1"/>
          </w:tcPr>
          <w:p>
            <w:r/>
            <w:r>
              <w:rPr>
                <w:b/>
                <w:sz w:val="18"/>
              </w:rPr>
              <w:t>Requirement</w:t>
            </w:r>
          </w:p>
        </w:tc>
        <w:tc>
          <w:tcPr>
            <w:tcW w:type="dxa" w:w="7272"/>
          </w:tcPr>
          <w:p>
            <w:r>
              <w:rPr>
                <w:sz w:val="18"/>
              </w:rPr>
            </w:r>
            <w:r>
              <w:rPr>
                <w:sz w:val="18"/>
              </w:rPr>
              <w:t xml:space="preserve">Illinois (815 ILCS 530/10(a)): CRA and FTC toll-free numbers, addresses and websites, plus a statement that the individual can obtain information on fraud alerts and security freezes; the notice </w:t>
            </w:r>
            <w:r>
              <w:rPr>
                <w:b/>
                <w:sz w:val="18"/>
              </w:rPr>
              <w:t>must not</w:t>
            </w:r>
            <w:r>
              <w:rPr>
                <w:sz w:val="18"/>
              </w:rPr>
              <w:t xml:space="preserve"> state the number of Illinois residents affected. Colorado (C.R.S. § 6-1-716(2)(b)): date or estimated date range, description of the PI, entity contact information, CRA and FTC contact information, and a statement on fraud alerts and security freezes. Pennsylvania: general description, entity contact information, CRA contact information, and (under 2024 amendments, effective September 2024) an offer of at least 12 months of credit monitoring plus a free credit report where SSNs are involved. California (§ 1798.82(d)): include whether notice was delayed by law enforcement; because SSNs were involved and Ridgeline is the source of the breach, offer at least 12 months of identity theft prevention and mitigation services at no cost (24 months satisfies this). Massachusetts: see H-2. Texas: no prescribed letter content, but AG content requirements apply (C-5).</w:t>
            </w:r>
          </w:p>
          <w:p>
            <w:r>
              <w:rPr>
                <w:sz w:val="18"/>
              </w:rPr>
              <w:t>Guidance Memo § IV.A ("prepare jurisdiction-specific notification templates … rather than relying on a single generic notification") and § VIII.B.7.</w:t>
            </w:r>
          </w:p>
        </w:tc>
      </w:tr>
      <w:tr>
        <w:tc>
          <w:tcPr>
            <w:tcW w:type="dxa" w:w="2088"/>
            <w:shd w:val="clear" w:color="auto" w:fill="DCE6F1"/>
          </w:tcPr>
          <w:p>
            <w:r/>
            <w:r>
              <w:rPr>
                <w:b/>
                <w:sz w:val="18"/>
              </w:rPr>
              <w:t>Gap / analysis</w:t>
            </w:r>
          </w:p>
        </w:tc>
        <w:tc>
          <w:tcPr>
            <w:tcW w:type="dxa" w:w="7272"/>
          </w:tcPr>
          <w:p>
            <w:r>
              <w:rPr>
                <w:sz w:val="18"/>
              </w:rPr>
            </w:r>
            <w:r>
              <w:rPr>
                <w:sz w:val="18"/>
              </w:rPr>
              <w:t>One generic letter will fail Illinois, Colorado, Massachusetts and New York content rules, and the Illinois and Massachusetts prohibitions mean a single "maximal" letter will not work either.</w:t>
            </w:r>
          </w:p>
        </w:tc>
      </w:tr>
      <w:tr>
        <w:tc>
          <w:tcPr>
            <w:tcW w:type="dxa" w:w="2088"/>
            <w:shd w:val="clear" w:color="auto" w:fill="DCE6F1"/>
          </w:tcPr>
          <w:p>
            <w:r/>
            <w:r>
              <w:rPr>
                <w:b/>
                <w:sz w:val="18"/>
              </w:rPr>
              <w:t>Required corrective action</w:t>
            </w:r>
          </w:p>
        </w:tc>
        <w:tc>
          <w:tcPr>
            <w:tcW w:type="dxa" w:w="7272"/>
          </w:tcPr>
          <w:p>
            <w:r>
              <w:rPr>
                <w:sz w:val="18"/>
              </w:rPr>
            </w:r>
            <w:r>
              <w:rPr>
                <w:sz w:val="18"/>
              </w:rPr>
              <w:t>Adopt a base HIPAA § 164.404(c) letter plus state inserts (IL, CO, PA, MA, NY, CA), with a Massachusetts-specific variant. Thornfield will provide an element-by-element content matrix with the template package; confirm the post-Guidance Memo amendments (PA, NY) at that time.</w:t>
            </w:r>
          </w:p>
        </w:tc>
      </w:tr>
      <w:tr>
        <w:tc>
          <w:tcPr>
            <w:tcW w:type="dxa" w:w="2088"/>
            <w:shd w:val="clear" w:color="auto" w:fill="DCE6F1"/>
          </w:tcPr>
          <w:p>
            <w:r/>
            <w:r>
              <w:rPr>
                <w:b/>
                <w:sz w:val="18"/>
              </w:rPr>
              <w:t>Sources</w:t>
            </w:r>
          </w:p>
        </w:tc>
        <w:tc>
          <w:tcPr>
            <w:tcW w:type="dxa" w:w="7272"/>
          </w:tcPr>
          <w:p>
            <w:r>
              <w:rPr>
                <w:sz w:val="18"/>
              </w:rPr>
            </w:r>
            <w:r>
              <w:rPr>
                <w:sz w:val="18"/>
              </w:rPr>
              <w:t>Schedule rows cited; Guidance Memo §§ IV.A–IV.L, VIII.B.7.</w:t>
            </w:r>
          </w:p>
        </w:tc>
      </w:tr>
    </w:tbl>
    <w:p/>
    <w:p>
      <w:pPr>
        <w:pStyle w:val="Heading2"/>
      </w:pPr>
      <w:r>
        <w:t>C. MEDIUM Findings</w:t>
      </w:r>
    </w:p>
    <w:p>
      <w:pPr>
        <w:pStyle w:val="Heading3"/>
      </w:pPr>
      <w:r>
        <w:t>M-1  New Jersey State Police notice must come before resident notice</w:t>
      </w:r>
    </w:p>
    <w:tbl>
      <w:tblPr>
        <w:tblStyle w:val="TableGrid"/>
        <w:tblW w:type="auto" w:w="0"/>
        <w:tblLook w:firstColumn="1" w:firstRow="1" w:lastColumn="0" w:lastRow="0" w:noHBand="0" w:noVBand="1" w:val="04A0"/>
      </w:tblPr>
      <w:tblGrid>
        <w:gridCol w:w="4680"/>
        <w:gridCol w:w="4680"/>
      </w:tblGrid>
      <w:tr>
        <w:tc>
          <w:tcPr>
            <w:tcW w:type="dxa" w:w="2088"/>
            <w:shd w:val="clear" w:color="auto" w:fill="DCE6F1"/>
          </w:tcPr>
          <w:p>
            <w:r/>
            <w:r>
              <w:rPr>
                <w:b/>
                <w:sz w:val="18"/>
              </w:rPr>
              <w:t>Severity</w:t>
            </w:r>
          </w:p>
        </w:tc>
        <w:tc>
          <w:tcPr>
            <w:tcW w:type="dxa" w:w="7272"/>
            <w:shd w:val="clear" w:color="auto" w:fill="FFF2CC"/>
          </w:tcPr>
          <w:p>
            <w:r>
              <w:rPr>
                <w:sz w:val="18"/>
              </w:rPr>
            </w:r>
            <w:r>
              <w:rPr>
                <w:sz w:val="18"/>
              </w:rPr>
              <w:t>MEDIUM</w:t>
            </w:r>
          </w:p>
        </w:tc>
      </w:tr>
      <w:tr>
        <w:tc>
          <w:tcPr>
            <w:tcW w:type="dxa" w:w="2088"/>
            <w:shd w:val="clear" w:color="auto" w:fill="DCE6F1"/>
          </w:tcPr>
          <w:p>
            <w:r/>
            <w:r>
              <w:rPr>
                <w:b/>
                <w:sz w:val="18"/>
              </w:rPr>
              <w:t>Schedule reference</w:t>
            </w:r>
          </w:p>
        </w:tc>
        <w:tc>
          <w:tcPr>
            <w:tcW w:type="dxa" w:w="7272"/>
          </w:tcPr>
          <w:p>
            <w:r>
              <w:rPr>
                <w:sz w:val="18"/>
              </w:rPr>
            </w:r>
            <w:r>
              <w:rPr>
                <w:sz w:val="18"/>
              </w:rPr>
              <w:t>US-20 ("Prior to or concurrent with individual notification"; deadline June 1).</w:t>
            </w:r>
          </w:p>
        </w:tc>
      </w:tr>
      <w:tr>
        <w:tc>
          <w:tcPr>
            <w:tcW w:type="dxa" w:w="2088"/>
            <w:shd w:val="clear" w:color="auto" w:fill="DCE6F1"/>
          </w:tcPr>
          <w:p>
            <w:r/>
            <w:r>
              <w:rPr>
                <w:b/>
                <w:sz w:val="18"/>
              </w:rPr>
              <w:t>Requirement</w:t>
            </w:r>
          </w:p>
        </w:tc>
        <w:tc>
          <w:tcPr>
            <w:tcW w:type="dxa" w:w="7272"/>
          </w:tcPr>
          <w:p>
            <w:r>
              <w:rPr>
                <w:sz w:val="18"/>
              </w:rPr>
            </w:r>
            <w:r>
              <w:rPr>
                <w:sz w:val="18"/>
              </w:rPr>
              <w:t xml:space="preserve">N.J.S.A. § 56:8-163(c)(1): report to the Division of State Police </w:t>
            </w:r>
            <w:r>
              <w:rPr>
                <w:b/>
                <w:sz w:val="18"/>
              </w:rPr>
              <w:t>before</w:t>
            </w:r>
            <w:r>
              <w:rPr>
                <w:sz w:val="18"/>
              </w:rPr>
              <w:t xml:space="preserve"> notifying customers. Guidance Memo § IV.J ("pre-notification requirement"), § IV.M.</w:t>
            </w:r>
          </w:p>
        </w:tc>
      </w:tr>
      <w:tr>
        <w:tc>
          <w:tcPr>
            <w:tcW w:type="dxa" w:w="2088"/>
            <w:shd w:val="clear" w:color="auto" w:fill="DCE6F1"/>
          </w:tcPr>
          <w:p>
            <w:r/>
            <w:r>
              <w:rPr>
                <w:b/>
                <w:sz w:val="18"/>
              </w:rPr>
              <w:t>Gap / analysis</w:t>
            </w:r>
          </w:p>
        </w:tc>
        <w:tc>
          <w:tcPr>
            <w:tcW w:type="dxa" w:w="7272"/>
          </w:tcPr>
          <w:p>
            <w:r>
              <w:rPr>
                <w:sz w:val="18"/>
              </w:rPr>
            </w:r>
            <w:r>
              <w:rPr>
                <w:sz w:val="18"/>
              </w:rPr>
              <w:t>"Concurrent" does not meet the statute. A June 1 date for the State Police paired with an earlier NJ mailing would put the sequence out of order.</w:t>
            </w:r>
          </w:p>
        </w:tc>
      </w:tr>
      <w:tr>
        <w:tc>
          <w:tcPr>
            <w:tcW w:type="dxa" w:w="2088"/>
            <w:shd w:val="clear" w:color="auto" w:fill="DCE6F1"/>
          </w:tcPr>
          <w:p>
            <w:r/>
            <w:r>
              <w:rPr>
                <w:b/>
                <w:sz w:val="18"/>
              </w:rPr>
              <w:t>Required corrective action</w:t>
            </w:r>
          </w:p>
        </w:tc>
        <w:tc>
          <w:tcPr>
            <w:tcW w:type="dxa" w:w="7272"/>
          </w:tcPr>
          <w:p>
            <w:r>
              <w:rPr>
                <w:sz w:val="18"/>
              </w:rPr>
            </w:r>
            <w:r>
              <w:rPr>
                <w:sz w:val="18"/>
              </w:rPr>
              <w:t>Re-label US-20 as "Before NJ resident notice" and set it to April 30 (ahead of the May 2 mail drop). File through the NJSP Cyber Crimes Unit reporting channel and keep proof of the filing date.</w:t>
            </w:r>
          </w:p>
        </w:tc>
      </w:tr>
      <w:tr>
        <w:tc>
          <w:tcPr>
            <w:tcW w:type="dxa" w:w="2088"/>
            <w:shd w:val="clear" w:color="auto" w:fill="DCE6F1"/>
          </w:tcPr>
          <w:p>
            <w:r/>
            <w:r>
              <w:rPr>
                <w:b/>
                <w:sz w:val="18"/>
              </w:rPr>
              <w:t>Sources</w:t>
            </w:r>
          </w:p>
        </w:tc>
        <w:tc>
          <w:tcPr>
            <w:tcW w:type="dxa" w:w="7272"/>
          </w:tcPr>
          <w:p>
            <w:r>
              <w:rPr>
                <w:sz w:val="18"/>
              </w:rPr>
            </w:r>
            <w:r>
              <w:rPr>
                <w:sz w:val="18"/>
              </w:rPr>
              <w:t>US-19, US-20; Guidance Memo §§ IV.J, VIII.A.</w:t>
            </w:r>
          </w:p>
        </w:tc>
      </w:tr>
    </w:tbl>
    <w:p/>
    <w:p>
      <w:pPr>
        <w:pStyle w:val="Heading3"/>
      </w:pPr>
      <w:r>
        <w:t>M-2  HIPAA individual notice content and method items incomplete</w:t>
      </w:r>
    </w:p>
    <w:tbl>
      <w:tblPr>
        <w:tblStyle w:val="TableGrid"/>
        <w:tblW w:type="auto" w:w="0"/>
        <w:tblLook w:firstColumn="1" w:firstRow="1" w:lastColumn="0" w:lastRow="0" w:noHBand="0" w:noVBand="1" w:val="04A0"/>
      </w:tblPr>
      <w:tblGrid>
        <w:gridCol w:w="4680"/>
        <w:gridCol w:w="4680"/>
      </w:tblGrid>
      <w:tr>
        <w:tc>
          <w:tcPr>
            <w:tcW w:type="dxa" w:w="2088"/>
            <w:shd w:val="clear" w:color="auto" w:fill="DCE6F1"/>
          </w:tcPr>
          <w:p>
            <w:r/>
            <w:r>
              <w:rPr>
                <w:b/>
                <w:sz w:val="18"/>
              </w:rPr>
              <w:t>Severity</w:t>
            </w:r>
          </w:p>
        </w:tc>
        <w:tc>
          <w:tcPr>
            <w:tcW w:type="dxa" w:w="7272"/>
            <w:shd w:val="clear" w:color="auto" w:fill="FFF2CC"/>
          </w:tcPr>
          <w:p>
            <w:r>
              <w:rPr>
                <w:sz w:val="18"/>
              </w:rPr>
            </w:r>
            <w:r>
              <w:rPr>
                <w:sz w:val="18"/>
              </w:rPr>
              <w:t>MEDIUM</w:t>
            </w:r>
          </w:p>
        </w:tc>
      </w:tr>
      <w:tr>
        <w:tc>
          <w:tcPr>
            <w:tcW w:type="dxa" w:w="2088"/>
            <w:shd w:val="clear" w:color="auto" w:fill="DCE6F1"/>
          </w:tcPr>
          <w:p>
            <w:r/>
            <w:r>
              <w:rPr>
                <w:b/>
                <w:sz w:val="18"/>
              </w:rPr>
              <w:t>Schedule reference</w:t>
            </w:r>
          </w:p>
        </w:tc>
        <w:tc>
          <w:tcPr>
            <w:tcW w:type="dxa" w:w="7272"/>
          </w:tcPr>
          <w:p>
            <w:r>
              <w:rPr>
                <w:sz w:val="18"/>
              </w:rPr>
            </w:r>
            <w:r>
              <w:rPr>
                <w:sz w:val="18"/>
              </w:rPr>
              <w:t>US-02 checklist; no substitute-notice or call-center row.</w:t>
            </w:r>
          </w:p>
        </w:tc>
      </w:tr>
      <w:tr>
        <w:tc>
          <w:tcPr>
            <w:tcW w:type="dxa" w:w="2088"/>
            <w:shd w:val="clear" w:color="auto" w:fill="DCE6F1"/>
          </w:tcPr>
          <w:p>
            <w:r/>
            <w:r>
              <w:rPr>
                <w:b/>
                <w:sz w:val="18"/>
              </w:rPr>
              <w:t>Requirement</w:t>
            </w:r>
          </w:p>
        </w:tc>
        <w:tc>
          <w:tcPr>
            <w:tcW w:type="dxa" w:w="7272"/>
          </w:tcPr>
          <w:p>
            <w:r>
              <w:rPr>
                <w:sz w:val="18"/>
              </w:rPr>
            </w:r>
            <w:r>
              <w:rPr>
                <w:sz w:val="18"/>
              </w:rPr>
              <w:t xml:space="preserve">45 CFR § 164.404(c): plain-language notice including the date of breach </w:t>
            </w:r>
            <w:r>
              <w:rPr>
                <w:b/>
                <w:sz w:val="18"/>
              </w:rPr>
              <w:t>and date of discovery</w:t>
            </w:r>
            <w:r>
              <w:rPr>
                <w:sz w:val="18"/>
              </w:rPr>
              <w:t xml:space="preserve">; contact procedures including a toll-free number, email address, website or postal address. § 164.404(d)(2): if contact information is out of date for 10 or more people, substitute notice by a 90-day website posting or major media, </w:t>
            </w:r>
            <w:r>
              <w:rPr>
                <w:b/>
                <w:sz w:val="18"/>
              </w:rPr>
              <w:t>plus a toll-free number active for 90 days</w:t>
            </w:r>
            <w:r>
              <w:rPr>
                <w:sz w:val="18"/>
              </w:rPr>
              <w:t>. § 164.404(d)(3): urgent telephone notice where misuse is imminent.</w:t>
            </w:r>
          </w:p>
        </w:tc>
      </w:tr>
      <w:tr>
        <w:tc>
          <w:tcPr>
            <w:tcW w:type="dxa" w:w="2088"/>
            <w:shd w:val="clear" w:color="auto" w:fill="DCE6F1"/>
          </w:tcPr>
          <w:p>
            <w:r/>
            <w:r>
              <w:rPr>
                <w:b/>
                <w:sz w:val="18"/>
              </w:rPr>
              <w:t>Gap / analysis</w:t>
            </w:r>
          </w:p>
        </w:tc>
        <w:tc>
          <w:tcPr>
            <w:tcW w:type="dxa" w:w="7272"/>
          </w:tcPr>
          <w:p>
            <w:r>
              <w:rPr>
                <w:sz w:val="18"/>
              </w:rPr>
            </w:r>
            <w:r>
              <w:rPr>
                <w:sz w:val="18"/>
              </w:rPr>
              <w:t>With 273,500 U.S. addresses, returned mail will certainly exceed 10, which triggers the substitute-notice duties. The checklist omits the discovery date (which must read April 2, consistent with C-1) and the toll-free line. A Spanish-language version is advisable given the population served.</w:t>
            </w:r>
          </w:p>
        </w:tc>
      </w:tr>
      <w:tr>
        <w:tc>
          <w:tcPr>
            <w:tcW w:type="dxa" w:w="2088"/>
            <w:shd w:val="clear" w:color="auto" w:fill="DCE6F1"/>
          </w:tcPr>
          <w:p>
            <w:r/>
            <w:r>
              <w:rPr>
                <w:b/>
                <w:sz w:val="18"/>
              </w:rPr>
              <w:t>Required corrective action</w:t>
            </w:r>
          </w:p>
        </w:tc>
        <w:tc>
          <w:tcPr>
            <w:tcW w:type="dxa" w:w="7272"/>
          </w:tcPr>
          <w:p>
            <w:r>
              <w:rPr>
                <w:sz w:val="18"/>
              </w:rPr>
            </w:r>
            <w:r>
              <w:rPr>
                <w:sz w:val="18"/>
              </w:rPr>
              <w:t>Add rows for: the call center (toll-free, live by mail-drop day, staffed for 90+ days); the website posting; a returned-mail and substitute notice workflow; and a U.S. letter template that states the March 19 – April 2 breach window and the April 2 discovery date.</w:t>
            </w:r>
          </w:p>
        </w:tc>
      </w:tr>
      <w:tr>
        <w:tc>
          <w:tcPr>
            <w:tcW w:type="dxa" w:w="2088"/>
            <w:shd w:val="clear" w:color="auto" w:fill="DCE6F1"/>
          </w:tcPr>
          <w:p>
            <w:r/>
            <w:r>
              <w:rPr>
                <w:b/>
                <w:sz w:val="18"/>
              </w:rPr>
              <w:t>Sources</w:t>
            </w:r>
          </w:p>
        </w:tc>
        <w:tc>
          <w:tcPr>
            <w:tcW w:type="dxa" w:w="7272"/>
          </w:tcPr>
          <w:p>
            <w:r>
              <w:rPr>
                <w:sz w:val="18"/>
              </w:rPr>
            </w:r>
            <w:r>
              <w:rPr>
                <w:sz w:val="18"/>
              </w:rPr>
              <w:t>US-02; Guidance Memo § III.B.</w:t>
            </w:r>
          </w:p>
        </w:tc>
      </w:tr>
    </w:tbl>
    <w:p/>
    <w:p>
      <w:pPr>
        <w:pStyle w:val="Heading3"/>
      </w:pPr>
      <w:r>
        <w:t>M-3  Credit monitoring and identity protection: inconsistent figures and no offer to NL/BR individuals</w:t>
      </w:r>
    </w:p>
    <w:tbl>
      <w:tblPr>
        <w:tblStyle w:val="TableGrid"/>
        <w:tblW w:type="auto" w:w="0"/>
        <w:tblLook w:firstColumn="1" w:firstRow="1" w:lastColumn="0" w:lastRow="0" w:noHBand="0" w:noVBand="1" w:val="04A0"/>
      </w:tblPr>
      <w:tblGrid>
        <w:gridCol w:w="4680"/>
        <w:gridCol w:w="4680"/>
      </w:tblGrid>
      <w:tr>
        <w:tc>
          <w:tcPr>
            <w:tcW w:type="dxa" w:w="2088"/>
            <w:shd w:val="clear" w:color="auto" w:fill="DCE6F1"/>
          </w:tcPr>
          <w:p>
            <w:r/>
            <w:r>
              <w:rPr>
                <w:b/>
                <w:sz w:val="18"/>
              </w:rPr>
              <w:t>Severity</w:t>
            </w:r>
          </w:p>
        </w:tc>
        <w:tc>
          <w:tcPr>
            <w:tcW w:type="dxa" w:w="7272"/>
            <w:shd w:val="clear" w:color="auto" w:fill="FFF2CC"/>
          </w:tcPr>
          <w:p>
            <w:r>
              <w:rPr>
                <w:sz w:val="18"/>
              </w:rPr>
            </w:r>
            <w:r>
              <w:rPr>
                <w:sz w:val="18"/>
              </w:rPr>
              <w:t>MEDIUM</w:t>
            </w:r>
          </w:p>
        </w:tc>
      </w:tr>
      <w:tr>
        <w:tc>
          <w:tcPr>
            <w:tcW w:type="dxa" w:w="2088"/>
            <w:shd w:val="clear" w:color="auto" w:fill="DCE6F1"/>
          </w:tcPr>
          <w:p>
            <w:r/>
            <w:r>
              <w:rPr>
                <w:b/>
                <w:sz w:val="18"/>
              </w:rPr>
              <w:t>Schedule reference</w:t>
            </w:r>
          </w:p>
        </w:tc>
        <w:tc>
          <w:tcPr>
            <w:tcW w:type="dxa" w:w="7272"/>
          </w:tcPr>
          <w:p>
            <w:r>
              <w:rPr>
                <w:sz w:val="18"/>
              </w:rPr>
            </w:r>
            <w:r>
              <w:rPr>
                <w:sz w:val="18"/>
              </w:rPr>
              <w:t>Summary row "Credit Monitoring Offer (all U.S.) 273,500 … est. cost $71,136,000"; US-02 ("273,500 × $9.50/mo × 24 = $62,358,000"); no INT row.</w:t>
            </w:r>
          </w:p>
        </w:tc>
      </w:tr>
      <w:tr>
        <w:tc>
          <w:tcPr>
            <w:tcW w:type="dxa" w:w="2088"/>
            <w:shd w:val="clear" w:color="auto" w:fill="DCE6F1"/>
          </w:tcPr>
          <w:p>
            <w:r/>
            <w:r>
              <w:rPr>
                <w:b/>
                <w:sz w:val="18"/>
              </w:rPr>
              <w:t>Requirement</w:t>
            </w:r>
          </w:p>
        </w:tc>
        <w:tc>
          <w:tcPr>
            <w:tcW w:type="dxa" w:w="7272"/>
          </w:tcPr>
          <w:p>
            <w:r>
              <w:rPr>
                <w:sz w:val="18"/>
              </w:rPr>
            </w:r>
            <w:r>
              <w:rPr>
                <w:sz w:val="18"/>
              </w:rPr>
              <w:t>State minimums: MA 18 months (ch. 93H § 3A); CA at least 12 months (§ 1798.82(d)(2)(G)); PA 12 months (2024 amendment); offers must be described in the letters. GDPR Arts. 33(3)(d) and 34(2) and LGPD Art. 48 § 1 V require a description of mitigation measures. The AP expects BSN-specific mitigation (Guidance Memo § V.B).</w:t>
            </w:r>
          </w:p>
        </w:tc>
      </w:tr>
      <w:tr>
        <w:tc>
          <w:tcPr>
            <w:tcW w:type="dxa" w:w="2088"/>
            <w:shd w:val="clear" w:color="auto" w:fill="DCE6F1"/>
          </w:tcPr>
          <w:p>
            <w:r/>
            <w:r>
              <w:rPr>
                <w:b/>
                <w:sz w:val="18"/>
              </w:rPr>
              <w:t>Gap / analysis</w:t>
            </w:r>
          </w:p>
        </w:tc>
        <w:tc>
          <w:tcPr>
            <w:tcW w:type="dxa" w:w="7272"/>
          </w:tcPr>
          <w:p>
            <w:r>
              <w:rPr>
                <w:sz w:val="18"/>
              </w:rPr>
            </w:r>
            <w:r>
              <w:rPr>
                <w:sz w:val="18"/>
              </w:rPr>
              <w:t>$71,136,000 is the 312,000-person figure (Incident Summary Report § 8.3), but the Schedule offers monitoring only to U.S. residents, where the correct cost is $62,358,000 (273,500 × $9.50 × 24). The Board will see two inconsistent numbers. More importantly, 38,500 NL and BR individuals have no protection offer, which weakens the Art. 33, Art. 34 and ANPD filings.</w:t>
            </w:r>
          </w:p>
        </w:tc>
      </w:tr>
      <w:tr>
        <w:tc>
          <w:tcPr>
            <w:tcW w:type="dxa" w:w="2088"/>
            <w:shd w:val="clear" w:color="auto" w:fill="DCE6F1"/>
          </w:tcPr>
          <w:p>
            <w:r/>
            <w:r>
              <w:rPr>
                <w:b/>
                <w:sz w:val="18"/>
              </w:rPr>
              <w:t>Required corrective action</w:t>
            </w:r>
          </w:p>
        </w:tc>
        <w:tc>
          <w:tcPr>
            <w:tcW w:type="dxa" w:w="7272"/>
          </w:tcPr>
          <w:p>
            <w:r>
              <w:rPr>
                <w:sz w:val="18"/>
              </w:rPr>
            </w:r>
            <w:r>
              <w:rPr>
                <w:sz w:val="18"/>
              </w:rPr>
              <w:t>Reconcile the figures ($62.36M U.S. at the current rate; add a separately priced NL/BR identity-protection service suitable for those jurisdictions). The 24-month offer satisfies all U.S. minimums. Track recovery of these costs from Pinnacle under BAA § 6.2(ii) (M-6).</w:t>
            </w:r>
          </w:p>
        </w:tc>
      </w:tr>
      <w:tr>
        <w:tc>
          <w:tcPr>
            <w:tcW w:type="dxa" w:w="2088"/>
            <w:shd w:val="clear" w:color="auto" w:fill="DCE6F1"/>
          </w:tcPr>
          <w:p>
            <w:r/>
            <w:r>
              <w:rPr>
                <w:b/>
                <w:sz w:val="18"/>
              </w:rPr>
              <w:t>Sources</w:t>
            </w:r>
          </w:p>
        </w:tc>
        <w:tc>
          <w:tcPr>
            <w:tcW w:type="dxa" w:w="7272"/>
          </w:tcPr>
          <w:p>
            <w:r>
              <w:rPr>
                <w:sz w:val="18"/>
              </w:rPr>
            </w:r>
            <w:r>
              <w:rPr>
                <w:sz w:val="18"/>
              </w:rPr>
              <w:t>Summary; US-02; Incident Summary Report §§ 8.3, 10(8); BAA § 6.2.</w:t>
            </w:r>
          </w:p>
        </w:tc>
      </w:tr>
    </w:tbl>
    <w:p/>
    <w:p>
      <w:pPr>
        <w:pStyle w:val="Heading3"/>
      </w:pPr>
      <w:r>
        <w:t>M-4  Pinnacle’s role for EU and Brazilian data, and the US-hosting transfer issue, are not addressed</w:t>
      </w:r>
    </w:p>
    <w:tbl>
      <w:tblPr>
        <w:tblStyle w:val="TableGrid"/>
        <w:tblW w:type="auto" w:w="0"/>
        <w:tblLook w:firstColumn="1" w:firstRow="1" w:lastColumn="0" w:lastRow="0" w:noHBand="0" w:noVBand="1" w:val="04A0"/>
      </w:tblPr>
      <w:tblGrid>
        <w:gridCol w:w="4680"/>
        <w:gridCol w:w="4680"/>
      </w:tblGrid>
      <w:tr>
        <w:tc>
          <w:tcPr>
            <w:tcW w:type="dxa" w:w="2088"/>
            <w:shd w:val="clear" w:color="auto" w:fill="DCE6F1"/>
          </w:tcPr>
          <w:p>
            <w:r/>
            <w:r>
              <w:rPr>
                <w:b/>
                <w:sz w:val="18"/>
              </w:rPr>
              <w:t>Severity</w:t>
            </w:r>
          </w:p>
        </w:tc>
        <w:tc>
          <w:tcPr>
            <w:tcW w:type="dxa" w:w="7272"/>
            <w:shd w:val="clear" w:color="auto" w:fill="FFF2CC"/>
          </w:tcPr>
          <w:p>
            <w:r>
              <w:rPr>
                <w:sz w:val="18"/>
              </w:rPr>
            </w:r>
            <w:r>
              <w:rPr>
                <w:sz w:val="18"/>
              </w:rPr>
              <w:t>MEDIUM</w:t>
            </w:r>
          </w:p>
        </w:tc>
      </w:tr>
      <w:tr>
        <w:tc>
          <w:tcPr>
            <w:tcW w:type="dxa" w:w="2088"/>
            <w:shd w:val="clear" w:color="auto" w:fill="DCE6F1"/>
          </w:tcPr>
          <w:p>
            <w:r/>
            <w:r>
              <w:rPr>
                <w:b/>
                <w:sz w:val="18"/>
              </w:rPr>
              <w:t>Schedule reference</w:t>
            </w:r>
          </w:p>
        </w:tc>
        <w:tc>
          <w:tcPr>
            <w:tcW w:type="dxa" w:w="7272"/>
          </w:tcPr>
          <w:p>
            <w:r>
              <w:rPr>
                <w:sz w:val="18"/>
              </w:rPr>
            </w:r>
            <w:r>
              <w:rPr>
                <w:sz w:val="18"/>
              </w:rPr>
              <w:t>International Detail has no processor/operator row; the BAA covers only RCS PHI.</w:t>
            </w:r>
          </w:p>
        </w:tc>
      </w:tr>
      <w:tr>
        <w:tc>
          <w:tcPr>
            <w:tcW w:type="dxa" w:w="2088"/>
            <w:shd w:val="clear" w:color="auto" w:fill="DCE6F1"/>
          </w:tcPr>
          <w:p>
            <w:r/>
            <w:r>
              <w:rPr>
                <w:b/>
                <w:sz w:val="18"/>
              </w:rPr>
              <w:t>Requirement</w:t>
            </w:r>
          </w:p>
        </w:tc>
        <w:tc>
          <w:tcPr>
            <w:tcW w:type="dxa" w:w="7272"/>
          </w:tcPr>
          <w:p>
            <w:r>
              <w:rPr>
                <w:sz w:val="18"/>
              </w:rPr>
            </w:r>
            <w:r>
              <w:rPr>
                <w:sz w:val="18"/>
              </w:rPr>
              <w:t>GDPR Art. 28 (processor contract), Art. 33(2) (processor must notify the controller without undue delay), Chapter V (transfers: the single consolidated database is in AWS us-east-1); LGPD Arts. 33–36 (international transfer), Art. 39 (operator acts under controller instructions), Art. 48. Guidance Memo § VII.E (review other vendor and processing agreements).</w:t>
            </w:r>
          </w:p>
        </w:tc>
      </w:tr>
      <w:tr>
        <w:tc>
          <w:tcPr>
            <w:tcW w:type="dxa" w:w="2088"/>
            <w:shd w:val="clear" w:color="auto" w:fill="DCE6F1"/>
          </w:tcPr>
          <w:p>
            <w:r/>
            <w:r>
              <w:rPr>
                <w:b/>
                <w:sz w:val="18"/>
              </w:rPr>
              <w:t>Gap / analysis</w:t>
            </w:r>
          </w:p>
        </w:tc>
        <w:tc>
          <w:tcPr>
            <w:tcW w:type="dxa" w:w="7272"/>
          </w:tcPr>
          <w:p>
            <w:r>
              <w:rPr>
                <w:sz w:val="18"/>
              </w:rPr>
            </w:r>
            <w:r>
              <w:rPr>
                <w:sz w:val="18"/>
              </w:rPr>
              <w:t>Pinnacle had admin access to Dutch and Brazilian records in a single U.S.-hosted database with application-layer segmentation only (Incident Summary Report § 2). The AP and ANPD will ask about the transfer mechanism (e.g., EU-U.S. Data Privacy Framework or SCCs) and about processor supervision. Any Art. 28 or operator agreement probably has its own notice clause that Pinnacle has also not met.</w:t>
            </w:r>
          </w:p>
        </w:tc>
      </w:tr>
      <w:tr>
        <w:tc>
          <w:tcPr>
            <w:tcW w:type="dxa" w:w="2088"/>
            <w:shd w:val="clear" w:color="auto" w:fill="DCE6F1"/>
          </w:tcPr>
          <w:p>
            <w:r/>
            <w:r>
              <w:rPr>
                <w:b/>
                <w:sz w:val="18"/>
              </w:rPr>
              <w:t>Required corrective action</w:t>
            </w:r>
          </w:p>
        </w:tc>
        <w:tc>
          <w:tcPr>
            <w:tcW w:type="dxa" w:w="7272"/>
          </w:tcPr>
          <w:p>
            <w:r>
              <w:rPr>
                <w:sz w:val="18"/>
              </w:rPr>
            </w:r>
            <w:r>
              <w:rPr>
                <w:sz w:val="18"/>
              </w:rPr>
              <w:t>Pull the Ridgeline Health Europe B.V. and Ridgeline Saúde Ltda. agreements with Pinnacle. Add rows for Pinnacle’s processor/operator notices. Prepare a transfer-mechanism statement for the AP and ANPD files.</w:t>
            </w:r>
          </w:p>
        </w:tc>
      </w:tr>
      <w:tr>
        <w:tc>
          <w:tcPr>
            <w:tcW w:type="dxa" w:w="2088"/>
            <w:shd w:val="clear" w:color="auto" w:fill="DCE6F1"/>
          </w:tcPr>
          <w:p>
            <w:r/>
            <w:r>
              <w:rPr>
                <w:b/>
                <w:sz w:val="18"/>
              </w:rPr>
              <w:t>Sources</w:t>
            </w:r>
          </w:p>
        </w:tc>
        <w:tc>
          <w:tcPr>
            <w:tcW w:type="dxa" w:w="7272"/>
          </w:tcPr>
          <w:p>
            <w:r>
              <w:rPr>
                <w:sz w:val="18"/>
              </w:rPr>
            </w:r>
            <w:r>
              <w:rPr>
                <w:sz w:val="18"/>
              </w:rPr>
              <w:t>Incident Summary Report §§ 2, 4.2; Guidance Memo § VII.E.</w:t>
            </w:r>
          </w:p>
        </w:tc>
      </w:tr>
    </w:tbl>
    <w:p/>
    <w:p>
      <w:pPr>
        <w:pStyle w:val="Heading3"/>
      </w:pPr>
      <w:r>
        <w:t>M-5  Privilege protection for forensic work and regulator submissions</w:t>
      </w:r>
    </w:p>
    <w:tbl>
      <w:tblPr>
        <w:tblStyle w:val="TableGrid"/>
        <w:tblW w:type="auto" w:w="0"/>
        <w:tblLook w:firstColumn="1" w:firstRow="1" w:lastColumn="0" w:lastRow="0" w:noHBand="0" w:noVBand="1" w:val="04A0"/>
      </w:tblPr>
      <w:tblGrid>
        <w:gridCol w:w="4680"/>
        <w:gridCol w:w="4680"/>
      </w:tblGrid>
      <w:tr>
        <w:tc>
          <w:tcPr>
            <w:tcW w:type="dxa" w:w="2088"/>
            <w:shd w:val="clear" w:color="auto" w:fill="DCE6F1"/>
          </w:tcPr>
          <w:p>
            <w:r/>
            <w:r>
              <w:rPr>
                <w:b/>
                <w:sz w:val="18"/>
              </w:rPr>
              <w:t>Severity</w:t>
            </w:r>
          </w:p>
        </w:tc>
        <w:tc>
          <w:tcPr>
            <w:tcW w:type="dxa" w:w="7272"/>
            <w:shd w:val="clear" w:color="auto" w:fill="FFF2CC"/>
          </w:tcPr>
          <w:p>
            <w:r>
              <w:rPr>
                <w:sz w:val="18"/>
              </w:rPr>
            </w:r>
            <w:r>
              <w:rPr>
                <w:sz w:val="18"/>
              </w:rPr>
              <w:t>MEDIUM</w:t>
            </w:r>
          </w:p>
        </w:tc>
      </w:tr>
      <w:tr>
        <w:tc>
          <w:tcPr>
            <w:tcW w:type="dxa" w:w="2088"/>
            <w:shd w:val="clear" w:color="auto" w:fill="DCE6F1"/>
          </w:tcPr>
          <w:p>
            <w:r/>
            <w:r>
              <w:rPr>
                <w:b/>
                <w:sz w:val="18"/>
              </w:rPr>
              <w:t>Schedule reference</w:t>
            </w:r>
          </w:p>
        </w:tc>
        <w:tc>
          <w:tcPr>
            <w:tcW w:type="dxa" w:w="7272"/>
          </w:tcPr>
          <w:p>
            <w:r>
              <w:rPr>
                <w:sz w:val="18"/>
              </w:rPr>
            </w:r>
            <w:r>
              <w:rPr>
                <w:sz w:val="18"/>
              </w:rPr>
              <w:t>US-12 checklist ("include number affected, forensic report, copy of individual notice"); Incident Summary Report § 3.3 (Aldersgate retained by "the Company" on April 3).</w:t>
            </w:r>
          </w:p>
        </w:tc>
      </w:tr>
      <w:tr>
        <w:tc>
          <w:tcPr>
            <w:tcW w:type="dxa" w:w="2088"/>
            <w:shd w:val="clear" w:color="auto" w:fill="DCE6F1"/>
          </w:tcPr>
          <w:p>
            <w:r/>
            <w:r>
              <w:rPr>
                <w:b/>
                <w:sz w:val="18"/>
              </w:rPr>
              <w:t>Requirement</w:t>
            </w:r>
          </w:p>
        </w:tc>
        <w:tc>
          <w:tcPr>
            <w:tcW w:type="dxa" w:w="7272"/>
          </w:tcPr>
          <w:p>
            <w:r>
              <w:rPr>
                <w:sz w:val="18"/>
              </w:rPr>
            </w:r>
            <w:r>
              <w:rPr>
                <w:sz w:val="18"/>
              </w:rPr>
              <w:t xml:space="preserve">Guidance Memo § VII.E: Aldersgate should be retained through Thornfield or at counsel’s direction to protect privilege. Fla. Stat. § 501.171(3)(c): the police report, incident or forensic report and policies are provided to the Department </w:t>
            </w:r>
            <w:r>
              <w:rPr>
                <w:b/>
                <w:sz w:val="18"/>
              </w:rPr>
              <w:t>upon its request</w:t>
            </w:r>
            <w:r>
              <w:rPr>
                <w:sz w:val="18"/>
              </w:rPr>
              <w:t>, not as part of the initial notice.</w:t>
            </w:r>
          </w:p>
        </w:tc>
      </w:tr>
      <w:tr>
        <w:tc>
          <w:tcPr>
            <w:tcW w:type="dxa" w:w="2088"/>
            <w:shd w:val="clear" w:color="auto" w:fill="DCE6F1"/>
          </w:tcPr>
          <w:p>
            <w:r/>
            <w:r>
              <w:rPr>
                <w:b/>
                <w:sz w:val="18"/>
              </w:rPr>
              <w:t>Gap / analysis</w:t>
            </w:r>
          </w:p>
        </w:tc>
        <w:tc>
          <w:tcPr>
            <w:tcW w:type="dxa" w:w="7272"/>
          </w:tcPr>
          <w:p>
            <w:r>
              <w:rPr>
                <w:sz w:val="18"/>
              </w:rPr>
            </w:r>
            <w:r>
              <w:rPr>
                <w:sz w:val="18"/>
              </w:rPr>
              <w:t xml:space="preserve">Volunteering the Aldersgate report to Florida (and, by extension, to other regulators) risks waiving privilege and work-product protection over the forensic findings across all forums, including the class actions that are likely to follow. A Company-direct engagement weakens the work-product claim (cf. </w:t>
            </w:r>
            <w:r>
              <w:rPr>
                <w:i/>
                <w:sz w:val="18"/>
              </w:rPr>
              <w:t>In re Capital One Consumer Data Security Breach Litigation</w:t>
            </w:r>
            <w:r>
              <w:rPr>
                <w:sz w:val="18"/>
              </w:rPr>
              <w:t>, E.D. Va. 2020).</w:t>
            </w:r>
          </w:p>
        </w:tc>
      </w:tr>
      <w:tr>
        <w:tc>
          <w:tcPr>
            <w:tcW w:type="dxa" w:w="2088"/>
            <w:shd w:val="clear" w:color="auto" w:fill="DCE6F1"/>
          </w:tcPr>
          <w:p>
            <w:r/>
            <w:r>
              <w:rPr>
                <w:b/>
                <w:sz w:val="18"/>
              </w:rPr>
              <w:t>Required corrective action</w:t>
            </w:r>
          </w:p>
        </w:tc>
        <w:tc>
          <w:tcPr>
            <w:tcW w:type="dxa" w:w="7272"/>
          </w:tcPr>
          <w:p>
            <w:r>
              <w:rPr>
                <w:sz w:val="18"/>
              </w:rPr>
            </w:r>
            <w:r>
              <w:rPr>
                <w:sz w:val="18"/>
              </w:rPr>
              <w:t>Remove "forensic report" from US-12; give the DLA only the statutory synopsis. Re-paper the Aldersgate engagement as a tri-party agreement through Thornfield, with a separate, non-privileged remediation track. Route Pinnacle communications through counsel. Label the Schedule and all drafts as prepared at the direction of counsel.</w:t>
            </w:r>
          </w:p>
        </w:tc>
      </w:tr>
      <w:tr>
        <w:tc>
          <w:tcPr>
            <w:tcW w:type="dxa" w:w="2088"/>
            <w:shd w:val="clear" w:color="auto" w:fill="DCE6F1"/>
          </w:tcPr>
          <w:p>
            <w:r/>
            <w:r>
              <w:rPr>
                <w:b/>
                <w:sz w:val="18"/>
              </w:rPr>
              <w:t>Sources</w:t>
            </w:r>
          </w:p>
        </w:tc>
        <w:tc>
          <w:tcPr>
            <w:tcW w:type="dxa" w:w="7272"/>
          </w:tcPr>
          <w:p>
            <w:r>
              <w:rPr>
                <w:sz w:val="18"/>
              </w:rPr>
            </w:r>
            <w:r>
              <w:rPr>
                <w:sz w:val="18"/>
              </w:rPr>
              <w:t>US-12; Incident Summary Report § 3.3; Guidance Memo § VII.E.</w:t>
            </w:r>
          </w:p>
        </w:tc>
      </w:tr>
    </w:tbl>
    <w:p/>
    <w:p>
      <w:pPr>
        <w:pStyle w:val="Heading3"/>
      </w:pPr>
      <w:r>
        <w:t>M-6  Cost recovery and insurance coordination not tracked</w:t>
      </w:r>
    </w:p>
    <w:tbl>
      <w:tblPr>
        <w:tblStyle w:val="TableGrid"/>
        <w:tblW w:type="auto" w:w="0"/>
        <w:tblLook w:firstColumn="1" w:firstRow="1" w:lastColumn="0" w:lastRow="0" w:noHBand="0" w:noVBand="1" w:val="04A0"/>
      </w:tblPr>
      <w:tblGrid>
        <w:gridCol w:w="4680"/>
        <w:gridCol w:w="4680"/>
      </w:tblGrid>
      <w:tr>
        <w:tc>
          <w:tcPr>
            <w:tcW w:type="dxa" w:w="2088"/>
            <w:shd w:val="clear" w:color="auto" w:fill="DCE6F1"/>
          </w:tcPr>
          <w:p>
            <w:r/>
            <w:r>
              <w:rPr>
                <w:b/>
                <w:sz w:val="18"/>
              </w:rPr>
              <w:t>Severity</w:t>
            </w:r>
          </w:p>
        </w:tc>
        <w:tc>
          <w:tcPr>
            <w:tcW w:type="dxa" w:w="7272"/>
            <w:shd w:val="clear" w:color="auto" w:fill="FFF2CC"/>
          </w:tcPr>
          <w:p>
            <w:r>
              <w:rPr>
                <w:sz w:val="18"/>
              </w:rPr>
            </w:r>
            <w:r>
              <w:rPr>
                <w:sz w:val="18"/>
              </w:rPr>
              <w:t>MEDIUM</w:t>
            </w:r>
          </w:p>
        </w:tc>
      </w:tr>
      <w:tr>
        <w:tc>
          <w:tcPr>
            <w:tcW w:type="dxa" w:w="2088"/>
            <w:shd w:val="clear" w:color="auto" w:fill="DCE6F1"/>
          </w:tcPr>
          <w:p>
            <w:r/>
            <w:r>
              <w:rPr>
                <w:b/>
                <w:sz w:val="18"/>
              </w:rPr>
              <w:t>Schedule reference</w:t>
            </w:r>
          </w:p>
        </w:tc>
        <w:tc>
          <w:tcPr>
            <w:tcW w:type="dxa" w:w="7272"/>
          </w:tcPr>
          <w:p>
            <w:r>
              <w:rPr>
                <w:sz w:val="18"/>
              </w:rPr>
            </w:r>
            <w:r>
              <w:rPr>
                <w:sz w:val="18"/>
              </w:rPr>
              <w:t>No rows for the Pinnacle indemnity, Pinnacle’s insurer or Everwatch conditions.</w:t>
            </w:r>
          </w:p>
        </w:tc>
      </w:tr>
      <w:tr>
        <w:tc>
          <w:tcPr>
            <w:tcW w:type="dxa" w:w="2088"/>
            <w:shd w:val="clear" w:color="auto" w:fill="DCE6F1"/>
          </w:tcPr>
          <w:p>
            <w:r/>
            <w:r>
              <w:rPr>
                <w:b/>
                <w:sz w:val="18"/>
              </w:rPr>
              <w:t>Requirement</w:t>
            </w:r>
          </w:p>
        </w:tc>
        <w:tc>
          <w:tcPr>
            <w:tcW w:type="dxa" w:w="7272"/>
          </w:tcPr>
          <w:p>
            <w:r>
              <w:rPr>
                <w:sz w:val="18"/>
              </w:rPr>
            </w:r>
            <w:r>
              <w:rPr>
                <w:sz w:val="18"/>
              </w:rPr>
              <w:t>BAA § 6.2(d) (indemnity for Losses from a compromise of Pinnacle’s credentials), including notification, credit monitoring, fines, forensic costs and counsel fees (§ 6.2(i)–(vi)); § 6.3 excludes § 6.2 from the 2× fees cap and from the consequential-damages bar; § 4.4 (Pinnacle bears its own costs); Art. 8 (Pinnacle must carry $10M per occurrence / $20M aggregate cyber cover naming RCS as additional insured). Guidance Memo § VII.C.</w:t>
            </w:r>
          </w:p>
        </w:tc>
      </w:tr>
      <w:tr>
        <w:tc>
          <w:tcPr>
            <w:tcW w:type="dxa" w:w="2088"/>
            <w:shd w:val="clear" w:color="auto" w:fill="DCE6F1"/>
          </w:tcPr>
          <w:p>
            <w:r/>
            <w:r>
              <w:rPr>
                <w:b/>
                <w:sz w:val="18"/>
              </w:rPr>
              <w:t>Gap / analysis</w:t>
            </w:r>
          </w:p>
        </w:tc>
        <w:tc>
          <w:tcPr>
            <w:tcW w:type="dxa" w:w="7272"/>
          </w:tcPr>
          <w:p>
            <w:r>
              <w:rPr>
                <w:sz w:val="18"/>
              </w:rPr>
            </w:r>
            <w:r>
              <w:rPr>
                <w:sz w:val="18"/>
              </w:rPr>
              <w:t>Projected costs (credit monitoring of $62–71M plus a $12.5M remediation budget) far exceed the $25M Everwatch limit. The Pinnacle indemnity and additional-insured status are the main external sources of recovery.</w:t>
            </w:r>
          </w:p>
        </w:tc>
      </w:tr>
      <w:tr>
        <w:tc>
          <w:tcPr>
            <w:tcW w:type="dxa" w:w="2088"/>
            <w:shd w:val="clear" w:color="auto" w:fill="DCE6F1"/>
          </w:tcPr>
          <w:p>
            <w:r/>
            <w:r>
              <w:rPr>
                <w:b/>
                <w:sz w:val="18"/>
              </w:rPr>
              <w:t>Required corrective action</w:t>
            </w:r>
          </w:p>
        </w:tc>
        <w:tc>
          <w:tcPr>
            <w:tcW w:type="dxa" w:w="7272"/>
          </w:tcPr>
          <w:p>
            <w:r>
              <w:rPr>
                <w:sz w:val="18"/>
              </w:rPr>
            </w:r>
            <w:r>
              <w:rPr>
                <w:sz w:val="18"/>
              </w:rPr>
              <w:t>Add rows to: (i) send notice of claim under §§ 6.1–6.2 (with the H-3 demand); (ii) request Pinnacle’s certificate of insurance and tender directly to its carrier as additional insured; (iii) confirm Everwatch notice, consent-to-incur-costs and panel-vendor conditions before engaging the mail house, call center and credit monitoring vendors, and give Everwatch this gap analysis to satisfy its counsel-review condition.</w:t>
            </w:r>
          </w:p>
        </w:tc>
      </w:tr>
      <w:tr>
        <w:tc>
          <w:tcPr>
            <w:tcW w:type="dxa" w:w="2088"/>
            <w:shd w:val="clear" w:color="auto" w:fill="DCE6F1"/>
          </w:tcPr>
          <w:p>
            <w:r/>
            <w:r>
              <w:rPr>
                <w:b/>
                <w:sz w:val="18"/>
              </w:rPr>
              <w:t>Sources</w:t>
            </w:r>
          </w:p>
        </w:tc>
        <w:tc>
          <w:tcPr>
            <w:tcW w:type="dxa" w:w="7272"/>
          </w:tcPr>
          <w:p>
            <w:r>
              <w:rPr>
                <w:sz w:val="18"/>
              </w:rPr>
            </w:r>
            <w:r>
              <w:rPr>
                <w:sz w:val="18"/>
              </w:rPr>
              <w:t>BAA §§ 4.4, 6.1–6.3, Art. 8; transmittal email; Incident Summary Report § 8.3.</w:t>
            </w:r>
          </w:p>
        </w:tc>
      </w:tr>
    </w:tbl>
    <w:p/>
    <w:p>
      <w:pPr>
        <w:pStyle w:val="Heading3"/>
      </w:pPr>
      <w:r>
        <w:t>M-7  Time zone and status labeling errors</w:t>
      </w:r>
    </w:p>
    <w:tbl>
      <w:tblPr>
        <w:tblStyle w:val="TableGrid"/>
        <w:tblW w:type="auto" w:w="0"/>
        <w:tblLook w:firstColumn="1" w:firstRow="1" w:lastColumn="0" w:lastRow="0" w:noHBand="0" w:noVBand="1" w:val="04A0"/>
      </w:tblPr>
      <w:tblGrid>
        <w:gridCol w:w="4680"/>
        <w:gridCol w:w="4680"/>
      </w:tblGrid>
      <w:tr>
        <w:tc>
          <w:tcPr>
            <w:tcW w:type="dxa" w:w="2088"/>
            <w:shd w:val="clear" w:color="auto" w:fill="DCE6F1"/>
          </w:tcPr>
          <w:p>
            <w:r/>
            <w:r>
              <w:rPr>
                <w:b/>
                <w:sz w:val="18"/>
              </w:rPr>
              <w:t>Severity</w:t>
            </w:r>
          </w:p>
        </w:tc>
        <w:tc>
          <w:tcPr>
            <w:tcW w:type="dxa" w:w="7272"/>
            <w:shd w:val="clear" w:color="auto" w:fill="FFF2CC"/>
          </w:tcPr>
          <w:p>
            <w:r>
              <w:rPr>
                <w:sz w:val="18"/>
              </w:rPr>
            </w:r>
            <w:r>
              <w:rPr>
                <w:sz w:val="18"/>
              </w:rPr>
              <w:t>MEDIUM</w:t>
            </w:r>
          </w:p>
        </w:tc>
      </w:tr>
      <w:tr>
        <w:tc>
          <w:tcPr>
            <w:tcW w:type="dxa" w:w="2088"/>
            <w:shd w:val="clear" w:color="auto" w:fill="DCE6F1"/>
          </w:tcPr>
          <w:p>
            <w:r/>
            <w:r>
              <w:rPr>
                <w:b/>
                <w:sz w:val="18"/>
              </w:rPr>
              <w:t>Schedule reference</w:t>
            </w:r>
          </w:p>
        </w:tc>
        <w:tc>
          <w:tcPr>
            <w:tcW w:type="dxa" w:w="7272"/>
          </w:tcPr>
          <w:p>
            <w:r>
              <w:rPr>
                <w:sz w:val="18"/>
              </w:rPr>
            </w:r>
            <w:r>
              <w:rPr>
                <w:sz w:val="18"/>
              </w:rPr>
              <w:t>INT-01 ("3:17 PM CET"; "Pending — Deadline not yet passed"); INT-03 ("Pending — Deadline imminent" for a date already past on April 7).</w:t>
            </w:r>
          </w:p>
        </w:tc>
      </w:tr>
      <w:tr>
        <w:tc>
          <w:tcPr>
            <w:tcW w:type="dxa" w:w="2088"/>
            <w:shd w:val="clear" w:color="auto" w:fill="DCE6F1"/>
          </w:tcPr>
          <w:p>
            <w:r/>
            <w:r>
              <w:rPr>
                <w:b/>
                <w:sz w:val="18"/>
              </w:rPr>
              <w:t>Requirement</w:t>
            </w:r>
          </w:p>
        </w:tc>
        <w:tc>
          <w:tcPr>
            <w:tcW w:type="dxa" w:w="7272"/>
          </w:tcPr>
          <w:p>
            <w:r>
              <w:rPr>
                <w:sz w:val="18"/>
              </w:rPr>
            </w:r>
            <w:r>
              <w:rPr>
                <w:sz w:val="18"/>
              </w:rPr>
              <w:t>The GDPR runs in clock hours; Brazil counts business days in Brasília time; the discovery time was recorded in CDT.</w:t>
            </w:r>
          </w:p>
        </w:tc>
      </w:tr>
      <w:tr>
        <w:tc>
          <w:tcPr>
            <w:tcW w:type="dxa" w:w="2088"/>
            <w:shd w:val="clear" w:color="auto" w:fill="DCE6F1"/>
          </w:tcPr>
          <w:p>
            <w:r/>
            <w:r>
              <w:rPr>
                <w:b/>
                <w:sz w:val="18"/>
              </w:rPr>
              <w:t>Gap / analysis</w:t>
            </w:r>
          </w:p>
        </w:tc>
        <w:tc>
          <w:tcPr>
            <w:tcW w:type="dxa" w:w="7272"/>
          </w:tcPr>
          <w:p>
            <w:r>
              <w:rPr>
                <w:sz w:val="18"/>
              </w:rPr>
            </w:r>
            <w:r>
              <w:rPr>
                <w:sz w:val="18"/>
              </w:rPr>
              <w:t>April 2, 15:17 CDT equals 20:17 UTC, 22:17 CEST and 17:17 BRT. The Netherlands was on CEST, not CET, and the CDT clock time was carried into a European time zone without conversion. Status labels described already expired deadlines as pending, which could mislead the Board and the insurer.</w:t>
            </w:r>
          </w:p>
        </w:tc>
      </w:tr>
      <w:tr>
        <w:tc>
          <w:tcPr>
            <w:tcW w:type="dxa" w:w="2088"/>
            <w:shd w:val="clear" w:color="auto" w:fill="DCE6F1"/>
          </w:tcPr>
          <w:p>
            <w:r/>
            <w:r>
              <w:rPr>
                <w:b/>
                <w:sz w:val="18"/>
              </w:rPr>
              <w:t>Required corrective action</w:t>
            </w:r>
          </w:p>
        </w:tc>
        <w:tc>
          <w:tcPr>
            <w:tcW w:type="dxa" w:w="7272"/>
          </w:tcPr>
          <w:p>
            <w:r>
              <w:rPr>
                <w:sz w:val="18"/>
              </w:rPr>
            </w:r>
            <w:r>
              <w:rPr>
                <w:sz w:val="18"/>
              </w:rPr>
              <w:t>Restate every deadline in UTC plus the regulator’s local time. Replace status values with "Overdue — filed [date]" where applicable, and add a "Filed / proof" column.</w:t>
            </w:r>
          </w:p>
        </w:tc>
      </w:tr>
      <w:tr>
        <w:tc>
          <w:tcPr>
            <w:tcW w:type="dxa" w:w="2088"/>
            <w:shd w:val="clear" w:color="auto" w:fill="DCE6F1"/>
          </w:tcPr>
          <w:p>
            <w:r/>
            <w:r>
              <w:rPr>
                <w:b/>
                <w:sz w:val="18"/>
              </w:rPr>
              <w:t>Sources</w:t>
            </w:r>
          </w:p>
        </w:tc>
        <w:tc>
          <w:tcPr>
            <w:tcW w:type="dxa" w:w="7272"/>
          </w:tcPr>
          <w:p>
            <w:r>
              <w:rPr>
                <w:sz w:val="18"/>
              </w:rPr>
            </w:r>
            <w:r>
              <w:rPr>
                <w:sz w:val="18"/>
              </w:rPr>
              <w:t>INT-01, INT-03.</w:t>
            </w:r>
          </w:p>
        </w:tc>
      </w:tr>
    </w:tbl>
    <w:p/>
    <w:p>
      <w:pPr>
        <w:pStyle w:val="Heading3"/>
      </w:pPr>
      <w:r>
        <w:t>M-8  Execution plan does not work backward from the earliest deadlines</w:t>
      </w:r>
    </w:p>
    <w:tbl>
      <w:tblPr>
        <w:tblStyle w:val="TableGrid"/>
        <w:tblW w:type="auto" w:w="0"/>
        <w:tblLook w:firstColumn="1" w:firstRow="1" w:lastColumn="0" w:lastRow="0" w:noHBand="0" w:noVBand="1" w:val="04A0"/>
      </w:tblPr>
      <w:tblGrid>
        <w:gridCol w:w="4680"/>
        <w:gridCol w:w="4680"/>
      </w:tblGrid>
      <w:tr>
        <w:tc>
          <w:tcPr>
            <w:tcW w:type="dxa" w:w="2088"/>
            <w:shd w:val="clear" w:color="auto" w:fill="DCE6F1"/>
          </w:tcPr>
          <w:p>
            <w:r/>
            <w:r>
              <w:rPr>
                <w:b/>
                <w:sz w:val="18"/>
              </w:rPr>
              <w:t>Severity</w:t>
            </w:r>
          </w:p>
        </w:tc>
        <w:tc>
          <w:tcPr>
            <w:tcW w:type="dxa" w:w="7272"/>
            <w:shd w:val="clear" w:color="auto" w:fill="FFF2CC"/>
          </w:tcPr>
          <w:p>
            <w:r>
              <w:rPr>
                <w:sz w:val="18"/>
              </w:rPr>
            </w:r>
            <w:r>
              <w:rPr>
                <w:sz w:val="18"/>
              </w:rPr>
              <w:t>MEDIUM</w:t>
            </w:r>
          </w:p>
        </w:tc>
      </w:tr>
      <w:tr>
        <w:tc>
          <w:tcPr>
            <w:tcW w:type="dxa" w:w="2088"/>
            <w:shd w:val="clear" w:color="auto" w:fill="DCE6F1"/>
          </w:tcPr>
          <w:p>
            <w:r/>
            <w:r>
              <w:rPr>
                <w:b/>
                <w:sz w:val="18"/>
              </w:rPr>
              <w:t>Schedule reference</w:t>
            </w:r>
          </w:p>
        </w:tc>
        <w:tc>
          <w:tcPr>
            <w:tcW w:type="dxa" w:w="7272"/>
          </w:tcPr>
          <w:p>
            <w:r>
              <w:rPr>
                <w:sz w:val="18"/>
              </w:rPr>
            </w:r>
            <w:r>
              <w:rPr>
                <w:sz w:val="18"/>
              </w:rPr>
              <w:t>All U.S. items "Not Started"; Gantt bars run to June 1 and June 4; Board approval on April 14 is treated as the gate.</w:t>
            </w:r>
          </w:p>
        </w:tc>
      </w:tr>
      <w:tr>
        <w:tc>
          <w:tcPr>
            <w:tcW w:type="dxa" w:w="2088"/>
            <w:shd w:val="clear" w:color="auto" w:fill="DCE6F1"/>
          </w:tcPr>
          <w:p>
            <w:r/>
            <w:r>
              <w:rPr>
                <w:b/>
                <w:sz w:val="18"/>
              </w:rPr>
              <w:t>Requirement</w:t>
            </w:r>
          </w:p>
        </w:tc>
        <w:tc>
          <w:tcPr>
            <w:tcW w:type="dxa" w:w="7272"/>
          </w:tcPr>
          <w:p>
            <w:r>
              <w:rPr>
                <w:sz w:val="18"/>
              </w:rPr>
            </w:r>
            <w:r>
              <w:rPr>
                <w:sz w:val="18"/>
              </w:rPr>
              <w:t>Guidance Memo § VII.A (use the earliest applicable deadline for each jurisdiction as the operative date); § VII.D (synchronize media with the regulatory and individual notices); § VII.B and 45 CFR § 164.412 (a law enforcement delay must be documented, applies only to the requesting jurisdiction, and an oral request lasts no more than 30 days).</w:t>
            </w:r>
          </w:p>
        </w:tc>
      </w:tr>
      <w:tr>
        <w:tc>
          <w:tcPr>
            <w:tcW w:type="dxa" w:w="2088"/>
            <w:shd w:val="clear" w:color="auto" w:fill="DCE6F1"/>
          </w:tcPr>
          <w:p>
            <w:r/>
            <w:r>
              <w:rPr>
                <w:b/>
                <w:sz w:val="18"/>
              </w:rPr>
              <w:t>Gap / analysis</w:t>
            </w:r>
          </w:p>
        </w:tc>
        <w:tc>
          <w:tcPr>
            <w:tcW w:type="dxa" w:w="7272"/>
          </w:tcPr>
          <w:p>
            <w:r>
              <w:rPr>
                <w:sz w:val="18"/>
              </w:rPr>
            </w:r>
            <w:r>
              <w:rPr>
                <w:sz w:val="18"/>
              </w:rPr>
              <w:t>With a May 2 drop for 273,500 letters, the address hygiene, mail-house slotting, call center build, credit monitoring enrollment codes, Maplewood’s 48-hour media lead time and state-insert printing all have to start the week of April 14. Any Florida extension request must be made before May 2.</w:t>
            </w:r>
          </w:p>
        </w:tc>
      </w:tr>
      <w:tr>
        <w:tc>
          <w:tcPr>
            <w:tcW w:type="dxa" w:w="2088"/>
            <w:shd w:val="clear" w:color="auto" w:fill="DCE6F1"/>
          </w:tcPr>
          <w:p>
            <w:r/>
            <w:r>
              <w:rPr>
                <w:b/>
                <w:sz w:val="18"/>
              </w:rPr>
              <w:t>Required corrective action</w:t>
            </w:r>
          </w:p>
        </w:tc>
        <w:tc>
          <w:tcPr>
            <w:tcW w:type="dxa" w:w="7272"/>
          </w:tcPr>
          <w:p>
            <w:r>
              <w:rPr>
                <w:sz w:val="18"/>
              </w:rPr>
            </w:r>
            <w:r>
              <w:rPr>
                <w:sz w:val="18"/>
              </w:rPr>
              <w:t xml:space="preserve">Adopt the critical path in Section VII. The Board on April 14 should </w:t>
            </w:r>
            <w:r>
              <w:rPr>
                <w:b/>
                <w:sz w:val="18"/>
              </w:rPr>
              <w:t>ratify</w:t>
            </w:r>
            <w:r>
              <w:rPr>
                <w:sz w:val="18"/>
              </w:rPr>
              <w:t xml:space="preserve"> a plan already in motion, not authorize the start of the overdue AP/ANPD filings or the Pinnacle demand.</w:t>
            </w:r>
          </w:p>
        </w:tc>
      </w:tr>
      <w:tr>
        <w:tc>
          <w:tcPr>
            <w:tcW w:type="dxa" w:w="2088"/>
            <w:shd w:val="clear" w:color="auto" w:fill="DCE6F1"/>
          </w:tcPr>
          <w:p>
            <w:r/>
            <w:r>
              <w:rPr>
                <w:b/>
                <w:sz w:val="18"/>
              </w:rPr>
              <w:t>Sources</w:t>
            </w:r>
          </w:p>
        </w:tc>
        <w:tc>
          <w:tcPr>
            <w:tcW w:type="dxa" w:w="7272"/>
          </w:tcPr>
          <w:p>
            <w:r>
              <w:rPr>
                <w:sz w:val="18"/>
              </w:rPr>
            </w:r>
            <w:r>
              <w:rPr>
                <w:sz w:val="18"/>
              </w:rPr>
              <w:t>Schedule; transmittal email; Guidance Memo §§ VII.A–VII.D.</w:t>
            </w:r>
          </w:p>
        </w:tc>
      </w:tr>
    </w:tbl>
    <w:p/>
    <w:p>
      <w:pPr>
        <w:pStyle w:val="Heading3"/>
      </w:pPr>
      <w:r>
        <w:t>M-9  Internal inconsistencies within the Schedule</w:t>
      </w:r>
    </w:p>
    <w:tbl>
      <w:tblPr>
        <w:tblStyle w:val="TableGrid"/>
        <w:tblW w:type="auto" w:w="0"/>
        <w:tblLook w:firstColumn="1" w:firstRow="1" w:lastColumn="0" w:lastRow="0" w:noHBand="0" w:noVBand="1" w:val="04A0"/>
      </w:tblPr>
      <w:tblGrid>
        <w:gridCol w:w="4680"/>
        <w:gridCol w:w="4680"/>
      </w:tblGrid>
      <w:tr>
        <w:tc>
          <w:tcPr>
            <w:tcW w:type="dxa" w:w="2088"/>
            <w:shd w:val="clear" w:color="auto" w:fill="DCE6F1"/>
          </w:tcPr>
          <w:p>
            <w:r/>
            <w:r>
              <w:rPr>
                <w:b/>
                <w:sz w:val="18"/>
              </w:rPr>
              <w:t>Severity</w:t>
            </w:r>
          </w:p>
        </w:tc>
        <w:tc>
          <w:tcPr>
            <w:tcW w:type="dxa" w:w="7272"/>
            <w:shd w:val="clear" w:color="auto" w:fill="FFF2CC"/>
          </w:tcPr>
          <w:p>
            <w:r>
              <w:rPr>
                <w:sz w:val="18"/>
              </w:rPr>
            </w:r>
            <w:r>
              <w:rPr>
                <w:sz w:val="18"/>
              </w:rPr>
              <w:t>MEDIUM</w:t>
            </w:r>
          </w:p>
        </w:tc>
      </w:tr>
      <w:tr>
        <w:tc>
          <w:tcPr>
            <w:tcW w:type="dxa" w:w="2088"/>
            <w:shd w:val="clear" w:color="auto" w:fill="DCE6F1"/>
          </w:tcPr>
          <w:p>
            <w:r/>
            <w:r>
              <w:rPr>
                <w:b/>
                <w:sz w:val="18"/>
              </w:rPr>
              <w:t>Schedule reference</w:t>
            </w:r>
          </w:p>
        </w:tc>
        <w:tc>
          <w:tcPr>
            <w:tcW w:type="dxa" w:w="7272"/>
          </w:tcPr>
          <w:p>
            <w:r>
              <w:rPr>
                <w:sz w:val="18"/>
              </w:rPr>
            </w:r>
            <w:r>
              <w:rPr>
                <w:sz w:val="18"/>
              </w:rPr>
              <w:t>US-11 and US-12 notes acknowledge the 30-day rule but keep June 1; US-22 note acknowledges 30 days; INT-03 note acknowledges the 72-hour standard is wrong; US-12 Basis column reads "schedule incorrectly shows 60 days"; Summary vs US-02 cost figures.</w:t>
            </w:r>
          </w:p>
        </w:tc>
      </w:tr>
      <w:tr>
        <w:tc>
          <w:tcPr>
            <w:tcW w:type="dxa" w:w="2088"/>
            <w:shd w:val="clear" w:color="auto" w:fill="DCE6F1"/>
          </w:tcPr>
          <w:p>
            <w:r/>
            <w:r>
              <w:rPr>
                <w:b/>
                <w:sz w:val="18"/>
              </w:rPr>
              <w:t>Requirement</w:t>
            </w:r>
          </w:p>
        </w:tc>
        <w:tc>
          <w:tcPr>
            <w:tcW w:type="dxa" w:w="7272"/>
          </w:tcPr>
          <w:p>
            <w:r>
              <w:rPr>
                <w:sz w:val="18"/>
              </w:rPr>
            </w:r>
            <w:r>
              <w:rPr>
                <w:sz w:val="18"/>
              </w:rPr>
              <w:t>—</w:t>
            </w:r>
          </w:p>
        </w:tc>
      </w:tr>
      <w:tr>
        <w:tc>
          <w:tcPr>
            <w:tcW w:type="dxa" w:w="2088"/>
            <w:shd w:val="clear" w:color="auto" w:fill="DCE6F1"/>
          </w:tcPr>
          <w:p>
            <w:r/>
            <w:r>
              <w:rPr>
                <w:b/>
                <w:sz w:val="18"/>
              </w:rPr>
              <w:t>Gap / analysis</w:t>
            </w:r>
          </w:p>
        </w:tc>
        <w:tc>
          <w:tcPr>
            <w:tcW w:type="dxa" w:w="7272"/>
          </w:tcPr>
          <w:p>
            <w:r>
              <w:rPr>
                <w:sz w:val="18"/>
              </w:rPr>
            </w:r>
            <w:r>
              <w:rPr>
                <w:sz w:val="18"/>
              </w:rPr>
              <w:t>A document that records known errors next to uncorrected dates is a poor regulatory record and undermines the good-faith narrative.</w:t>
            </w:r>
          </w:p>
        </w:tc>
      </w:tr>
      <w:tr>
        <w:tc>
          <w:tcPr>
            <w:tcW w:type="dxa" w:w="2088"/>
            <w:shd w:val="clear" w:color="auto" w:fill="DCE6F1"/>
          </w:tcPr>
          <w:p>
            <w:r/>
            <w:r>
              <w:rPr>
                <w:b/>
                <w:sz w:val="18"/>
              </w:rPr>
              <w:t>Required corrective action</w:t>
            </w:r>
          </w:p>
        </w:tc>
        <w:tc>
          <w:tcPr>
            <w:tcW w:type="dxa" w:w="7272"/>
          </w:tcPr>
          <w:p>
            <w:r>
              <w:rPr>
                <w:sz w:val="18"/>
              </w:rPr>
            </w:r>
            <w:r>
              <w:rPr>
                <w:sz w:val="18"/>
              </w:rPr>
              <w:t>Re-issue the Schedule as version 2 with the corrections in this memorandum, a change log, and counsel’s privilege legend. Retire version 1 under counsel’s direction (do not destroy it; preserve it under the litigation hold).</w:t>
            </w:r>
          </w:p>
        </w:tc>
      </w:tr>
      <w:tr>
        <w:tc>
          <w:tcPr>
            <w:tcW w:type="dxa" w:w="2088"/>
            <w:shd w:val="clear" w:color="auto" w:fill="DCE6F1"/>
          </w:tcPr>
          <w:p>
            <w:r/>
            <w:r>
              <w:rPr>
                <w:b/>
                <w:sz w:val="18"/>
              </w:rPr>
              <w:t>Sources</w:t>
            </w:r>
          </w:p>
        </w:tc>
        <w:tc>
          <w:tcPr>
            <w:tcW w:type="dxa" w:w="7272"/>
          </w:tcPr>
          <w:p>
            <w:r>
              <w:rPr>
                <w:sz w:val="18"/>
              </w:rPr>
            </w:r>
            <w:r>
              <w:rPr>
                <w:sz w:val="18"/>
              </w:rPr>
              <w:t>Schedule (rows cited).</w:t>
            </w:r>
          </w:p>
        </w:tc>
      </w:tr>
    </w:tbl>
    <w:p/>
    <w:p>
      <w:pPr>
        <w:pStyle w:val="Heading2"/>
      </w:pPr>
      <w:r>
        <w:t>D. LOW Findings</w:t>
      </w:r>
    </w:p>
    <w:p>
      <w:pPr>
        <w:pStyle w:val="Heading3"/>
      </w:pPr>
      <w:r>
        <w:t>L-1  Citation errors</w:t>
      </w:r>
    </w:p>
    <w:tbl>
      <w:tblPr>
        <w:tblStyle w:val="TableGrid"/>
        <w:tblW w:type="auto" w:w="0"/>
        <w:tblLook w:firstColumn="1" w:firstRow="1" w:lastColumn="0" w:lastRow="0" w:noHBand="0" w:noVBand="1" w:val="04A0"/>
      </w:tblPr>
      <w:tblGrid>
        <w:gridCol w:w="4680"/>
        <w:gridCol w:w="4680"/>
      </w:tblGrid>
      <w:tr>
        <w:tc>
          <w:tcPr>
            <w:tcW w:type="dxa" w:w="2088"/>
            <w:shd w:val="clear" w:color="auto" w:fill="DCE6F1"/>
          </w:tcPr>
          <w:p>
            <w:r/>
            <w:r>
              <w:rPr>
                <w:b/>
                <w:sz w:val="18"/>
              </w:rPr>
              <w:t>Severity</w:t>
            </w:r>
          </w:p>
        </w:tc>
        <w:tc>
          <w:tcPr>
            <w:tcW w:type="dxa" w:w="7272"/>
            <w:shd w:val="clear" w:color="auto" w:fill="D9EAD3"/>
          </w:tcPr>
          <w:p>
            <w:r>
              <w:rPr>
                <w:sz w:val="18"/>
              </w:rPr>
            </w:r>
            <w:r>
              <w:rPr>
                <w:sz w:val="18"/>
              </w:rPr>
              <w:t>LOW</w:t>
            </w:r>
          </w:p>
        </w:tc>
      </w:tr>
      <w:tr>
        <w:tc>
          <w:tcPr>
            <w:tcW w:type="dxa" w:w="2088"/>
            <w:shd w:val="clear" w:color="auto" w:fill="DCE6F1"/>
          </w:tcPr>
          <w:p>
            <w:r/>
            <w:r>
              <w:rPr>
                <w:b/>
                <w:sz w:val="18"/>
              </w:rPr>
              <w:t>Schedule reference</w:t>
            </w:r>
          </w:p>
        </w:tc>
        <w:tc>
          <w:tcPr>
            <w:tcW w:type="dxa" w:w="7272"/>
          </w:tcPr>
          <w:p>
            <w:r>
              <w:rPr>
                <w:sz w:val="18"/>
              </w:rPr>
            </w:r>
            <w:r>
              <w:rPr>
                <w:sz w:val="18"/>
              </w:rPr>
              <w:t>US-05 and US-08 cite 45 CFR § 164.408 for media notice; US-06 cites CCPA § 1798.150 as a notification authority.</w:t>
            </w:r>
          </w:p>
        </w:tc>
      </w:tr>
      <w:tr>
        <w:tc>
          <w:tcPr>
            <w:tcW w:type="dxa" w:w="2088"/>
            <w:shd w:val="clear" w:color="auto" w:fill="DCE6F1"/>
          </w:tcPr>
          <w:p>
            <w:r/>
            <w:r>
              <w:rPr>
                <w:b/>
                <w:sz w:val="18"/>
              </w:rPr>
              <w:t>Requirement</w:t>
            </w:r>
          </w:p>
        </w:tc>
        <w:tc>
          <w:tcPr>
            <w:tcW w:type="dxa" w:w="7272"/>
          </w:tcPr>
          <w:p>
            <w:r>
              <w:rPr>
                <w:sz w:val="18"/>
              </w:rPr>
            </w:r>
            <w:r>
              <w:rPr>
                <w:sz w:val="18"/>
              </w:rPr>
              <w:t>Media notice is 45 CFR § 164.406 (§ 164.408 is the HHS notice). CCPA § 1798.150 is a private right of action, not a notice duty (Guidance Memo § IV.C). The Guidance Memo § III.D heading has the same § 164.408 typo, which we correct in Section VIII.</w:t>
            </w:r>
          </w:p>
        </w:tc>
      </w:tr>
      <w:tr>
        <w:tc>
          <w:tcPr>
            <w:tcW w:type="dxa" w:w="2088"/>
            <w:shd w:val="clear" w:color="auto" w:fill="DCE6F1"/>
          </w:tcPr>
          <w:p>
            <w:r/>
            <w:r>
              <w:rPr>
                <w:b/>
                <w:sz w:val="18"/>
              </w:rPr>
              <w:t>Gap / analysis</w:t>
            </w:r>
          </w:p>
        </w:tc>
        <w:tc>
          <w:tcPr>
            <w:tcW w:type="dxa" w:w="7272"/>
          </w:tcPr>
          <w:p>
            <w:r>
              <w:rPr>
                <w:sz w:val="18"/>
              </w:rPr>
            </w:r>
            <w:r>
              <w:rPr>
                <w:sz w:val="18"/>
              </w:rPr>
              <w:t>Minor, but regulator-facing documents should cite correctly.</w:t>
            </w:r>
          </w:p>
        </w:tc>
      </w:tr>
      <w:tr>
        <w:tc>
          <w:tcPr>
            <w:tcW w:type="dxa" w:w="2088"/>
            <w:shd w:val="clear" w:color="auto" w:fill="DCE6F1"/>
          </w:tcPr>
          <w:p>
            <w:r/>
            <w:r>
              <w:rPr>
                <w:b/>
                <w:sz w:val="18"/>
              </w:rPr>
              <w:t>Required corrective action</w:t>
            </w:r>
          </w:p>
        </w:tc>
        <w:tc>
          <w:tcPr>
            <w:tcW w:type="dxa" w:w="7272"/>
          </w:tcPr>
          <w:p>
            <w:r>
              <w:rPr>
                <w:sz w:val="18"/>
              </w:rPr>
            </w:r>
            <w:r>
              <w:rPr>
                <w:sz w:val="18"/>
              </w:rPr>
              <w:t>Correct the citations; move CCPA to the litigation exposure notes.</w:t>
            </w:r>
          </w:p>
        </w:tc>
      </w:tr>
      <w:tr>
        <w:tc>
          <w:tcPr>
            <w:tcW w:type="dxa" w:w="2088"/>
            <w:shd w:val="clear" w:color="auto" w:fill="DCE6F1"/>
          </w:tcPr>
          <w:p>
            <w:r/>
            <w:r>
              <w:rPr>
                <w:b/>
                <w:sz w:val="18"/>
              </w:rPr>
              <w:t>Sources</w:t>
            </w:r>
          </w:p>
        </w:tc>
        <w:tc>
          <w:tcPr>
            <w:tcW w:type="dxa" w:w="7272"/>
          </w:tcPr>
          <w:p>
            <w:r>
              <w:rPr>
                <w:sz w:val="18"/>
              </w:rPr>
            </w:r>
            <w:r>
              <w:rPr>
                <w:sz w:val="18"/>
              </w:rPr>
              <w:t>US-05, US-06, US-08; Guidance Memo §§ III.D, IV.C.</w:t>
            </w:r>
          </w:p>
        </w:tc>
      </w:tr>
    </w:tbl>
    <w:p/>
    <w:p>
      <w:pPr>
        <w:pStyle w:val="Heading3"/>
      </w:pPr>
      <w:r>
        <w:t>L-2  Mislabeling of EU and Brazilian housekeeping items</w:t>
      </w:r>
    </w:p>
    <w:tbl>
      <w:tblPr>
        <w:tblStyle w:val="TableGrid"/>
        <w:tblW w:type="auto" w:w="0"/>
        <w:tblLook w:firstColumn="1" w:firstRow="1" w:lastColumn="0" w:lastRow="0" w:noHBand="0" w:noVBand="1" w:val="04A0"/>
      </w:tblPr>
      <w:tblGrid>
        <w:gridCol w:w="4680"/>
        <w:gridCol w:w="4680"/>
      </w:tblGrid>
      <w:tr>
        <w:tc>
          <w:tcPr>
            <w:tcW w:type="dxa" w:w="2088"/>
            <w:shd w:val="clear" w:color="auto" w:fill="DCE6F1"/>
          </w:tcPr>
          <w:p>
            <w:r/>
            <w:r>
              <w:rPr>
                <w:b/>
                <w:sz w:val="18"/>
              </w:rPr>
              <w:t>Severity</w:t>
            </w:r>
          </w:p>
        </w:tc>
        <w:tc>
          <w:tcPr>
            <w:tcW w:type="dxa" w:w="7272"/>
            <w:shd w:val="clear" w:color="auto" w:fill="D9EAD3"/>
          </w:tcPr>
          <w:p>
            <w:r>
              <w:rPr>
                <w:sz w:val="18"/>
              </w:rPr>
            </w:r>
            <w:r>
              <w:rPr>
                <w:sz w:val="18"/>
              </w:rPr>
              <w:t>LOW</w:t>
            </w:r>
          </w:p>
        </w:tc>
      </w:tr>
      <w:tr>
        <w:tc>
          <w:tcPr>
            <w:tcW w:type="dxa" w:w="2088"/>
            <w:shd w:val="clear" w:color="auto" w:fill="DCE6F1"/>
          </w:tcPr>
          <w:p>
            <w:r/>
            <w:r>
              <w:rPr>
                <w:b/>
                <w:sz w:val="18"/>
              </w:rPr>
              <w:t>Schedule reference</w:t>
            </w:r>
          </w:p>
        </w:tc>
        <w:tc>
          <w:tcPr>
            <w:tcW w:type="dxa" w:w="7272"/>
          </w:tcPr>
          <w:p>
            <w:r>
              <w:rPr>
                <w:sz w:val="18"/>
              </w:rPr>
            </w:r>
            <w:r>
              <w:rPr>
                <w:sz w:val="18"/>
              </w:rPr>
              <w:t>INT-05 ("Art. 30 records … updated to reflect breach"); INT-06 ("Encarregado registration with ANPD").</w:t>
            </w:r>
          </w:p>
        </w:tc>
      </w:tr>
      <w:tr>
        <w:tc>
          <w:tcPr>
            <w:tcW w:type="dxa" w:w="2088"/>
            <w:shd w:val="clear" w:color="auto" w:fill="DCE6F1"/>
          </w:tcPr>
          <w:p>
            <w:r/>
            <w:r>
              <w:rPr>
                <w:b/>
                <w:sz w:val="18"/>
              </w:rPr>
              <w:t>Requirement</w:t>
            </w:r>
          </w:p>
        </w:tc>
        <w:tc>
          <w:tcPr>
            <w:tcW w:type="dxa" w:w="7272"/>
          </w:tcPr>
          <w:p>
            <w:r>
              <w:rPr>
                <w:sz w:val="18"/>
              </w:rPr>
            </w:r>
            <w:r>
              <w:rPr>
                <w:sz w:val="18"/>
              </w:rPr>
              <w:t>The breach register is required by GDPR Art. 33(5) (Art. 30 is the record of processing activities). LGPD Art. 41 requires the encarregado’s identity and contact details to be published, not registered with the ANPD. CPF is ordinary personal data under LGPD Art. 5(I); it is the health data that makes this breach involve sensitive data under Art. 5(II). The Guidance Memo § II has the same CPF error.</w:t>
            </w:r>
          </w:p>
        </w:tc>
      </w:tr>
      <w:tr>
        <w:tc>
          <w:tcPr>
            <w:tcW w:type="dxa" w:w="2088"/>
            <w:shd w:val="clear" w:color="auto" w:fill="DCE6F1"/>
          </w:tcPr>
          <w:p>
            <w:r/>
            <w:r>
              <w:rPr>
                <w:b/>
                <w:sz w:val="18"/>
              </w:rPr>
              <w:t>Gap / analysis</w:t>
            </w:r>
          </w:p>
        </w:tc>
        <w:tc>
          <w:tcPr>
            <w:tcW w:type="dxa" w:w="7272"/>
          </w:tcPr>
          <w:p>
            <w:r>
              <w:rPr>
                <w:sz w:val="18"/>
              </w:rPr>
            </w:r>
            <w:r>
              <w:rPr>
                <w:sz w:val="18"/>
              </w:rPr>
              <w:t>This does not affect deadlines but should be accurate in regulator filings.</w:t>
            </w:r>
          </w:p>
        </w:tc>
      </w:tr>
      <w:tr>
        <w:tc>
          <w:tcPr>
            <w:tcW w:type="dxa" w:w="2088"/>
            <w:shd w:val="clear" w:color="auto" w:fill="DCE6F1"/>
          </w:tcPr>
          <w:p>
            <w:r/>
            <w:r>
              <w:rPr>
                <w:b/>
                <w:sz w:val="18"/>
              </w:rPr>
              <w:t>Required corrective action</w:t>
            </w:r>
          </w:p>
        </w:tc>
        <w:tc>
          <w:tcPr>
            <w:tcW w:type="dxa" w:w="7272"/>
          </w:tcPr>
          <w:p>
            <w:r>
              <w:rPr>
                <w:sz w:val="18"/>
              </w:rPr>
            </w:r>
            <w:r>
              <w:rPr>
                <w:sz w:val="18"/>
              </w:rPr>
              <w:t>Re-label INT-05 as the Art. 33(5) breach register (plus a DPIA review); re-label INT-06 as the Res. 15/2024 incident record and encarregado publication check.</w:t>
            </w:r>
          </w:p>
        </w:tc>
      </w:tr>
      <w:tr>
        <w:tc>
          <w:tcPr>
            <w:tcW w:type="dxa" w:w="2088"/>
            <w:shd w:val="clear" w:color="auto" w:fill="DCE6F1"/>
          </w:tcPr>
          <w:p>
            <w:r/>
            <w:r>
              <w:rPr>
                <w:b/>
                <w:sz w:val="18"/>
              </w:rPr>
              <w:t>Sources</w:t>
            </w:r>
          </w:p>
        </w:tc>
        <w:tc>
          <w:tcPr>
            <w:tcW w:type="dxa" w:w="7272"/>
          </w:tcPr>
          <w:p>
            <w:r>
              <w:rPr>
                <w:sz w:val="18"/>
              </w:rPr>
            </w:r>
            <w:r>
              <w:rPr>
                <w:sz w:val="18"/>
              </w:rPr>
              <w:t>INT-05, INT-06; Guidance Memo §§ II, VI.A.</w:t>
            </w:r>
          </w:p>
        </w:tc>
      </w:tr>
    </w:tbl>
    <w:p/>
    <w:p>
      <w:pPr>
        <w:pStyle w:val="Heading3"/>
      </w:pPr>
      <w:r>
        <w:t>L-3  Ownership concentration and missing sign-off fields</w:t>
      </w:r>
    </w:p>
    <w:tbl>
      <w:tblPr>
        <w:tblStyle w:val="TableGrid"/>
        <w:tblW w:type="auto" w:w="0"/>
        <w:tblLook w:firstColumn="1" w:firstRow="1" w:lastColumn="0" w:lastRow="0" w:noHBand="0" w:noVBand="1" w:val="04A0"/>
      </w:tblPr>
      <w:tblGrid>
        <w:gridCol w:w="4680"/>
        <w:gridCol w:w="4680"/>
      </w:tblGrid>
      <w:tr>
        <w:tc>
          <w:tcPr>
            <w:tcW w:type="dxa" w:w="2088"/>
            <w:shd w:val="clear" w:color="auto" w:fill="DCE6F1"/>
          </w:tcPr>
          <w:p>
            <w:r/>
            <w:r>
              <w:rPr>
                <w:b/>
                <w:sz w:val="18"/>
              </w:rPr>
              <w:t>Severity</w:t>
            </w:r>
          </w:p>
        </w:tc>
        <w:tc>
          <w:tcPr>
            <w:tcW w:type="dxa" w:w="7272"/>
            <w:shd w:val="clear" w:color="auto" w:fill="D9EAD3"/>
          </w:tcPr>
          <w:p>
            <w:r>
              <w:rPr>
                <w:sz w:val="18"/>
              </w:rPr>
            </w:r>
            <w:r>
              <w:rPr>
                <w:sz w:val="18"/>
              </w:rPr>
              <w:t>LOW</w:t>
            </w:r>
          </w:p>
        </w:tc>
      </w:tr>
      <w:tr>
        <w:tc>
          <w:tcPr>
            <w:tcW w:type="dxa" w:w="2088"/>
            <w:shd w:val="clear" w:color="auto" w:fill="DCE6F1"/>
          </w:tcPr>
          <w:p>
            <w:r/>
            <w:r>
              <w:rPr>
                <w:b/>
                <w:sz w:val="18"/>
              </w:rPr>
              <w:t>Schedule reference</w:t>
            </w:r>
          </w:p>
        </w:tc>
        <w:tc>
          <w:tcPr>
            <w:tcW w:type="dxa" w:w="7272"/>
          </w:tcPr>
          <w:p>
            <w:r>
              <w:rPr>
                <w:sz w:val="18"/>
              </w:rPr>
            </w:r>
            <w:r>
              <w:rPr>
                <w:sz w:val="18"/>
              </w:rPr>
              <w:t>Victor Almonte is the owner on 19 of 22 U.S. rows.</w:t>
            </w:r>
          </w:p>
        </w:tc>
      </w:tr>
      <w:tr>
        <w:tc>
          <w:tcPr>
            <w:tcW w:type="dxa" w:w="2088"/>
            <w:shd w:val="clear" w:color="auto" w:fill="DCE6F1"/>
          </w:tcPr>
          <w:p>
            <w:r/>
            <w:r>
              <w:rPr>
                <w:b/>
                <w:sz w:val="18"/>
              </w:rPr>
              <w:t>Requirement</w:t>
            </w:r>
          </w:p>
        </w:tc>
        <w:tc>
          <w:tcPr>
            <w:tcW w:type="dxa" w:w="7272"/>
          </w:tcPr>
          <w:p>
            <w:r>
              <w:rPr>
                <w:sz w:val="18"/>
              </w:rPr>
            </w:r>
            <w:r>
              <w:rPr>
                <w:sz w:val="18"/>
              </w:rPr>
              <w:t>—</w:t>
            </w:r>
          </w:p>
        </w:tc>
      </w:tr>
      <w:tr>
        <w:tc>
          <w:tcPr>
            <w:tcW w:type="dxa" w:w="2088"/>
            <w:shd w:val="clear" w:color="auto" w:fill="DCE6F1"/>
          </w:tcPr>
          <w:p>
            <w:r/>
            <w:r>
              <w:rPr>
                <w:b/>
                <w:sz w:val="18"/>
              </w:rPr>
              <w:t>Gap / analysis</w:t>
            </w:r>
          </w:p>
        </w:tc>
        <w:tc>
          <w:tcPr>
            <w:tcW w:type="dxa" w:w="7272"/>
          </w:tcPr>
          <w:p>
            <w:r>
              <w:rPr>
                <w:sz w:val="18"/>
              </w:rPr>
            </w:r>
            <w:r>
              <w:rPr>
                <w:sz w:val="18"/>
              </w:rPr>
              <w:t>This is a single point of failure in a compressed timeline.</w:t>
            </w:r>
          </w:p>
        </w:tc>
      </w:tr>
      <w:tr>
        <w:tc>
          <w:tcPr>
            <w:tcW w:type="dxa" w:w="2088"/>
            <w:shd w:val="clear" w:color="auto" w:fill="DCE6F1"/>
          </w:tcPr>
          <w:p>
            <w:r/>
            <w:r>
              <w:rPr>
                <w:b/>
                <w:sz w:val="18"/>
              </w:rPr>
              <w:t>Required corrective action</w:t>
            </w:r>
          </w:p>
        </w:tc>
        <w:tc>
          <w:tcPr>
            <w:tcW w:type="dxa" w:w="7272"/>
          </w:tcPr>
          <w:p>
            <w:r>
              <w:rPr>
                <w:sz w:val="18"/>
              </w:rPr>
            </w:r>
            <w:r>
              <w:rPr>
                <w:sz w:val="18"/>
              </w:rPr>
              <w:t>Assign a responsible/approver/backup for each row; add counsel sign-off and "proof of filing" columns.</w:t>
            </w:r>
          </w:p>
        </w:tc>
      </w:tr>
      <w:tr>
        <w:tc>
          <w:tcPr>
            <w:tcW w:type="dxa" w:w="2088"/>
            <w:shd w:val="clear" w:color="auto" w:fill="DCE6F1"/>
          </w:tcPr>
          <w:p>
            <w:r/>
            <w:r>
              <w:rPr>
                <w:b/>
                <w:sz w:val="18"/>
              </w:rPr>
              <w:t>Sources</w:t>
            </w:r>
          </w:p>
        </w:tc>
        <w:tc>
          <w:tcPr>
            <w:tcW w:type="dxa" w:w="7272"/>
          </w:tcPr>
          <w:p>
            <w:r>
              <w:rPr>
                <w:sz w:val="18"/>
              </w:rPr>
            </w:r>
            <w:r>
              <w:rPr>
                <w:sz w:val="18"/>
              </w:rPr>
              <w:t>U.S. State-by-State Detail.</w:t>
            </w:r>
          </w:p>
        </w:tc>
      </w:tr>
    </w:tbl>
    <w:p/>
    <w:p>
      <w:pPr>
        <w:pStyle w:val="Heading3"/>
      </w:pPr>
      <w:r>
        <w:t>L-4  Law enforcement reporting and delay protocol not tracked</w:t>
      </w:r>
    </w:p>
    <w:tbl>
      <w:tblPr>
        <w:tblStyle w:val="TableGrid"/>
        <w:tblW w:type="auto" w:w="0"/>
        <w:tblLook w:firstColumn="1" w:firstRow="1" w:lastColumn="0" w:lastRow="0" w:noHBand="0" w:noVBand="1" w:val="04A0"/>
      </w:tblPr>
      <w:tblGrid>
        <w:gridCol w:w="4680"/>
        <w:gridCol w:w="4680"/>
      </w:tblGrid>
      <w:tr>
        <w:tc>
          <w:tcPr>
            <w:tcW w:type="dxa" w:w="2088"/>
            <w:shd w:val="clear" w:color="auto" w:fill="DCE6F1"/>
          </w:tcPr>
          <w:p>
            <w:r/>
            <w:r>
              <w:rPr>
                <w:b/>
                <w:sz w:val="18"/>
              </w:rPr>
              <w:t>Severity</w:t>
            </w:r>
          </w:p>
        </w:tc>
        <w:tc>
          <w:tcPr>
            <w:tcW w:type="dxa" w:w="7272"/>
            <w:shd w:val="clear" w:color="auto" w:fill="D9EAD3"/>
          </w:tcPr>
          <w:p>
            <w:r>
              <w:rPr>
                <w:sz w:val="18"/>
              </w:rPr>
            </w:r>
            <w:r>
              <w:rPr>
                <w:sz w:val="18"/>
              </w:rPr>
              <w:t>LOW</w:t>
            </w:r>
          </w:p>
        </w:tc>
      </w:tr>
      <w:tr>
        <w:tc>
          <w:tcPr>
            <w:tcW w:type="dxa" w:w="2088"/>
            <w:shd w:val="clear" w:color="auto" w:fill="DCE6F1"/>
          </w:tcPr>
          <w:p>
            <w:r/>
            <w:r>
              <w:rPr>
                <w:b/>
                <w:sz w:val="18"/>
              </w:rPr>
              <w:t>Schedule reference</w:t>
            </w:r>
          </w:p>
        </w:tc>
        <w:tc>
          <w:tcPr>
            <w:tcW w:type="dxa" w:w="7272"/>
          </w:tcPr>
          <w:p>
            <w:r>
              <w:rPr>
                <w:sz w:val="18"/>
              </w:rPr>
            </w:r>
            <w:r>
              <w:rPr>
                <w:sz w:val="18"/>
              </w:rPr>
              <w:t>No law enforcement row.</w:t>
            </w:r>
          </w:p>
        </w:tc>
      </w:tr>
      <w:tr>
        <w:tc>
          <w:tcPr>
            <w:tcW w:type="dxa" w:w="2088"/>
            <w:shd w:val="clear" w:color="auto" w:fill="DCE6F1"/>
          </w:tcPr>
          <w:p>
            <w:r/>
            <w:r>
              <w:rPr>
                <w:b/>
                <w:sz w:val="18"/>
              </w:rPr>
              <w:t>Requirement</w:t>
            </w:r>
          </w:p>
        </w:tc>
        <w:tc>
          <w:tcPr>
            <w:tcW w:type="dxa" w:w="7272"/>
          </w:tcPr>
          <w:p>
            <w:r>
              <w:rPr>
                <w:sz w:val="18"/>
              </w:rPr>
            </w:r>
            <w:r>
              <w:rPr>
                <w:sz w:val="18"/>
              </w:rPr>
              <w:t>45 CFR § 164.412 and the state law enforcement delay provisions (Guidance Memo § VII.B); the CA, MA and TX content and filings ask whether law enforcement was involved or whether notice was delayed.</w:t>
            </w:r>
          </w:p>
        </w:tc>
      </w:tr>
      <w:tr>
        <w:tc>
          <w:tcPr>
            <w:tcW w:type="dxa" w:w="2088"/>
            <w:shd w:val="clear" w:color="auto" w:fill="DCE6F1"/>
          </w:tcPr>
          <w:p>
            <w:r/>
            <w:r>
              <w:rPr>
                <w:b/>
                <w:sz w:val="18"/>
              </w:rPr>
              <w:t>Gap / analysis</w:t>
            </w:r>
          </w:p>
        </w:tc>
        <w:tc>
          <w:tcPr>
            <w:tcW w:type="dxa" w:w="7272"/>
          </w:tcPr>
          <w:p>
            <w:r>
              <w:rPr>
                <w:sz w:val="18"/>
              </w:rPr>
            </w:r>
            <w:r>
              <w:rPr>
                <w:sz w:val="18"/>
              </w:rPr>
              <w:t>No decision is recorded on reporting to the FBI (IC3 / field office). The answer must be stated consistently in several filings.</w:t>
            </w:r>
          </w:p>
        </w:tc>
      </w:tr>
      <w:tr>
        <w:tc>
          <w:tcPr>
            <w:tcW w:type="dxa" w:w="2088"/>
            <w:shd w:val="clear" w:color="auto" w:fill="DCE6F1"/>
          </w:tcPr>
          <w:p>
            <w:r/>
            <w:r>
              <w:rPr>
                <w:b/>
                <w:sz w:val="18"/>
              </w:rPr>
              <w:t>Required corrective action</w:t>
            </w:r>
          </w:p>
        </w:tc>
        <w:tc>
          <w:tcPr>
            <w:tcW w:type="dxa" w:w="7272"/>
          </w:tcPr>
          <w:p>
            <w:r>
              <w:rPr>
                <w:sz w:val="18"/>
              </w:rPr>
            </w:r>
            <w:r>
              <w:rPr>
                <w:sz w:val="18"/>
              </w:rPr>
              <w:t>Decide on an FBI referral this week (with counsel); add a row; document any delay request in writing and limit it to the requesting jurisdiction.</w:t>
            </w:r>
          </w:p>
        </w:tc>
      </w:tr>
      <w:tr>
        <w:tc>
          <w:tcPr>
            <w:tcW w:type="dxa" w:w="2088"/>
            <w:shd w:val="clear" w:color="auto" w:fill="DCE6F1"/>
          </w:tcPr>
          <w:p>
            <w:r/>
            <w:r>
              <w:rPr>
                <w:b/>
                <w:sz w:val="18"/>
              </w:rPr>
              <w:t>Sources</w:t>
            </w:r>
          </w:p>
        </w:tc>
        <w:tc>
          <w:tcPr>
            <w:tcW w:type="dxa" w:w="7272"/>
          </w:tcPr>
          <w:p>
            <w:r>
              <w:rPr>
                <w:sz w:val="18"/>
              </w:rPr>
            </w:r>
            <w:r>
              <w:rPr>
                <w:sz w:val="18"/>
              </w:rPr>
              <w:t>Guidance Memo § VII.B.</w:t>
            </w:r>
          </w:p>
        </w:tc>
      </w:tr>
    </w:tbl>
    <w:p/>
    <w:p>
      <w:pPr>
        <w:pStyle w:val="Heading3"/>
      </w:pPr>
      <w:r>
        <w:t>L-5  Board framing of GDPR fine exposure and insurer conditions</w:t>
      </w:r>
    </w:p>
    <w:tbl>
      <w:tblPr>
        <w:tblStyle w:val="TableGrid"/>
        <w:tblW w:type="auto" w:w="0"/>
        <w:tblLook w:firstColumn="1" w:firstRow="1" w:lastColumn="0" w:lastRow="0" w:noHBand="0" w:noVBand="1" w:val="04A0"/>
      </w:tblPr>
      <w:tblGrid>
        <w:gridCol w:w="4680"/>
        <w:gridCol w:w="4680"/>
      </w:tblGrid>
      <w:tr>
        <w:tc>
          <w:tcPr>
            <w:tcW w:type="dxa" w:w="2088"/>
            <w:shd w:val="clear" w:color="auto" w:fill="DCE6F1"/>
          </w:tcPr>
          <w:p>
            <w:r/>
            <w:r>
              <w:rPr>
                <w:b/>
                <w:sz w:val="18"/>
              </w:rPr>
              <w:t>Severity</w:t>
            </w:r>
          </w:p>
        </w:tc>
        <w:tc>
          <w:tcPr>
            <w:tcW w:type="dxa" w:w="7272"/>
            <w:shd w:val="clear" w:color="auto" w:fill="D9EAD3"/>
          </w:tcPr>
          <w:p>
            <w:r>
              <w:rPr>
                <w:sz w:val="18"/>
              </w:rPr>
            </w:r>
            <w:r>
              <w:rPr>
                <w:sz w:val="18"/>
              </w:rPr>
              <w:t>LOW</w:t>
            </w:r>
          </w:p>
        </w:tc>
      </w:tr>
      <w:tr>
        <w:tc>
          <w:tcPr>
            <w:tcW w:type="dxa" w:w="2088"/>
            <w:shd w:val="clear" w:color="auto" w:fill="DCE6F1"/>
          </w:tcPr>
          <w:p>
            <w:r/>
            <w:r>
              <w:rPr>
                <w:b/>
                <w:sz w:val="18"/>
              </w:rPr>
              <w:t>Schedule reference</w:t>
            </w:r>
          </w:p>
        </w:tc>
        <w:tc>
          <w:tcPr>
            <w:tcW w:type="dxa" w:w="7272"/>
          </w:tcPr>
          <w:p>
            <w:r>
              <w:rPr>
                <w:sz w:val="18"/>
              </w:rPr>
            </w:r>
            <w:r>
              <w:rPr>
                <w:sz w:val="18"/>
              </w:rPr>
              <w:t>Transmittal email ("GDPR fines up to 4% of global turnover").</w:t>
            </w:r>
          </w:p>
        </w:tc>
      </w:tr>
      <w:tr>
        <w:tc>
          <w:tcPr>
            <w:tcW w:type="dxa" w:w="2088"/>
            <w:shd w:val="clear" w:color="auto" w:fill="DCE6F1"/>
          </w:tcPr>
          <w:p>
            <w:r/>
            <w:r>
              <w:rPr>
                <w:b/>
                <w:sz w:val="18"/>
              </w:rPr>
              <w:t>Requirement</w:t>
            </w:r>
          </w:p>
        </w:tc>
        <w:tc>
          <w:tcPr>
            <w:tcW w:type="dxa" w:w="7272"/>
          </w:tcPr>
          <w:p>
            <w:r>
              <w:rPr>
                <w:sz w:val="18"/>
              </w:rPr>
            </w:r>
            <w:r>
              <w:rPr>
                <w:sz w:val="18"/>
              </w:rPr>
              <w:t>Art. 83(4)–(5): the cap is the higher of €20M or 4% of worldwide annual turnover of the undertaking. 4% of $485M is about $19.4M, so the €20M figure is the operative cap (Guidance Memo § V.D).</w:t>
            </w:r>
          </w:p>
        </w:tc>
      </w:tr>
      <w:tr>
        <w:tc>
          <w:tcPr>
            <w:tcW w:type="dxa" w:w="2088"/>
            <w:shd w:val="clear" w:color="auto" w:fill="DCE6F1"/>
          </w:tcPr>
          <w:p>
            <w:r/>
            <w:r>
              <w:rPr>
                <w:b/>
                <w:sz w:val="18"/>
              </w:rPr>
              <w:t>Gap / analysis</w:t>
            </w:r>
          </w:p>
        </w:tc>
        <w:tc>
          <w:tcPr>
            <w:tcW w:type="dxa" w:w="7272"/>
          </w:tcPr>
          <w:p>
            <w:r>
              <w:rPr>
                <w:sz w:val="18"/>
              </w:rPr>
            </w:r>
            <w:r>
              <w:rPr>
                <w:sz w:val="18"/>
              </w:rPr>
              <w:t>Board materials should state exposure accurately. Late Art. 33/34 notification and Art. 32 security failures fall under Art. 83(4) (up to €10M or 2%); a charge under the Art. 5(1)(f) integrity-and-confidentiality principle or Chapter V transfer rules would fall under Art. 83(5) (up to €20M or 4%).</w:t>
            </w:r>
          </w:p>
        </w:tc>
      </w:tr>
      <w:tr>
        <w:tc>
          <w:tcPr>
            <w:tcW w:type="dxa" w:w="2088"/>
            <w:shd w:val="clear" w:color="auto" w:fill="DCE6F1"/>
          </w:tcPr>
          <w:p>
            <w:r/>
            <w:r>
              <w:rPr>
                <w:b/>
                <w:sz w:val="18"/>
              </w:rPr>
              <w:t>Required corrective action</w:t>
            </w:r>
          </w:p>
        </w:tc>
        <w:tc>
          <w:tcPr>
            <w:tcW w:type="dxa" w:w="7272"/>
          </w:tcPr>
          <w:p>
            <w:r>
              <w:rPr>
                <w:sz w:val="18"/>
              </w:rPr>
            </w:r>
            <w:r>
              <w:rPr>
                <w:sz w:val="18"/>
              </w:rPr>
              <w:t>Use the corrected figures in the April 14 deck.</w:t>
            </w:r>
          </w:p>
        </w:tc>
      </w:tr>
      <w:tr>
        <w:tc>
          <w:tcPr>
            <w:tcW w:type="dxa" w:w="2088"/>
            <w:shd w:val="clear" w:color="auto" w:fill="DCE6F1"/>
          </w:tcPr>
          <w:p>
            <w:r/>
            <w:r>
              <w:rPr>
                <w:b/>
                <w:sz w:val="18"/>
              </w:rPr>
              <w:t>Sources</w:t>
            </w:r>
          </w:p>
        </w:tc>
        <w:tc>
          <w:tcPr>
            <w:tcW w:type="dxa" w:w="7272"/>
          </w:tcPr>
          <w:p>
            <w:r>
              <w:rPr>
                <w:sz w:val="18"/>
              </w:rPr>
            </w:r>
            <w:r>
              <w:rPr>
                <w:sz w:val="18"/>
              </w:rPr>
              <w:t>Transmittal email; Guidance Memo § V.D.</w:t>
            </w:r>
          </w:p>
        </w:tc>
      </w:tr>
    </w:tbl>
    <w:p/>
    <w:p>
      <w:pPr>
        <w:pStyle w:val="Heading1"/>
      </w:pPr>
      <w:r>
        <w:t>VI. Corrected Master Notification Timeline</w:t>
      </w:r>
    </w:p>
    <w:p>
      <w:r>
        <w:t xml:space="preserve">All periods run from discovery or awareness on </w:t>
      </w:r>
      <w:r>
        <w:rPr>
          <w:b/>
        </w:rPr>
        <w:t>Wednesday, April 2, 2025, 15:17 CDT (20:17 UTC)</w:t>
      </w:r>
      <w:r>
        <w:t xml:space="preserve"> unless noted. "Target" is our recommended completion date; "Legal deadline" is the outer limit.</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360"/>
            <w:shd w:val="clear" w:color="auto" w:fill="1F3A5F"/>
          </w:tcPr>
          <w:p>
            <w:r/>
            <w:r>
              <w:rPr>
                <w:b/>
                <w:color w:val="FFFFFF"/>
                <w:sz w:val="15"/>
              </w:rPr>
              <w:t>#</w:t>
            </w:r>
          </w:p>
        </w:tc>
        <w:tc>
          <w:tcPr>
            <w:tcW w:type="dxa" w:w="2232"/>
            <w:shd w:val="clear" w:color="auto" w:fill="1F3A5F"/>
          </w:tcPr>
          <w:p>
            <w:r/>
            <w:r>
              <w:rPr>
                <w:b/>
                <w:color w:val="FFFFFF"/>
                <w:sz w:val="15"/>
              </w:rPr>
              <w:t>Obligation</w:t>
            </w:r>
          </w:p>
        </w:tc>
        <w:tc>
          <w:tcPr>
            <w:tcW w:type="dxa" w:w="1728"/>
            <w:shd w:val="clear" w:color="auto" w:fill="1F3A5F"/>
          </w:tcPr>
          <w:p>
            <w:r/>
            <w:r>
              <w:rPr>
                <w:b/>
                <w:color w:val="FFFFFF"/>
                <w:sz w:val="15"/>
              </w:rPr>
              <w:t>Recipient</w:t>
            </w:r>
          </w:p>
        </w:tc>
        <w:tc>
          <w:tcPr>
            <w:tcW w:type="dxa" w:w="1800"/>
            <w:shd w:val="clear" w:color="auto" w:fill="1F3A5F"/>
          </w:tcPr>
          <w:p>
            <w:r/>
            <w:r>
              <w:rPr>
                <w:b/>
                <w:color w:val="FFFFFF"/>
                <w:sz w:val="15"/>
              </w:rPr>
              <w:t>Legal deadline</w:t>
            </w:r>
          </w:p>
        </w:tc>
        <w:tc>
          <w:tcPr>
            <w:tcW w:type="dxa" w:w="1224"/>
            <w:shd w:val="clear" w:color="auto" w:fill="1F3A5F"/>
          </w:tcPr>
          <w:p>
            <w:r/>
            <w:r>
              <w:rPr>
                <w:b/>
                <w:color w:val="FFFFFF"/>
                <w:sz w:val="15"/>
              </w:rPr>
              <w:t>Target</w:t>
            </w:r>
          </w:p>
        </w:tc>
        <w:tc>
          <w:tcPr>
            <w:tcW w:type="dxa" w:w="1080"/>
            <w:shd w:val="clear" w:color="auto" w:fill="1F3A5F"/>
          </w:tcPr>
          <w:p>
            <w:r/>
            <w:r>
              <w:rPr>
                <w:b/>
                <w:color w:val="FFFFFF"/>
                <w:sz w:val="15"/>
              </w:rPr>
              <w:t>Schedule showed</w:t>
            </w:r>
          </w:p>
        </w:tc>
        <w:tc>
          <w:tcPr>
            <w:tcW w:type="dxa" w:w="936"/>
            <w:shd w:val="clear" w:color="auto" w:fill="1F3A5F"/>
          </w:tcPr>
          <w:p>
            <w:r/>
            <w:r>
              <w:rPr>
                <w:b/>
                <w:color w:val="FFFFFF"/>
                <w:sz w:val="15"/>
              </w:rPr>
              <w:t>Finding</w:t>
            </w:r>
          </w:p>
        </w:tc>
      </w:tr>
      <w:tr>
        <w:tc>
          <w:tcPr>
            <w:tcW w:type="dxa" w:w="360"/>
          </w:tcPr>
          <w:p>
            <w:r>
              <w:rPr>
                <w:sz w:val="15"/>
              </w:rPr>
            </w:r>
            <w:r>
              <w:rPr>
                <w:sz w:val="15"/>
              </w:rPr>
              <w:t>1</w:t>
            </w:r>
          </w:p>
        </w:tc>
        <w:tc>
          <w:tcPr>
            <w:tcW w:type="dxa" w:w="2232"/>
          </w:tcPr>
          <w:p>
            <w:r>
              <w:rPr>
                <w:sz w:val="15"/>
              </w:rPr>
            </w:r>
            <w:r>
              <w:rPr>
                <w:sz w:val="15"/>
              </w:rPr>
              <w:t>GDPR Art. 33 notice (with BSN content, reasons for delay)</w:t>
            </w:r>
          </w:p>
        </w:tc>
        <w:tc>
          <w:tcPr>
            <w:tcW w:type="dxa" w:w="1728"/>
          </w:tcPr>
          <w:p>
            <w:r>
              <w:rPr>
                <w:sz w:val="15"/>
              </w:rPr>
            </w:r>
            <w:r>
              <w:rPr>
                <w:sz w:val="15"/>
              </w:rPr>
              <w:t>Autoriteit Persoonsgegevens</w:t>
            </w:r>
          </w:p>
        </w:tc>
        <w:tc>
          <w:tcPr>
            <w:tcW w:type="dxa" w:w="1800"/>
          </w:tcPr>
          <w:p>
            <w:r>
              <w:rPr>
                <w:sz w:val="15"/>
              </w:rPr>
            </w:r>
            <w:r>
              <w:rPr>
                <w:sz w:val="15"/>
              </w:rPr>
              <w:t xml:space="preserve">Apr 5, 22:17 CEST — </w:t>
            </w:r>
            <w:r>
              <w:rPr>
                <w:b/>
                <w:sz w:val="15"/>
              </w:rPr>
              <w:t>PASSED</w:t>
            </w:r>
          </w:p>
        </w:tc>
        <w:tc>
          <w:tcPr>
            <w:tcW w:type="dxa" w:w="1224"/>
          </w:tcPr>
          <w:p>
            <w:r>
              <w:rPr>
                <w:sz w:val="15"/>
              </w:rPr>
            </w:r>
            <w:r>
              <w:rPr>
                <w:sz w:val="15"/>
              </w:rPr>
              <w:t>Apr 9 (today)</w:t>
            </w:r>
          </w:p>
        </w:tc>
        <w:tc>
          <w:tcPr>
            <w:tcW w:type="dxa" w:w="1080"/>
          </w:tcPr>
          <w:p>
            <w:r>
              <w:rPr>
                <w:sz w:val="15"/>
              </w:rPr>
            </w:r>
            <w:r>
              <w:rPr>
                <w:sz w:val="15"/>
              </w:rPr>
              <w:t>Apr 8</w:t>
            </w:r>
          </w:p>
        </w:tc>
        <w:tc>
          <w:tcPr>
            <w:tcW w:type="dxa" w:w="936"/>
          </w:tcPr>
          <w:p>
            <w:r>
              <w:rPr>
                <w:sz w:val="15"/>
              </w:rPr>
            </w:r>
            <w:r>
              <w:rPr>
                <w:sz w:val="15"/>
              </w:rPr>
              <w:t>C-2, H-9</w:t>
            </w:r>
          </w:p>
        </w:tc>
      </w:tr>
      <w:tr>
        <w:tc>
          <w:tcPr>
            <w:tcW w:type="dxa" w:w="360"/>
          </w:tcPr>
          <w:p>
            <w:r>
              <w:rPr>
                <w:sz w:val="15"/>
              </w:rPr>
            </w:r>
            <w:r>
              <w:rPr>
                <w:sz w:val="15"/>
              </w:rPr>
              <w:t>2</w:t>
            </w:r>
          </w:p>
        </w:tc>
        <w:tc>
          <w:tcPr>
            <w:tcW w:type="dxa" w:w="2232"/>
          </w:tcPr>
          <w:p>
            <w:r>
              <w:rPr>
                <w:sz w:val="15"/>
              </w:rPr>
            </w:r>
            <w:r>
              <w:rPr>
                <w:sz w:val="15"/>
              </w:rPr>
              <w:t>LGPD Art. 48 / Res. 15/2024 notice</w:t>
            </w:r>
          </w:p>
        </w:tc>
        <w:tc>
          <w:tcPr>
            <w:tcW w:type="dxa" w:w="1728"/>
          </w:tcPr>
          <w:p>
            <w:r>
              <w:rPr>
                <w:sz w:val="15"/>
              </w:rPr>
            </w:r>
            <w:r>
              <w:rPr>
                <w:sz w:val="15"/>
              </w:rPr>
              <w:t>ANPD</w:t>
            </w:r>
          </w:p>
        </w:tc>
        <w:tc>
          <w:tcPr>
            <w:tcW w:type="dxa" w:w="1800"/>
          </w:tcPr>
          <w:p>
            <w:r>
              <w:rPr>
                <w:sz w:val="15"/>
              </w:rPr>
            </w:r>
            <w:r>
              <w:rPr>
                <w:sz w:val="15"/>
              </w:rPr>
              <w:t xml:space="preserve">Apr 7 (3 business days) — </w:t>
            </w:r>
            <w:r>
              <w:rPr>
                <w:b/>
                <w:sz w:val="15"/>
              </w:rPr>
              <w:t>PASSED</w:t>
            </w:r>
          </w:p>
        </w:tc>
        <w:tc>
          <w:tcPr>
            <w:tcW w:type="dxa" w:w="1224"/>
          </w:tcPr>
          <w:p>
            <w:r>
              <w:rPr>
                <w:sz w:val="15"/>
              </w:rPr>
            </w:r>
            <w:r>
              <w:rPr>
                <w:sz w:val="15"/>
              </w:rPr>
              <w:t>Apr 9 (today)</w:t>
            </w:r>
          </w:p>
        </w:tc>
        <w:tc>
          <w:tcPr>
            <w:tcW w:type="dxa" w:w="1080"/>
          </w:tcPr>
          <w:p>
            <w:r>
              <w:rPr>
                <w:sz w:val="15"/>
              </w:rPr>
            </w:r>
            <w:r>
              <w:rPr>
                <w:sz w:val="15"/>
              </w:rPr>
              <w:t>Apr 5</w:t>
            </w:r>
          </w:p>
        </w:tc>
        <w:tc>
          <w:tcPr>
            <w:tcW w:type="dxa" w:w="936"/>
          </w:tcPr>
          <w:p>
            <w:r>
              <w:rPr>
                <w:sz w:val="15"/>
              </w:rPr>
            </w:r>
            <w:r>
              <w:rPr>
                <w:sz w:val="15"/>
              </w:rPr>
              <w:t>C-3</w:t>
            </w:r>
          </w:p>
        </w:tc>
      </w:tr>
      <w:tr>
        <w:tc>
          <w:tcPr>
            <w:tcW w:type="dxa" w:w="360"/>
          </w:tcPr>
          <w:p>
            <w:r>
              <w:rPr>
                <w:sz w:val="15"/>
              </w:rPr>
            </w:r>
            <w:r>
              <w:rPr>
                <w:sz w:val="15"/>
              </w:rPr>
              <w:t>3</w:t>
            </w:r>
          </w:p>
        </w:tc>
        <w:tc>
          <w:tcPr>
            <w:tcW w:type="dxa" w:w="2232"/>
          </w:tcPr>
          <w:p>
            <w:r>
              <w:rPr>
                <w:sz w:val="15"/>
              </w:rPr>
            </w:r>
            <w:r>
              <w:rPr>
                <w:sz w:val="15"/>
              </w:rPr>
              <w:t>LGPD communication to 9,400 data subjects (Portuguese)</w:t>
            </w:r>
          </w:p>
        </w:tc>
        <w:tc>
          <w:tcPr>
            <w:tcW w:type="dxa" w:w="1728"/>
          </w:tcPr>
          <w:p>
            <w:r>
              <w:rPr>
                <w:sz w:val="15"/>
              </w:rPr>
            </w:r>
            <w:r>
              <w:rPr>
                <w:sz w:val="15"/>
              </w:rPr>
              <w:t>Brazilian data subjects</w:t>
            </w:r>
          </w:p>
        </w:tc>
        <w:tc>
          <w:tcPr>
            <w:tcW w:type="dxa" w:w="1800"/>
          </w:tcPr>
          <w:p>
            <w:r>
              <w:rPr>
                <w:sz w:val="15"/>
              </w:rPr>
            </w:r>
            <w:r>
              <w:rPr>
                <w:sz w:val="15"/>
              </w:rPr>
              <w:t xml:space="preserve">Apr 7 (3 business days) — </w:t>
            </w:r>
            <w:r>
              <w:rPr>
                <w:b/>
                <w:sz w:val="15"/>
              </w:rPr>
              <w:t>PASSED</w:t>
            </w:r>
          </w:p>
        </w:tc>
        <w:tc>
          <w:tcPr>
            <w:tcW w:type="dxa" w:w="1224"/>
          </w:tcPr>
          <w:p>
            <w:r>
              <w:rPr>
                <w:sz w:val="15"/>
              </w:rPr>
            </w:r>
            <w:r>
              <w:rPr>
                <w:sz w:val="15"/>
              </w:rPr>
              <w:t>By Apr 11</w:t>
            </w:r>
          </w:p>
        </w:tc>
        <w:tc>
          <w:tcPr>
            <w:tcW w:type="dxa" w:w="1080"/>
          </w:tcPr>
          <w:p>
            <w:r>
              <w:rPr>
                <w:sz w:val="15"/>
              </w:rPr>
            </w:r>
            <w:r>
              <w:rPr>
                <w:sz w:val="15"/>
              </w:rPr>
              <w:t>TBD</w:t>
            </w:r>
          </w:p>
        </w:tc>
        <w:tc>
          <w:tcPr>
            <w:tcW w:type="dxa" w:w="936"/>
          </w:tcPr>
          <w:p>
            <w:r>
              <w:rPr>
                <w:sz w:val="15"/>
              </w:rPr>
            </w:r>
            <w:r>
              <w:rPr>
                <w:sz w:val="15"/>
              </w:rPr>
              <w:t>C-4</w:t>
            </w:r>
          </w:p>
        </w:tc>
      </w:tr>
      <w:tr>
        <w:tc>
          <w:tcPr>
            <w:tcW w:type="dxa" w:w="360"/>
          </w:tcPr>
          <w:p>
            <w:r>
              <w:rPr>
                <w:sz w:val="15"/>
              </w:rPr>
            </w:r>
            <w:r>
              <w:rPr>
                <w:sz w:val="15"/>
              </w:rPr>
              <w:t>4</w:t>
            </w:r>
          </w:p>
        </w:tc>
        <w:tc>
          <w:tcPr>
            <w:tcW w:type="dxa" w:w="2232"/>
          </w:tcPr>
          <w:p>
            <w:r>
              <w:rPr>
                <w:sz w:val="15"/>
              </w:rPr>
            </w:r>
            <w:r>
              <w:rPr>
                <w:sz w:val="15"/>
              </w:rPr>
              <w:t>Formal notice and demand; Pinnacle BAA § 4.3 written notice</w:t>
            </w:r>
          </w:p>
        </w:tc>
        <w:tc>
          <w:tcPr>
            <w:tcW w:type="dxa" w:w="1728"/>
          </w:tcPr>
          <w:p>
            <w:r>
              <w:rPr>
                <w:sz w:val="15"/>
              </w:rPr>
            </w:r>
            <w:r>
              <w:rPr>
                <w:sz w:val="15"/>
              </w:rPr>
              <w:t>Pinnacle → RCS</w:t>
            </w:r>
          </w:p>
        </w:tc>
        <w:tc>
          <w:tcPr>
            <w:tcW w:type="dxa" w:w="1800"/>
          </w:tcPr>
          <w:p>
            <w:r>
              <w:rPr>
                <w:sz w:val="15"/>
              </w:rPr>
            </w:r>
            <w:r>
              <w:rPr>
                <w:sz w:val="15"/>
              </w:rPr>
              <w:t>Apr 10 at the latest (5 business days from Apr 3); possibly earlier</w:t>
            </w:r>
          </w:p>
        </w:tc>
        <w:tc>
          <w:tcPr>
            <w:tcW w:type="dxa" w:w="1224"/>
          </w:tcPr>
          <w:p>
            <w:r>
              <w:rPr>
                <w:sz w:val="15"/>
              </w:rPr>
            </w:r>
            <w:r>
              <w:rPr>
                <w:sz w:val="15"/>
              </w:rPr>
              <w:t>Demand Apr 9</w:t>
            </w:r>
          </w:p>
        </w:tc>
        <w:tc>
          <w:tcPr>
            <w:tcW w:type="dxa" w:w="1080"/>
          </w:tcPr>
          <w:p>
            <w:r>
              <w:rPr>
                <w:sz w:val="15"/>
              </w:rPr>
            </w:r>
            <w:r>
              <w:rPr>
                <w:sz w:val="15"/>
              </w:rPr>
              <w:t>Not tracked</w:t>
            </w:r>
          </w:p>
        </w:tc>
        <w:tc>
          <w:tcPr>
            <w:tcW w:type="dxa" w:w="936"/>
          </w:tcPr>
          <w:p>
            <w:r>
              <w:rPr>
                <w:sz w:val="15"/>
              </w:rPr>
            </w:r>
            <w:r>
              <w:rPr>
                <w:sz w:val="15"/>
              </w:rPr>
              <w:t>H-3, M-6</w:t>
            </w:r>
          </w:p>
        </w:tc>
      </w:tr>
      <w:tr>
        <w:tc>
          <w:tcPr>
            <w:tcW w:type="dxa" w:w="360"/>
          </w:tcPr>
          <w:p>
            <w:r>
              <w:rPr>
                <w:sz w:val="15"/>
              </w:rPr>
            </w:r>
            <w:r>
              <w:rPr>
                <w:sz w:val="15"/>
              </w:rPr>
              <w:t>5</w:t>
            </w:r>
          </w:p>
        </w:tc>
        <w:tc>
          <w:tcPr>
            <w:tcW w:type="dxa" w:w="2232"/>
          </w:tcPr>
          <w:p>
            <w:r>
              <w:rPr>
                <w:sz w:val="15"/>
              </w:rPr>
            </w:r>
            <w:r>
              <w:rPr>
                <w:sz w:val="15"/>
              </w:rPr>
              <w:t>GDPR Art. 34 communication (Dutch)</w:t>
            </w:r>
          </w:p>
        </w:tc>
        <w:tc>
          <w:tcPr>
            <w:tcW w:type="dxa" w:w="1728"/>
          </w:tcPr>
          <w:p>
            <w:r>
              <w:rPr>
                <w:sz w:val="15"/>
              </w:rPr>
            </w:r>
            <w:r>
              <w:rPr>
                <w:sz w:val="15"/>
              </w:rPr>
              <w:t>29,100 NL data subjects</w:t>
            </w:r>
          </w:p>
        </w:tc>
        <w:tc>
          <w:tcPr>
            <w:tcW w:type="dxa" w:w="1800"/>
          </w:tcPr>
          <w:p>
            <w:r>
              <w:rPr>
                <w:sz w:val="15"/>
              </w:rPr>
            </w:r>
            <w:r>
              <w:rPr>
                <w:sz w:val="15"/>
              </w:rPr>
              <w:t>Without undue delay</w:t>
            </w:r>
          </w:p>
        </w:tc>
        <w:tc>
          <w:tcPr>
            <w:tcW w:type="dxa" w:w="1224"/>
          </w:tcPr>
          <w:p>
            <w:r>
              <w:rPr>
                <w:sz w:val="15"/>
              </w:rPr>
            </w:r>
            <w:r>
              <w:rPr>
                <w:sz w:val="15"/>
              </w:rPr>
              <w:t>By Apr 16</w:t>
            </w:r>
          </w:p>
        </w:tc>
        <w:tc>
          <w:tcPr>
            <w:tcW w:type="dxa" w:w="1080"/>
          </w:tcPr>
          <w:p>
            <w:r>
              <w:rPr>
                <w:sz w:val="15"/>
              </w:rPr>
            </w:r>
            <w:r>
              <w:rPr>
                <w:sz w:val="15"/>
              </w:rPr>
              <w:t>Not required</w:t>
            </w:r>
          </w:p>
        </w:tc>
        <w:tc>
          <w:tcPr>
            <w:tcW w:type="dxa" w:w="936"/>
          </w:tcPr>
          <w:p>
            <w:r>
              <w:rPr>
                <w:sz w:val="15"/>
              </w:rPr>
            </w:r>
            <w:r>
              <w:rPr>
                <w:sz w:val="15"/>
              </w:rPr>
              <w:t>C-6</w:t>
            </w:r>
          </w:p>
        </w:tc>
      </w:tr>
      <w:tr>
        <w:tc>
          <w:tcPr>
            <w:tcW w:type="dxa" w:w="360"/>
          </w:tcPr>
          <w:p>
            <w:r>
              <w:rPr>
                <w:sz w:val="15"/>
              </w:rPr>
            </w:r>
            <w:r>
              <w:rPr>
                <w:sz w:val="15"/>
              </w:rPr>
              <w:t>6</w:t>
            </w:r>
          </w:p>
        </w:tc>
        <w:tc>
          <w:tcPr>
            <w:tcW w:type="dxa" w:w="2232"/>
          </w:tcPr>
          <w:p>
            <w:r>
              <w:rPr>
                <w:sz w:val="15"/>
              </w:rPr>
            </w:r>
            <w:r>
              <w:rPr>
                <w:sz w:val="15"/>
              </w:rPr>
              <w:t>CMIA / H&amp;S Code § 1280.15 report (if licensed)</w:t>
            </w:r>
          </w:p>
        </w:tc>
        <w:tc>
          <w:tcPr>
            <w:tcW w:type="dxa" w:w="1728"/>
          </w:tcPr>
          <w:p>
            <w:r>
              <w:rPr>
                <w:sz w:val="15"/>
              </w:rPr>
            </w:r>
            <w:r>
              <w:rPr>
                <w:sz w:val="15"/>
              </w:rPr>
              <w:t>CDPH and CA patients</w:t>
            </w:r>
          </w:p>
        </w:tc>
        <w:tc>
          <w:tcPr>
            <w:tcW w:type="dxa" w:w="1800"/>
          </w:tcPr>
          <w:p>
            <w:r>
              <w:rPr>
                <w:sz w:val="15"/>
              </w:rPr>
            </w:r>
            <w:r>
              <w:rPr>
                <w:sz w:val="15"/>
              </w:rPr>
              <w:t>Apr 23 (15 business days)</w:t>
            </w:r>
          </w:p>
        </w:tc>
        <w:tc>
          <w:tcPr>
            <w:tcW w:type="dxa" w:w="1224"/>
          </w:tcPr>
          <w:p>
            <w:r>
              <w:rPr>
                <w:sz w:val="15"/>
              </w:rPr>
            </w:r>
            <w:r>
              <w:rPr>
                <w:sz w:val="15"/>
              </w:rPr>
              <w:t>Licensure decision Apr 14</w:t>
            </w:r>
          </w:p>
        </w:tc>
        <w:tc>
          <w:tcPr>
            <w:tcW w:type="dxa" w:w="1080"/>
          </w:tcPr>
          <w:p>
            <w:r>
              <w:rPr>
                <w:sz w:val="15"/>
              </w:rPr>
            </w:r>
            <w:r>
              <w:rPr>
                <w:sz w:val="15"/>
              </w:rPr>
              <w:t>Not tracked</w:t>
            </w:r>
          </w:p>
        </w:tc>
        <w:tc>
          <w:tcPr>
            <w:tcW w:type="dxa" w:w="936"/>
          </w:tcPr>
          <w:p>
            <w:r>
              <w:rPr>
                <w:sz w:val="15"/>
              </w:rPr>
            </w:r>
            <w:r>
              <w:rPr>
                <w:sz w:val="15"/>
              </w:rPr>
              <w:t>H-4</w:t>
            </w:r>
          </w:p>
        </w:tc>
      </w:tr>
      <w:tr>
        <w:tc>
          <w:tcPr>
            <w:tcW w:type="dxa" w:w="360"/>
          </w:tcPr>
          <w:p>
            <w:r>
              <w:rPr>
                <w:sz w:val="15"/>
              </w:rPr>
            </w:r>
            <w:r>
              <w:rPr>
                <w:sz w:val="15"/>
              </w:rPr>
              <w:t>7</w:t>
            </w:r>
          </w:p>
        </w:tc>
        <w:tc>
          <w:tcPr>
            <w:tcW w:type="dxa" w:w="2232"/>
          </w:tcPr>
          <w:p>
            <w:r>
              <w:rPr>
                <w:sz w:val="15"/>
              </w:rPr>
            </w:r>
            <w:r>
              <w:rPr>
                <w:sz w:val="15"/>
              </w:rPr>
              <w:t>NJ State Police report</w:t>
            </w:r>
          </w:p>
        </w:tc>
        <w:tc>
          <w:tcPr>
            <w:tcW w:type="dxa" w:w="1728"/>
          </w:tcPr>
          <w:p>
            <w:r>
              <w:rPr>
                <w:sz w:val="15"/>
              </w:rPr>
            </w:r>
            <w:r>
              <w:rPr>
                <w:sz w:val="15"/>
              </w:rPr>
              <w:t>NJ Division of State Police</w:t>
            </w:r>
          </w:p>
        </w:tc>
        <w:tc>
          <w:tcPr>
            <w:tcW w:type="dxa" w:w="1800"/>
          </w:tcPr>
          <w:p>
            <w:r>
              <w:rPr>
                <w:sz w:val="15"/>
              </w:rPr>
            </w:r>
            <w:r>
              <w:rPr>
                <w:sz w:val="15"/>
              </w:rPr>
              <w:t>Before NJ resident notice</w:t>
            </w:r>
          </w:p>
        </w:tc>
        <w:tc>
          <w:tcPr>
            <w:tcW w:type="dxa" w:w="1224"/>
          </w:tcPr>
          <w:p>
            <w:r>
              <w:rPr>
                <w:sz w:val="15"/>
              </w:rPr>
            </w:r>
            <w:r>
              <w:rPr>
                <w:sz w:val="15"/>
              </w:rPr>
              <w:t>Apr 30</w:t>
            </w:r>
          </w:p>
        </w:tc>
        <w:tc>
          <w:tcPr>
            <w:tcW w:type="dxa" w:w="1080"/>
          </w:tcPr>
          <w:p>
            <w:r>
              <w:rPr>
                <w:sz w:val="15"/>
              </w:rPr>
            </w:r>
            <w:r>
              <w:rPr>
                <w:sz w:val="15"/>
              </w:rPr>
              <w:t>June 1 ("or concurrent")</w:t>
            </w:r>
          </w:p>
        </w:tc>
        <w:tc>
          <w:tcPr>
            <w:tcW w:type="dxa" w:w="936"/>
          </w:tcPr>
          <w:p>
            <w:r>
              <w:rPr>
                <w:sz w:val="15"/>
              </w:rPr>
            </w:r>
            <w:r>
              <w:rPr>
                <w:sz w:val="15"/>
              </w:rPr>
              <w:t>M-1</w:t>
            </w:r>
          </w:p>
        </w:tc>
      </w:tr>
      <w:tr>
        <w:tc>
          <w:tcPr>
            <w:tcW w:type="dxa" w:w="360"/>
          </w:tcPr>
          <w:p>
            <w:r>
              <w:rPr>
                <w:sz w:val="15"/>
              </w:rPr>
            </w:r>
            <w:r>
              <w:rPr>
                <w:sz w:val="15"/>
              </w:rPr>
              <w:t>8</w:t>
            </w:r>
          </w:p>
        </w:tc>
        <w:tc>
          <w:tcPr>
            <w:tcW w:type="dxa" w:w="2232"/>
          </w:tcPr>
          <w:p>
            <w:r>
              <w:rPr>
                <w:sz w:val="15"/>
              </w:rPr>
            </w:r>
            <w:r>
              <w:rPr>
                <w:sz w:val="15"/>
              </w:rPr>
              <w:t>MA AG and OCABR filing</w:t>
            </w:r>
          </w:p>
        </w:tc>
        <w:tc>
          <w:tcPr>
            <w:tcW w:type="dxa" w:w="1728"/>
          </w:tcPr>
          <w:p>
            <w:r>
              <w:rPr>
                <w:sz w:val="15"/>
              </w:rPr>
            </w:r>
            <w:r>
              <w:rPr>
                <w:sz w:val="15"/>
              </w:rPr>
              <w:t>MA AG; OCABR</w:t>
            </w:r>
          </w:p>
        </w:tc>
        <w:tc>
          <w:tcPr>
            <w:tcW w:type="dxa" w:w="1800"/>
          </w:tcPr>
          <w:p>
            <w:r>
              <w:rPr>
                <w:sz w:val="15"/>
              </w:rPr>
            </w:r>
            <w:r>
              <w:rPr>
                <w:sz w:val="15"/>
              </w:rPr>
              <w:t>As soon as practicable; before/with resident notice</w:t>
            </w:r>
          </w:p>
        </w:tc>
        <w:tc>
          <w:tcPr>
            <w:tcW w:type="dxa" w:w="1224"/>
          </w:tcPr>
          <w:p>
            <w:r>
              <w:rPr>
                <w:sz w:val="15"/>
              </w:rPr>
            </w:r>
            <w:r>
              <w:rPr>
                <w:sz w:val="15"/>
              </w:rPr>
              <w:t>Apr 30 – May 2</w:t>
            </w:r>
          </w:p>
        </w:tc>
        <w:tc>
          <w:tcPr>
            <w:tcW w:type="dxa" w:w="1080"/>
          </w:tcPr>
          <w:p>
            <w:r>
              <w:rPr>
                <w:sz w:val="15"/>
              </w:rPr>
            </w:r>
            <w:r>
              <w:rPr>
                <w:sz w:val="15"/>
              </w:rPr>
              <w:t>Not tracked</w:t>
            </w:r>
          </w:p>
        </w:tc>
        <w:tc>
          <w:tcPr>
            <w:tcW w:type="dxa" w:w="936"/>
          </w:tcPr>
          <w:p>
            <w:r>
              <w:rPr>
                <w:sz w:val="15"/>
              </w:rPr>
            </w:r>
            <w:r>
              <w:rPr>
                <w:sz w:val="15"/>
              </w:rPr>
              <w:t>H-2</w:t>
            </w:r>
          </w:p>
        </w:tc>
      </w:tr>
      <w:tr>
        <w:tc>
          <w:tcPr>
            <w:tcW w:type="dxa" w:w="360"/>
          </w:tcPr>
          <w:p>
            <w:r>
              <w:rPr>
                <w:sz w:val="15"/>
              </w:rPr>
            </w:r>
            <w:r>
              <w:rPr>
                <w:sz w:val="15"/>
              </w:rPr>
              <w:t>9</w:t>
            </w:r>
          </w:p>
        </w:tc>
        <w:tc>
          <w:tcPr>
            <w:tcW w:type="dxa" w:w="2232"/>
          </w:tcPr>
          <w:p>
            <w:r>
              <w:rPr>
                <w:sz w:val="15"/>
              </w:rPr>
            </w:r>
            <w:r>
              <w:rPr>
                <w:sz w:val="15"/>
              </w:rPr>
              <w:t>Texas AG notice (electronic form)</w:t>
            </w:r>
          </w:p>
        </w:tc>
        <w:tc>
          <w:tcPr>
            <w:tcW w:type="dxa" w:w="1728"/>
          </w:tcPr>
          <w:p>
            <w:r>
              <w:rPr>
                <w:sz w:val="15"/>
              </w:rPr>
            </w:r>
            <w:r>
              <w:rPr>
                <w:sz w:val="15"/>
              </w:rPr>
              <w:t>Texas AG</w:t>
            </w:r>
          </w:p>
        </w:tc>
        <w:tc>
          <w:tcPr>
            <w:tcW w:type="dxa" w:w="1800"/>
          </w:tcPr>
          <w:p>
            <w:r>
              <w:rPr>
                <w:sz w:val="15"/>
              </w:rPr>
            </w:r>
            <w:r>
              <w:rPr>
                <w:b/>
                <w:sz w:val="15"/>
              </w:rPr>
              <w:t>May 2</w:t>
            </w:r>
          </w:p>
        </w:tc>
        <w:tc>
          <w:tcPr>
            <w:tcW w:type="dxa" w:w="1224"/>
          </w:tcPr>
          <w:p>
            <w:r>
              <w:rPr>
                <w:sz w:val="15"/>
              </w:rPr>
            </w:r>
            <w:r>
              <w:rPr>
                <w:sz w:val="15"/>
              </w:rPr>
              <w:t>Apr 30</w:t>
            </w:r>
          </w:p>
        </w:tc>
        <w:tc>
          <w:tcPr>
            <w:tcW w:type="dxa" w:w="1080"/>
          </w:tcPr>
          <w:p>
            <w:r>
              <w:rPr>
                <w:sz w:val="15"/>
              </w:rPr>
            </w:r>
            <w:r>
              <w:rPr>
                <w:sz w:val="15"/>
              </w:rPr>
              <w:t>June 1</w:t>
            </w:r>
          </w:p>
        </w:tc>
        <w:tc>
          <w:tcPr>
            <w:tcW w:type="dxa" w:w="936"/>
          </w:tcPr>
          <w:p>
            <w:r>
              <w:rPr>
                <w:sz w:val="15"/>
              </w:rPr>
            </w:r>
            <w:r>
              <w:rPr>
                <w:sz w:val="15"/>
              </w:rPr>
              <w:t>C-5</w:t>
            </w:r>
          </w:p>
        </w:tc>
      </w:tr>
      <w:tr>
        <w:tc>
          <w:tcPr>
            <w:tcW w:type="dxa" w:w="360"/>
          </w:tcPr>
          <w:p>
            <w:r>
              <w:rPr>
                <w:sz w:val="15"/>
              </w:rPr>
            </w:r>
            <w:r>
              <w:rPr>
                <w:sz w:val="15"/>
              </w:rPr>
              <w:t>10</w:t>
            </w:r>
          </w:p>
        </w:tc>
        <w:tc>
          <w:tcPr>
            <w:tcW w:type="dxa" w:w="2232"/>
          </w:tcPr>
          <w:p>
            <w:r>
              <w:rPr>
                <w:sz w:val="15"/>
              </w:rPr>
            </w:r>
            <w:r>
              <w:rPr>
                <w:sz w:val="15"/>
              </w:rPr>
              <w:t>Florida individual notice</w:t>
            </w:r>
          </w:p>
        </w:tc>
        <w:tc>
          <w:tcPr>
            <w:tcW w:type="dxa" w:w="1728"/>
          </w:tcPr>
          <w:p>
            <w:r>
              <w:rPr>
                <w:sz w:val="15"/>
              </w:rPr>
            </w:r>
            <w:r>
              <w:rPr>
                <w:sz w:val="15"/>
              </w:rPr>
              <w:t>28,900 FL residents</w:t>
            </w:r>
          </w:p>
        </w:tc>
        <w:tc>
          <w:tcPr>
            <w:tcW w:type="dxa" w:w="1800"/>
          </w:tcPr>
          <w:p>
            <w:r>
              <w:rPr>
                <w:sz w:val="15"/>
              </w:rPr>
            </w:r>
            <w:r>
              <w:rPr>
                <w:b/>
                <w:sz w:val="15"/>
              </w:rPr>
              <w:t>May 2</w:t>
            </w:r>
            <w:r>
              <w:rPr>
                <w:sz w:val="15"/>
              </w:rPr>
              <w:t xml:space="preserve"> (15-day extension only on written request before then)</w:t>
            </w:r>
          </w:p>
        </w:tc>
        <w:tc>
          <w:tcPr>
            <w:tcW w:type="dxa" w:w="1224"/>
          </w:tcPr>
          <w:p>
            <w:r>
              <w:rPr>
                <w:sz w:val="15"/>
              </w:rPr>
            </w:r>
            <w:r>
              <w:rPr>
                <w:sz w:val="15"/>
              </w:rPr>
              <w:t>May 2 mail drop</w:t>
            </w:r>
          </w:p>
        </w:tc>
        <w:tc>
          <w:tcPr>
            <w:tcW w:type="dxa" w:w="1080"/>
          </w:tcPr>
          <w:p>
            <w:r>
              <w:rPr>
                <w:sz w:val="15"/>
              </w:rPr>
            </w:r>
            <w:r>
              <w:rPr>
                <w:sz w:val="15"/>
              </w:rPr>
              <w:t>June 1</w:t>
            </w:r>
          </w:p>
        </w:tc>
        <w:tc>
          <w:tcPr>
            <w:tcW w:type="dxa" w:w="936"/>
          </w:tcPr>
          <w:p>
            <w:r>
              <w:rPr>
                <w:sz w:val="15"/>
              </w:rPr>
            </w:r>
            <w:r>
              <w:rPr>
                <w:sz w:val="15"/>
              </w:rPr>
              <w:t>C-5</w:t>
            </w:r>
          </w:p>
        </w:tc>
      </w:tr>
      <w:tr>
        <w:tc>
          <w:tcPr>
            <w:tcW w:type="dxa" w:w="360"/>
          </w:tcPr>
          <w:p>
            <w:r>
              <w:rPr>
                <w:sz w:val="15"/>
              </w:rPr>
            </w:r>
            <w:r>
              <w:rPr>
                <w:sz w:val="15"/>
              </w:rPr>
              <w:t>11</w:t>
            </w:r>
          </w:p>
        </w:tc>
        <w:tc>
          <w:tcPr>
            <w:tcW w:type="dxa" w:w="2232"/>
          </w:tcPr>
          <w:p>
            <w:r>
              <w:rPr>
                <w:sz w:val="15"/>
              </w:rPr>
            </w:r>
            <w:r>
              <w:rPr>
                <w:sz w:val="15"/>
              </w:rPr>
              <w:t>Florida DLA notice</w:t>
            </w:r>
          </w:p>
        </w:tc>
        <w:tc>
          <w:tcPr>
            <w:tcW w:type="dxa" w:w="1728"/>
          </w:tcPr>
          <w:p>
            <w:r>
              <w:rPr>
                <w:sz w:val="15"/>
              </w:rPr>
            </w:r>
            <w:r>
              <w:rPr>
                <w:sz w:val="15"/>
              </w:rPr>
              <w:t>FL Dept. of Legal Affairs</w:t>
            </w:r>
          </w:p>
        </w:tc>
        <w:tc>
          <w:tcPr>
            <w:tcW w:type="dxa" w:w="1800"/>
          </w:tcPr>
          <w:p>
            <w:r>
              <w:rPr>
                <w:sz w:val="15"/>
              </w:rPr>
            </w:r>
            <w:r>
              <w:rPr>
                <w:b/>
                <w:sz w:val="15"/>
              </w:rPr>
              <w:t>May 2</w:t>
            </w:r>
          </w:p>
        </w:tc>
        <w:tc>
          <w:tcPr>
            <w:tcW w:type="dxa" w:w="1224"/>
          </w:tcPr>
          <w:p>
            <w:r>
              <w:rPr>
                <w:sz w:val="15"/>
              </w:rPr>
            </w:r>
            <w:r>
              <w:rPr>
                <w:sz w:val="15"/>
              </w:rPr>
              <w:t>Apr 30</w:t>
            </w:r>
          </w:p>
        </w:tc>
        <w:tc>
          <w:tcPr>
            <w:tcW w:type="dxa" w:w="1080"/>
          </w:tcPr>
          <w:p>
            <w:r>
              <w:rPr>
                <w:sz w:val="15"/>
              </w:rPr>
            </w:r>
            <w:r>
              <w:rPr>
                <w:sz w:val="15"/>
              </w:rPr>
              <w:t>June 1</w:t>
            </w:r>
          </w:p>
        </w:tc>
        <w:tc>
          <w:tcPr>
            <w:tcW w:type="dxa" w:w="936"/>
          </w:tcPr>
          <w:p>
            <w:r>
              <w:rPr>
                <w:sz w:val="15"/>
              </w:rPr>
            </w:r>
            <w:r>
              <w:rPr>
                <w:sz w:val="15"/>
              </w:rPr>
              <w:t>C-5, M-5</w:t>
            </w:r>
          </w:p>
        </w:tc>
      </w:tr>
      <w:tr>
        <w:tc>
          <w:tcPr>
            <w:tcW w:type="dxa" w:w="360"/>
          </w:tcPr>
          <w:p>
            <w:r>
              <w:rPr>
                <w:sz w:val="15"/>
              </w:rPr>
            </w:r>
            <w:r>
              <w:rPr>
                <w:sz w:val="15"/>
              </w:rPr>
              <w:t>12</w:t>
            </w:r>
          </w:p>
        </w:tc>
        <w:tc>
          <w:tcPr>
            <w:tcW w:type="dxa" w:w="2232"/>
          </w:tcPr>
          <w:p>
            <w:r>
              <w:rPr>
                <w:sz w:val="15"/>
              </w:rPr>
            </w:r>
            <w:r>
              <w:rPr>
                <w:sz w:val="15"/>
              </w:rPr>
              <w:t>Colorado individual notice</w:t>
            </w:r>
          </w:p>
        </w:tc>
        <w:tc>
          <w:tcPr>
            <w:tcW w:type="dxa" w:w="1728"/>
          </w:tcPr>
          <w:p>
            <w:r>
              <w:rPr>
                <w:sz w:val="15"/>
              </w:rPr>
            </w:r>
            <w:r>
              <w:rPr>
                <w:sz w:val="15"/>
              </w:rPr>
              <w:t>2,200 CO residents</w:t>
            </w:r>
          </w:p>
        </w:tc>
        <w:tc>
          <w:tcPr>
            <w:tcW w:type="dxa" w:w="1800"/>
          </w:tcPr>
          <w:p>
            <w:r>
              <w:rPr>
                <w:sz w:val="15"/>
              </w:rPr>
            </w:r>
            <w:r>
              <w:rPr>
                <w:b/>
                <w:sz w:val="15"/>
              </w:rPr>
              <w:t>May 2</w:t>
            </w:r>
          </w:p>
        </w:tc>
        <w:tc>
          <w:tcPr>
            <w:tcW w:type="dxa" w:w="1224"/>
          </w:tcPr>
          <w:p>
            <w:r>
              <w:rPr>
                <w:sz w:val="15"/>
              </w:rPr>
            </w:r>
            <w:r>
              <w:rPr>
                <w:sz w:val="15"/>
              </w:rPr>
              <w:t>May 2 mail drop</w:t>
            </w:r>
          </w:p>
        </w:tc>
        <w:tc>
          <w:tcPr>
            <w:tcW w:type="dxa" w:w="1080"/>
          </w:tcPr>
          <w:p>
            <w:r>
              <w:rPr>
                <w:sz w:val="15"/>
              </w:rPr>
            </w:r>
            <w:r>
              <w:rPr>
                <w:sz w:val="15"/>
              </w:rPr>
              <w:t>June 1</w:t>
            </w:r>
          </w:p>
        </w:tc>
        <w:tc>
          <w:tcPr>
            <w:tcW w:type="dxa" w:w="936"/>
          </w:tcPr>
          <w:p>
            <w:r>
              <w:rPr>
                <w:sz w:val="15"/>
              </w:rPr>
            </w:r>
            <w:r>
              <w:rPr>
                <w:sz w:val="15"/>
              </w:rPr>
              <w:t>C-5</w:t>
            </w:r>
          </w:p>
        </w:tc>
      </w:tr>
      <w:tr>
        <w:tc>
          <w:tcPr>
            <w:tcW w:type="dxa" w:w="360"/>
          </w:tcPr>
          <w:p>
            <w:r>
              <w:rPr>
                <w:sz w:val="15"/>
              </w:rPr>
            </w:r>
            <w:r>
              <w:rPr>
                <w:sz w:val="15"/>
              </w:rPr>
              <w:t>13</w:t>
            </w:r>
          </w:p>
        </w:tc>
        <w:tc>
          <w:tcPr>
            <w:tcW w:type="dxa" w:w="2232"/>
          </w:tcPr>
          <w:p>
            <w:r>
              <w:rPr>
                <w:sz w:val="15"/>
              </w:rPr>
            </w:r>
            <w:r>
              <w:rPr>
                <w:sz w:val="15"/>
              </w:rPr>
              <w:t>Colorado AG notice</w:t>
            </w:r>
          </w:p>
        </w:tc>
        <w:tc>
          <w:tcPr>
            <w:tcW w:type="dxa" w:w="1728"/>
          </w:tcPr>
          <w:p>
            <w:r>
              <w:rPr>
                <w:sz w:val="15"/>
              </w:rPr>
            </w:r>
            <w:r>
              <w:rPr>
                <w:sz w:val="15"/>
              </w:rPr>
              <w:t>Colorado AG</w:t>
            </w:r>
          </w:p>
        </w:tc>
        <w:tc>
          <w:tcPr>
            <w:tcW w:type="dxa" w:w="1800"/>
          </w:tcPr>
          <w:p>
            <w:r>
              <w:rPr>
                <w:sz w:val="15"/>
              </w:rPr>
            </w:r>
            <w:r>
              <w:rPr>
                <w:b/>
                <w:sz w:val="15"/>
              </w:rPr>
              <w:t>May 2</w:t>
            </w:r>
          </w:p>
        </w:tc>
        <w:tc>
          <w:tcPr>
            <w:tcW w:type="dxa" w:w="1224"/>
          </w:tcPr>
          <w:p>
            <w:r>
              <w:rPr>
                <w:sz w:val="15"/>
              </w:rPr>
            </w:r>
            <w:r>
              <w:rPr>
                <w:sz w:val="15"/>
              </w:rPr>
              <w:t>Apr 30</w:t>
            </w:r>
          </w:p>
        </w:tc>
        <w:tc>
          <w:tcPr>
            <w:tcW w:type="dxa" w:w="1080"/>
          </w:tcPr>
          <w:p>
            <w:r>
              <w:rPr>
                <w:sz w:val="15"/>
              </w:rPr>
            </w:r>
            <w:r>
              <w:rPr>
                <w:sz w:val="15"/>
              </w:rPr>
              <w:t>Missing</w:t>
            </w:r>
          </w:p>
        </w:tc>
        <w:tc>
          <w:tcPr>
            <w:tcW w:type="dxa" w:w="936"/>
          </w:tcPr>
          <w:p>
            <w:r>
              <w:rPr>
                <w:sz w:val="15"/>
              </w:rPr>
            </w:r>
            <w:r>
              <w:rPr>
                <w:sz w:val="15"/>
              </w:rPr>
              <w:t>C-5</w:t>
            </w:r>
          </w:p>
        </w:tc>
      </w:tr>
      <w:tr>
        <w:tc>
          <w:tcPr>
            <w:tcW w:type="dxa" w:w="360"/>
          </w:tcPr>
          <w:p>
            <w:r>
              <w:rPr>
                <w:sz w:val="15"/>
              </w:rPr>
            </w:r>
            <w:r>
              <w:rPr>
                <w:sz w:val="15"/>
              </w:rPr>
              <w:t>14</w:t>
            </w:r>
          </w:p>
        </w:tc>
        <w:tc>
          <w:tcPr>
            <w:tcW w:type="dxa" w:w="2232"/>
          </w:tcPr>
          <w:p>
            <w:r>
              <w:rPr>
                <w:sz w:val="15"/>
              </w:rPr>
            </w:r>
            <w:r>
              <w:rPr>
                <w:sz w:val="15"/>
              </w:rPr>
              <w:t>New York individual notice (amended § 899-aa)</w:t>
            </w:r>
          </w:p>
        </w:tc>
        <w:tc>
          <w:tcPr>
            <w:tcW w:type="dxa" w:w="1728"/>
          </w:tcPr>
          <w:p>
            <w:r>
              <w:rPr>
                <w:sz w:val="15"/>
              </w:rPr>
            </w:r>
            <w:r>
              <w:rPr>
                <w:sz w:val="15"/>
              </w:rPr>
              <w:t>41,200 NY residents</w:t>
            </w:r>
          </w:p>
        </w:tc>
        <w:tc>
          <w:tcPr>
            <w:tcW w:type="dxa" w:w="1800"/>
          </w:tcPr>
          <w:p>
            <w:r>
              <w:rPr>
                <w:sz w:val="15"/>
              </w:rPr>
            </w:r>
            <w:r>
              <w:rPr>
                <w:b/>
                <w:sz w:val="15"/>
              </w:rPr>
              <w:t>May 2</w:t>
            </w:r>
            <w:r>
              <w:rPr>
                <w:sz w:val="15"/>
              </w:rPr>
              <w:t xml:space="preserve"> (30 days — confirm)</w:t>
            </w:r>
          </w:p>
        </w:tc>
        <w:tc>
          <w:tcPr>
            <w:tcW w:type="dxa" w:w="1224"/>
          </w:tcPr>
          <w:p>
            <w:r>
              <w:rPr>
                <w:sz w:val="15"/>
              </w:rPr>
            </w:r>
            <w:r>
              <w:rPr>
                <w:sz w:val="15"/>
              </w:rPr>
              <w:t>May 2 mail drop</w:t>
            </w:r>
          </w:p>
        </w:tc>
        <w:tc>
          <w:tcPr>
            <w:tcW w:type="dxa" w:w="1080"/>
          </w:tcPr>
          <w:p>
            <w:r>
              <w:rPr>
                <w:sz w:val="15"/>
              </w:rPr>
            </w:r>
            <w:r>
              <w:rPr>
                <w:sz w:val="15"/>
              </w:rPr>
              <w:t>June 1</w:t>
            </w:r>
          </w:p>
        </w:tc>
        <w:tc>
          <w:tcPr>
            <w:tcW w:type="dxa" w:w="936"/>
          </w:tcPr>
          <w:p>
            <w:r>
              <w:rPr>
                <w:sz w:val="15"/>
              </w:rPr>
            </w:r>
            <w:r>
              <w:rPr>
                <w:sz w:val="15"/>
              </w:rPr>
              <w:t>C-5, H-8</w:t>
            </w:r>
          </w:p>
        </w:tc>
      </w:tr>
      <w:tr>
        <w:tc>
          <w:tcPr>
            <w:tcW w:type="dxa" w:w="360"/>
          </w:tcPr>
          <w:p>
            <w:r>
              <w:rPr>
                <w:sz w:val="15"/>
              </w:rPr>
            </w:r>
            <w:r>
              <w:rPr>
                <w:sz w:val="15"/>
              </w:rPr>
              <w:t>15</w:t>
            </w:r>
          </w:p>
        </w:tc>
        <w:tc>
          <w:tcPr>
            <w:tcW w:type="dxa" w:w="2232"/>
          </w:tcPr>
          <w:p>
            <w:r>
              <w:rPr>
                <w:sz w:val="15"/>
              </w:rPr>
            </w:r>
            <w:r>
              <w:rPr>
                <w:sz w:val="15"/>
              </w:rPr>
              <w:t>HHS/OCR breach report (500+)</w:t>
            </w:r>
          </w:p>
        </w:tc>
        <w:tc>
          <w:tcPr>
            <w:tcW w:type="dxa" w:w="1728"/>
          </w:tcPr>
          <w:p>
            <w:r>
              <w:rPr>
                <w:sz w:val="15"/>
              </w:rPr>
            </w:r>
            <w:r>
              <w:rPr>
                <w:sz w:val="15"/>
              </w:rPr>
              <w:t>HHS OCR portal</w:t>
            </w:r>
          </w:p>
        </w:tc>
        <w:tc>
          <w:tcPr>
            <w:tcW w:type="dxa" w:w="1800"/>
          </w:tcPr>
          <w:p>
            <w:r>
              <w:rPr>
                <w:sz w:val="15"/>
              </w:rPr>
            </w:r>
            <w:r>
              <w:rPr>
                <w:sz w:val="15"/>
              </w:rPr>
              <w:t>June 1 (Sun) — outer limit</w:t>
            </w:r>
          </w:p>
        </w:tc>
        <w:tc>
          <w:tcPr>
            <w:tcW w:type="dxa" w:w="1224"/>
          </w:tcPr>
          <w:p>
            <w:r>
              <w:rPr>
                <w:sz w:val="15"/>
              </w:rPr>
            </w:r>
            <w:r>
              <w:rPr>
                <w:sz w:val="15"/>
              </w:rPr>
              <w:t>May 2</w:t>
            </w:r>
          </w:p>
        </w:tc>
        <w:tc>
          <w:tcPr>
            <w:tcW w:type="dxa" w:w="1080"/>
          </w:tcPr>
          <w:p>
            <w:r>
              <w:rPr>
                <w:sz w:val="15"/>
              </w:rPr>
            </w:r>
            <w:r>
              <w:rPr>
                <w:sz w:val="15"/>
              </w:rPr>
              <w:t>June 4</w:t>
            </w:r>
          </w:p>
        </w:tc>
        <w:tc>
          <w:tcPr>
            <w:tcW w:type="dxa" w:w="936"/>
          </w:tcPr>
          <w:p>
            <w:r>
              <w:rPr>
                <w:sz w:val="15"/>
              </w:rPr>
            </w:r>
            <w:r>
              <w:rPr>
                <w:sz w:val="15"/>
              </w:rPr>
              <w:t>C-1</w:t>
            </w:r>
          </w:p>
        </w:tc>
      </w:tr>
      <w:tr>
        <w:tc>
          <w:tcPr>
            <w:tcW w:type="dxa" w:w="360"/>
          </w:tcPr>
          <w:p>
            <w:r>
              <w:rPr>
                <w:sz w:val="15"/>
              </w:rPr>
            </w:r>
            <w:r>
              <w:rPr>
                <w:sz w:val="15"/>
              </w:rPr>
              <w:t>16</w:t>
            </w:r>
          </w:p>
        </w:tc>
        <w:tc>
          <w:tcPr>
            <w:tcW w:type="dxa" w:w="2232"/>
          </w:tcPr>
          <w:p>
            <w:r>
              <w:rPr>
                <w:sz w:val="15"/>
              </w:rPr>
            </w:r>
            <w:r>
              <w:rPr>
                <w:sz w:val="15"/>
              </w:rPr>
              <w:t>NY AG / Dept. of State / State Police</w:t>
            </w:r>
          </w:p>
        </w:tc>
        <w:tc>
          <w:tcPr>
            <w:tcW w:type="dxa" w:w="1728"/>
          </w:tcPr>
          <w:p>
            <w:r>
              <w:rPr>
                <w:sz w:val="15"/>
              </w:rPr>
            </w:r>
            <w:r>
              <w:rPr>
                <w:sz w:val="15"/>
              </w:rPr>
              <w:t>NY agencies</w:t>
            </w:r>
          </w:p>
        </w:tc>
        <w:tc>
          <w:tcPr>
            <w:tcW w:type="dxa" w:w="1800"/>
          </w:tcPr>
          <w:p>
            <w:r>
              <w:rPr>
                <w:sz w:val="15"/>
              </w:rPr>
            </w:r>
            <w:r>
              <w:rPr>
                <w:sz w:val="15"/>
              </w:rPr>
              <w:t>5 business days after HHS filing; with resident notice</w:t>
            </w:r>
          </w:p>
        </w:tc>
        <w:tc>
          <w:tcPr>
            <w:tcW w:type="dxa" w:w="1224"/>
          </w:tcPr>
          <w:p>
            <w:r>
              <w:rPr>
                <w:sz w:val="15"/>
              </w:rPr>
            </w:r>
            <w:r>
              <w:rPr>
                <w:sz w:val="15"/>
              </w:rPr>
              <w:t>May 2</w:t>
            </w:r>
          </w:p>
        </w:tc>
        <w:tc>
          <w:tcPr>
            <w:tcW w:type="dxa" w:w="1080"/>
          </w:tcPr>
          <w:p>
            <w:r>
              <w:rPr>
                <w:sz w:val="15"/>
              </w:rPr>
            </w:r>
            <w:r>
              <w:rPr>
                <w:sz w:val="15"/>
              </w:rPr>
              <w:t>June 1</w:t>
            </w:r>
          </w:p>
        </w:tc>
        <w:tc>
          <w:tcPr>
            <w:tcW w:type="dxa" w:w="936"/>
          </w:tcPr>
          <w:p>
            <w:r>
              <w:rPr>
                <w:sz w:val="15"/>
              </w:rPr>
            </w:r>
            <w:r>
              <w:rPr>
                <w:sz w:val="15"/>
              </w:rPr>
              <w:t>H-6</w:t>
            </w:r>
          </w:p>
        </w:tc>
      </w:tr>
      <w:tr>
        <w:tc>
          <w:tcPr>
            <w:tcW w:type="dxa" w:w="360"/>
          </w:tcPr>
          <w:p>
            <w:r>
              <w:rPr>
                <w:sz w:val="15"/>
              </w:rPr>
            </w:r>
            <w:r>
              <w:rPr>
                <w:sz w:val="15"/>
              </w:rPr>
              <w:t>17</w:t>
            </w:r>
          </w:p>
        </w:tc>
        <w:tc>
          <w:tcPr>
            <w:tcW w:type="dxa" w:w="2232"/>
          </w:tcPr>
          <w:p>
            <w:r>
              <w:rPr>
                <w:sz w:val="15"/>
              </w:rPr>
            </w:r>
            <w:r>
              <w:rPr>
                <w:sz w:val="15"/>
              </w:rPr>
              <w:t>Illinois AG</w:t>
            </w:r>
          </w:p>
        </w:tc>
        <w:tc>
          <w:tcPr>
            <w:tcW w:type="dxa" w:w="1728"/>
          </w:tcPr>
          <w:p>
            <w:r>
              <w:rPr>
                <w:sz w:val="15"/>
              </w:rPr>
            </w:r>
            <w:r>
              <w:rPr>
                <w:sz w:val="15"/>
              </w:rPr>
              <w:t>Illinois AG</w:t>
            </w:r>
          </w:p>
        </w:tc>
        <w:tc>
          <w:tcPr>
            <w:tcW w:type="dxa" w:w="1800"/>
          </w:tcPr>
          <w:p>
            <w:r>
              <w:rPr>
                <w:sz w:val="15"/>
              </w:rPr>
            </w:r>
            <w:r>
              <w:rPr>
                <w:sz w:val="15"/>
              </w:rPr>
              <w:t>5 business days after HHS filing; no later than resident notice</w:t>
            </w:r>
          </w:p>
        </w:tc>
        <w:tc>
          <w:tcPr>
            <w:tcW w:type="dxa" w:w="1224"/>
          </w:tcPr>
          <w:p>
            <w:r>
              <w:rPr>
                <w:sz w:val="15"/>
              </w:rPr>
            </w:r>
            <w:r>
              <w:rPr>
                <w:sz w:val="15"/>
              </w:rPr>
              <w:t>May 2</w:t>
            </w:r>
          </w:p>
        </w:tc>
        <w:tc>
          <w:tcPr>
            <w:tcW w:type="dxa" w:w="1080"/>
          </w:tcPr>
          <w:p>
            <w:r>
              <w:rPr>
                <w:sz w:val="15"/>
              </w:rPr>
            </w:r>
            <w:r>
              <w:rPr>
                <w:sz w:val="15"/>
              </w:rPr>
              <w:t>June 1</w:t>
            </w:r>
          </w:p>
        </w:tc>
        <w:tc>
          <w:tcPr>
            <w:tcW w:type="dxa" w:w="936"/>
          </w:tcPr>
          <w:p>
            <w:r>
              <w:rPr>
                <w:sz w:val="15"/>
              </w:rPr>
            </w:r>
            <w:r>
              <w:rPr>
                <w:sz w:val="15"/>
              </w:rPr>
              <w:t>H-6</w:t>
            </w:r>
          </w:p>
        </w:tc>
      </w:tr>
      <w:tr>
        <w:tc>
          <w:tcPr>
            <w:tcW w:type="dxa" w:w="360"/>
          </w:tcPr>
          <w:p>
            <w:r>
              <w:rPr>
                <w:sz w:val="15"/>
              </w:rPr>
            </w:r>
            <w:r>
              <w:rPr>
                <w:sz w:val="15"/>
              </w:rPr>
              <w:t>18</w:t>
            </w:r>
          </w:p>
        </w:tc>
        <w:tc>
          <w:tcPr>
            <w:tcW w:type="dxa" w:w="2232"/>
          </w:tcPr>
          <w:p>
            <w:r>
              <w:rPr>
                <w:sz w:val="15"/>
              </w:rPr>
            </w:r>
            <w:r>
              <w:rPr>
                <w:sz w:val="15"/>
              </w:rPr>
              <w:t>CA AG sample notice (&gt;500)</w:t>
            </w:r>
          </w:p>
        </w:tc>
        <w:tc>
          <w:tcPr>
            <w:tcW w:type="dxa" w:w="1728"/>
          </w:tcPr>
          <w:p>
            <w:r>
              <w:rPr>
                <w:sz w:val="15"/>
              </w:rPr>
            </w:r>
            <w:r>
              <w:rPr>
                <w:sz w:val="15"/>
              </w:rPr>
              <w:t>CA AG portal</w:t>
            </w:r>
          </w:p>
        </w:tc>
        <w:tc>
          <w:tcPr>
            <w:tcW w:type="dxa" w:w="1800"/>
          </w:tcPr>
          <w:p>
            <w:r>
              <w:rPr>
                <w:sz w:val="15"/>
              </w:rPr>
            </w:r>
            <w:r>
              <w:rPr>
                <w:sz w:val="15"/>
              </w:rPr>
              <w:t>With resident notice</w:t>
            </w:r>
          </w:p>
        </w:tc>
        <w:tc>
          <w:tcPr>
            <w:tcW w:type="dxa" w:w="1224"/>
          </w:tcPr>
          <w:p>
            <w:r>
              <w:rPr>
                <w:sz w:val="15"/>
              </w:rPr>
            </w:r>
            <w:r>
              <w:rPr>
                <w:sz w:val="15"/>
              </w:rPr>
              <w:t>May 2</w:t>
            </w:r>
          </w:p>
        </w:tc>
        <w:tc>
          <w:tcPr>
            <w:tcW w:type="dxa" w:w="1080"/>
          </w:tcPr>
          <w:p>
            <w:r>
              <w:rPr>
                <w:sz w:val="15"/>
              </w:rPr>
            </w:r>
            <w:r>
              <w:rPr>
                <w:sz w:val="15"/>
              </w:rPr>
              <w:t>June 1</w:t>
            </w:r>
          </w:p>
        </w:tc>
        <w:tc>
          <w:tcPr>
            <w:tcW w:type="dxa" w:w="936"/>
          </w:tcPr>
          <w:p>
            <w:r>
              <w:rPr>
                <w:sz w:val="15"/>
              </w:rPr>
            </w:r>
            <w:r>
              <w:rPr>
                <w:sz w:val="15"/>
              </w:rPr>
              <w:t>—</w:t>
            </w:r>
          </w:p>
        </w:tc>
      </w:tr>
      <w:tr>
        <w:tc>
          <w:tcPr>
            <w:tcW w:type="dxa" w:w="360"/>
          </w:tcPr>
          <w:p>
            <w:r>
              <w:rPr>
                <w:sz w:val="15"/>
              </w:rPr>
            </w:r>
            <w:r>
              <w:rPr>
                <w:sz w:val="15"/>
              </w:rPr>
              <w:t>19</w:t>
            </w:r>
          </w:p>
        </w:tc>
        <w:tc>
          <w:tcPr>
            <w:tcW w:type="dxa" w:w="2232"/>
          </w:tcPr>
          <w:p>
            <w:r>
              <w:rPr>
                <w:sz w:val="15"/>
              </w:rPr>
            </w:r>
            <w:r>
              <w:rPr>
                <w:sz w:val="15"/>
              </w:rPr>
              <w:t>PA AG (&gt;500, concurrent)</w:t>
            </w:r>
          </w:p>
        </w:tc>
        <w:tc>
          <w:tcPr>
            <w:tcW w:type="dxa" w:w="1728"/>
          </w:tcPr>
          <w:p>
            <w:r>
              <w:rPr>
                <w:sz w:val="15"/>
              </w:rPr>
            </w:r>
            <w:r>
              <w:rPr>
                <w:sz w:val="15"/>
              </w:rPr>
              <w:t>PA AG</w:t>
            </w:r>
          </w:p>
        </w:tc>
        <w:tc>
          <w:tcPr>
            <w:tcW w:type="dxa" w:w="1800"/>
          </w:tcPr>
          <w:p>
            <w:r>
              <w:rPr>
                <w:sz w:val="15"/>
              </w:rPr>
            </w:r>
            <w:r>
              <w:rPr>
                <w:sz w:val="15"/>
              </w:rPr>
              <w:t>With resident notice</w:t>
            </w:r>
          </w:p>
        </w:tc>
        <w:tc>
          <w:tcPr>
            <w:tcW w:type="dxa" w:w="1224"/>
          </w:tcPr>
          <w:p>
            <w:r>
              <w:rPr>
                <w:sz w:val="15"/>
              </w:rPr>
            </w:r>
            <w:r>
              <w:rPr>
                <w:sz w:val="15"/>
              </w:rPr>
              <w:t>May 2</w:t>
            </w:r>
          </w:p>
        </w:tc>
        <w:tc>
          <w:tcPr>
            <w:tcW w:type="dxa" w:w="1080"/>
          </w:tcPr>
          <w:p>
            <w:r>
              <w:rPr>
                <w:sz w:val="15"/>
              </w:rPr>
            </w:r>
            <w:r>
              <w:rPr>
                <w:sz w:val="15"/>
              </w:rPr>
              <w:t>June 1</w:t>
            </w:r>
          </w:p>
        </w:tc>
        <w:tc>
          <w:tcPr>
            <w:tcW w:type="dxa" w:w="936"/>
          </w:tcPr>
          <w:p>
            <w:r>
              <w:rPr>
                <w:sz w:val="15"/>
              </w:rPr>
            </w:r>
            <w:r>
              <w:rPr>
                <w:sz w:val="15"/>
              </w:rPr>
              <w:t>H-10</w:t>
            </w:r>
          </w:p>
        </w:tc>
      </w:tr>
      <w:tr>
        <w:tc>
          <w:tcPr>
            <w:tcW w:type="dxa" w:w="360"/>
          </w:tcPr>
          <w:p>
            <w:r>
              <w:rPr>
                <w:sz w:val="15"/>
              </w:rPr>
            </w:r>
            <w:r>
              <w:rPr>
                <w:sz w:val="15"/>
              </w:rPr>
              <w:t>20</w:t>
            </w:r>
          </w:p>
        </w:tc>
        <w:tc>
          <w:tcPr>
            <w:tcW w:type="dxa" w:w="2232"/>
          </w:tcPr>
          <w:p>
            <w:r>
              <w:rPr>
                <w:sz w:val="15"/>
              </w:rPr>
            </w:r>
            <w:r>
              <w:rPr>
                <w:sz w:val="15"/>
              </w:rPr>
              <w:t>CRA notices (TX, NY, FL, PA, OH, NJ, CO)</w:t>
            </w:r>
          </w:p>
        </w:tc>
        <w:tc>
          <w:tcPr>
            <w:tcW w:type="dxa" w:w="1728"/>
          </w:tcPr>
          <w:p>
            <w:r>
              <w:rPr>
                <w:sz w:val="15"/>
              </w:rPr>
            </w:r>
            <w:r>
              <w:rPr>
                <w:sz w:val="15"/>
              </w:rPr>
              <w:t>Equifax, Experian, TransUnion</w:t>
            </w:r>
          </w:p>
        </w:tc>
        <w:tc>
          <w:tcPr>
            <w:tcW w:type="dxa" w:w="1800"/>
          </w:tcPr>
          <w:p>
            <w:r>
              <w:rPr>
                <w:sz w:val="15"/>
              </w:rPr>
            </w:r>
            <w:r>
              <w:rPr>
                <w:sz w:val="15"/>
              </w:rPr>
              <w:t>Without unreasonable delay / with resident notice</w:t>
            </w:r>
          </w:p>
        </w:tc>
        <w:tc>
          <w:tcPr>
            <w:tcW w:type="dxa" w:w="1224"/>
          </w:tcPr>
          <w:p>
            <w:r>
              <w:rPr>
                <w:sz w:val="15"/>
              </w:rPr>
            </w:r>
            <w:r>
              <w:rPr>
                <w:sz w:val="15"/>
              </w:rPr>
              <w:t>Apr 30 – May 2</w:t>
            </w:r>
          </w:p>
        </w:tc>
        <w:tc>
          <w:tcPr>
            <w:tcW w:type="dxa" w:w="1080"/>
          </w:tcPr>
          <w:p>
            <w:r>
              <w:rPr>
                <w:sz w:val="15"/>
              </w:rPr>
            </w:r>
            <w:r>
              <w:rPr>
                <w:sz w:val="15"/>
              </w:rPr>
              <w:t>Missing</w:t>
            </w:r>
          </w:p>
        </w:tc>
        <w:tc>
          <w:tcPr>
            <w:tcW w:type="dxa" w:w="936"/>
          </w:tcPr>
          <w:p>
            <w:r>
              <w:rPr>
                <w:sz w:val="15"/>
              </w:rPr>
            </w:r>
            <w:r>
              <w:rPr>
                <w:sz w:val="15"/>
              </w:rPr>
              <w:t>H-5</w:t>
            </w:r>
          </w:p>
        </w:tc>
      </w:tr>
      <w:tr>
        <w:tc>
          <w:tcPr>
            <w:tcW w:type="dxa" w:w="360"/>
          </w:tcPr>
          <w:p>
            <w:r>
              <w:rPr>
                <w:sz w:val="15"/>
              </w:rPr>
            </w:r>
            <w:r>
              <w:rPr>
                <w:sz w:val="15"/>
              </w:rPr>
              <w:t>21</w:t>
            </w:r>
          </w:p>
        </w:tc>
        <w:tc>
          <w:tcPr>
            <w:tcW w:type="dxa" w:w="2232"/>
          </w:tcPr>
          <w:p>
            <w:r>
              <w:rPr>
                <w:sz w:val="15"/>
              </w:rPr>
            </w:r>
            <w:r>
              <w:rPr>
                <w:sz w:val="15"/>
              </w:rPr>
              <w:t>All other U.S. individual notices (TX, CA, IL, PA, GA, NJ, MA) and HIPAA notice</w:t>
            </w:r>
          </w:p>
        </w:tc>
        <w:tc>
          <w:tcPr>
            <w:tcW w:type="dxa" w:w="1728"/>
          </w:tcPr>
          <w:p>
            <w:r>
              <w:rPr>
                <w:sz w:val="15"/>
              </w:rPr>
            </w:r>
            <w:r>
              <w:rPr>
                <w:sz w:val="15"/>
              </w:rPr>
              <w:t>U.S. individuals</w:t>
            </w:r>
          </w:p>
        </w:tc>
        <w:tc>
          <w:tcPr>
            <w:tcW w:type="dxa" w:w="1800"/>
          </w:tcPr>
          <w:p>
            <w:r>
              <w:rPr>
                <w:sz w:val="15"/>
              </w:rPr>
            </w:r>
            <w:r>
              <w:rPr>
                <w:sz w:val="15"/>
              </w:rPr>
              <w:t>TX June 1; HIPAA June 1; others "without unreasonable delay"</w:t>
            </w:r>
          </w:p>
        </w:tc>
        <w:tc>
          <w:tcPr>
            <w:tcW w:type="dxa" w:w="1224"/>
          </w:tcPr>
          <w:p>
            <w:r>
              <w:rPr>
                <w:sz w:val="15"/>
              </w:rPr>
            </w:r>
            <w:r>
              <w:rPr>
                <w:sz w:val="15"/>
              </w:rPr>
              <w:t>May 2 mail drop</w:t>
            </w:r>
          </w:p>
        </w:tc>
        <w:tc>
          <w:tcPr>
            <w:tcW w:type="dxa" w:w="1080"/>
          </w:tcPr>
          <w:p>
            <w:r>
              <w:rPr>
                <w:sz w:val="15"/>
              </w:rPr>
            </w:r>
            <w:r>
              <w:rPr>
                <w:sz w:val="15"/>
              </w:rPr>
              <w:t>June 1 / June 4</w:t>
            </w:r>
          </w:p>
        </w:tc>
        <w:tc>
          <w:tcPr>
            <w:tcW w:type="dxa" w:w="936"/>
          </w:tcPr>
          <w:p>
            <w:r>
              <w:rPr>
                <w:sz w:val="15"/>
              </w:rPr>
            </w:r>
            <w:r>
              <w:rPr>
                <w:sz w:val="15"/>
              </w:rPr>
              <w:t>C-1</w:t>
            </w:r>
          </w:p>
        </w:tc>
      </w:tr>
      <w:tr>
        <w:tc>
          <w:tcPr>
            <w:tcW w:type="dxa" w:w="360"/>
          </w:tcPr>
          <w:p>
            <w:r>
              <w:rPr>
                <w:sz w:val="15"/>
              </w:rPr>
            </w:r>
            <w:r>
              <w:rPr>
                <w:sz w:val="15"/>
              </w:rPr>
              <w:t>22</w:t>
            </w:r>
          </w:p>
        </w:tc>
        <w:tc>
          <w:tcPr>
            <w:tcW w:type="dxa" w:w="2232"/>
          </w:tcPr>
          <w:p>
            <w:r>
              <w:rPr>
                <w:sz w:val="15"/>
              </w:rPr>
            </w:r>
            <w:r>
              <w:rPr>
                <w:sz w:val="15"/>
              </w:rPr>
              <w:t>Ohio individual notice</w:t>
            </w:r>
          </w:p>
        </w:tc>
        <w:tc>
          <w:tcPr>
            <w:tcW w:type="dxa" w:w="1728"/>
          </w:tcPr>
          <w:p>
            <w:r>
              <w:rPr>
                <w:sz w:val="15"/>
              </w:rPr>
            </w:r>
            <w:r>
              <w:rPr>
                <w:sz w:val="15"/>
              </w:rPr>
              <w:t>9,400 OH residents</w:t>
            </w:r>
          </w:p>
        </w:tc>
        <w:tc>
          <w:tcPr>
            <w:tcW w:type="dxa" w:w="1800"/>
          </w:tcPr>
          <w:p>
            <w:r>
              <w:rPr>
                <w:sz w:val="15"/>
              </w:rPr>
            </w:r>
            <w:r>
              <w:rPr>
                <w:sz w:val="15"/>
              </w:rPr>
              <w:t>May 17 (Sat)</w:t>
            </w:r>
          </w:p>
        </w:tc>
        <w:tc>
          <w:tcPr>
            <w:tcW w:type="dxa" w:w="1224"/>
          </w:tcPr>
          <w:p>
            <w:r>
              <w:rPr>
                <w:sz w:val="15"/>
              </w:rPr>
            </w:r>
            <w:r>
              <w:rPr>
                <w:sz w:val="15"/>
              </w:rPr>
              <w:t>May 2 mail drop</w:t>
            </w:r>
          </w:p>
        </w:tc>
        <w:tc>
          <w:tcPr>
            <w:tcW w:type="dxa" w:w="1080"/>
          </w:tcPr>
          <w:p>
            <w:r>
              <w:rPr>
                <w:sz w:val="15"/>
              </w:rPr>
            </w:r>
            <w:r>
              <w:rPr>
                <w:sz w:val="15"/>
              </w:rPr>
              <w:t>June 1</w:t>
            </w:r>
          </w:p>
        </w:tc>
        <w:tc>
          <w:tcPr>
            <w:tcW w:type="dxa" w:w="936"/>
          </w:tcPr>
          <w:p>
            <w:r>
              <w:rPr>
                <w:sz w:val="15"/>
              </w:rPr>
            </w:r>
            <w:r>
              <w:rPr>
                <w:sz w:val="15"/>
              </w:rPr>
              <w:t>H-7</w:t>
            </w:r>
          </w:p>
        </w:tc>
      </w:tr>
      <w:tr>
        <w:tc>
          <w:tcPr>
            <w:tcW w:type="dxa" w:w="360"/>
          </w:tcPr>
          <w:p>
            <w:r>
              <w:rPr>
                <w:sz w:val="15"/>
              </w:rPr>
            </w:r>
            <w:r>
              <w:rPr>
                <w:sz w:val="15"/>
              </w:rPr>
              <w:t>23</w:t>
            </w:r>
          </w:p>
        </w:tc>
        <w:tc>
          <w:tcPr>
            <w:tcW w:type="dxa" w:w="2232"/>
          </w:tcPr>
          <w:p>
            <w:r>
              <w:rPr>
                <w:sz w:val="15"/>
              </w:rPr>
            </w:r>
            <w:r>
              <w:rPr>
                <w:sz w:val="15"/>
              </w:rPr>
              <w:t>HIPAA media notice — all 11 states</w:t>
            </w:r>
          </w:p>
        </w:tc>
        <w:tc>
          <w:tcPr>
            <w:tcW w:type="dxa" w:w="1728"/>
          </w:tcPr>
          <w:p>
            <w:r>
              <w:rPr>
                <w:sz w:val="15"/>
              </w:rPr>
            </w:r>
            <w:r>
              <w:rPr>
                <w:sz w:val="15"/>
              </w:rPr>
              <w:t>Prominent outlets in TX, CA, NY, FL, IL, PA, OH, GA, NJ, MA, CO</w:t>
            </w:r>
          </w:p>
        </w:tc>
        <w:tc>
          <w:tcPr>
            <w:tcW w:type="dxa" w:w="1800"/>
          </w:tcPr>
          <w:p>
            <w:r>
              <w:rPr>
                <w:sz w:val="15"/>
              </w:rPr>
            </w:r>
            <w:r>
              <w:rPr>
                <w:sz w:val="15"/>
              </w:rPr>
              <w:t>June 1 — outer limit</w:t>
            </w:r>
          </w:p>
        </w:tc>
        <w:tc>
          <w:tcPr>
            <w:tcW w:type="dxa" w:w="1224"/>
          </w:tcPr>
          <w:p>
            <w:r>
              <w:rPr>
                <w:sz w:val="15"/>
              </w:rPr>
            </w:r>
            <w:r>
              <w:rPr>
                <w:sz w:val="15"/>
              </w:rPr>
              <w:t>May 2 (Maplewood text by Apr 30)</w:t>
            </w:r>
          </w:p>
        </w:tc>
        <w:tc>
          <w:tcPr>
            <w:tcW w:type="dxa" w:w="1080"/>
          </w:tcPr>
          <w:p>
            <w:r>
              <w:rPr>
                <w:sz w:val="15"/>
              </w:rPr>
            </w:r>
            <w:r>
              <w:rPr>
                <w:sz w:val="15"/>
              </w:rPr>
              <w:t>TX and CA only; June 4</w:t>
            </w:r>
          </w:p>
        </w:tc>
        <w:tc>
          <w:tcPr>
            <w:tcW w:type="dxa" w:w="936"/>
          </w:tcPr>
          <w:p>
            <w:r>
              <w:rPr>
                <w:sz w:val="15"/>
              </w:rPr>
            </w:r>
            <w:r>
              <w:rPr>
                <w:sz w:val="15"/>
              </w:rPr>
              <w:t>H-1</w:t>
            </w:r>
          </w:p>
        </w:tc>
      </w:tr>
      <w:tr>
        <w:tc>
          <w:tcPr>
            <w:tcW w:type="dxa" w:w="360"/>
          </w:tcPr>
          <w:p>
            <w:r>
              <w:rPr>
                <w:sz w:val="15"/>
              </w:rPr>
            </w:r>
            <w:r>
              <w:rPr>
                <w:sz w:val="15"/>
              </w:rPr>
              <w:t>24</w:t>
            </w:r>
          </w:p>
        </w:tc>
        <w:tc>
          <w:tcPr>
            <w:tcW w:type="dxa" w:w="2232"/>
          </w:tcPr>
          <w:p>
            <w:r>
              <w:rPr>
                <w:sz w:val="15"/>
              </w:rPr>
            </w:r>
            <w:r>
              <w:rPr>
                <w:sz w:val="15"/>
              </w:rPr>
              <w:t>Substitute notice: web posting + 90-day toll-free line</w:t>
            </w:r>
          </w:p>
        </w:tc>
        <w:tc>
          <w:tcPr>
            <w:tcW w:type="dxa" w:w="1728"/>
          </w:tcPr>
          <w:p>
            <w:r>
              <w:rPr>
                <w:sz w:val="15"/>
              </w:rPr>
            </w:r>
            <w:r>
              <w:rPr>
                <w:sz w:val="15"/>
              </w:rPr>
              <w:t>Public</w:t>
            </w:r>
          </w:p>
        </w:tc>
        <w:tc>
          <w:tcPr>
            <w:tcW w:type="dxa" w:w="1800"/>
          </w:tcPr>
          <w:p>
            <w:r>
              <w:rPr>
                <w:sz w:val="15"/>
              </w:rPr>
            </w:r>
            <w:r>
              <w:rPr>
                <w:sz w:val="15"/>
              </w:rPr>
              <w:t>When 10+ notices are undeliverable</w:t>
            </w:r>
          </w:p>
        </w:tc>
        <w:tc>
          <w:tcPr>
            <w:tcW w:type="dxa" w:w="1224"/>
          </w:tcPr>
          <w:p>
            <w:r>
              <w:rPr>
                <w:sz w:val="15"/>
              </w:rPr>
            </w:r>
            <w:r>
              <w:rPr>
                <w:sz w:val="15"/>
              </w:rPr>
              <w:t>Live May 2</w:t>
            </w:r>
          </w:p>
        </w:tc>
        <w:tc>
          <w:tcPr>
            <w:tcW w:type="dxa" w:w="1080"/>
          </w:tcPr>
          <w:p>
            <w:r>
              <w:rPr>
                <w:sz w:val="15"/>
              </w:rPr>
            </w:r>
            <w:r>
              <w:rPr>
                <w:sz w:val="15"/>
              </w:rPr>
              <w:t>Missing</w:t>
            </w:r>
          </w:p>
        </w:tc>
        <w:tc>
          <w:tcPr>
            <w:tcW w:type="dxa" w:w="936"/>
          </w:tcPr>
          <w:p>
            <w:r>
              <w:rPr>
                <w:sz w:val="15"/>
              </w:rPr>
            </w:r>
            <w:r>
              <w:rPr>
                <w:sz w:val="15"/>
              </w:rPr>
              <w:t>M-2</w:t>
            </w:r>
          </w:p>
        </w:tc>
      </w:tr>
    </w:tbl>
    <w:p/>
    <w:p>
      <w:pPr>
        <w:pStyle w:val="Heading1"/>
      </w:pPr>
      <w:r>
        <w:t>VII. Recommended Critical Path</w:t>
      </w:r>
    </w:p>
    <w:p>
      <w:pPr>
        <w:pStyle w:val="ListBullet"/>
      </w:pPr>
      <w:r>
        <w:rPr>
          <w:b/>
        </w:rPr>
        <w:t>Today (April 9):</w:t>
      </w:r>
      <w:r>
        <w:t xml:space="preserve"> file the AP Art. 33 notice and the ANPD notice (both late, with reasons); send the Pinnacle notice, demand, preservation request and indemnity notice; re-paper the Aldersgate engagement through counsel; reverse INT-02; decide on an FBI referral.</w:t>
      </w:r>
    </w:p>
    <w:p>
      <w:pPr>
        <w:pStyle w:val="ListBullet"/>
      </w:pPr>
      <w:r>
        <w:rPr>
          <w:b/>
        </w:rPr>
        <w:t>April 10–11:</w:t>
      </w:r>
      <w:r>
        <w:t xml:space="preserve"> send the LGPD data subject communications; confirm receipt (or non-receipt) of the Pinnacle § 4.3 notice by close of business April 10 and escalate if it has not arrived; confirm Everwatch consents and vendor conditions; begin address hygiene and mail-house booking for about 273,500 U.S. letters.</w:t>
      </w:r>
    </w:p>
    <w:p>
      <w:pPr>
        <w:pStyle w:val="ListBullet"/>
      </w:pPr>
      <w:r>
        <w:rPr>
          <w:b/>
        </w:rPr>
        <w:t>April 14 (Board):</w:t>
      </w:r>
      <w:r>
        <w:t xml:space="preserve"> present this gap analysis and the corrected v2 Schedule; ratify the plan and budget (corrected credit monitoring figures, M-3); confirm California licensure for CDPH (H-4).</w:t>
      </w:r>
    </w:p>
    <w:p>
      <w:pPr>
        <w:pStyle w:val="ListBullet"/>
      </w:pPr>
      <w:r>
        <w:rPr>
          <w:b/>
        </w:rPr>
        <w:t>April 14–16:</w:t>
      </w:r>
      <w:r>
        <w:t xml:space="preserve"> send the Art. 34 letters to Dutch data subjects; Thornfield delivers the state content matrix and templates (base HIPAA letter plus NY, MA, IL, CO, PA and CA inserts).</w:t>
      </w:r>
    </w:p>
    <w:p>
      <w:pPr>
        <w:pStyle w:val="ListBullet"/>
      </w:pPr>
      <w:r>
        <w:rPr>
          <w:b/>
        </w:rPr>
        <w:t>April 23:</w:t>
      </w:r>
      <w:r>
        <w:t xml:space="preserve"> CDPH and patient report, if § 1280.15 applies.</w:t>
      </w:r>
    </w:p>
    <w:p>
      <w:pPr>
        <w:pStyle w:val="ListBullet"/>
      </w:pPr>
      <w:r>
        <w:rPr>
          <w:b/>
        </w:rPr>
        <w:t>April 28–30:</w:t>
      </w:r>
      <w:r>
        <w:t xml:space="preserve"> call center and website live-ready; Maplewood receives the final media text and 11-state outlet list (48-hour lead); file the NJ State Police report, then MA AG/OCABR, TX AG, FL DLA and CO AG; send CRA notices.</w:t>
      </w:r>
    </w:p>
    <w:p>
      <w:pPr>
        <w:pStyle w:val="ListBullet"/>
      </w:pPr>
      <w:r>
        <w:rPr>
          <w:b/>
        </w:rPr>
        <w:t>May 2:</w:t>
      </w:r>
      <w:r>
        <w:t xml:space="preserve"> consolidated U.S. mail drop (all 11 states); HHS portal submission; NY and IL AG filings; CA AG and PA AG filings; HIPAA media notices in all 11 states. This satisfies every U.S. deadline at once, including the 30-day states, and puts Ridgeline well inside the HIPAA outer limit.</w:t>
      </w:r>
    </w:p>
    <w:p>
      <w:pPr>
        <w:pStyle w:val="ListBullet"/>
      </w:pPr>
      <w:r>
        <w:rPr>
          <w:b/>
        </w:rPr>
        <w:t>Ongoing:</w:t>
      </w:r>
      <w:r>
        <w:t xml:space="preserve"> supplement the AP and ANPD filings as Aldersgate’s findings develop; handle returned mail and substitute notice; track Pinnacle supplemental notices under § 4.3; keep the Art. 33(5) register and the Res. 15/2024 incident record; preserve all documents under the litigation hold.</w:t>
      </w:r>
    </w:p>
    <w:p>
      <w:pPr>
        <w:pStyle w:val="Heading1"/>
      </w:pPr>
      <w:r>
        <w:t>VIII. Corrections and Supplements to the January 15, 2025 Guidance Memo</w:t>
      </w:r>
    </w:p>
    <w:p>
      <w:r>
        <w:t>Candidly, our review found points where the Guidance Memo itself is incomplete, outdated or imprecise. The Schedule relied on some of them. We will issue a formal update; in the meantime, the following supersede the Guidance Memo for this incident:</w:t>
      </w:r>
    </w:p>
    <w:tbl>
      <w:tblPr>
        <w:tblStyle w:val="TableGrid"/>
        <w:tblW w:type="auto" w:w="0"/>
        <w:jc w:val="center"/>
        <w:tblLook w:firstColumn="1" w:firstRow="1" w:lastColumn="0" w:lastRow="0" w:noHBand="0" w:noVBand="1" w:val="04A0"/>
      </w:tblPr>
      <w:tblGrid>
        <w:gridCol w:w="3120"/>
        <w:gridCol w:w="3120"/>
        <w:gridCol w:w="3120"/>
      </w:tblGrid>
      <w:tr>
        <w:tc>
          <w:tcPr>
            <w:tcW w:type="dxa" w:w="1728"/>
            <w:shd w:val="clear" w:color="auto" w:fill="1F3A5F"/>
          </w:tcPr>
          <w:p>
            <w:r/>
            <w:r>
              <w:rPr>
                <w:b/>
                <w:color w:val="FFFFFF"/>
                <w:sz w:val="16"/>
              </w:rPr>
              <w:t>Guidance Memo section</w:t>
            </w:r>
          </w:p>
        </w:tc>
        <w:tc>
          <w:tcPr>
            <w:tcW w:type="dxa" w:w="2880"/>
            <w:shd w:val="clear" w:color="auto" w:fill="1F3A5F"/>
          </w:tcPr>
          <w:p>
            <w:r/>
            <w:r>
              <w:rPr>
                <w:b/>
                <w:color w:val="FFFFFF"/>
                <w:sz w:val="16"/>
              </w:rPr>
              <w:t>Issue</w:t>
            </w:r>
          </w:p>
        </w:tc>
        <w:tc>
          <w:tcPr>
            <w:tcW w:type="dxa" w:w="4752"/>
            <w:shd w:val="clear" w:color="auto" w:fill="1F3A5F"/>
          </w:tcPr>
          <w:p>
            <w:r/>
            <w:r>
              <w:rPr>
                <w:b/>
                <w:color w:val="FFFFFF"/>
                <w:sz w:val="16"/>
              </w:rPr>
              <w:t>Correction / supplement</w:t>
            </w:r>
          </w:p>
        </w:tc>
      </w:tr>
      <w:tr>
        <w:tc>
          <w:tcPr>
            <w:tcW w:type="dxa" w:w="1728"/>
          </w:tcPr>
          <w:p>
            <w:r>
              <w:rPr>
                <w:sz w:val="16"/>
              </w:rPr>
            </w:r>
            <w:r>
              <w:rPr>
                <w:sz w:val="16"/>
              </w:rPr>
              <w:t>§ IV.D (NY)</w:t>
            </w:r>
          </w:p>
        </w:tc>
        <w:tc>
          <w:tcPr>
            <w:tcW w:type="dxa" w:w="2880"/>
          </w:tcPr>
          <w:p>
            <w:r>
              <w:rPr>
                <w:sz w:val="16"/>
              </w:rPr>
            </w:r>
            <w:r>
              <w:rPr>
                <w:sz w:val="16"/>
              </w:rPr>
              <w:t>States no numeric deadline for individual notice; lists AG, DFS and State Police</w:t>
            </w:r>
          </w:p>
        </w:tc>
        <w:tc>
          <w:tcPr>
            <w:tcW w:type="dxa" w:w="4752"/>
          </w:tcPr>
          <w:p>
            <w:r>
              <w:rPr>
                <w:sz w:val="16"/>
              </w:rPr>
            </w:r>
            <w:r>
              <w:rPr>
                <w:sz w:val="16"/>
              </w:rPr>
              <w:t>§ 899-aa was amended in December 2024 to impose a 30-day limit for resident notice; agency recipients are the AG, Department of State and State Police (plus DFS for DFS-regulated entities). HIPAA covered entities must notify the AG within 5 business days of notifying HHS (§ 899-aa(9)). Notify CRAs if more than 5,000 residents.</w:t>
            </w:r>
          </w:p>
        </w:tc>
      </w:tr>
      <w:tr>
        <w:tc>
          <w:tcPr>
            <w:tcW w:type="dxa" w:w="1728"/>
          </w:tcPr>
          <w:p>
            <w:r>
              <w:rPr>
                <w:sz w:val="16"/>
              </w:rPr>
            </w:r>
            <w:r>
              <w:rPr>
                <w:sz w:val="16"/>
              </w:rPr>
              <w:t>§ IV.F (IL)</w:t>
            </w:r>
          </w:p>
        </w:tc>
        <w:tc>
          <w:tcPr>
            <w:tcW w:type="dxa" w:w="2880"/>
          </w:tcPr>
          <w:p>
            <w:r>
              <w:rPr>
                <w:sz w:val="16"/>
              </w:rPr>
            </w:r>
            <w:r>
              <w:rPr>
                <w:sz w:val="16"/>
              </w:rPr>
              <w:t>Does not address HIPAA covered entities</w:t>
            </w:r>
          </w:p>
        </w:tc>
        <w:tc>
          <w:tcPr>
            <w:tcW w:type="dxa" w:w="4752"/>
          </w:tcPr>
          <w:p>
            <w:r>
              <w:rPr>
                <w:sz w:val="16"/>
              </w:rPr>
            </w:r>
            <w:r>
              <w:rPr>
                <w:sz w:val="16"/>
              </w:rPr>
              <w:t>815 ILCS 530/50: notify the AG within 5 business days of the HHS submission; the resident notice must not state the number of IL residents affected.</w:t>
            </w:r>
          </w:p>
        </w:tc>
      </w:tr>
      <w:tr>
        <w:tc>
          <w:tcPr>
            <w:tcW w:type="dxa" w:w="1728"/>
          </w:tcPr>
          <w:p>
            <w:r>
              <w:rPr>
                <w:sz w:val="16"/>
              </w:rPr>
            </w:r>
            <w:r>
              <w:rPr>
                <w:sz w:val="16"/>
              </w:rPr>
              <w:t>§ IV.G (PA)</w:t>
            </w:r>
          </w:p>
        </w:tc>
        <w:tc>
          <w:tcPr>
            <w:tcW w:type="dxa" w:w="2880"/>
          </w:tcPr>
          <w:p>
            <w:r>
              <w:rPr>
                <w:sz w:val="16"/>
              </w:rPr>
            </w:r>
            <w:r>
              <w:rPr>
                <w:sz w:val="16"/>
              </w:rPr>
              <w:t>Pre-2024 description</w:t>
            </w:r>
          </w:p>
        </w:tc>
        <w:tc>
          <w:tcPr>
            <w:tcW w:type="dxa" w:w="4752"/>
          </w:tcPr>
          <w:p>
            <w:r>
              <w:rPr>
                <w:sz w:val="16"/>
              </w:rPr>
            </w:r>
            <w:r>
              <w:rPr>
                <w:sz w:val="16"/>
              </w:rPr>
              <w:t>2024 amendments: AG notice concurrent with resident notice where more than 500 residents are affected; CRA notice above 1,000; 12 months of credit monitoring plus a credit report where SSNs are involved. Confirm details before mailing.</w:t>
            </w:r>
          </w:p>
        </w:tc>
      </w:tr>
      <w:tr>
        <w:tc>
          <w:tcPr>
            <w:tcW w:type="dxa" w:w="1728"/>
          </w:tcPr>
          <w:p>
            <w:r>
              <w:rPr>
                <w:sz w:val="16"/>
              </w:rPr>
            </w:r>
            <w:r>
              <w:rPr>
                <w:sz w:val="16"/>
              </w:rPr>
              <w:t>§ IV.K (MA)</w:t>
            </w:r>
          </w:p>
        </w:tc>
        <w:tc>
          <w:tcPr>
            <w:tcW w:type="dxa" w:w="2880"/>
          </w:tcPr>
          <w:p>
            <w:r>
              <w:rPr>
                <w:sz w:val="16"/>
              </w:rPr>
            </w:r>
            <w:r>
              <w:rPr>
                <w:sz w:val="16"/>
              </w:rPr>
              <w:t>Says resident notices include the nature of the breach and the number of residents; filing timing left open</w:t>
            </w:r>
          </w:p>
        </w:tc>
        <w:tc>
          <w:tcPr>
            <w:tcW w:type="dxa" w:w="4752"/>
          </w:tcPr>
          <w:p>
            <w:r>
              <w:rPr>
                <w:sz w:val="16"/>
              </w:rPr>
            </w:r>
            <w:r>
              <w:rPr>
                <w:sz w:val="16"/>
              </w:rPr>
              <w:t xml:space="preserve">Those items belong in the AG/OCABR notice only, and are </w:t>
            </w:r>
            <w:r>
              <w:rPr>
                <w:b/>
                <w:sz w:val="16"/>
              </w:rPr>
              <w:t>prohibited</w:t>
            </w:r>
            <w:r>
              <w:rPr>
                <w:sz w:val="16"/>
              </w:rPr>
              <w:t xml:space="preserve"> in the resident notice. File with the AG/OCABR before or with resident notice; 18-month credit monitoring where SSNs are involved.</w:t>
            </w:r>
          </w:p>
        </w:tc>
      </w:tr>
      <w:tr>
        <w:tc>
          <w:tcPr>
            <w:tcW w:type="dxa" w:w="1728"/>
          </w:tcPr>
          <w:p>
            <w:r>
              <w:rPr>
                <w:sz w:val="16"/>
              </w:rPr>
            </w:r>
            <w:r>
              <w:rPr>
                <w:sz w:val="16"/>
              </w:rPr>
              <w:t>§ IV.C (CA CMIA)</w:t>
            </w:r>
          </w:p>
        </w:tc>
        <w:tc>
          <w:tcPr>
            <w:tcW w:type="dxa" w:w="2880"/>
          </w:tcPr>
          <w:p>
            <w:r>
              <w:rPr>
                <w:sz w:val="16"/>
              </w:rPr>
            </w:r>
            <w:r>
              <w:rPr>
                <w:sz w:val="16"/>
              </w:rPr>
              <w:t>CDPH "within the applicable timeframe" not specified</w:t>
            </w:r>
          </w:p>
        </w:tc>
        <w:tc>
          <w:tcPr>
            <w:tcW w:type="dxa" w:w="4752"/>
          </w:tcPr>
          <w:p>
            <w:r>
              <w:rPr>
                <w:sz w:val="16"/>
              </w:rPr>
            </w:r>
            <w:r>
              <w:rPr>
                <w:sz w:val="16"/>
              </w:rPr>
              <w:t>H&amp;S Code § 1280.15: 15 business days after detection, for licensed facilities and clinics; confirm licensure.</w:t>
            </w:r>
          </w:p>
        </w:tc>
      </w:tr>
      <w:tr>
        <w:tc>
          <w:tcPr>
            <w:tcW w:type="dxa" w:w="1728"/>
          </w:tcPr>
          <w:p>
            <w:r>
              <w:rPr>
                <w:sz w:val="16"/>
              </w:rPr>
            </w:r>
            <w:r>
              <w:rPr>
                <w:sz w:val="16"/>
              </w:rPr>
              <w:t>§ VI.C / VIII.A (LGPD)</w:t>
            </w:r>
          </w:p>
        </w:tc>
        <w:tc>
          <w:tcPr>
            <w:tcW w:type="dxa" w:w="2880"/>
          </w:tcPr>
          <w:p>
            <w:r>
              <w:rPr>
                <w:sz w:val="16"/>
              </w:rPr>
            </w:r>
            <w:r>
              <w:rPr>
                <w:sz w:val="16"/>
              </w:rPr>
              <w:t>Data subject notice in "a reasonable time or as directed by the ANPD"</w:t>
            </w:r>
          </w:p>
        </w:tc>
        <w:tc>
          <w:tcPr>
            <w:tcW w:type="dxa" w:w="4752"/>
          </w:tcPr>
          <w:p>
            <w:r>
              <w:rPr>
                <w:sz w:val="16"/>
              </w:rPr>
            </w:r>
            <w:r>
              <w:rPr>
                <w:sz w:val="16"/>
              </w:rPr>
              <w:t>Res. CD/ANPD 15/2024 sets 3 business days for data subject communication as well as for the ANPD notice.</w:t>
            </w:r>
          </w:p>
        </w:tc>
      </w:tr>
      <w:tr>
        <w:tc>
          <w:tcPr>
            <w:tcW w:type="dxa" w:w="1728"/>
          </w:tcPr>
          <w:p>
            <w:r>
              <w:rPr>
                <w:sz w:val="16"/>
              </w:rPr>
            </w:r>
            <w:r>
              <w:rPr>
                <w:sz w:val="16"/>
              </w:rPr>
              <w:t>§ II, § VI.A (LGPD)</w:t>
            </w:r>
          </w:p>
        </w:tc>
        <w:tc>
          <w:tcPr>
            <w:tcW w:type="dxa" w:w="2880"/>
          </w:tcPr>
          <w:p>
            <w:r>
              <w:rPr>
                <w:sz w:val="16"/>
              </w:rPr>
            </w:r>
            <w:r>
              <w:rPr>
                <w:sz w:val="16"/>
              </w:rPr>
              <w:t>Describes CPF as sensitive personal data</w:t>
            </w:r>
          </w:p>
        </w:tc>
        <w:tc>
          <w:tcPr>
            <w:tcW w:type="dxa" w:w="4752"/>
          </w:tcPr>
          <w:p>
            <w:r>
              <w:rPr>
                <w:sz w:val="16"/>
              </w:rPr>
            </w:r>
            <w:r>
              <w:rPr>
                <w:sz w:val="16"/>
              </w:rPr>
              <w:t>CPF is ordinary personal data; health data is sensitive (Art. 5(II)).</w:t>
            </w:r>
          </w:p>
        </w:tc>
      </w:tr>
      <w:tr>
        <w:tc>
          <w:tcPr>
            <w:tcW w:type="dxa" w:w="1728"/>
          </w:tcPr>
          <w:p>
            <w:r>
              <w:rPr>
                <w:sz w:val="16"/>
              </w:rPr>
            </w:r>
            <w:r>
              <w:rPr>
                <w:sz w:val="16"/>
              </w:rPr>
              <w:t>§ III.D</w:t>
            </w:r>
          </w:p>
        </w:tc>
        <w:tc>
          <w:tcPr>
            <w:tcW w:type="dxa" w:w="2880"/>
          </w:tcPr>
          <w:p>
            <w:r>
              <w:rPr>
                <w:sz w:val="16"/>
              </w:rPr>
            </w:r>
            <w:r>
              <w:rPr>
                <w:sz w:val="16"/>
              </w:rPr>
              <w:t>Heading cites § 164.408 for media notice</w:t>
            </w:r>
          </w:p>
        </w:tc>
        <w:tc>
          <w:tcPr>
            <w:tcW w:type="dxa" w:w="4752"/>
          </w:tcPr>
          <w:p>
            <w:r>
              <w:rPr>
                <w:sz w:val="16"/>
              </w:rPr>
            </w:r>
            <w:r>
              <w:rPr>
                <w:sz w:val="16"/>
              </w:rPr>
              <w:t>Correct citation is 45 CFR § 164.406.</w:t>
            </w:r>
          </w:p>
        </w:tc>
      </w:tr>
      <w:tr>
        <w:tc>
          <w:tcPr>
            <w:tcW w:type="dxa" w:w="1728"/>
          </w:tcPr>
          <w:p>
            <w:r>
              <w:rPr>
                <w:sz w:val="16"/>
              </w:rPr>
            </w:r>
            <w:r>
              <w:rPr>
                <w:sz w:val="16"/>
              </w:rPr>
              <w:t>§ III.E</w:t>
            </w:r>
          </w:p>
        </w:tc>
        <w:tc>
          <w:tcPr>
            <w:tcW w:type="dxa" w:w="2880"/>
          </w:tcPr>
          <w:p>
            <w:r>
              <w:rPr>
                <w:sz w:val="16"/>
              </w:rPr>
            </w:r>
            <w:r>
              <w:rPr>
                <w:sz w:val="16"/>
              </w:rPr>
              <w:t>Imputation of business associate knowledge not discussed</w:t>
            </w:r>
          </w:p>
        </w:tc>
        <w:tc>
          <w:tcPr>
            <w:tcW w:type="dxa" w:w="4752"/>
          </w:tcPr>
          <w:p>
            <w:r>
              <w:rPr>
                <w:sz w:val="16"/>
              </w:rPr>
            </w:r>
            <w:r>
              <w:rPr>
                <w:sz w:val="16"/>
              </w:rPr>
              <w:t>Where the business associate is the covered entity’s agent, its discovery is imputed to the covered entity (§ 164.404(a)(2)); this needs analysis for Pinnacle.</w:t>
            </w:r>
          </w:p>
        </w:tc>
      </w:tr>
      <w:tr>
        <w:tc>
          <w:tcPr>
            <w:tcW w:type="dxa" w:w="1728"/>
          </w:tcPr>
          <w:p>
            <w:r>
              <w:rPr>
                <w:sz w:val="16"/>
              </w:rPr>
            </w:r>
            <w:r>
              <w:rPr>
                <w:sz w:val="16"/>
              </w:rPr>
              <w:t>§§ IV.B–IV.L</w:t>
            </w:r>
          </w:p>
        </w:tc>
        <w:tc>
          <w:tcPr>
            <w:tcW w:type="dxa" w:w="2880"/>
          </w:tcPr>
          <w:p>
            <w:r>
              <w:rPr>
                <w:sz w:val="16"/>
              </w:rPr>
            </w:r>
            <w:r>
              <w:rPr>
                <w:sz w:val="16"/>
              </w:rPr>
              <w:t>Illustrative state counts (e.g., TX 28,000; NY 18,300) differ from actual counts</w:t>
            </w:r>
          </w:p>
        </w:tc>
        <w:tc>
          <w:tcPr>
            <w:tcW w:type="dxa" w:w="4752"/>
          </w:tcPr>
          <w:p>
            <w:r>
              <w:rPr>
                <w:sz w:val="16"/>
              </w:rPr>
            </w:r>
            <w:r>
              <w:rPr>
                <w:sz w:val="16"/>
              </w:rPr>
              <w:t>Use the Aldersgate counts (TX 87,400; CA 62,300; NY 41,200; FL 28,900 …). The conclusions (all states exceed 500) are unchanged.</w:t>
            </w:r>
          </w:p>
        </w:tc>
      </w:tr>
      <w:tr>
        <w:tc>
          <w:tcPr>
            <w:tcW w:type="dxa" w:w="1728"/>
          </w:tcPr>
          <w:p>
            <w:r>
              <w:rPr>
                <w:sz w:val="16"/>
              </w:rPr>
            </w:r>
            <w:r>
              <w:rPr>
                <w:sz w:val="16"/>
              </w:rPr>
              <w:t>(not addressed)</w:t>
            </w:r>
          </w:p>
        </w:tc>
        <w:tc>
          <w:tcPr>
            <w:tcW w:type="dxa" w:w="2880"/>
          </w:tcPr>
          <w:p>
            <w:r>
              <w:rPr>
                <w:sz w:val="16"/>
              </w:rPr>
            </w:r>
            <w:r>
              <w:rPr>
                <w:sz w:val="16"/>
              </w:rPr>
              <w:t>CRA notifications</w:t>
            </w:r>
          </w:p>
        </w:tc>
        <w:tc>
          <w:tcPr>
            <w:tcW w:type="dxa" w:w="4752"/>
          </w:tcPr>
          <w:p>
            <w:r>
              <w:rPr>
                <w:sz w:val="16"/>
              </w:rPr>
            </w:r>
            <w:r>
              <w:rPr>
                <w:sz w:val="16"/>
              </w:rPr>
              <w:t>Add state CRA-notice thresholds (H-5).</w:t>
            </w:r>
          </w:p>
        </w:tc>
      </w:tr>
    </w:tbl>
    <w:p/>
    <w:p>
      <w:pPr>
        <w:pStyle w:val="Heading1"/>
      </w:pPr>
      <w:r>
        <w:t>IX. What the Schedule Gets Right</w:t>
      </w:r>
    </w:p>
    <w:p>
      <w:pPr>
        <w:pStyle w:val="ListBullet"/>
      </w:pPr>
      <w:r>
        <w:t>The affected-population figures reconcile to the Incident Summary Report (273,500 U.S.; 29,100 NL; 9,400 BR; 312,000 total), and every state is correctly identified as above 500.</w:t>
      </w:r>
    </w:p>
    <w:p>
      <w:pPr>
        <w:pStyle w:val="ListBullet"/>
      </w:pPr>
      <w:r>
        <w:t>HHS/OCR notice is correctly treated as a 500+ contemporaneous filing; the Texas AG 250+ trigger, the California AG 500+ sample-copy requirement and the Illinois AG 500+ trigger are correctly identified; New York agency recipients (AG, Department of State, State Police) are correctly listed.</w:t>
      </w:r>
    </w:p>
    <w:p>
      <w:pPr>
        <w:pStyle w:val="ListBullet"/>
      </w:pPr>
      <w:r>
        <w:t>Georgia is correctly treated as individual-notice only; the Ohio 45-day rule and the Florida and Colorado 30-day rules are at least identified in the basis or notes columns.</w:t>
      </w:r>
    </w:p>
    <w:p>
      <w:pPr>
        <w:pStyle w:val="ListBullet"/>
      </w:pPr>
      <w:r>
        <w:t>The Art. 33 checklist correctly includes the Art. 33(3) elements and the DPO contact; the ANPD checklist reflects Art. 48 § 1; the U.S.-wide 24-month credit monitoring offer meets or exceeds all state minimums.</w:t>
      </w:r>
    </w:p>
    <w:p>
      <w:pPr>
        <w:pStyle w:val="Heading1"/>
      </w:pPr>
      <w:r>
        <w:t>X. Conclusion</w:t>
      </w:r>
    </w:p>
    <w:p>
      <w:r>
        <w:t>The Schedule should be re-issued as version 2 incorporating these corrections before the April 14 Board meeting. The overdue AP and ANPD filings and the Pinnacle demand must not wait for the Board. With immediate action, Ridgeline can (i) limit the GDPR and LGPD lateness to a few days with a documented, good-faith explanation; (ii) meet every U.S. deadline through a single May 2 mail drop; and (iii) preserve its indemnity and insurance recovery against Pinnacle. We are available to join the Board session and will deliver the state content matrix and templates by April 16.</w:t>
      </w:r>
    </w:p>
    <w:p>
      <w:r>
        <w:t>This memorandum is based on the documents identified in Section II and the law as we understand it as of its date. Items marked "confirm" concern recent amendments or facts not yet verified and should be confirmed before the related filing.</w:t>
      </w:r>
    </w:p>
    <w:p>
      <w:r>
        <w:t>THORNFIELD &amp; ASSOCIATES LLP</w:t>
      </w:r>
    </w:p>
    <w:p>
      <w:r>
        <w:t>Margaret Hsu, Lead Partner  |  Daniel Okafor, Supervising Associate</w:t>
      </w:r>
    </w:p>
    <w:p>
      <w:r>
        <w:rPr>
          <w:i/>
        </w:rPr>
        <w:t>Privileged and Confidential — Attorney-Client Communication / Attorney Work Product — Prepared at the request of counsel in anticipation of litigation.</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Privileged &amp; Confidential — Attorney Work Product — RHS-IR-2025-0042 Gap Analysis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