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864"/>
          <w:sz w:val="32"/>
        </w:rPr>
        <w:t>DPA DEVIATION REPORT AND NEGOTIATION POSITIONS</w:t>
      </w:r>
    </w:p>
    <w:p>
      <w:pPr>
        <w:spacing w:after="200"/>
        <w:jc w:val="center"/>
      </w:pPr>
      <w:r>
        <w:rPr>
          <w:b w:val="0"/>
          <w:i/>
          <w:sz w:val="22"/>
        </w:rPr>
        <w:t>Cumulus Digital Solutions, LLC — Data Processing Agreement (Version Date April 10, 2025), Exhibit A and Exhibit B (HIPAA Business Associate Addendum)</w:t>
      </w:r>
    </w:p>
    <w:tbl>
      <w:tblPr>
        <w:tblStyle w:val="TableGrid"/>
        <w:tblW w:type="auto" w:w="0"/>
        <w:tblLook w:firstColumn="1" w:firstRow="1" w:lastColumn="0" w:lastRow="0" w:noHBand="0" w:noVBand="1" w:val="04A0"/>
      </w:tblPr>
      <w:tblGrid>
        <w:gridCol w:w="4824"/>
        <w:gridCol w:w="4824"/>
      </w:tblGrid>
      <w:tr>
        <w:tc>
          <w:tcPr>
            <w:tcW w:type="dxa" w:w="1440"/>
            <w:shd w:val="clear" w:color="auto" w:fill="D9E2F3"/>
          </w:tcPr>
          <w:p>
            <w:r/>
            <w:r>
              <w:rPr>
                <w:b/>
                <w:sz w:val="19"/>
              </w:rPr>
              <w:t>To</w:t>
            </w:r>
          </w:p>
        </w:tc>
        <w:tc>
          <w:tcPr>
            <w:tcW w:type="dxa" w:w="8208"/>
          </w:tcPr>
          <w:p>
            <w:r/>
            <w:r>
              <w:rPr>
                <w:sz w:val="19"/>
              </w:rPr>
              <w:t>Priya Ramasubramanian, General Counsel; Derek Langford, Chief Privacy Officer — Bellweather Health Systems, Inc.</w:t>
            </w:r>
          </w:p>
        </w:tc>
      </w:tr>
      <w:tr>
        <w:tc>
          <w:tcPr>
            <w:tcW w:type="dxa" w:w="1440"/>
            <w:shd w:val="clear" w:color="auto" w:fill="D9E2F3"/>
          </w:tcPr>
          <w:p>
            <w:r/>
            <w:r>
              <w:rPr>
                <w:b/>
                <w:sz w:val="19"/>
              </w:rPr>
              <w:t>Copy</w:t>
            </w:r>
          </w:p>
        </w:tc>
        <w:tc>
          <w:tcPr>
            <w:tcW w:type="dxa" w:w="8208"/>
          </w:tcPr>
          <w:p>
            <w:r/>
            <w:r>
              <w:rPr>
                <w:sz w:val="19"/>
              </w:rPr>
              <w:t>Thornfield &amp; Ashe LLP (Catherine Thornfield; Nolan Firth), for Tier 1 escalation support (Playbook § 19)</w:t>
            </w:r>
          </w:p>
        </w:tc>
      </w:tr>
      <w:tr>
        <w:tc>
          <w:tcPr>
            <w:tcW w:type="dxa" w:w="1440"/>
            <w:shd w:val="clear" w:color="auto" w:fill="D9E2F3"/>
          </w:tcPr>
          <w:p>
            <w:r/>
            <w:r>
              <w:rPr>
                <w:b/>
                <w:sz w:val="19"/>
              </w:rPr>
              <w:t>From</w:t>
            </w:r>
          </w:p>
        </w:tc>
        <w:tc>
          <w:tcPr>
            <w:tcW w:type="dxa" w:w="8208"/>
          </w:tcPr>
          <w:p>
            <w:r/>
            <w:r>
              <w:rPr>
                <w:sz w:val="19"/>
              </w:rPr>
              <w:t>Privacy counsel — vendor DPA review</w:t>
            </w:r>
          </w:p>
        </w:tc>
      </w:tr>
      <w:tr>
        <w:tc>
          <w:tcPr>
            <w:tcW w:type="dxa" w:w="1440"/>
            <w:shd w:val="clear" w:color="auto" w:fill="D9E2F3"/>
          </w:tcPr>
          <w:p>
            <w:r/>
            <w:r>
              <w:rPr>
                <w:b/>
                <w:sz w:val="19"/>
              </w:rPr>
              <w:t>Re</w:t>
            </w:r>
          </w:p>
        </w:tc>
        <w:tc>
          <w:tcPr>
            <w:tcW w:type="dxa" w:w="8208"/>
          </w:tcPr>
          <w:p>
            <w:r/>
            <w:r>
              <w:rPr>
                <w:sz w:val="19"/>
              </w:rPr>
              <w:t>Review of Cumulus DPA against Data Processing Standards Playbook v4.2 (Jan. 15, 2025) and HIPAA BAA Mandatory Requirements Checklist v2.1 (Mar. 1, 2025)</w:t>
            </w:r>
          </w:p>
        </w:tc>
      </w:tr>
      <w:tr>
        <w:tc>
          <w:tcPr>
            <w:tcW w:type="dxa" w:w="1440"/>
            <w:shd w:val="clear" w:color="auto" w:fill="D9E2F3"/>
          </w:tcPr>
          <w:p>
            <w:r/>
            <w:r>
              <w:rPr>
                <w:b/>
                <w:sz w:val="19"/>
              </w:rPr>
              <w:t>Trigger</w:t>
            </w:r>
          </w:p>
        </w:tc>
        <w:tc>
          <w:tcPr>
            <w:tcW w:type="dxa" w:w="8208"/>
          </w:tcPr>
          <w:p>
            <w:r/>
            <w:r>
              <w:rPr>
                <w:sz w:val="19"/>
              </w:rPr>
              <w:t>Jordan Kessler (Cumulus, VP Legal &amp; Compliance) transmittal email of April 11, 2025, with the DPA and sub-processor list; proposed effective date August 1, 2025; initial term through July 31, 2028</w:t>
            </w:r>
          </w:p>
        </w:tc>
      </w:tr>
      <w:tr>
        <w:tc>
          <w:tcPr>
            <w:tcW w:type="dxa" w:w="1440"/>
            <w:shd w:val="clear" w:color="auto" w:fill="D9E2F3"/>
          </w:tcPr>
          <w:p>
            <w:r/>
            <w:r>
              <w:rPr>
                <w:b/>
                <w:sz w:val="19"/>
              </w:rPr>
              <w:t>Status</w:t>
            </w:r>
          </w:p>
        </w:tc>
        <w:tc>
          <w:tcPr>
            <w:tcW w:type="dxa" w:w="8208"/>
          </w:tcPr>
          <w:p>
            <w:r/>
            <w:r>
              <w:rPr>
                <w:sz w:val="19"/>
              </w:rPr>
              <w:t>DRAFT for CPO/GC review. Not for external distribution: this report quotes internal Playbook fallback positions.</w:t>
            </w:r>
          </w:p>
        </w:tc>
      </w:tr>
    </w:tbl>
    <w:p/>
    <w:p>
      <w:pPr>
        <w:pStyle w:val="Heading1"/>
      </w:pPr>
      <w:r>
        <w:t>1. Executive Summary</w:t>
      </w:r>
    </w:p>
    <w:p>
      <w:pPr>
        <w:spacing w:after="120"/>
      </w:pPr>
      <w:r>
        <w:rPr>
          <w:b/>
          <w:i w:val="0"/>
        </w:rPr>
        <w:t>Bottom line: the Cumulus DPA cannot be executed in its current form.</w:t>
      </w:r>
      <w:r>
        <w:rPr>
          <w:b w:val="0"/>
          <w:i w:val="0"/>
        </w:rPr>
        <w:t xml:space="preserve"> Under Playbook § 3, a DPA with an unresolved Tier 1 deviation may not be submitted for signature without an escalation memo approved in writing by both the CPO and the GC. This engagement involves PHI and, on the facts below, more than 500,000 data subjects and an ACV likely above $1,000,000. Every HIPAA requirement and every Tier 2 requirement is therefore elevated to Tier 1, and </w:t>
      </w:r>
      <w:r>
        <w:rPr>
          <w:b/>
          <w:i w:val="0"/>
        </w:rPr>
        <w:t>every deviation identified in this report is an effective Tier 1 deviation.</w:t>
      </w:r>
    </w:p>
    <w:p>
      <w:pPr>
        <w:spacing w:after="120"/>
      </w:pPr>
      <w:r>
        <w:rPr>
          <w:b w:val="0"/>
          <w:i w:val="0"/>
        </w:rPr>
        <w:t xml:space="preserve">We identified </w:t>
      </w:r>
      <w:r>
        <w:rPr>
          <w:b/>
          <w:i w:val="0"/>
        </w:rPr>
        <w:t>46 deviations</w:t>
      </w:r>
      <w:r>
        <w:rPr>
          <w:b w:val="0"/>
          <w:i w:val="0"/>
        </w:rPr>
        <w:t xml:space="preserve"> across all 14 Playbook domains: </w:t>
      </w:r>
      <w:r>
        <w:rPr>
          <w:b/>
          <w:i w:val="0"/>
        </w:rPr>
        <w:t>18 Critical, 15 High, 9 Medium and 4 Low</w:t>
      </w:r>
      <w:r>
        <w:rPr>
          <w:b w:val="0"/>
          <w:i w:val="0"/>
        </w:rPr>
        <w:t xml:space="preserve">. Measured against the 22 mandatory HIPAA Checklist provisions, Exhibit B is </w:t>
      </w:r>
      <w:r>
        <w:rPr>
          <w:b/>
          <w:i w:val="0"/>
        </w:rPr>
        <w:t>Compliant on 2, Partial on 6, and Non-Compliant on 14</w:t>
      </w:r>
      <w:r>
        <w:rPr>
          <w:b w:val="0"/>
          <w:i w:val="0"/>
        </w:rPr>
        <w:t>. Several provisions fall below even the Playbook’s stated fallback positions, which the Playbook describes as “never acceptable” or “not acceptable under any circumstances.” Those items are the true walk-away points.</w:t>
      </w:r>
    </w:p>
    <w:p>
      <w:pPr>
        <w:spacing w:after="60"/>
      </w:pPr>
      <w:r>
        <w:rPr>
          <w:b/>
          <w:i w:val="0"/>
        </w:rPr>
        <w:t>Gating issues (must be resolved, or formally risk-accepted by CPO and GC, before signature):</w:t>
      </w:r>
    </w:p>
    <w:p>
      <w:pPr>
        <w:pStyle w:val="ListBullet"/>
        <w:spacing w:after="60"/>
      </w:pPr>
      <w:r>
        <w:rPr>
          <w:b/>
          <w:i w:val="0"/>
        </w:rPr>
        <w:t>Breach notification (D-19):</w:t>
      </w:r>
      <w:r>
        <w:rPr>
          <w:b w:val="0"/>
          <w:i w:val="0"/>
        </w:rPr>
        <w:t xml:space="preserve"> 72 hours from “confirmation” vs. 24 hours from discovery of a confirmed or suspected incident. The Playbook says 72 hours is unacceptable “under no circumstances,” and the suspected/discovery trigger is non-negotiable.</w:t>
      </w:r>
    </w:p>
    <w:p>
      <w:pPr>
        <w:pStyle w:val="ListBullet"/>
        <w:spacing w:after="60"/>
      </w:pPr>
      <w:r>
        <w:rPr>
          <w:b/>
          <w:i w:val="0"/>
        </w:rPr>
        <w:t>Security Incident definition (D-01):</w:t>
      </w:r>
      <w:r>
        <w:rPr>
          <w:b w:val="0"/>
          <w:i w:val="0"/>
        </w:rPr>
        <w:t xml:space="preserve"> confirmed-only, and excludes attempted access. This is narrower than 45 CFR § 164.304, so it also breaks Security Rule incident reporting under the BAA.</w:t>
      </w:r>
    </w:p>
    <w:p>
      <w:pPr>
        <w:pStyle w:val="ListBullet"/>
        <w:spacing w:after="60"/>
      </w:pPr>
      <w:r>
        <w:rPr>
          <w:b/>
          <w:i w:val="0"/>
        </w:rPr>
        <w:t>Liability (D-33, D-34):</w:t>
      </w:r>
      <w:r>
        <w:rPr>
          <w:b w:val="0"/>
          <w:i w:val="0"/>
        </w:rPr>
        <w:t xml:space="preserve"> the cap is fees paid in the trailing 12 months, aggregate, covering all data claims including sub-processor claims, with no indemnity. Required: uncapped, or a floor of at least 3× ACV ($5,760,000 on the Playbook’s $1,920,000 ACV illustration; confirm the actual ACV).</w:t>
      </w:r>
    </w:p>
    <w:p>
      <w:pPr>
        <w:pStyle w:val="ListBullet"/>
        <w:spacing w:after="60"/>
      </w:pPr>
      <w:r>
        <w:rPr>
          <w:b/>
          <w:i w:val="0"/>
        </w:rPr>
        <w:t>Insurance (D-35):</w:t>
      </w:r>
      <w:r>
        <w:rPr>
          <w:b w:val="0"/>
          <w:i w:val="0"/>
        </w:rPr>
        <w:t xml:space="preserve"> $5M / $10M vs. $10M / $20M required. This is below the $7.5M / $15M absolute minimum.</w:t>
      </w:r>
    </w:p>
    <w:p>
      <w:pPr>
        <w:pStyle w:val="ListBullet"/>
        <w:spacing w:after="60"/>
      </w:pPr>
      <w:r>
        <w:rPr>
          <w:b/>
          <w:i w:val="0"/>
        </w:rPr>
        <w:t>Cross-border transfers and Redline (D-06, D-24):</w:t>
      </w:r>
      <w:r>
        <w:rPr>
          <w:b w:val="0"/>
          <w:i w:val="0"/>
        </w:rPr>
        <w:t xml:space="preserve"> § 8.2 allows offshore transfers for DR, load balancing and sub-processor operations without consent, and the transmittal email admits Redline uses “international infrastructure,” although the sub-processor list shows Redline only in Portland, OR.</w:t>
      </w:r>
    </w:p>
    <w:p>
      <w:pPr>
        <w:pStyle w:val="ListBullet"/>
        <w:spacing w:after="60"/>
      </w:pPr>
      <w:r>
        <w:rPr>
          <w:b/>
          <w:i w:val="0"/>
        </w:rPr>
        <w:t>De-identification and derived data (D-31, D-40):</w:t>
      </w:r>
      <w:r>
        <w:rPr>
          <w:b w:val="0"/>
          <w:i w:val="0"/>
        </w:rPr>
        <w:t xml:space="preserve"> Cumulus may de-identify PHI and use the result “without restriction,” and keep it “indefinitely” for product development and benchmarking. The Checklist says such a BAA “must be rejected.” The BAA is also silent on sale of PHI.</w:t>
      </w:r>
    </w:p>
    <w:p>
      <w:pPr>
        <w:pStyle w:val="ListBullet"/>
        <w:spacing w:after="60"/>
      </w:pPr>
      <w:r>
        <w:rPr>
          <w:b/>
          <w:i w:val="0"/>
        </w:rPr>
        <w:t>Sub-processor controls (D-07, D-08, D-10):</w:t>
      </w:r>
      <w:r>
        <w:rPr>
          <w:b w:val="0"/>
          <w:i w:val="0"/>
        </w:rPr>
        <w:t xml:space="preserve"> 15 days’ notice by website posting; Cumulus may “proceed at its discretion” over an objection; sub-processor liability limited to “commercially reasonable efforts.”</w:t>
      </w:r>
    </w:p>
    <w:p>
      <w:pPr>
        <w:pStyle w:val="ListBullet"/>
        <w:spacing w:after="60"/>
      </w:pPr>
      <w:r>
        <w:rPr>
          <w:b/>
          <w:i w:val="0"/>
        </w:rPr>
        <w:t>Audit (D-25 to D-27):</w:t>
      </w:r>
      <w:r>
        <w:rPr>
          <w:b w:val="0"/>
          <w:i w:val="0"/>
        </w:rPr>
        <w:t xml:space="preserve"> questionnaire or SOC 2 at Cumulus’s election; on-site audit only if that proves “insufficient”; once per 24 months; 45 days’ notice; Bellweather pays Cumulus’s internal costs.</w:t>
      </w:r>
    </w:p>
    <w:p>
      <w:pPr>
        <w:pStyle w:val="ListBullet"/>
        <w:spacing w:after="60"/>
      </w:pPr>
      <w:r>
        <w:rPr>
          <w:b/>
          <w:i w:val="0"/>
        </w:rPr>
        <w:t>HIPAA statutory defects (D-37 to D-39; BAA-10):</w:t>
      </w:r>
      <w:r>
        <w:rPr>
          <w:b w:val="0"/>
          <w:i w:val="0"/>
        </w:rPr>
        <w:t xml:space="preserve"> 3-year accounting-of-disclosures records against the 6-year look-back in 45 CFR § 164.528(a)(1); no minimum-necessary clause; no HITECH § 17932 reference. These are compliance requirements, not negotiating preferences.</w:t>
      </w:r>
    </w:p>
    <w:p>
      <w:pPr>
        <w:pStyle w:val="ListBullet"/>
        <w:spacing w:after="60"/>
      </w:pPr>
      <w:r>
        <w:rPr>
          <w:b/>
          <w:i w:val="0"/>
        </w:rPr>
        <w:t>Encryption and controller instructions (D-12, D-04):</w:t>
      </w:r>
      <w:r>
        <w:rPr>
          <w:b w:val="0"/>
          <w:i w:val="0"/>
        </w:rPr>
        <w:t xml:space="preserve"> at-rest encryption only for PHI databases, with no named standard and backups encrypted only “where technically feasible”; the Agreement is the “complete and exclusive” set of instructions, with no supplemental-instruction mechanism.</w:t>
      </w:r>
    </w:p>
    <w:p>
      <w:pPr>
        <w:spacing w:after="160"/>
      </w:pPr>
      <w:r>
        <w:rPr>
          <w:b/>
          <w:i w:val="0"/>
        </w:rPr>
        <w:t>Recommended path.</w:t>
      </w:r>
      <w:r>
        <w:rPr>
          <w:b w:val="0"/>
          <w:i w:val="0"/>
        </w:rPr>
        <w:t xml:space="preserve"> (1) Do not share the Playbook, the Checklist or this report with Cumulus. Send a consolidated Bellweather rider (Section 8) together with the diligence requests (Section 9). (2) Open at the Playbook preferred or mandatory positions on every item. Hold the fallbacks in reserve. Use the Tier 3 items and the low-cost concessions identified in Section 7 as trading currency. (3) Present the HIPAA regulatory defects (accounting period, minimum necessary, Security Incident reporting, termination authority) as legal requirements, not asks. (4) Treat the Redline and offshore-processing facts as a pre-signing diligence condition. (5) If Cumulus will not move on the walk-away items by mid-June 2025, prepare the Tier 1 escalation memo(s) required by Playbook § 19 so the August 1, 2025 date is not missed by default.</w:t>
      </w:r>
    </w:p>
    <w:p>
      <w:pPr>
        <w:pStyle w:val="Heading1"/>
      </w:pPr>
      <w:r>
        <w:t>2. Engagement Profile and Tier Classification</w:t>
      </w:r>
    </w:p>
    <w:tbl>
      <w:tblPr>
        <w:tblStyle w:val="TableGrid"/>
        <w:tblW w:type="auto" w:w="0"/>
        <w:tblLook w:firstColumn="1" w:firstRow="1" w:lastColumn="0" w:lastRow="0" w:noHBand="0" w:noVBand="1" w:val="04A0"/>
      </w:tblPr>
      <w:tblGrid>
        <w:gridCol w:w="4824"/>
        <w:gridCol w:w="4824"/>
      </w:tblGrid>
      <w:tr>
        <w:tc>
          <w:tcPr>
            <w:tcW w:type="dxa" w:w="2016"/>
            <w:shd w:val="clear" w:color="auto" w:fill="D9E2F3"/>
          </w:tcPr>
          <w:p>
            <w:r/>
            <w:r>
              <w:rPr>
                <w:b/>
                <w:sz w:val="18"/>
              </w:rPr>
              <w:t>Vendor</w:t>
            </w:r>
          </w:p>
        </w:tc>
        <w:tc>
          <w:tcPr>
            <w:tcW w:type="dxa" w:w="7632"/>
          </w:tcPr>
          <w:p>
            <w:r/>
            <w:r>
              <w:rPr>
                <w:b w:val="0"/>
                <w:i w:val="0"/>
                <w:sz w:val="18"/>
              </w:rPr>
              <w:t>Cumulus Digital Solutions, LLC (Oregon LLC; 4500 NW Innovation Drive, Portland, OR 97209)</w:t>
            </w:r>
          </w:p>
        </w:tc>
      </w:tr>
      <w:tr>
        <w:tc>
          <w:tcPr>
            <w:tcW w:type="dxa" w:w="2016"/>
            <w:shd w:val="clear" w:color="auto" w:fill="D9E2F3"/>
          </w:tcPr>
          <w:p>
            <w:r/>
            <w:r>
              <w:rPr>
                <w:b/>
                <w:sz w:val="18"/>
              </w:rPr>
              <w:t>Services</w:t>
            </w:r>
          </w:p>
        </w:tc>
        <w:tc>
          <w:tcPr>
            <w:tcW w:type="dxa" w:w="7632"/>
          </w:tcPr>
          <w:p>
            <w:r/>
            <w:r>
              <w:rPr>
                <w:b w:val="0"/>
                <w:i w:val="0"/>
                <w:sz w:val="18"/>
              </w:rPr>
              <w:t>Cloud-based patient engagement and communications platform: secure messaging, appointment reminders, satisfaction surveys, care-plan notifications, analytics/reporting (Exhibit A § A.1)</w:t>
            </w:r>
          </w:p>
        </w:tc>
      </w:tr>
      <w:tr>
        <w:tc>
          <w:tcPr>
            <w:tcW w:type="dxa" w:w="2016"/>
            <w:shd w:val="clear" w:color="auto" w:fill="D9E2F3"/>
          </w:tcPr>
          <w:p>
            <w:r/>
            <w:r>
              <w:rPr>
                <w:b/>
                <w:sz w:val="18"/>
              </w:rPr>
              <w:t>Data</w:t>
            </w:r>
          </w:p>
        </w:tc>
        <w:tc>
          <w:tcPr>
            <w:tcW w:type="dxa" w:w="7632"/>
          </w:tcPr>
          <w:p>
            <w:r/>
            <w:r>
              <w:rPr>
                <w:b w:val="0"/>
                <w:i w:val="0"/>
                <w:sz w:val="18"/>
              </w:rPr>
              <w:t>PHI (names, DOB, MRNs, diagnoses/ICD-10, appointment histories, care plans, treatment information, provider names); PI (email, mobile, home address, language, insurance member IDs, emergency contacts); device data (IP, device IDs, browser fingerprints, session timestamps, city-level geolocation); Derived Data (satisfaction scores, engagement metrics, preference profiles)</w:t>
            </w:r>
          </w:p>
        </w:tc>
      </w:tr>
      <w:tr>
        <w:tc>
          <w:tcPr>
            <w:tcW w:type="dxa" w:w="2016"/>
            <w:shd w:val="clear" w:color="auto" w:fill="D9E2F3"/>
          </w:tcPr>
          <w:p>
            <w:r/>
            <w:r>
              <w:rPr>
                <w:b/>
                <w:sz w:val="18"/>
              </w:rPr>
              <w:t>Data subjects / volume</w:t>
            </w:r>
          </w:p>
        </w:tc>
        <w:tc>
          <w:tcPr>
            <w:tcW w:type="dxa" w:w="7632"/>
          </w:tcPr>
          <w:p>
            <w:r/>
            <w:r>
              <w:rPr>
                <w:b w:val="0"/>
                <w:i w:val="0"/>
                <w:sz w:val="18"/>
              </w:rPr>
              <w:t xml:space="preserve">Patients, providers and clinical staff, authorized representatives. Volume not stated in the DPA (“as specified in the MSA or order form”). The Playbook identifies about 1.4 million active patient-users, and Cumulus proposes to support “patient engagement across your system.” </w:t>
            </w:r>
            <w:r>
              <w:rPr>
                <w:b/>
                <w:i w:val="0"/>
                <w:sz w:val="18"/>
              </w:rPr>
              <w:t>Assumed to exceed 500,000 data subjects; confirm.</w:t>
            </w:r>
          </w:p>
        </w:tc>
      </w:tr>
      <w:tr>
        <w:tc>
          <w:tcPr>
            <w:tcW w:type="dxa" w:w="2016"/>
            <w:shd w:val="clear" w:color="auto" w:fill="D9E2F3"/>
          </w:tcPr>
          <w:p>
            <w:r/>
            <w:r>
              <w:rPr>
                <w:b/>
                <w:sz w:val="18"/>
              </w:rPr>
              <w:t>ACV</w:t>
            </w:r>
          </w:p>
        </w:tc>
        <w:tc>
          <w:tcPr>
            <w:tcW w:type="dxa" w:w="7632"/>
          </w:tcPr>
          <w:p>
            <w:r/>
            <w:r>
              <w:rPr>
                <w:b w:val="0"/>
                <w:i w:val="0"/>
                <w:sz w:val="18"/>
              </w:rPr>
              <w:t xml:space="preserve">Not stated in the documents reviewed. The Playbook uses $1,920,000 as its illustration (3× = $5,760,000). </w:t>
            </w:r>
            <w:r>
              <w:rPr>
                <w:b/>
                <w:i w:val="0"/>
                <w:sz w:val="18"/>
              </w:rPr>
              <w:t>Confirm the ACV from the MSA or order form.</w:t>
            </w:r>
            <w:r>
              <w:rPr>
                <w:b w:val="0"/>
                <w:i w:val="0"/>
                <w:sz w:val="18"/>
              </w:rPr>
              <w:t xml:space="preserve"> The elevation rule is triggered either way if volume exceeds 500,000.</w:t>
            </w:r>
          </w:p>
        </w:tc>
      </w:tr>
      <w:tr>
        <w:tc>
          <w:tcPr>
            <w:tcW w:type="dxa" w:w="2016"/>
            <w:shd w:val="clear" w:color="auto" w:fill="D9E2F3"/>
          </w:tcPr>
          <w:p>
            <w:r/>
            <w:r>
              <w:rPr>
                <w:b/>
                <w:sz w:val="18"/>
              </w:rPr>
              <w:t>Term</w:t>
            </w:r>
          </w:p>
        </w:tc>
        <w:tc>
          <w:tcPr>
            <w:tcW w:type="dxa" w:w="7632"/>
          </w:tcPr>
          <w:p>
            <w:r/>
            <w:r>
              <w:rPr>
                <w:b w:val="0"/>
                <w:i w:val="0"/>
                <w:sz w:val="18"/>
              </w:rPr>
              <w:t>Proposed August 1, 2025 – July 31, 2028 (three years). DPA auto-renews with the MSA (§ 14.1).</w:t>
            </w:r>
          </w:p>
        </w:tc>
      </w:tr>
      <w:tr>
        <w:tc>
          <w:tcPr>
            <w:tcW w:type="dxa" w:w="2016"/>
            <w:shd w:val="clear" w:color="auto" w:fill="D9E2F3"/>
          </w:tcPr>
          <w:p>
            <w:r/>
            <w:r>
              <w:rPr>
                <w:b/>
                <w:sz w:val="18"/>
              </w:rPr>
              <w:t>Sub-processors</w:t>
            </w:r>
          </w:p>
        </w:tc>
        <w:tc>
          <w:tcPr>
            <w:tcW w:type="dxa" w:w="7632"/>
          </w:tcPr>
          <w:p>
            <w:r/>
            <w:r>
              <w:rPr>
                <w:b w:val="0"/>
                <w:i w:val="0"/>
                <w:sz w:val="18"/>
              </w:rPr>
              <w:t>Pinnacle Cloud Infrastructure, Inc. (IaaS; Dallas, TX; added 2021-03-15); Redline Analytics Group, LLC (de-identified analytics; Portland, OR; added 2022-08-01; international infrastructure per email); SwiftReach Communications, Inc. (SMS/voice; Atlanta, GA; added 2023-01-10)</w:t>
            </w:r>
          </w:p>
        </w:tc>
      </w:tr>
      <w:tr>
        <w:tc>
          <w:tcPr>
            <w:tcW w:type="dxa" w:w="2016"/>
            <w:shd w:val="clear" w:color="auto" w:fill="D9E2F3"/>
          </w:tcPr>
          <w:p>
            <w:r/>
            <w:r>
              <w:rPr>
                <w:b/>
                <w:sz w:val="18"/>
              </w:rPr>
              <w:t>Tier consequences</w:t>
            </w:r>
          </w:p>
        </w:tc>
        <w:tc>
          <w:tcPr>
            <w:tcW w:type="dxa" w:w="7632"/>
          </w:tcPr>
          <w:p>
            <w:r/>
            <w:r>
              <w:rPr>
                <w:b w:val="0"/>
                <w:i w:val="0"/>
                <w:sz w:val="18"/>
              </w:rPr>
              <w:t xml:space="preserve">(i) </w:t>
            </w:r>
            <w:r>
              <w:rPr>
                <w:b/>
                <w:i w:val="0"/>
                <w:sz w:val="18"/>
              </w:rPr>
              <w:t>PHI engagement:</w:t>
            </w:r>
            <w:r>
              <w:rPr>
                <w:b w:val="0"/>
                <w:i w:val="0"/>
                <w:sz w:val="18"/>
              </w:rPr>
              <w:t xml:space="preserve"> all Domain 13 and Checklist items are Tier 1 (Playbook § 3; Checklist § 1). (ii) </w:t>
            </w:r>
            <w:r>
              <w:rPr>
                <w:b/>
                <w:i w:val="0"/>
                <w:sz w:val="18"/>
              </w:rPr>
              <w:t>High-volume/high-value elevation:</w:t>
            </w:r>
            <w:r>
              <w:rPr>
                <w:b w:val="0"/>
                <w:i w:val="0"/>
                <w:sz w:val="18"/>
              </w:rPr>
              <w:t xml:space="preserve"> all Tier 2 requirements become Tier 1 (Playbook §§ 3, 19). (iii) </w:t>
            </w:r>
            <w:r>
              <w:rPr>
                <w:b/>
                <w:i w:val="0"/>
                <w:sz w:val="18"/>
              </w:rPr>
              <w:t>Result:</w:t>
            </w:r>
            <w:r>
              <w:rPr>
                <w:b w:val="0"/>
                <w:i w:val="0"/>
                <w:sz w:val="18"/>
              </w:rPr>
              <w:t xml:space="preserve"> every deviation requires an escalation memo and the written approval of both the CPO and the GC. Accepting a Playbook “fallback” on a Tier 1 or elevated item is still a deviation and still needs that approval. Positions below a fallback are de facto walk-away points.</w:t>
            </w:r>
          </w:p>
        </w:tc>
      </w:tr>
    </w:tbl>
    <w:p/>
    <w:p>
      <w:pPr>
        <w:pStyle w:val="Heading1"/>
      </w:pPr>
      <w:r>
        <w:t>3. Documents Reviewed and Approach</w:t>
      </w:r>
    </w:p>
    <w:p>
      <w:pPr>
        <w:pStyle w:val="ListBullet"/>
        <w:spacing w:after="60"/>
      </w:pPr>
      <w:r>
        <w:rPr>
          <w:b/>
          <w:i w:val="0"/>
        </w:rPr>
        <w:t>cumulus-dpa-v2025-04-10.docx:</w:t>
      </w:r>
      <w:r>
        <w:rPr>
          <w:b w:val="0"/>
          <w:i w:val="0"/>
        </w:rPr>
        <w:t xml:space="preserve"> Cumulus standard DPA (15 sections), Exhibit A (Data Processing Details and Sub-processor List) and Exhibit B (HIPAA BAA, §§ B.1–B.6).</w:t>
      </w:r>
    </w:p>
    <w:p>
      <w:pPr>
        <w:pStyle w:val="ListBullet"/>
        <w:spacing w:after="60"/>
      </w:pPr>
      <w:r>
        <w:rPr>
          <w:b/>
          <w:i w:val="0"/>
        </w:rPr>
        <w:t>cumulus-sub-processor-list.xlsx:</w:t>
      </w:r>
      <w:r>
        <w:rPr>
          <w:b w:val="0"/>
          <w:i w:val="0"/>
        </w:rPr>
        <w:t xml:space="preserve"> a single sheet listing three sub-processors with service, city/state and date added. No hidden sheets or comments. It matches Exhibit A § A.2 but gives less detail (no country, no data categories, no affiliates).</w:t>
      </w:r>
    </w:p>
    <w:p>
      <w:pPr>
        <w:pStyle w:val="ListBullet"/>
        <w:spacing w:after="60"/>
      </w:pPr>
      <w:r>
        <w:rPr>
          <w:b/>
          <w:i w:val="0"/>
        </w:rPr>
        <w:t>kessler-email-dpa-transmittal.eml:</w:t>
      </w:r>
      <w:r>
        <w:rPr>
          <w:b w:val="0"/>
          <w:i w:val="0"/>
        </w:rPr>
        <w:t xml:space="preserve"> Cumulus’s April 11, 2025 transmittal to the GC (cc: CPO). It contains factual statements about HITRUST status, Redline’s international infrastructure, encryption scope and insurance.</w:t>
      </w:r>
    </w:p>
    <w:p>
      <w:pPr>
        <w:pStyle w:val="ListBullet"/>
        <w:spacing w:after="60"/>
      </w:pPr>
      <w:r>
        <w:rPr>
          <w:b/>
          <w:i w:val="0"/>
        </w:rPr>
        <w:t>bellweather-dp-playbook-v4.2.docx:</w:t>
      </w:r>
      <w:r>
        <w:rPr>
          <w:b w:val="0"/>
          <w:i w:val="0"/>
        </w:rPr>
        <w:t xml:space="preserve"> 14 domains, risk tiers, mandatory language, fallbacks and escalation (§ 19, Appendix D).</w:t>
      </w:r>
    </w:p>
    <w:p>
      <w:pPr>
        <w:pStyle w:val="ListBullet"/>
        <w:spacing w:after="60"/>
      </w:pPr>
      <w:r>
        <w:rPr>
          <w:b/>
          <w:i w:val="0"/>
        </w:rPr>
        <w:t>bellweather-hipaa-checklist-v2.1.docx:</w:t>
      </w:r>
      <w:r>
        <w:rPr>
          <w:b w:val="0"/>
          <w:i w:val="0"/>
        </w:rPr>
        <w:t xml:space="preserve"> 22 mandatory BAA provisions (BAA-01 to BAA-22). All are Tier 1, and the Checklist controls where it is more specific about PHI.</w:t>
      </w:r>
    </w:p>
    <w:p>
      <w:pPr>
        <w:spacing w:after="120"/>
      </w:pPr>
      <w:r>
        <w:rPr>
          <w:b w:val="0"/>
          <w:i w:val="0"/>
        </w:rPr>
        <w:t xml:space="preserve">Each Playbook requirement and each Checklist item was compared clause by clause against the DPA body and Exhibits. The supporting documents were then checked for facts that contradict or qualify the DPA. Section references below are to the Cumulus DPA unless stated otherwise. Severity reflects regulatory exposure, distance from the Playbook fallback, and likely impact on Bellweather’s 1.4M-patient data set. </w:t>
      </w:r>
      <w:r>
        <w:rPr>
          <w:b/>
          <w:i w:val="0"/>
        </w:rPr>
        <w:t>Critical</w:t>
      </w:r>
      <w:r>
        <w:rPr>
          <w:b w:val="0"/>
          <w:i w:val="0"/>
        </w:rPr>
        <w:t xml:space="preserve"> = below the fallback, or a statutory defect. </w:t>
      </w:r>
      <w:r>
        <w:rPr>
          <w:b/>
          <w:i w:val="0"/>
        </w:rPr>
        <w:t>High</w:t>
      </w:r>
      <w:r>
        <w:rPr>
          <w:b w:val="0"/>
          <w:i w:val="0"/>
        </w:rPr>
        <w:t xml:space="preserve"> = a material Tier 1 gap that a fallback could still cure. </w:t>
      </w:r>
      <w:r>
        <w:rPr>
          <w:b/>
          <w:i w:val="0"/>
        </w:rPr>
        <w:t>Medium</w:t>
      </w:r>
      <w:r>
        <w:rPr>
          <w:b w:val="0"/>
          <w:i w:val="0"/>
        </w:rPr>
        <w:t xml:space="preserve"> = a meaningful but bounded gap. </w:t>
      </w:r>
      <w:r>
        <w:rPr>
          <w:b/>
          <w:i w:val="0"/>
        </w:rPr>
        <w:t>Low</w:t>
      </w:r>
      <w:r>
        <w:rPr>
          <w:b w:val="0"/>
          <w:i w:val="0"/>
        </w:rPr>
        <w:t xml:space="preserve"> = a conforming or drafting point.</w:t>
      </w:r>
    </w:p>
    <w:p>
      <w:pPr>
        <w:pStyle w:val="Heading2"/>
      </w:pPr>
      <w:r>
        <w:t>3.1 Inconsistencies in Bellweather’s Internal Standards (for Privacy Office follow-up)</w:t>
      </w:r>
    </w:p>
    <w:p>
      <w:pPr>
        <w:spacing w:after="60"/>
      </w:pPr>
      <w:r>
        <w:rPr>
          <w:b w:val="0"/>
          <w:i w:val="0"/>
        </w:rPr>
        <w:t>None of these changes the substantive outcome. They should be corrected so that escalation memos cite the right provisions:</w:t>
      </w:r>
    </w:p>
    <w:p>
      <w:pPr>
        <w:pStyle w:val="ListBullet"/>
        <w:spacing w:after="60"/>
      </w:pPr>
      <w:r>
        <w:rPr>
          <w:b/>
          <w:i w:val="0"/>
        </w:rPr>
        <w:t>Numbering mismatch.</w:t>
      </w:r>
      <w:r>
        <w:rPr>
          <w:b w:val="0"/>
          <w:i w:val="0"/>
        </w:rPr>
        <w:t xml:space="preserve"> Playbook Appendix C (and Reqs. 13.3–13.5) cites Checklist items “#8” (HITECH breach), “#14” (6-year accounting) and “#19” (de-identification). In Checklist v2.1 those topics are BAA-17/BAA-06, BAA-10 and BAA-20. This report uses the Checklist’s own BAA numbers.</w:t>
      </w:r>
    </w:p>
    <w:p>
      <w:pPr>
        <w:pStyle w:val="ListBullet"/>
        <w:spacing w:after="60"/>
      </w:pPr>
      <w:r>
        <w:rPr>
          <w:b/>
          <w:i w:val="0"/>
        </w:rPr>
        <w:t>Domain cross-references.</w:t>
      </w:r>
      <w:r>
        <w:rPr>
          <w:b w:val="0"/>
          <w:i w:val="0"/>
        </w:rPr>
        <w:t xml:space="preserve"> Checklist § 4 and its Notes map data subject rights to “Domain 8” and audit rights to “Domain 7.” In Playbook v4.2, data subject rights are Domain 7, cross-border transfers are Domain 8 and audit is Domain 9.</w:t>
      </w:r>
    </w:p>
    <w:p>
      <w:pPr>
        <w:pStyle w:val="ListBullet"/>
        <w:spacing w:after="60"/>
      </w:pPr>
      <w:r>
        <w:rPr>
          <w:b/>
          <w:i w:val="0"/>
        </w:rPr>
        <w:t>Non-existent Playbook sections.</w:t>
      </w:r>
      <w:r>
        <w:rPr>
          <w:b w:val="0"/>
          <w:i w:val="0"/>
        </w:rPr>
        <w:t xml:space="preserve"> Checklist §§ 1–2 refer to Playbook “Section 3.4” (deviation management) and “Section 3.5” (negotiation framework). The operative provisions are Playbook § 3, § 19, Appendix D and the per-domain fallbacks.</w:t>
      </w:r>
    </w:p>
    <w:p>
      <w:pPr>
        <w:pStyle w:val="ListBullet"/>
        <w:spacing w:after="60"/>
      </w:pPr>
      <w:r>
        <w:rPr>
          <w:b/>
          <w:i w:val="0"/>
        </w:rPr>
        <w:t>Chronology.</w:t>
      </w:r>
      <w:r>
        <w:rPr>
          <w:b w:val="0"/>
          <w:i w:val="0"/>
        </w:rPr>
        <w:t xml:space="preserve"> Playbook v4.2 (adopted January 15, 2025) incorporates “Checklist v2.1 (adopted March 1, 2025),” a later document. Treat the current Checklist v2.1 as incorporated, and confirm in the next Playbook revision.</w:t>
      </w:r>
    </w:p>
    <w:p>
      <w:pPr>
        <w:pStyle w:val="ListBullet"/>
        <w:spacing w:after="60"/>
      </w:pPr>
      <w:r>
        <w:rPr>
          <w:b/>
          <w:i w:val="0"/>
        </w:rPr>
        <w:t>Precedence.</w:t>
      </w:r>
      <w:r>
        <w:rPr>
          <w:b w:val="0"/>
          <w:i w:val="0"/>
        </w:rPr>
        <w:t xml:space="preserve"> Where the two documents differ on PHI points, the Checklist controls (Checklist cross-reference note). For example, BAA-10 requires disclosure records to be produced within 10 business days, and BAA-19 requires immediate audit access after a Breach.</w:t>
      </w:r>
    </w:p>
    <w:p>
      <w:pPr>
        <w:pStyle w:val="Heading1"/>
      </w:pPr>
      <w:r>
        <w:t>4. Facts from the Transmittal Email and Sub-processor List</w:t>
      </w:r>
    </w:p>
    <w:p>
      <w:pPr>
        <w:spacing w:after="80"/>
      </w:pPr>
      <w:r>
        <w:rPr>
          <w:b w:val="0"/>
          <w:i w:val="0"/>
        </w:rPr>
        <w:t>The supporting documents matter as much as the DPA. They contain several admissions that either contradict the DPA or confirm that a facially ambiguous clause will be applied against Bellweather:</w:t>
      </w:r>
    </w:p>
    <w:tbl>
      <w:tblPr>
        <w:tblStyle w:val="TableGrid"/>
        <w:tblW w:type="auto" w:w="0"/>
        <w:jc w:val="center"/>
        <w:tblLayout w:type="fixed"/>
        <w:tblLook w:firstColumn="1" w:firstRow="1" w:lastColumn="0" w:lastRow="0" w:noHBand="0" w:noVBand="1" w:val="04A0"/>
      </w:tblPr>
      <w:tblGrid>
        <w:gridCol w:w="3311"/>
        <w:gridCol w:w="2448"/>
        <w:gridCol w:w="3888"/>
      </w:tblGrid>
      <w:tr>
        <w:trPr>
          <w:tblHeader w:val="true"/>
        </w:trPr>
        <w:tc>
          <w:tcPr>
            <w:tcW w:type="dxa" w:w="3312"/>
            <w:shd w:val="clear" w:color="auto" w:fill="1F3864"/>
          </w:tcPr>
          <w:p>
            <w:r/>
            <w:r>
              <w:rPr>
                <w:b/>
                <w:color w:val="FFFFFF"/>
                <w:sz w:val="17"/>
              </w:rPr>
              <w:t>Statement / fact (source)</w:t>
            </w:r>
          </w:p>
        </w:tc>
        <w:tc>
          <w:tcPr>
            <w:tcW w:type="dxa" w:w="2448"/>
            <w:shd w:val="clear" w:color="auto" w:fill="1F3864"/>
          </w:tcPr>
          <w:p>
            <w:r/>
            <w:r>
              <w:rPr>
                <w:b/>
                <w:color w:val="FFFFFF"/>
                <w:sz w:val="17"/>
              </w:rPr>
              <w:t>DPA provision</w:t>
            </w:r>
          </w:p>
        </w:tc>
        <w:tc>
          <w:tcPr>
            <w:tcW w:type="dxa" w:w="3888"/>
            <w:shd w:val="clear" w:color="auto" w:fill="1F3864"/>
          </w:tcPr>
          <w:p>
            <w:r/>
            <w:r>
              <w:rPr>
                <w:b/>
                <w:color w:val="FFFFFF"/>
                <w:sz w:val="17"/>
              </w:rPr>
              <w:t>Implication for Bellweather</w:t>
            </w:r>
          </w:p>
        </w:tc>
      </w:tr>
      <w:tr>
        <w:tc>
          <w:tcPr>
            <w:tcW w:type="dxa" w:w="3312"/>
          </w:tcPr>
          <w:p>
            <w:pPr>
              <w:spacing w:after="20"/>
            </w:pPr>
            <w:r/>
            <w:r>
              <w:rPr>
                <w:b w:val="0"/>
                <w:i w:val="0"/>
                <w:sz w:val="17"/>
              </w:rPr>
              <w:t>Redline “leverages their international infrastructure to support aggregated data processing and benchmarking across their customer base”; “Analytics processing may involve our international infrastructure.”</w:t>
            </w:r>
          </w:p>
        </w:tc>
        <w:tc>
          <w:tcPr>
            <w:tcW w:type="dxa" w:w="2448"/>
          </w:tcPr>
          <w:p>
            <w:pPr>
              <w:spacing w:after="20"/>
            </w:pPr>
            <w:r/>
            <w:r>
              <w:rPr>
                <w:b w:val="0"/>
                <w:i w:val="0"/>
                <w:sz w:val="17"/>
              </w:rPr>
              <w:t>Exhibit A and the xlsx list Redline only in “Portland, OR, United States.” § 8.2 permits offshore transfers for “Sub-processor operations.”</w:t>
            </w:r>
          </w:p>
        </w:tc>
        <w:tc>
          <w:tcPr>
            <w:tcW w:type="dxa" w:w="3888"/>
          </w:tcPr>
          <w:p>
            <w:pPr>
              <w:spacing w:after="20"/>
            </w:pPr>
            <w:r/>
            <w:r>
              <w:rPr>
                <w:b w:val="0"/>
                <w:i w:val="0"/>
                <w:sz w:val="17"/>
              </w:rPr>
              <w:t xml:space="preserve">Undisclosed non-U.S. processing (Req. 8.1/8.3, Tier 1). The location data in the list is inaccurate or incomplete. Cross-customer benchmarking implies commercial use of Bellweather-derived data (BAA-16/BAA-20). </w:t>
            </w:r>
            <w:r>
              <w:rPr>
                <w:b/>
                <w:i w:val="0"/>
                <w:sz w:val="17"/>
              </w:rPr>
              <w:t>Pre-signing diligence condition.</w:t>
            </w:r>
          </w:p>
        </w:tc>
      </w:tr>
      <w:tr>
        <w:tc>
          <w:tcPr>
            <w:tcW w:type="dxa" w:w="3312"/>
          </w:tcPr>
          <w:p>
            <w:pPr>
              <w:spacing w:after="20"/>
            </w:pPr>
            <w:r/>
            <w:r>
              <w:rPr>
                <w:b w:val="0"/>
                <w:i w:val="0"/>
                <w:sz w:val="17"/>
              </w:rPr>
              <w:t>Redline provides “de-identified analytics” but is listed as a Sub-processor (an entity that Processes Customer Data, § 1.14).</w:t>
            </w:r>
          </w:p>
        </w:tc>
        <w:tc>
          <w:tcPr>
            <w:tcW w:type="dxa" w:w="2448"/>
          </w:tcPr>
          <w:p>
            <w:pPr>
              <w:spacing w:after="20"/>
            </w:pPr>
            <w:r/>
            <w:r>
              <w:rPr>
                <w:b w:val="0"/>
                <w:i w:val="0"/>
                <w:sz w:val="17"/>
              </w:rPr>
              <w:t>§ 3.3 and B.2.4 let Cumulus de-identify; § 1.5 removes De-Identified Data from the DPA.</w:t>
            </w:r>
          </w:p>
        </w:tc>
        <w:tc>
          <w:tcPr>
            <w:tcW w:type="dxa" w:w="3888"/>
          </w:tcPr>
          <w:p>
            <w:pPr>
              <w:spacing w:after="20"/>
            </w:pPr>
            <w:r/>
            <w:r>
              <w:rPr>
                <w:b w:val="0"/>
                <w:i w:val="0"/>
                <w:sz w:val="17"/>
              </w:rPr>
              <w:t>Either Redline receives identifiable PHI (it then needs a subcontractor BAA and U.S.-only processing), or it receives de-identified data outside all DPA protections. Both outcomes are unacceptable as drafted.</w:t>
            </w:r>
          </w:p>
        </w:tc>
      </w:tr>
      <w:tr>
        <w:tc>
          <w:tcPr>
            <w:tcW w:type="dxa" w:w="3312"/>
          </w:tcPr>
          <w:p>
            <w:pPr>
              <w:spacing w:after="20"/>
            </w:pPr>
            <w:r/>
            <w:r>
              <w:rPr>
                <w:b w:val="0"/>
                <w:i w:val="0"/>
                <w:sz w:val="17"/>
              </w:rPr>
              <w:t>HITRUST r2 “currently in its scheduled re-certification cycle … expect the renewal to be completed shortly”; “re-certification is pending.”</w:t>
            </w:r>
          </w:p>
        </w:tc>
        <w:tc>
          <w:tcPr>
            <w:tcW w:type="dxa" w:w="2448"/>
          </w:tcPr>
          <w:p>
            <w:pPr>
              <w:spacing w:after="20"/>
            </w:pPr>
            <w:r/>
            <w:r>
              <w:rPr>
                <w:b w:val="0"/>
                <w:i w:val="0"/>
                <w:sz w:val="17"/>
              </w:rPr>
              <w:t>§ 6.2(b): “has obtained or is in the process of obtaining,” presented as a measure “currently in place.”</w:t>
            </w:r>
          </w:p>
        </w:tc>
        <w:tc>
          <w:tcPr>
            <w:tcW w:type="dxa" w:w="3888"/>
          </w:tcPr>
          <w:p>
            <w:pPr>
              <w:spacing w:after="20"/>
            </w:pPr>
            <w:r/>
            <w:r>
              <w:rPr>
                <w:b w:val="0"/>
                <w:i w:val="0"/>
                <w:sz w:val="17"/>
              </w:rPr>
              <w:t>Possible lapse. Req. 5.4 requires disclosure before signing and a re-certification within 12 months. Obtain the expiry date and the assessor’s status letter.</w:t>
            </w:r>
          </w:p>
        </w:tc>
      </w:tr>
      <w:tr>
        <w:tc>
          <w:tcPr>
            <w:tcW w:type="dxa" w:w="3312"/>
          </w:tcPr>
          <w:p>
            <w:pPr>
              <w:spacing w:after="20"/>
            </w:pPr>
            <w:r/>
            <w:r>
              <w:rPr>
                <w:b w:val="0"/>
                <w:i w:val="0"/>
                <w:sz w:val="17"/>
              </w:rPr>
              <w:t>SOC 2 Type II “certification” covering January 1 – December 31, 2024; copy offered under NDA.</w:t>
            </w:r>
          </w:p>
        </w:tc>
        <w:tc>
          <w:tcPr>
            <w:tcW w:type="dxa" w:w="2448"/>
          </w:tcPr>
          <w:p>
            <w:pPr>
              <w:spacing w:after="20"/>
            </w:pPr>
            <w:r/>
            <w:r>
              <w:rPr>
                <w:b w:val="0"/>
                <w:i w:val="0"/>
                <w:sz w:val="17"/>
              </w:rPr>
              <w:t>§ 6.2(a); § 9.1 lets Cumulus deliver a questionnaire instead of the report.</w:t>
            </w:r>
          </w:p>
        </w:tc>
        <w:tc>
          <w:tcPr>
            <w:tcW w:type="dxa" w:w="3888"/>
          </w:tcPr>
          <w:p>
            <w:pPr>
              <w:spacing w:after="20"/>
            </w:pPr>
            <w:r/>
            <w:r>
              <w:rPr>
                <w:b w:val="0"/>
                <w:i w:val="0"/>
                <w:sz w:val="17"/>
              </w:rPr>
              <w:t>Accept the NDA offer now. Request a bridge letter to the effective date and confirm the trust services criteria in scope.</w:t>
            </w:r>
          </w:p>
        </w:tc>
      </w:tr>
      <w:tr>
        <w:tc>
          <w:tcPr>
            <w:tcW w:type="dxa" w:w="3312"/>
          </w:tcPr>
          <w:p>
            <w:pPr>
              <w:spacing w:after="20"/>
            </w:pPr>
            <w:r/>
            <w:r>
              <w:rPr>
                <w:b w:val="0"/>
                <w:i w:val="0"/>
                <w:sz w:val="17"/>
              </w:rPr>
              <w:t>Encryption “at rest for all databases containing PHI.”</w:t>
            </w:r>
          </w:p>
        </w:tc>
        <w:tc>
          <w:tcPr>
            <w:tcW w:type="dxa" w:w="2448"/>
          </w:tcPr>
          <w:p>
            <w:pPr>
              <w:spacing w:after="20"/>
            </w:pPr>
            <w:r/>
            <w:r>
              <w:rPr>
                <w:b w:val="0"/>
                <w:i w:val="0"/>
                <w:sz w:val="17"/>
              </w:rPr>
              <w:t>§ 6.2(d)–(e).</w:t>
            </w:r>
          </w:p>
        </w:tc>
        <w:tc>
          <w:tcPr>
            <w:tcW w:type="dxa" w:w="3888"/>
          </w:tcPr>
          <w:p>
            <w:pPr>
              <w:spacing w:after="20"/>
            </w:pPr>
            <w:r/>
            <w:r>
              <w:rPr>
                <w:b w:val="0"/>
                <w:i w:val="0"/>
                <w:sz w:val="17"/>
              </w:rPr>
              <w:t>Confirms that non-PHI Personal Data, non-database stores and backups are not necessarily encrypted (Req. 5.2).</w:t>
            </w:r>
          </w:p>
        </w:tc>
      </w:tr>
      <w:tr>
        <w:tc>
          <w:tcPr>
            <w:tcW w:type="dxa" w:w="3312"/>
          </w:tcPr>
          <w:p>
            <w:pPr>
              <w:spacing w:after="20"/>
            </w:pPr>
            <w:r/>
            <w:r>
              <w:rPr>
                <w:b w:val="0"/>
                <w:i w:val="0"/>
                <w:sz w:val="17"/>
              </w:rPr>
              <w:t>Insurance amounts “detailed in § 13.”</w:t>
            </w:r>
          </w:p>
        </w:tc>
        <w:tc>
          <w:tcPr>
            <w:tcW w:type="dxa" w:w="2448"/>
          </w:tcPr>
          <w:p>
            <w:pPr>
              <w:spacing w:after="20"/>
            </w:pPr>
            <w:r/>
            <w:r>
              <w:rPr>
                <w:b w:val="0"/>
                <w:i w:val="0"/>
                <w:sz w:val="17"/>
              </w:rPr>
              <w:t>$5M / $10M.</w:t>
            </w:r>
          </w:p>
        </w:tc>
        <w:tc>
          <w:tcPr>
            <w:tcW w:type="dxa" w:w="3888"/>
          </w:tcPr>
          <w:p>
            <w:pPr>
              <w:spacing w:after="20"/>
            </w:pPr>
            <w:r/>
            <w:r>
              <w:rPr>
                <w:b w:val="0"/>
                <w:i w:val="0"/>
                <w:sz w:val="17"/>
              </w:rPr>
              <w:t>Below the Playbook absolute minimum. Ask whether Cumulus can buy excess limits; this is often a premium question rather than an underwriting barrier.</w:t>
            </w:r>
          </w:p>
        </w:tc>
      </w:tr>
      <w:tr>
        <w:tc>
          <w:tcPr>
            <w:tcW w:type="dxa" w:w="3312"/>
          </w:tcPr>
          <w:p>
            <w:pPr>
              <w:spacing w:after="20"/>
            </w:pPr>
            <w:r/>
            <w:r>
              <w:rPr>
                <w:b w:val="0"/>
                <w:i w:val="0"/>
                <w:sz w:val="17"/>
              </w:rPr>
              <w:t>Cumulus processes data “primarily in the United States.”</w:t>
            </w:r>
          </w:p>
        </w:tc>
        <w:tc>
          <w:tcPr>
            <w:tcW w:type="dxa" w:w="2448"/>
          </w:tcPr>
          <w:p>
            <w:pPr>
              <w:spacing w:after="20"/>
            </w:pPr>
            <w:r/>
            <w:r>
              <w:rPr>
                <w:b w:val="0"/>
                <w:i w:val="0"/>
                <w:sz w:val="17"/>
              </w:rPr>
              <w:t>§ 8.1 “primarily … within the United States.”</w:t>
            </w:r>
          </w:p>
        </w:tc>
        <w:tc>
          <w:tcPr>
            <w:tcW w:type="dxa" w:w="3888"/>
          </w:tcPr>
          <w:p>
            <w:pPr>
              <w:spacing w:after="20"/>
            </w:pPr>
            <w:r/>
            <w:r>
              <w:rPr>
                <w:b w:val="0"/>
                <w:i w:val="0"/>
                <w:sz w:val="17"/>
              </w:rPr>
              <w:t>“Primarily” confirms that some processing happens outside the U.S. A U.S.-only commitment is required.</w:t>
            </w:r>
          </w:p>
        </w:tc>
      </w:tr>
      <w:tr>
        <w:tc>
          <w:tcPr>
            <w:tcW w:type="dxa" w:w="3312"/>
          </w:tcPr>
          <w:p>
            <w:pPr>
              <w:spacing w:after="20"/>
            </w:pPr>
            <w:r/>
            <w:r>
              <w:rPr>
                <w:b w:val="0"/>
                <w:i w:val="0"/>
                <w:sz w:val="17"/>
              </w:rPr>
              <w:t>Sub-processor dates added: Pinnacle 2021-03-15; Redline 2022-08-01; SwiftReach 2023-01-10.</w:t>
            </w:r>
          </w:p>
        </w:tc>
        <w:tc>
          <w:tcPr>
            <w:tcW w:type="dxa" w:w="2448"/>
          </w:tcPr>
          <w:p>
            <w:pPr>
              <w:spacing w:after="20"/>
            </w:pPr>
            <w:r/>
            <w:r>
              <w:rPr>
                <w:b w:val="0"/>
                <w:i w:val="0"/>
                <w:sz w:val="17"/>
              </w:rPr>
              <w:t>Exhibit A § A.2; § 5.1.</w:t>
            </w:r>
          </w:p>
        </w:tc>
        <w:tc>
          <w:tcPr>
            <w:tcW w:type="dxa" w:w="3888"/>
          </w:tcPr>
          <w:p>
            <w:pPr>
              <w:spacing w:after="20"/>
            </w:pPr>
            <w:r/>
            <w:r>
              <w:rPr>
                <w:b w:val="0"/>
                <w:i w:val="0"/>
                <w:sz w:val="17"/>
              </w:rPr>
              <w:t>All three already exist, so no new-engagement notice will issue for them. Bellweather’s approval at signing is its only control point. Confirm that each has a written BAA with Cumulus and give copies (redacted).</w:t>
            </w:r>
          </w:p>
        </w:tc>
      </w:tr>
    </w:tbl>
    <w:p>
      <w:pPr>
        <w:spacing w:after="40"/>
      </w:pPr>
    </w:p>
    <w:p>
      <w:pPr>
        <w:sectPr>
          <w:headerReference w:type="default" r:id="rId9"/>
          <w:footerReference w:type="default" r:id="rId10"/>
          <w:pgSz w:w="12240" w:h="15840"/>
          <w:pgMar w:top="1152" w:right="1296" w:bottom="1152" w:left="1296" w:header="720" w:footer="720" w:gutter="0"/>
          <w:cols w:space="720"/>
          <w:docGrid w:linePitch="360"/>
        </w:sectPr>
      </w:pPr>
    </w:p>
    <w:p>
      <w:pPr>
        <w:pStyle w:val="Heading1"/>
      </w:pPr>
      <w:r>
        <w:t>5. Deviation Register and Negotiation Positions</w:t>
      </w:r>
    </w:p>
    <w:p>
      <w:pPr>
        <w:spacing w:after="120"/>
      </w:pPr>
      <w:r>
        <w:rPr>
          <w:b w:val="0"/>
          <w:i w:val="0"/>
          <w:sz w:val="18"/>
        </w:rPr>
        <w:t>Default tier and effective tier are shown as “T2→T1” where the high-volume/high-value elevation applies; all HIPAA items are Tier 1. Severity totals: Critical 18; High 15; Medium 9; Low 4. The “Ask” is the opening position (Playbook mandatory or preferred); the “Fallback” is the Playbook’s minimum acceptable position (it still requires CPO and GC approval); the “Walk-away” is the point below which the Playbook prohibits acceptance.</w:t>
      </w:r>
    </w:p>
    <w:tbl>
      <w:tblPr>
        <w:tblStyle w:val="TableGrid"/>
        <w:tblW w:type="auto" w:w="0"/>
        <w:jc w:val="center"/>
        <w:tblLayout w:type="fixed"/>
        <w:tblLook w:firstColumn="1" w:firstRow="1" w:lastColumn="0" w:lastRow="0" w:noHBand="0" w:noVBand="1" w:val="04A0"/>
      </w:tblPr>
      <w:tblGrid>
        <w:gridCol w:w="648"/>
        <w:gridCol w:w="1512"/>
        <w:gridCol w:w="2951"/>
        <w:gridCol w:w="3960"/>
        <w:gridCol w:w="1007"/>
        <w:gridCol w:w="3744"/>
      </w:tblGrid>
      <w:tr>
        <w:trPr>
          <w:tblHeader w:val="true"/>
        </w:trPr>
        <w:tc>
          <w:tcPr>
            <w:tcW w:type="dxa" w:w="648"/>
            <w:shd w:val="clear" w:color="auto" w:fill="1F3864"/>
          </w:tcPr>
          <w:p>
            <w:r/>
            <w:r>
              <w:rPr>
                <w:b/>
                <w:color w:val="FFFFFF"/>
                <w:sz w:val="15"/>
              </w:rPr>
              <w:t>ID</w:t>
            </w:r>
          </w:p>
        </w:tc>
        <w:tc>
          <w:tcPr>
            <w:tcW w:type="dxa" w:w="1512"/>
            <w:shd w:val="clear" w:color="auto" w:fill="1F3864"/>
          </w:tcPr>
          <w:p>
            <w:r/>
            <w:r>
              <w:rPr>
                <w:b/>
                <w:color w:val="FFFFFF"/>
                <w:sz w:val="15"/>
              </w:rPr>
              <w:t>Domain / Requirement</w:t>
            </w:r>
          </w:p>
        </w:tc>
        <w:tc>
          <w:tcPr>
            <w:tcW w:type="dxa" w:w="2952"/>
            <w:shd w:val="clear" w:color="auto" w:fill="1F3864"/>
          </w:tcPr>
          <w:p>
            <w:r/>
            <w:r>
              <w:rPr>
                <w:b/>
                <w:color w:val="FFFFFF"/>
                <w:sz w:val="15"/>
              </w:rPr>
              <w:t>Cumulus DPA provision</w:t>
            </w:r>
          </w:p>
        </w:tc>
        <w:tc>
          <w:tcPr>
            <w:tcW w:type="dxa" w:w="3960"/>
            <w:shd w:val="clear" w:color="auto" w:fill="1F3864"/>
          </w:tcPr>
          <w:p>
            <w:r/>
            <w:r>
              <w:rPr>
                <w:b/>
                <w:color w:val="FFFFFF"/>
                <w:sz w:val="15"/>
              </w:rPr>
              <w:t>Deviation and risk</w:t>
            </w:r>
          </w:p>
        </w:tc>
        <w:tc>
          <w:tcPr>
            <w:tcW w:type="dxa" w:w="1008"/>
            <w:shd w:val="clear" w:color="auto" w:fill="1F3864"/>
          </w:tcPr>
          <w:p>
            <w:r/>
            <w:r>
              <w:rPr>
                <w:b/>
                <w:color w:val="FFFFFF"/>
                <w:sz w:val="15"/>
              </w:rPr>
              <w:t>Severity</w:t>
            </w:r>
          </w:p>
        </w:tc>
        <w:tc>
          <w:tcPr>
            <w:tcW w:type="dxa" w:w="3744"/>
            <w:shd w:val="clear" w:color="auto" w:fill="1F3864"/>
          </w:tcPr>
          <w:p>
            <w:r/>
            <w:r>
              <w:rPr>
                <w:b/>
                <w:color w:val="FFFFFF"/>
                <w:sz w:val="15"/>
              </w:rPr>
              <w:t>Negotiation position</w:t>
            </w:r>
          </w:p>
        </w:tc>
      </w:tr>
      <w:tr>
        <w:tc>
          <w:tcPr>
            <w:tcW w:type="dxa" w:w="648"/>
          </w:tcPr>
          <w:p>
            <w:pPr>
              <w:spacing w:after="20"/>
            </w:pPr>
            <w:r/>
            <w:r>
              <w:rPr>
                <w:b w:val="0"/>
                <w:i w:val="0"/>
                <w:sz w:val="15"/>
              </w:rPr>
              <w:t>D-01</w:t>
            </w:r>
          </w:p>
        </w:tc>
        <w:tc>
          <w:tcPr>
            <w:tcW w:type="dxa" w:w="1512"/>
          </w:tcPr>
          <w:p>
            <w:pPr>
              <w:spacing w:after="20"/>
            </w:pPr>
            <w:r/>
            <w:r>
              <w:rPr>
                <w:b/>
                <w:i w:val="0"/>
                <w:sz w:val="15"/>
              </w:rPr>
              <w:t>1 Definitions</w:t>
            </w:r>
          </w:p>
          <w:p>
            <w:pPr>
              <w:spacing w:after="20"/>
            </w:pPr>
            <w:r>
              <w:rPr>
                <w:b w:val="0"/>
                <w:i w:val="0"/>
                <w:sz w:val="15"/>
              </w:rPr>
              <w:t>Req. 1.2 (T1); BAA-01</w:t>
            </w:r>
          </w:p>
        </w:tc>
        <w:tc>
          <w:tcPr>
            <w:tcW w:type="dxa" w:w="2952"/>
          </w:tcPr>
          <w:p>
            <w:pPr>
              <w:spacing w:after="20"/>
            </w:pPr>
            <w:r/>
            <w:r>
              <w:rPr>
                <w:b w:val="0"/>
                <w:i w:val="0"/>
                <w:sz w:val="15"/>
              </w:rPr>
              <w:t xml:space="preserve">§ 1.12: Security Incident = “any </w:t>
            </w:r>
            <w:r>
              <w:rPr>
                <w:b/>
                <w:i w:val="0"/>
                <w:sz w:val="15"/>
              </w:rPr>
              <w:t>confirmed</w:t>
            </w:r>
            <w:r>
              <w:rPr>
                <w:b w:val="0"/>
                <w:i w:val="0"/>
                <w:sz w:val="15"/>
              </w:rPr>
              <w:t>, unauthorized access to, or acquisition of, Customer Data that compromises …”; expressly excludes unsuccessful access attempts, pings, port scans, DoS and “routine security testing.”</w:t>
            </w:r>
          </w:p>
        </w:tc>
        <w:tc>
          <w:tcPr>
            <w:tcW w:type="dxa" w:w="3960"/>
          </w:tcPr>
          <w:p>
            <w:pPr>
              <w:spacing w:after="20"/>
            </w:pPr>
            <w:r/>
            <w:r>
              <w:rPr>
                <w:b w:val="0"/>
                <w:i w:val="0"/>
                <w:sz w:val="15"/>
              </w:rPr>
              <w:t xml:space="preserve">Fails both Tier 1 elements: (i) “confirmed” only, no “suspected”; (ii) categorical exclusion of unsuccessful/attempted access. Omits “use” and “disclosure.” Narrower than 45 CFR § 164.304 (which includes </w:t>
            </w:r>
            <w:r>
              <w:rPr>
                <w:b/>
                <w:i w:val="0"/>
                <w:sz w:val="15"/>
              </w:rPr>
              <w:t>attempted</w:t>
            </w:r>
            <w:r>
              <w:rPr>
                <w:b w:val="0"/>
                <w:i w:val="0"/>
                <w:sz w:val="15"/>
              </w:rPr>
              <w:t xml:space="preserve"> unauthorized access), so the BAA also fails the Security Rule reporting duty (§ 164.314(a)(2)(i)(C)). Because § 7 and BAA § B.4.1 key off this definition, the defect cascades into breach notification.</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Playbook mandatory language plus preferred system-compromise limb (ransomware, unauthorized configuration changes).</w:t>
            </w:r>
          </w:p>
          <w:p>
            <w:pPr>
              <w:spacing w:after="20"/>
            </w:pPr>
            <w:r>
              <w:rPr>
                <w:b/>
                <w:i w:val="0"/>
                <w:sz w:val="15"/>
              </w:rPr>
              <w:t>Fallback / trade:</w:t>
            </w:r>
            <w:r>
              <w:rPr>
                <w:b w:val="0"/>
                <w:i w:val="0"/>
                <w:sz w:val="15"/>
              </w:rPr>
              <w:t xml:space="preserve"> unsuccessful pings, port scans and blocked attacks need not be notified individually, but must be logged, retained and reported in aggregate on request (the Playbook itself permits this). “Confirmed or suspected” is not tradeable.</w:t>
            </w:r>
          </w:p>
          <w:p>
            <w:pPr>
              <w:spacing w:after="20"/>
            </w:pPr>
            <w:r>
              <w:rPr>
                <w:b/>
                <w:i w:val="0"/>
                <w:sz w:val="15"/>
              </w:rPr>
              <w:t>Walk-away:</w:t>
            </w:r>
            <w:r>
              <w:rPr>
                <w:b w:val="0"/>
                <w:i w:val="0"/>
                <w:sz w:val="15"/>
              </w:rPr>
              <w:t xml:space="preserve"> any “confirmed-only” definition.</w:t>
            </w:r>
          </w:p>
        </w:tc>
      </w:tr>
      <w:tr>
        <w:tc>
          <w:tcPr>
            <w:tcW w:type="dxa" w:w="648"/>
          </w:tcPr>
          <w:p>
            <w:pPr>
              <w:spacing w:after="20"/>
            </w:pPr>
            <w:r/>
            <w:r>
              <w:rPr>
                <w:b w:val="0"/>
                <w:i w:val="0"/>
                <w:sz w:val="15"/>
              </w:rPr>
              <w:t>D-02</w:t>
            </w:r>
          </w:p>
        </w:tc>
        <w:tc>
          <w:tcPr>
            <w:tcW w:type="dxa" w:w="1512"/>
          </w:tcPr>
          <w:p>
            <w:pPr>
              <w:spacing w:after="20"/>
            </w:pPr>
            <w:r/>
            <w:r>
              <w:rPr>
                <w:b/>
                <w:i w:val="0"/>
                <w:sz w:val="15"/>
              </w:rPr>
              <w:t>1 Definitions</w:t>
            </w:r>
          </w:p>
          <w:p>
            <w:pPr>
              <w:spacing w:after="20"/>
            </w:pPr>
            <w:r>
              <w:rPr>
                <w:b w:val="0"/>
                <w:i w:val="0"/>
                <w:sz w:val="15"/>
              </w:rPr>
              <w:t>Req. 1.1 (T1); Req. 1.3 (T2→T1)</w:t>
            </w:r>
          </w:p>
        </w:tc>
        <w:tc>
          <w:tcPr>
            <w:tcW w:type="dxa" w:w="2952"/>
          </w:tcPr>
          <w:p>
            <w:pPr>
              <w:spacing w:after="20"/>
            </w:pPr>
            <w:r/>
            <w:r>
              <w:rPr>
                <w:b w:val="0"/>
                <w:i w:val="0"/>
                <w:sz w:val="15"/>
              </w:rPr>
              <w:t>§ 1 defines Customer Data, Personal Data, PHI, Processor, Controller, Sub-processor, Data Subject, Security Incident, Applicable Data Protection Law, De-Identified Data. No definition of Documented Instructions or Derived Data. § 1.5 says De-Identified Data “is not Customer Data.”</w:t>
            </w:r>
          </w:p>
        </w:tc>
        <w:tc>
          <w:tcPr>
            <w:tcW w:type="dxa" w:w="3960"/>
          </w:tcPr>
          <w:p>
            <w:pPr>
              <w:spacing w:after="20"/>
            </w:pPr>
            <w:r/>
            <w:r>
              <w:rPr>
                <w:b w:val="0"/>
                <w:i w:val="0"/>
                <w:sz w:val="15"/>
              </w:rPr>
              <w:t>Two required terms are missing (Documented Instructions; Derived Data). “Derived Data” appears as a data category in Exhibit A but is not defined or protected. § 1.8 ties Personal Data to “as defined under Applicable Data Protection Law,” which is circular and can narrow coverage; the Playbook definition expressly includes device IDs, IP, browser fingerprints, session timestamps, geolocation. § 1.14 does not expressly include Processor affiliates/subsidiaries. § 1.1 omits CMIA and named state laws. § 1.5 removes de-identified data from all DPA protection (see D-31, D-40).</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add Playbook § 2 definitions of Documented Instructions and Derived Data (Derived Data = Personal Data unless irreversibly de-identified by a Controller-approved method); replace § 1.8 with the Playbook enumerated definition; add “including affiliates and subsidiaries of Processor” to § 1.14; add CMIA, CCPA/CPRA, VCDPA, CPA, CTDPA and state breach laws to § 1.1; delete the second sentence of § 1.5.</w:t>
            </w:r>
          </w:p>
          <w:p>
            <w:pPr>
              <w:spacing w:after="20"/>
            </w:pPr>
            <w:r>
              <w:rPr>
                <w:b/>
                <w:i w:val="0"/>
                <w:sz w:val="15"/>
              </w:rPr>
              <w:t>Fallback:</w:t>
            </w:r>
            <w:r>
              <w:rPr>
                <w:b w:val="0"/>
                <w:i w:val="0"/>
                <w:sz w:val="15"/>
              </w:rPr>
              <w:t xml:space="preserve"> none needed; these are drafting conformity points that cost Cumulus little.</w:t>
            </w:r>
          </w:p>
        </w:tc>
      </w:tr>
      <w:tr>
        <w:tc>
          <w:tcPr>
            <w:tcW w:type="dxa" w:w="648"/>
          </w:tcPr>
          <w:p>
            <w:pPr>
              <w:spacing w:after="20"/>
            </w:pPr>
            <w:r/>
            <w:r>
              <w:rPr>
                <w:b w:val="0"/>
                <w:i w:val="0"/>
                <w:sz w:val="15"/>
              </w:rPr>
              <w:t>D-03</w:t>
            </w:r>
          </w:p>
        </w:tc>
        <w:tc>
          <w:tcPr>
            <w:tcW w:type="dxa" w:w="1512"/>
          </w:tcPr>
          <w:p>
            <w:pPr>
              <w:spacing w:after="20"/>
            </w:pPr>
            <w:r/>
            <w:r>
              <w:rPr>
                <w:b/>
                <w:i w:val="0"/>
                <w:sz w:val="15"/>
              </w:rPr>
              <w:t>2 Scope</w:t>
            </w:r>
          </w:p>
          <w:p>
            <w:pPr>
              <w:spacing w:after="20"/>
            </w:pPr>
            <w:r>
              <w:rPr>
                <w:b w:val="0"/>
                <w:i w:val="0"/>
                <w:sz w:val="15"/>
              </w:rPr>
              <w:t>Req. 2.1, 2.2 (T1); Req. 2.3 (T2→T1)</w:t>
            </w:r>
          </w:p>
        </w:tc>
        <w:tc>
          <w:tcPr>
            <w:tcW w:type="dxa" w:w="2952"/>
          </w:tcPr>
          <w:p>
            <w:pPr>
              <w:spacing w:after="20"/>
            </w:pPr>
            <w:r/>
            <w:r>
              <w:rPr>
                <w:b w:val="0"/>
                <w:i w:val="0"/>
                <w:sz w:val="15"/>
              </w:rPr>
              <w:t>Exhibit A § A.1 lists data categories, data subjects and activities; “The approximate number of Data Subjects is as specified in the MSA or the applicable order form”; activities include “related analytics and reporting functionality.”</w:t>
            </w:r>
          </w:p>
        </w:tc>
        <w:tc>
          <w:tcPr>
            <w:tcW w:type="dxa" w:w="3960"/>
          </w:tcPr>
          <w:p>
            <w:pPr>
              <w:spacing w:after="20"/>
            </w:pPr>
            <w:r/>
            <w:r>
              <w:rPr>
                <w:b w:val="0"/>
                <w:i w:val="0"/>
                <w:sz w:val="15"/>
              </w:rPr>
              <w:t>Largely good: the data categories track Playbook Req. 2.2(a) almost item for item. Gaps: (i) no volume of data subjects or transactions (Req. 2.2(d)); (ii) open-ended “related analytics and reporting functionality”; hosting/storage and technical-support access are not listed; (iii) no mapping of PHI vs. non-PHI to each activity (Req. 2.3); (iv) insurance member IDs, emails, phone numbers and home addresses are listed as non-PHI “PI.” When held on behalf of a covered entity alongside health information, these are PHI identifiers (45 CFR § 164.514(b)(2)(i)). Calling them “PI” risks taking them out of the BAA (DPA § 2.3 applies Exhibit B only “to the extent Customer Data includes PHI”). Derived Data (satisfaction scores, engagement metrics) built from PHI is also PHI.</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add volume (approx. 1.4 million patient-users; monthly transaction estimate from Bellweather operations); add a PHI/non-PHI matrix by activity; reclassify identifiers held with clinical data as PHI; replace “related analytics” with a closed list of Bellweather-facing reporting; list hosting/storage, SMS/voice delivery and support access.</w:t>
            </w:r>
          </w:p>
          <w:p>
            <w:pPr>
              <w:spacing w:after="20"/>
            </w:pPr>
            <w:r>
              <w:rPr>
                <w:b/>
                <w:i w:val="0"/>
                <w:sz w:val="15"/>
              </w:rPr>
              <w:t>Fallback:</w:t>
            </w:r>
            <w:r>
              <w:rPr>
                <w:b w:val="0"/>
                <w:i w:val="0"/>
                <w:sz w:val="15"/>
              </w:rPr>
              <w:t xml:space="preserve"> volume may be stated as a range, with a duty to notify material changes.</w:t>
            </w:r>
          </w:p>
        </w:tc>
      </w:tr>
      <w:tr>
        <w:tc>
          <w:tcPr>
            <w:tcW w:type="dxa" w:w="648"/>
          </w:tcPr>
          <w:p>
            <w:pPr>
              <w:spacing w:after="20"/>
            </w:pPr>
            <w:r/>
            <w:r>
              <w:rPr>
                <w:b w:val="0"/>
                <w:i w:val="0"/>
                <w:sz w:val="15"/>
              </w:rPr>
              <w:t>D-04</w:t>
            </w:r>
          </w:p>
        </w:tc>
        <w:tc>
          <w:tcPr>
            <w:tcW w:type="dxa" w:w="1512"/>
          </w:tcPr>
          <w:p>
            <w:pPr>
              <w:spacing w:after="20"/>
            </w:pPr>
            <w:r/>
            <w:r>
              <w:rPr>
                <w:b/>
                <w:i w:val="0"/>
                <w:sz w:val="15"/>
              </w:rPr>
              <w:t>3 Instructions</w:t>
            </w:r>
          </w:p>
          <w:p>
            <w:pPr>
              <w:spacing w:after="20"/>
            </w:pPr>
            <w:r>
              <w:rPr>
                <w:b w:val="0"/>
                <w:i w:val="0"/>
                <w:sz w:val="15"/>
              </w:rPr>
              <w:t>Req. 3.1 (T1)</w:t>
            </w:r>
          </w:p>
        </w:tc>
        <w:tc>
          <w:tcPr>
            <w:tcW w:type="dxa" w:w="2952"/>
          </w:tcPr>
          <w:p>
            <w:pPr>
              <w:spacing w:after="20"/>
            </w:pPr>
            <w:r/>
            <w:r>
              <w:rPr>
                <w:b w:val="0"/>
                <w:i w:val="0"/>
                <w:sz w:val="15"/>
              </w:rPr>
              <w:t xml:space="preserve">§ 3.1: the Agreement “sets forth the </w:t>
            </w:r>
            <w:r>
              <w:rPr>
                <w:b/>
                <w:i w:val="0"/>
                <w:sz w:val="15"/>
              </w:rPr>
              <w:t>complete and exclusive instructions</w:t>
            </w:r>
            <w:r>
              <w:rPr>
                <w:b w:val="0"/>
                <w:i w:val="0"/>
                <w:sz w:val="15"/>
              </w:rPr>
              <w:t xml:space="preserve"> of Controller”; § 15.4: no amendment except by a written instrument executed by both parties.</w:t>
            </w:r>
          </w:p>
        </w:tc>
        <w:tc>
          <w:tcPr>
            <w:tcW w:type="dxa" w:w="3960"/>
          </w:tcPr>
          <w:p>
            <w:pPr>
              <w:spacing w:after="20"/>
            </w:pPr>
            <w:r/>
            <w:r>
              <w:rPr>
                <w:b w:val="0"/>
                <w:i w:val="0"/>
                <w:sz w:val="15"/>
              </w:rPr>
              <w:t>Directly contrary to Req. 3.1: there is no way to issue supplemental instructions during the term. Read with § 15.4, any new instruction (e.g., a regulatory change, a security threat, a data-hold) would need a signed amendment. There is also no duty to tell Bellweather if an instruction appears to infringe law.</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Playbook mandatory language (instructions may be given in the DPA, its exhibits, or in writing during the term, including by email from an authorized contact; Processor must promptly flag instructions it believes infringe law); carve supplemental instructions out of § 15.4.</w:t>
            </w:r>
          </w:p>
          <w:p>
            <w:pPr>
              <w:spacing w:after="20"/>
            </w:pPr>
            <w:r>
              <w:rPr>
                <w:b/>
                <w:i w:val="0"/>
                <w:sz w:val="15"/>
              </w:rPr>
              <w:t>Fallback:</w:t>
            </w:r>
            <w:r>
              <w:rPr>
                <w:b w:val="0"/>
                <w:i w:val="0"/>
                <w:sz w:val="15"/>
              </w:rPr>
              <w:t xml:space="preserve"> none on the mechanism itself. Cumulus may ask for a commercially reasonable cost-recovery process for instructions that materially expand scope. That is acceptable if it does not delay compliance.</w:t>
            </w:r>
          </w:p>
        </w:tc>
      </w:tr>
      <w:tr>
        <w:tc>
          <w:tcPr>
            <w:tcW w:type="dxa" w:w="648"/>
          </w:tcPr>
          <w:p>
            <w:pPr>
              <w:spacing w:after="20"/>
            </w:pPr>
            <w:r/>
            <w:r>
              <w:rPr>
                <w:b w:val="0"/>
                <w:i w:val="0"/>
                <w:sz w:val="15"/>
              </w:rPr>
              <w:t>D-05</w:t>
            </w:r>
          </w:p>
        </w:tc>
        <w:tc>
          <w:tcPr>
            <w:tcW w:type="dxa" w:w="1512"/>
          </w:tcPr>
          <w:p>
            <w:pPr>
              <w:spacing w:after="20"/>
            </w:pPr>
            <w:r/>
            <w:r>
              <w:rPr>
                <w:b/>
                <w:i w:val="0"/>
                <w:sz w:val="15"/>
              </w:rPr>
              <w:t>3 Instructions</w:t>
            </w:r>
          </w:p>
          <w:p>
            <w:pPr>
              <w:spacing w:after="20"/>
            </w:pPr>
            <w:r>
              <w:rPr>
                <w:b w:val="0"/>
                <w:i w:val="0"/>
                <w:sz w:val="15"/>
              </w:rPr>
              <w:t>Req. 3.2 (T1); Req. 3.3 (T2→T1)</w:t>
            </w:r>
          </w:p>
        </w:tc>
        <w:tc>
          <w:tcPr>
            <w:tcW w:type="dxa" w:w="2952"/>
          </w:tcPr>
          <w:p>
            <w:pPr>
              <w:spacing w:after="20"/>
            </w:pPr>
            <w:r/>
            <w:r>
              <w:rPr>
                <w:b w:val="0"/>
                <w:i w:val="0"/>
                <w:sz w:val="15"/>
              </w:rPr>
              <w:t>No authorized contacts. No instruction log or acknowledgment. § 15.6: email notice effective only on “confirmed receipt” and only if followed by courier or certified mail within two business days.</w:t>
            </w:r>
          </w:p>
        </w:tc>
        <w:tc>
          <w:tcPr>
            <w:tcW w:type="dxa" w:w="3960"/>
          </w:tcPr>
          <w:p>
            <w:pPr>
              <w:spacing w:after="20"/>
            </w:pPr>
            <w:r/>
            <w:r>
              <w:rPr>
                <w:b w:val="0"/>
                <w:i w:val="0"/>
                <w:sz w:val="15"/>
              </w:rPr>
              <w:t>No named authorized contacts (CPO Derek Langford; GC Priya Ramasubramanian). No instruction log or 2-business-day acknowledgment. The § 15.6 notice mechanics fall below the Req. 3.3 fallback (email with deemed receipt within one business day).</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name the CPO and GC as authorized contacts, with a right to add others by notice; Processor to log instructions and acknowledge within 2 business days (confirm compliance within 5); email from an authorized contact is a valid instruction.</w:t>
            </w:r>
          </w:p>
          <w:p>
            <w:pPr>
              <w:spacing w:after="20"/>
            </w:pPr>
            <w:r>
              <w:rPr>
                <w:b/>
                <w:i w:val="0"/>
                <w:sz w:val="15"/>
              </w:rPr>
              <w:t>Fallback:</w:t>
            </w:r>
            <w:r>
              <w:rPr>
                <w:b w:val="0"/>
                <w:i w:val="0"/>
                <w:sz w:val="15"/>
              </w:rPr>
              <w:t xml:space="preserve"> formal notice is acceptable if email counts and receipt is deemed one business day after sending, with no hard-copy follow-up.</w:t>
            </w:r>
          </w:p>
        </w:tc>
      </w:tr>
      <w:tr>
        <w:tc>
          <w:tcPr>
            <w:tcW w:type="dxa" w:w="648"/>
          </w:tcPr>
          <w:p>
            <w:pPr>
              <w:spacing w:after="20"/>
            </w:pPr>
            <w:r/>
            <w:r>
              <w:rPr>
                <w:b w:val="0"/>
                <w:i w:val="0"/>
                <w:sz w:val="15"/>
              </w:rPr>
              <w:t>D-06</w:t>
            </w:r>
          </w:p>
        </w:tc>
        <w:tc>
          <w:tcPr>
            <w:tcW w:type="dxa" w:w="1512"/>
          </w:tcPr>
          <w:p>
            <w:pPr>
              <w:spacing w:after="20"/>
            </w:pPr>
            <w:r/>
            <w:r>
              <w:rPr>
                <w:b/>
                <w:i w:val="0"/>
                <w:sz w:val="15"/>
              </w:rPr>
              <w:t>4 Sub-processors</w:t>
            </w:r>
          </w:p>
          <w:p>
            <w:pPr>
              <w:spacing w:after="20"/>
            </w:pPr>
            <w:r>
              <w:rPr>
                <w:b w:val="0"/>
                <w:i w:val="0"/>
                <w:sz w:val="15"/>
              </w:rPr>
              <w:t>Req. 4.1 (T1); Req. 8.3 (T1)</w:t>
            </w:r>
          </w:p>
        </w:tc>
        <w:tc>
          <w:tcPr>
            <w:tcW w:type="dxa" w:w="2952"/>
          </w:tcPr>
          <w:p>
            <w:pPr>
              <w:spacing w:after="20"/>
            </w:pPr>
            <w:r/>
            <w:r>
              <w:rPr>
                <w:b w:val="0"/>
                <w:i w:val="0"/>
                <w:sz w:val="15"/>
              </w:rPr>
              <w:t xml:space="preserve">§ 5.1 and Exhibit A § A.2: three sub-processors (Pinnacle – Dallas TX; Redline – Portland OR; SwiftReach – Atlanta GA). The xlsx extract matches. </w:t>
            </w:r>
            <w:r>
              <w:rPr>
                <w:b/>
                <w:i w:val="0"/>
                <w:sz w:val="15"/>
              </w:rPr>
              <w:t>Kessler email:</w:t>
            </w:r>
            <w:r>
              <w:rPr>
                <w:b w:val="0"/>
                <w:i w:val="0"/>
                <w:sz w:val="15"/>
              </w:rPr>
              <w:t xml:space="preserve"> Redline “leverages their </w:t>
            </w:r>
            <w:r>
              <w:rPr>
                <w:b/>
                <w:i w:val="0"/>
                <w:sz w:val="15"/>
              </w:rPr>
              <w:t>international infrastructure</w:t>
            </w:r>
            <w:r>
              <w:rPr>
                <w:b w:val="0"/>
                <w:i w:val="0"/>
                <w:sz w:val="15"/>
              </w:rPr>
              <w:t xml:space="preserve"> to support aggregated data processing and benchmarking across their customer base”; “analytics processing may involve our international infrastructure.”</w:t>
            </w:r>
          </w:p>
        </w:tc>
        <w:tc>
          <w:tcPr>
            <w:tcW w:type="dxa" w:w="3960"/>
          </w:tcPr>
          <w:p>
            <w:pPr>
              <w:spacing w:after="20"/>
            </w:pPr>
            <w:r/>
            <w:r>
              <w:rPr>
                <w:b w:val="0"/>
                <w:i w:val="0"/>
                <w:sz w:val="15"/>
              </w:rPr>
              <w:t xml:space="preserve">The list names legal entities and services, but it is not demonstrably complete or accurate. (i) The transmittal email contradicts the “Portland, OR, United States” location shown for Redline: non-U.S. processing is admitted but not disclosed by jurisdiction (Req. 8.3). (ii) § 1.14 covers sub-processors of sub-processors, yet no downstream entities (e.g., Redline’s international affiliates, SwiftReach’s carriers or aggregators) are listed. (iii) Redline is listed as a Sub-processor, which by definition means it Processes </w:t>
            </w:r>
            <w:r>
              <w:rPr>
                <w:b/>
                <w:i w:val="0"/>
                <w:sz w:val="15"/>
              </w:rPr>
              <w:t>Customer Data</w:t>
            </w:r>
            <w:r>
              <w:rPr>
                <w:b w:val="0"/>
                <w:i w:val="0"/>
                <w:sz w:val="15"/>
              </w:rPr>
              <w:t>; yet it is described as doing “de-identified analytics.” Either Redline receives identifiable PHI (so a downstream BAA and U.S.-only processing are needed), or it receives de-identified data for cross-customer benchmarking (so it falls outside the DPA, and BAA-16/BAA-20 commercial-use issues arise). (iv) Pinnacle’s DR/failover regions are not stated, and § 8.2 allows DR transfers abroad.</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before signing, a written certification of the complete sub-processor chain, with legal entity, affiliate, service, data categories (PHI or not) and every processing and access country for each entity. Redline must either (a) process Bellweather data only in the U.S., under a BAA, for Bellweather-facing services only, or (b) be removed from the Bellweather data flow.</w:t>
            </w:r>
          </w:p>
          <w:p>
            <w:pPr>
              <w:spacing w:after="20"/>
            </w:pPr>
            <w:r>
              <w:rPr>
                <w:b/>
                <w:i w:val="0"/>
                <w:sz w:val="15"/>
              </w:rPr>
              <w:t>Walk-away:</w:t>
            </w:r>
            <w:r>
              <w:rPr>
                <w:b w:val="0"/>
                <w:i w:val="0"/>
                <w:sz w:val="15"/>
              </w:rPr>
              <w:t xml:space="preserve"> any undisclosed non-U.S. processing or access.</w:t>
            </w:r>
          </w:p>
        </w:tc>
      </w:tr>
      <w:tr>
        <w:tc>
          <w:tcPr>
            <w:tcW w:type="dxa" w:w="648"/>
          </w:tcPr>
          <w:p>
            <w:pPr>
              <w:spacing w:after="20"/>
            </w:pPr>
            <w:r/>
            <w:r>
              <w:rPr>
                <w:b w:val="0"/>
                <w:i w:val="0"/>
                <w:sz w:val="15"/>
              </w:rPr>
              <w:t>D-07</w:t>
            </w:r>
          </w:p>
        </w:tc>
        <w:tc>
          <w:tcPr>
            <w:tcW w:type="dxa" w:w="1512"/>
          </w:tcPr>
          <w:p>
            <w:pPr>
              <w:spacing w:after="20"/>
            </w:pPr>
            <w:r/>
            <w:r>
              <w:rPr>
                <w:b/>
                <w:i w:val="0"/>
                <w:sz w:val="15"/>
              </w:rPr>
              <w:t>4 Sub-processors</w:t>
            </w:r>
          </w:p>
          <w:p>
            <w:pPr>
              <w:spacing w:after="20"/>
            </w:pPr>
            <w:r>
              <w:rPr>
                <w:b w:val="0"/>
                <w:i w:val="0"/>
                <w:sz w:val="15"/>
              </w:rPr>
              <w:t>Req. 4.2 (T1)</w:t>
            </w:r>
          </w:p>
        </w:tc>
        <w:tc>
          <w:tcPr>
            <w:tcW w:type="dxa" w:w="2952"/>
          </w:tcPr>
          <w:p>
            <w:pPr>
              <w:spacing w:after="20"/>
            </w:pPr>
            <w:r/>
            <w:r>
              <w:rPr>
                <w:b w:val="0"/>
                <w:i w:val="0"/>
                <w:sz w:val="15"/>
              </w:rPr>
              <w:t>§ 5.2: Processor updates the website list 15 calendar days before engagement; “It is Controller’s responsibility to monitor the Sub-processor List URL”; email notice optional.</w:t>
            </w:r>
          </w:p>
        </w:tc>
        <w:tc>
          <w:tcPr>
            <w:tcW w:type="dxa" w:w="3960"/>
          </w:tcPr>
          <w:p>
            <w:pPr>
              <w:spacing w:after="20"/>
            </w:pPr>
            <w:r/>
            <w:r>
              <w:rPr>
                <w:b w:val="0"/>
                <w:i w:val="0"/>
                <w:sz w:val="15"/>
              </w:rPr>
              <w:t>Fails on both notice period and method. 15 days is below the 21-day fallback, which the Playbook says is “never acceptable.” Posting on a website is expressly inadequate notice. The notice also lacks the required content (entity, services, location, protective measures).</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30 calendar days’ prior written notice by email to the CPO (and the privacy@ contact), with the required content.</w:t>
            </w:r>
          </w:p>
          <w:p>
            <w:pPr>
              <w:spacing w:after="20"/>
            </w:pPr>
            <w:r>
              <w:rPr>
                <w:b/>
                <w:i w:val="0"/>
                <w:sz w:val="15"/>
              </w:rPr>
              <w:t>Fallback:</w:t>
            </w:r>
            <w:r>
              <w:rPr>
                <w:b w:val="0"/>
                <w:i w:val="0"/>
                <w:sz w:val="15"/>
              </w:rPr>
              <w:t xml:space="preserve"> 21 days, direct email notice. The website may supplement but never replace notice.</w:t>
            </w:r>
          </w:p>
          <w:p>
            <w:pPr>
              <w:spacing w:after="20"/>
            </w:pPr>
            <w:r>
              <w:rPr>
                <w:b/>
                <w:i w:val="0"/>
                <w:sz w:val="15"/>
              </w:rPr>
              <w:t>Walk-away:</w:t>
            </w:r>
            <w:r>
              <w:rPr>
                <w:b w:val="0"/>
                <w:i w:val="0"/>
                <w:sz w:val="15"/>
              </w:rPr>
              <w:t xml:space="preserve"> less than 21 days, or website-only notice.</w:t>
            </w:r>
          </w:p>
        </w:tc>
      </w:tr>
      <w:tr>
        <w:tc>
          <w:tcPr>
            <w:tcW w:type="dxa" w:w="648"/>
          </w:tcPr>
          <w:p>
            <w:pPr>
              <w:spacing w:after="20"/>
            </w:pPr>
            <w:r/>
            <w:r>
              <w:rPr>
                <w:b w:val="0"/>
                <w:i w:val="0"/>
                <w:sz w:val="15"/>
              </w:rPr>
              <w:t>D-08</w:t>
            </w:r>
          </w:p>
        </w:tc>
        <w:tc>
          <w:tcPr>
            <w:tcW w:type="dxa" w:w="1512"/>
          </w:tcPr>
          <w:p>
            <w:pPr>
              <w:spacing w:after="20"/>
            </w:pPr>
            <w:r/>
            <w:r>
              <w:rPr>
                <w:b/>
                <w:i w:val="0"/>
                <w:sz w:val="15"/>
              </w:rPr>
              <w:t>4 Sub-processors</w:t>
            </w:r>
          </w:p>
          <w:p>
            <w:pPr>
              <w:spacing w:after="20"/>
            </w:pPr>
            <w:r>
              <w:rPr>
                <w:b w:val="0"/>
                <w:i w:val="0"/>
                <w:sz w:val="15"/>
              </w:rPr>
              <w:t>Req. 4.3 (T1); Req. 14.2 (T1)</w:t>
            </w:r>
          </w:p>
        </w:tc>
        <w:tc>
          <w:tcPr>
            <w:tcW w:type="dxa" w:w="2952"/>
          </w:tcPr>
          <w:p>
            <w:pPr>
              <w:spacing w:after="20"/>
            </w:pPr>
            <w:r/>
            <w:r>
              <w:rPr>
                <w:b w:val="0"/>
                <w:i w:val="0"/>
                <w:sz w:val="15"/>
              </w:rPr>
              <w:t>§ 5.3: objection within 10 days on “specific, reasonable grounds”; 30-day good-faith negotiation; then “Processor may proceed with the new Sub-processor engagement at its discretion.”</w:t>
            </w:r>
          </w:p>
        </w:tc>
        <w:tc>
          <w:tcPr>
            <w:tcW w:type="dxa" w:w="3960"/>
          </w:tcPr>
          <w:p>
            <w:pPr>
              <w:spacing w:after="20"/>
            </w:pPr>
            <w:r/>
            <w:r>
              <w:rPr>
                <w:b w:val="0"/>
                <w:i w:val="0"/>
                <w:sz w:val="15"/>
              </w:rPr>
              <w:t>This is the Playbook’s textbook non-compliant clause: Processor can override an unresolved objection, and Controller has no termination remedy. A 10-day objection window (counted from a website update Controller must monitor) makes the right illusory. Nothing bars use of the objected-to sub-processor during the resolution period.</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mandatory language. Objection allowed at any time within the notice period; no use of the objected-to sub-processor while the objection is being resolved; if unresolved within 30 days, Controller may terminate the DPA and affected services with no penalty or fee, plus transition cooperation.</w:t>
            </w:r>
          </w:p>
          <w:p>
            <w:pPr>
              <w:spacing w:after="20"/>
            </w:pPr>
            <w:r>
              <w:rPr>
                <w:b/>
                <w:i w:val="0"/>
                <w:sz w:val="15"/>
              </w:rPr>
              <w:t>Fallback (Playbook):</w:t>
            </w:r>
            <w:r>
              <w:rPr>
                <w:b w:val="0"/>
                <w:i w:val="0"/>
                <w:sz w:val="15"/>
              </w:rPr>
              <w:t xml:space="preserve"> if Cumulus insists on a right to proceed, Controller gets a no-penalty termination right with at least 60 days’ transition, and Bellweather data is not routed to the new sub-processor during transition.</w:t>
            </w:r>
          </w:p>
        </w:tc>
      </w:tr>
      <w:tr>
        <w:tc>
          <w:tcPr>
            <w:tcW w:type="dxa" w:w="648"/>
          </w:tcPr>
          <w:p>
            <w:pPr>
              <w:spacing w:after="20"/>
            </w:pPr>
            <w:r/>
            <w:r>
              <w:rPr>
                <w:b w:val="0"/>
                <w:i w:val="0"/>
                <w:sz w:val="15"/>
              </w:rPr>
              <w:t>D-09</w:t>
            </w:r>
          </w:p>
        </w:tc>
        <w:tc>
          <w:tcPr>
            <w:tcW w:type="dxa" w:w="1512"/>
          </w:tcPr>
          <w:p>
            <w:pPr>
              <w:spacing w:after="20"/>
            </w:pPr>
            <w:r/>
            <w:r>
              <w:rPr>
                <w:b/>
                <w:i w:val="0"/>
                <w:sz w:val="15"/>
              </w:rPr>
              <w:t>4 Sub-processors</w:t>
            </w:r>
          </w:p>
          <w:p>
            <w:pPr>
              <w:spacing w:after="20"/>
            </w:pPr>
            <w:r>
              <w:rPr>
                <w:b w:val="0"/>
                <w:i w:val="0"/>
                <w:sz w:val="15"/>
              </w:rPr>
              <w:t>Req. 4.4 (T1); BAA-07</w:t>
            </w:r>
          </w:p>
        </w:tc>
        <w:tc>
          <w:tcPr>
            <w:tcW w:type="dxa" w:w="2952"/>
          </w:tcPr>
          <w:p>
            <w:pPr>
              <w:spacing w:after="20"/>
            </w:pPr>
            <w:r/>
            <w:r>
              <w:rPr>
                <w:b w:val="0"/>
                <w:i w:val="0"/>
                <w:sz w:val="15"/>
              </w:rPr>
              <w:t>§ 5.4: obligations “</w:t>
            </w:r>
            <w:r>
              <w:rPr>
                <w:b/>
                <w:i w:val="0"/>
                <w:sz w:val="15"/>
              </w:rPr>
              <w:t>substantially similar</w:t>
            </w:r>
            <w:r>
              <w:rPr>
                <w:b w:val="0"/>
                <w:i w:val="0"/>
                <w:sz w:val="15"/>
              </w:rPr>
              <w:t xml:space="preserve"> to those set forth in this DPA, taking into account the nature of the Processing.” (BAA § B.3.3 requires “the same restrictions, conditions, and requirements” for PHI.)</w:t>
            </w:r>
          </w:p>
        </w:tc>
        <w:tc>
          <w:tcPr>
            <w:tcW w:type="dxa" w:w="3960"/>
          </w:tcPr>
          <w:p>
            <w:pPr>
              <w:spacing w:after="20"/>
            </w:pPr>
            <w:r/>
            <w:r>
              <w:rPr>
                <w:b w:val="0"/>
                <w:i w:val="0"/>
                <w:sz w:val="15"/>
              </w:rPr>
              <w:t>“Substantially similar” is the standard v4.1 expressly rejected. The PHI flow-down in § B.3.3 is closer to compliant, but non-PHI Personal Data (device data, geolocation, contact data) gets only the weaker standard. The “nature of the Processing” qualifier invites gaps.</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“equivalent” obligations by written agreement, no less protective than this DPA. For PHI, a written subcontractor BAA complying with 45 CFR §§ 164.504(e) and 164.314(a). Copies (commercial terms redacted) on request.</w:t>
            </w:r>
          </w:p>
          <w:p>
            <w:pPr>
              <w:spacing w:after="20"/>
            </w:pPr>
            <w:r>
              <w:rPr>
                <w:b/>
                <w:i w:val="0"/>
                <w:sz w:val="15"/>
              </w:rPr>
              <w:t>Fallback:</w:t>
            </w:r>
            <w:r>
              <w:rPr>
                <w:b w:val="0"/>
                <w:i w:val="0"/>
                <w:sz w:val="15"/>
              </w:rPr>
              <w:t xml:space="preserve"> none. Equivalence is required at Tier 1.</w:t>
            </w:r>
          </w:p>
        </w:tc>
      </w:tr>
      <w:tr>
        <w:tc>
          <w:tcPr>
            <w:tcW w:type="dxa" w:w="648"/>
          </w:tcPr>
          <w:p>
            <w:pPr>
              <w:spacing w:after="20"/>
            </w:pPr>
            <w:r/>
            <w:r>
              <w:rPr>
                <w:b w:val="0"/>
                <w:i w:val="0"/>
                <w:sz w:val="15"/>
              </w:rPr>
              <w:t>D-10</w:t>
            </w:r>
          </w:p>
        </w:tc>
        <w:tc>
          <w:tcPr>
            <w:tcW w:type="dxa" w:w="1512"/>
          </w:tcPr>
          <w:p>
            <w:pPr>
              <w:spacing w:after="20"/>
            </w:pPr>
            <w:r/>
            <w:r>
              <w:rPr>
                <w:b/>
                <w:i w:val="0"/>
                <w:sz w:val="15"/>
              </w:rPr>
              <w:t>4 Sub-processors</w:t>
            </w:r>
          </w:p>
          <w:p>
            <w:pPr>
              <w:spacing w:after="20"/>
            </w:pPr>
            <w:r>
              <w:rPr>
                <w:b w:val="0"/>
                <w:i w:val="0"/>
                <w:sz w:val="15"/>
              </w:rPr>
              <w:t>Req. 4.5 (T1); BAA-07</w:t>
            </w:r>
          </w:p>
        </w:tc>
        <w:tc>
          <w:tcPr>
            <w:tcW w:type="dxa" w:w="2952"/>
          </w:tcPr>
          <w:p>
            <w:pPr>
              <w:spacing w:after="20"/>
            </w:pPr>
            <w:r/>
            <w:r>
              <w:rPr>
                <w:b w:val="0"/>
                <w:i w:val="0"/>
                <w:sz w:val="15"/>
              </w:rPr>
              <w:t xml:space="preserve">§ 5.5: Processor’s liability for sub-processors “shall be </w:t>
            </w:r>
            <w:r>
              <w:rPr>
                <w:b/>
                <w:i w:val="0"/>
                <w:sz w:val="15"/>
              </w:rPr>
              <w:t>limited to commercially reasonable efforts to remediate</w:t>
            </w:r>
            <w:r>
              <w:rPr>
                <w:b w:val="0"/>
                <w:i w:val="0"/>
                <w:sz w:val="15"/>
              </w:rPr>
              <w:t>”; § 12.2 applies the DPA cap to Sub-processor claims.</w:t>
            </w:r>
          </w:p>
        </w:tc>
        <w:tc>
          <w:tcPr>
            <w:tcW w:type="dxa" w:w="3960"/>
          </w:tcPr>
          <w:p>
            <w:pPr>
              <w:spacing w:after="20"/>
            </w:pPr>
            <w:r/>
            <w:r>
              <w:rPr>
                <w:b w:val="0"/>
                <w:i w:val="0"/>
                <w:sz w:val="15"/>
              </w:rPr>
              <w:t>Contrary to the Playbook. This effectively disclaims liability for sub-processor-caused breaches; Redline and SwiftReach handle patient data at scale. It conflicts with § B.3.3 (“responsible for ensuring compliance”). Exhibit B prevails for PHI under §§ 2.3/15.7, but the conflict is a litigation risk, and non-PHI data is unprotected.</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mandatory language. Processor fully liable for sub-processor acts, errors and omissions as if its own, and such liability sits inside the uncapped/super-cap category (D-33).</w:t>
            </w:r>
          </w:p>
          <w:p>
            <w:pPr>
              <w:spacing w:after="20"/>
            </w:pPr>
            <w:r>
              <w:rPr>
                <w:b/>
                <w:i w:val="0"/>
                <w:sz w:val="15"/>
              </w:rPr>
              <w:t>Walk-away:</w:t>
            </w:r>
            <w:r>
              <w:rPr>
                <w:b w:val="0"/>
                <w:i w:val="0"/>
                <w:sz w:val="15"/>
              </w:rPr>
              <w:t xml:space="preserve"> any efforts-based standard.</w:t>
            </w:r>
          </w:p>
        </w:tc>
      </w:tr>
      <w:tr>
        <w:tc>
          <w:tcPr>
            <w:tcW w:type="dxa" w:w="648"/>
          </w:tcPr>
          <w:p>
            <w:pPr>
              <w:spacing w:after="20"/>
            </w:pPr>
            <w:r/>
            <w:r>
              <w:rPr>
                <w:b w:val="0"/>
                <w:i w:val="0"/>
                <w:sz w:val="15"/>
              </w:rPr>
              <w:t>D-11</w:t>
            </w:r>
          </w:p>
        </w:tc>
        <w:tc>
          <w:tcPr>
            <w:tcW w:type="dxa" w:w="1512"/>
          </w:tcPr>
          <w:p>
            <w:pPr>
              <w:spacing w:after="20"/>
            </w:pPr>
            <w:r/>
            <w:r>
              <w:rPr>
                <w:b/>
                <w:i w:val="0"/>
                <w:sz w:val="15"/>
              </w:rPr>
              <w:t>5 Security</w:t>
            </w:r>
          </w:p>
          <w:p>
            <w:pPr>
              <w:spacing w:after="20"/>
            </w:pPr>
            <w:r>
              <w:rPr>
                <w:b w:val="0"/>
                <w:i w:val="0"/>
                <w:sz w:val="15"/>
              </w:rPr>
              <w:t>Req. 5.1 (T1); Req. 9.6 (T2→T1)</w:t>
            </w:r>
          </w:p>
        </w:tc>
        <w:tc>
          <w:tcPr>
            <w:tcW w:type="dxa" w:w="2952"/>
          </w:tcPr>
          <w:p>
            <w:pPr>
              <w:spacing w:after="20"/>
            </w:pPr>
            <w:r/>
            <w:r>
              <w:rPr>
                <w:b w:val="0"/>
                <w:i w:val="0"/>
                <w:sz w:val="15"/>
              </w:rPr>
              <w:t xml:space="preserve">§ 6.2(a): Processor “maintains SOC 2 Type II certification”; latest report covers 1/1/2024–12/31/2024. § 9.1: SOC 2 report </w:t>
            </w:r>
            <w:r>
              <w:rPr>
                <w:b/>
                <w:i w:val="0"/>
                <w:sz w:val="15"/>
              </w:rPr>
              <w:t>or</w:t>
            </w:r>
            <w:r>
              <w:rPr>
                <w:b w:val="0"/>
                <w:i w:val="0"/>
                <w:sz w:val="15"/>
              </w:rPr>
              <w:t xml:space="preserve"> questionnaire, once per 12 months, “at Processor’s election,” within 30 days of request.</w:t>
            </w:r>
          </w:p>
        </w:tc>
        <w:tc>
          <w:tcPr>
            <w:tcW w:type="dxa" w:w="3960"/>
          </w:tcPr>
          <w:p>
            <w:pPr>
              <w:spacing w:after="20"/>
            </w:pPr>
            <w:r/>
            <w:r>
              <w:rPr>
                <w:b w:val="0"/>
                <w:i w:val="0"/>
                <w:sz w:val="15"/>
              </w:rPr>
              <w:t>Partially compliant. Gaps: (i) trust services criteria not specified (Security, Availability and Confidentiality required); (ii) no affirmative annual delivery, and no delivery within 30 days of auditor issuance; (iii) Processor may substitute a questionnaire for the report; (iv) no remediation plan for exceptions or qualified opinions. By the 8/1/2025 effective date the report period will be 7 months stale. SOC 2 is an attestation report, not a “certification”; the representation should be accurate.</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maintain a SOC 2 Type II covering at least Security, Availability and Confidentiality; deliver annually within 30 days of issuance or request (whichever is earlier), plus a bridge letter; remediation plan for any exceptions. Before signing: deliver the 2024 report under NDA (Kessler has offered this).</w:t>
            </w:r>
          </w:p>
          <w:p>
            <w:pPr>
              <w:spacing w:after="20"/>
            </w:pPr>
            <w:r>
              <w:rPr>
                <w:b/>
                <w:i w:val="0"/>
                <w:sz w:val="15"/>
              </w:rPr>
              <w:t>Fallback:</w:t>
            </w:r>
            <w:r>
              <w:rPr>
                <w:b w:val="0"/>
                <w:i w:val="0"/>
                <w:sz w:val="15"/>
              </w:rPr>
              <w:t xml:space="preserve"> none on the substance.</w:t>
            </w:r>
          </w:p>
        </w:tc>
      </w:tr>
      <w:tr>
        <w:tc>
          <w:tcPr>
            <w:tcW w:type="dxa" w:w="648"/>
          </w:tcPr>
          <w:p>
            <w:pPr>
              <w:spacing w:after="20"/>
            </w:pPr>
            <w:r/>
            <w:r>
              <w:rPr>
                <w:b w:val="0"/>
                <w:i w:val="0"/>
                <w:sz w:val="15"/>
              </w:rPr>
              <w:t>D-12</w:t>
            </w:r>
          </w:p>
        </w:tc>
        <w:tc>
          <w:tcPr>
            <w:tcW w:type="dxa" w:w="1512"/>
          </w:tcPr>
          <w:p>
            <w:pPr>
              <w:spacing w:after="20"/>
            </w:pPr>
            <w:r/>
            <w:r>
              <w:rPr>
                <w:b/>
                <w:i w:val="0"/>
                <w:sz w:val="15"/>
              </w:rPr>
              <w:t>5 Security</w:t>
            </w:r>
          </w:p>
          <w:p>
            <w:pPr>
              <w:spacing w:after="20"/>
            </w:pPr>
            <w:r>
              <w:rPr>
                <w:b w:val="0"/>
                <w:i w:val="0"/>
                <w:sz w:val="15"/>
              </w:rPr>
              <w:t>Req. 5.2 (T1); BAA-05</w:t>
            </w:r>
          </w:p>
        </w:tc>
        <w:tc>
          <w:tcPr>
            <w:tcW w:type="dxa" w:w="2952"/>
          </w:tcPr>
          <w:p>
            <w:pPr>
              <w:spacing w:after="20"/>
            </w:pPr>
            <w:r/>
            <w:r>
              <w:rPr>
                <w:b w:val="0"/>
                <w:i w:val="0"/>
                <w:sz w:val="15"/>
              </w:rPr>
              <w:t>§ 6.2(d): encryption at rest “applied to databases containing PHI,” using “industry-accepted encryption methodologies”; § 6.2(e): backups encrypted “where technically feasible.” The email confirms this: “encryption at rest for all databases containing PHI.”</w:t>
            </w:r>
          </w:p>
        </w:tc>
        <w:tc>
          <w:tcPr>
            <w:tcW w:type="dxa" w:w="3960"/>
          </w:tcPr>
          <w:p>
            <w:pPr>
              <w:spacing w:after="20"/>
            </w:pPr>
            <w:r/>
            <w:r>
              <w:rPr>
                <w:b w:val="0"/>
                <w:i w:val="0"/>
                <w:sz w:val="15"/>
              </w:rPr>
              <w:t>Fails every element of Req. 5.2. No named standard or key length (AES-256). Scope is limited to PHI databases, so non-PHI Personal Data, file/object stores, logs, non-production environments and removable media are not covered. Backup encryption is optional. Unencrypted backups or object stores holding PHI would also not count as “secured” PHI under HHS breach safe-harbor guidance, which raises breach-notification exposure.</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AES-256 (or a NIST-approved equivalent) for all Personal Data and PHI in every datastore and medium, including backups, archives, logs and non-production; FIPS 140-validated modules where available; documented key management.</w:t>
            </w:r>
          </w:p>
          <w:p>
            <w:pPr>
              <w:spacing w:after="20"/>
            </w:pPr>
            <w:r>
              <w:rPr>
                <w:b/>
                <w:i w:val="0"/>
                <w:sz w:val="15"/>
              </w:rPr>
              <w:t>Fallback:</w:t>
            </w:r>
            <w:r>
              <w:rPr>
                <w:b w:val="0"/>
                <w:i w:val="0"/>
                <w:sz w:val="15"/>
              </w:rPr>
              <w:t xml:space="preserve"> a short, dated remediation plan (e.g., 90 days) for any legacy store, with compensating controls, disclosed before signing.</w:t>
            </w:r>
          </w:p>
          <w:p>
            <w:pPr>
              <w:spacing w:after="20"/>
            </w:pPr>
            <w:r>
              <w:rPr>
                <w:b/>
                <w:i w:val="0"/>
                <w:sz w:val="15"/>
              </w:rPr>
              <w:t>Walk-away:</w:t>
            </w:r>
            <w:r>
              <w:rPr>
                <w:b w:val="0"/>
                <w:i w:val="0"/>
                <w:sz w:val="15"/>
              </w:rPr>
              <w:t xml:space="preserve"> “where technically feasible” on backups.</w:t>
            </w:r>
          </w:p>
        </w:tc>
      </w:tr>
      <w:tr>
        <w:tc>
          <w:tcPr>
            <w:tcW w:type="dxa" w:w="648"/>
          </w:tcPr>
          <w:p>
            <w:pPr>
              <w:spacing w:after="20"/>
            </w:pPr>
            <w:r/>
            <w:r>
              <w:rPr>
                <w:b w:val="0"/>
                <w:i w:val="0"/>
                <w:sz w:val="15"/>
              </w:rPr>
              <w:t>D-13</w:t>
            </w:r>
          </w:p>
        </w:tc>
        <w:tc>
          <w:tcPr>
            <w:tcW w:type="dxa" w:w="1512"/>
          </w:tcPr>
          <w:p>
            <w:pPr>
              <w:spacing w:after="20"/>
            </w:pPr>
            <w:r/>
            <w:r>
              <w:rPr>
                <w:b/>
                <w:i w:val="0"/>
                <w:sz w:val="15"/>
              </w:rPr>
              <w:t>5 Security</w:t>
            </w:r>
          </w:p>
          <w:p>
            <w:pPr>
              <w:spacing w:after="20"/>
            </w:pPr>
            <w:r>
              <w:rPr>
                <w:b w:val="0"/>
                <w:i w:val="0"/>
                <w:sz w:val="15"/>
              </w:rPr>
              <w:t>Req. 5.3 (T1)</w:t>
            </w:r>
          </w:p>
        </w:tc>
        <w:tc>
          <w:tcPr>
            <w:tcW w:type="dxa" w:w="2952"/>
          </w:tcPr>
          <w:p>
            <w:pPr>
              <w:spacing w:after="20"/>
            </w:pPr>
            <w:r/>
            <w:r>
              <w:rPr>
                <w:b w:val="0"/>
                <w:i w:val="0"/>
                <w:sz w:val="15"/>
              </w:rPr>
              <w:t>§ 6.2(c): TLS 1.2+ for Controller↔Processor and Processor↔Sub-processor transmissions.</w:t>
            </w:r>
          </w:p>
        </w:tc>
        <w:tc>
          <w:tcPr>
            <w:tcW w:type="dxa" w:w="3960"/>
          </w:tcPr>
          <w:p>
            <w:pPr>
              <w:spacing w:after="20"/>
            </w:pPr>
            <w:r/>
            <w:r>
              <w:rPr>
                <w:b w:val="0"/>
                <w:i w:val="0"/>
                <w:sz w:val="15"/>
              </w:rPr>
              <w:t>Substantially compliant. It does not cover transmissions inside Processor’s own networks, which Req. 5.3 requires.</w:t>
            </w:r>
          </w:p>
        </w:tc>
        <w:tc>
          <w:tcPr>
            <w:tcW w:type="dxa" w:w="1008"/>
          </w:tcPr>
          <w:p>
            <w:pPr>
              <w:spacing w:after="20"/>
            </w:pPr>
            <w:r>
              <w:rPr>
                <w:b/>
                <w:color w:val="548235"/>
              </w:rPr>
            </w:r>
            <w:r>
              <w:rPr>
                <w:b/>
                <w:i w:val="0"/>
                <w:color w:val="548235"/>
                <w:sz w:val="15"/>
              </w:rPr>
              <w:t>Low</w:t>
            </w:r>
          </w:p>
        </w:tc>
        <w:tc>
          <w:tcPr>
            <w:tcW w:type="dxa" w:w="3744"/>
          </w:tcPr>
          <w:p>
            <w:pPr>
              <w:spacing w:after="20"/>
            </w:pPr>
            <w:r/>
            <w:r>
              <w:rPr>
                <w:b/>
                <w:i w:val="0"/>
                <w:sz w:val="15"/>
              </w:rPr>
              <w:t>Ask:</w:t>
            </w:r>
            <w:r>
              <w:rPr>
                <w:b w:val="0"/>
                <w:i w:val="0"/>
                <w:sz w:val="15"/>
              </w:rPr>
              <w:t xml:space="preserve"> extend TLS 1.2+ (or equivalent) to all internal network transmissions of Personal Data or PHI. Expect easy agreement.</w:t>
            </w:r>
          </w:p>
        </w:tc>
      </w:tr>
      <w:tr>
        <w:tc>
          <w:tcPr>
            <w:tcW w:type="dxa" w:w="648"/>
          </w:tcPr>
          <w:p>
            <w:pPr>
              <w:spacing w:after="20"/>
            </w:pPr>
            <w:r/>
            <w:r>
              <w:rPr>
                <w:b w:val="0"/>
                <w:i w:val="0"/>
                <w:sz w:val="15"/>
              </w:rPr>
              <w:t>D-14</w:t>
            </w:r>
          </w:p>
        </w:tc>
        <w:tc>
          <w:tcPr>
            <w:tcW w:type="dxa" w:w="1512"/>
          </w:tcPr>
          <w:p>
            <w:pPr>
              <w:spacing w:after="20"/>
            </w:pPr>
            <w:r/>
            <w:r>
              <w:rPr>
                <w:b/>
                <w:i w:val="0"/>
                <w:sz w:val="15"/>
              </w:rPr>
              <w:t>5 Security</w:t>
            </w:r>
          </w:p>
          <w:p>
            <w:pPr>
              <w:spacing w:after="20"/>
            </w:pPr>
            <w:r>
              <w:rPr>
                <w:b w:val="0"/>
                <w:i w:val="0"/>
                <w:sz w:val="15"/>
              </w:rPr>
              <w:t>Req. 5.4 (T2→T1)</w:t>
            </w:r>
          </w:p>
        </w:tc>
        <w:tc>
          <w:tcPr>
            <w:tcW w:type="dxa" w:w="2952"/>
          </w:tcPr>
          <w:p>
            <w:pPr>
              <w:spacing w:after="20"/>
            </w:pPr>
            <w:r/>
            <w:r>
              <w:rPr>
                <w:b w:val="0"/>
                <w:i w:val="0"/>
                <w:sz w:val="15"/>
              </w:rPr>
              <w:t xml:space="preserve">§ 6.2(b): Processor “has obtained </w:t>
            </w:r>
            <w:r>
              <w:rPr>
                <w:b/>
                <w:i w:val="0"/>
                <w:sz w:val="15"/>
              </w:rPr>
              <w:t>or is in the process of obtaining</w:t>
            </w:r>
            <w:r>
              <w:rPr>
                <w:b w:val="0"/>
                <w:i w:val="0"/>
                <w:sz w:val="15"/>
              </w:rPr>
              <w:t>” HITRUST r2. Email: HITRUST r2 is “currently in its scheduled re-certification cycle … we expect the renewal to be completed shortly”; “re-certification is pending.”</w:t>
            </w:r>
          </w:p>
        </w:tc>
        <w:tc>
          <w:tcPr>
            <w:tcW w:type="dxa" w:w="3960"/>
          </w:tcPr>
          <w:p>
            <w:pPr>
              <w:spacing w:after="20"/>
            </w:pPr>
            <w:r/>
            <w:r>
              <w:rPr>
                <w:b w:val="0"/>
                <w:i w:val="0"/>
                <w:sz w:val="15"/>
              </w:rPr>
              <w:t>The DPA wording is ambiguous, and the email suggests the prior r2 certification may have expired or be about to. § 6.2 is framed as a representation of measures “currently in place,” which creates misrepresentation risk. Req. 5.4 requires disclosure of the lapsed or pending status before execution and a re-certification timeline of no more than 12 months.</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written disclosure of the prior certification dates, current status, assessor, and target date. Covenant to achieve r2 within 12 months of the effective date (sooner if possible) and keep it thereafter. Failure is a material breach giving a termination right.</w:t>
            </w:r>
          </w:p>
          <w:p>
            <w:pPr>
              <w:spacing w:after="20"/>
            </w:pPr>
            <w:r>
              <w:rPr>
                <w:b/>
                <w:i w:val="0"/>
                <w:sz w:val="15"/>
              </w:rPr>
              <w:t>Fallback:</w:t>
            </w:r>
            <w:r>
              <w:rPr>
                <w:b w:val="0"/>
                <w:i w:val="0"/>
                <w:sz w:val="15"/>
              </w:rPr>
              <w:t xml:space="preserve"> ISO 27001 with healthcare controls, or HITRUST i1, as an interim equivalent.</w:t>
            </w:r>
          </w:p>
        </w:tc>
      </w:tr>
      <w:tr>
        <w:tc>
          <w:tcPr>
            <w:tcW w:type="dxa" w:w="648"/>
          </w:tcPr>
          <w:p>
            <w:pPr>
              <w:spacing w:after="20"/>
            </w:pPr>
            <w:r/>
            <w:r>
              <w:rPr>
                <w:b w:val="0"/>
                <w:i w:val="0"/>
                <w:sz w:val="15"/>
              </w:rPr>
              <w:t>D-15</w:t>
            </w:r>
          </w:p>
        </w:tc>
        <w:tc>
          <w:tcPr>
            <w:tcW w:type="dxa" w:w="1512"/>
          </w:tcPr>
          <w:p>
            <w:pPr>
              <w:spacing w:after="20"/>
            </w:pPr>
            <w:r/>
            <w:r>
              <w:rPr>
                <w:b/>
                <w:i w:val="0"/>
                <w:sz w:val="15"/>
              </w:rPr>
              <w:t>5 Security</w:t>
            </w:r>
          </w:p>
          <w:p>
            <w:pPr>
              <w:spacing w:after="20"/>
            </w:pPr>
            <w:r>
              <w:rPr>
                <w:b w:val="0"/>
                <w:i w:val="0"/>
                <w:sz w:val="15"/>
              </w:rPr>
              <w:t>Req. 5.5 (T1)</w:t>
            </w:r>
          </w:p>
        </w:tc>
        <w:tc>
          <w:tcPr>
            <w:tcW w:type="dxa" w:w="2952"/>
          </w:tcPr>
          <w:p>
            <w:pPr>
              <w:spacing w:after="20"/>
            </w:pPr>
            <w:r/>
            <w:r>
              <w:rPr>
                <w:b w:val="0"/>
                <w:i w:val="0"/>
                <w:sz w:val="15"/>
              </w:rPr>
              <w:t>§ 6.2(f): formal incident response plan reviewed and tested at least annually.</w:t>
            </w:r>
          </w:p>
        </w:tc>
        <w:tc>
          <w:tcPr>
            <w:tcW w:type="dxa" w:w="3960"/>
          </w:tcPr>
          <w:p>
            <w:pPr>
              <w:spacing w:after="20"/>
            </w:pPr>
            <w:r/>
            <w:r>
              <w:rPr>
                <w:b w:val="0"/>
                <w:i w:val="0"/>
                <w:sz w:val="15"/>
              </w:rPr>
              <w:t>Compliant on the core requirement. Missing: a duty to provide evidence of annual testing (summary, findings, remediation) on request.</w:t>
            </w:r>
          </w:p>
        </w:tc>
        <w:tc>
          <w:tcPr>
            <w:tcW w:type="dxa" w:w="1008"/>
          </w:tcPr>
          <w:p>
            <w:pPr>
              <w:spacing w:after="20"/>
            </w:pPr>
            <w:r>
              <w:rPr>
                <w:b/>
                <w:color w:val="548235"/>
              </w:rPr>
            </w:r>
            <w:r>
              <w:rPr>
                <w:b/>
                <w:i w:val="0"/>
                <w:color w:val="548235"/>
                <w:sz w:val="15"/>
              </w:rPr>
              <w:t>Low</w:t>
            </w:r>
          </w:p>
        </w:tc>
        <w:tc>
          <w:tcPr>
            <w:tcW w:type="dxa" w:w="3744"/>
          </w:tcPr>
          <w:p>
            <w:pPr>
              <w:spacing w:after="20"/>
            </w:pPr>
            <w:r/>
            <w:r>
              <w:rPr>
                <w:b/>
                <w:i w:val="0"/>
                <w:sz w:val="15"/>
              </w:rPr>
              <w:t>Ask:</w:t>
            </w:r>
            <w:r>
              <w:rPr>
                <w:b w:val="0"/>
                <w:i w:val="0"/>
                <w:sz w:val="15"/>
              </w:rPr>
              <w:t xml:space="preserve"> add evidence-on-request language. Low-cost; use as a goodwill concession item.</w:t>
            </w:r>
          </w:p>
        </w:tc>
      </w:tr>
      <w:tr>
        <w:tc>
          <w:tcPr>
            <w:tcW w:type="dxa" w:w="648"/>
          </w:tcPr>
          <w:p>
            <w:pPr>
              <w:spacing w:after="20"/>
            </w:pPr>
            <w:r/>
            <w:r>
              <w:rPr>
                <w:b w:val="0"/>
                <w:i w:val="0"/>
                <w:sz w:val="15"/>
              </w:rPr>
              <w:t>D-16</w:t>
            </w:r>
          </w:p>
        </w:tc>
        <w:tc>
          <w:tcPr>
            <w:tcW w:type="dxa" w:w="1512"/>
          </w:tcPr>
          <w:p>
            <w:pPr>
              <w:spacing w:after="20"/>
            </w:pPr>
            <w:r/>
            <w:r>
              <w:rPr>
                <w:b/>
                <w:i w:val="0"/>
                <w:sz w:val="15"/>
              </w:rPr>
              <w:t>5 Security</w:t>
            </w:r>
          </w:p>
          <w:p>
            <w:pPr>
              <w:spacing w:after="20"/>
            </w:pPr>
            <w:r>
              <w:rPr>
                <w:b w:val="0"/>
                <w:i w:val="0"/>
                <w:sz w:val="15"/>
              </w:rPr>
              <w:t>Req. 5.6 (T2→T1)</w:t>
            </w:r>
          </w:p>
        </w:tc>
        <w:tc>
          <w:tcPr>
            <w:tcW w:type="dxa" w:w="2952"/>
          </w:tcPr>
          <w:p>
            <w:pPr>
              <w:spacing w:after="20"/>
            </w:pPr>
            <w:r/>
            <w:r>
              <w:rPr>
                <w:b w:val="0"/>
                <w:i w:val="0"/>
                <w:sz w:val="15"/>
              </w:rPr>
              <w:t xml:space="preserve">§ 4.3: role-based access controls and “multi-factor authentication for </w:t>
            </w:r>
            <w:r>
              <w:rPr>
                <w:b/>
                <w:i w:val="0"/>
                <w:sz w:val="15"/>
              </w:rPr>
              <w:t>administrative</w:t>
            </w:r>
            <w:r>
              <w:rPr>
                <w:b w:val="0"/>
                <w:i w:val="0"/>
                <w:sz w:val="15"/>
              </w:rPr>
              <w:t xml:space="preserve"> access.”</w:t>
            </w:r>
          </w:p>
        </w:tc>
        <w:tc>
          <w:tcPr>
            <w:tcW w:type="dxa" w:w="3960"/>
          </w:tcPr>
          <w:p>
            <w:pPr>
              <w:spacing w:after="20"/>
            </w:pPr>
            <w:r/>
            <w:r>
              <w:rPr>
                <w:b w:val="0"/>
                <w:i w:val="0"/>
                <w:sz w:val="15"/>
              </w:rPr>
              <w:t>MFA is required only for administrative access. The Playbook requires it for all personnel accessing systems that process Personal Data or PHI, and says single-factor access is insufficient.</w:t>
            </w:r>
          </w:p>
        </w:tc>
        <w:tc>
          <w:tcPr>
            <w:tcW w:type="dxa" w:w="1008"/>
          </w:tcPr>
          <w:p>
            <w:pPr>
              <w:spacing w:after="20"/>
            </w:pPr>
            <w:r>
              <w:rPr>
                <w:b/>
                <w:color w:val="BF9000"/>
              </w:rPr>
            </w:r>
            <w:r>
              <w:rPr>
                <w:b/>
                <w:i w:val="0"/>
                <w:color w:val="BF9000"/>
                <w:sz w:val="15"/>
              </w:rPr>
              <w:t>Medium</w:t>
            </w:r>
          </w:p>
        </w:tc>
        <w:tc>
          <w:tcPr>
            <w:tcW w:type="dxa" w:w="3744"/>
          </w:tcPr>
          <w:p>
            <w:pPr>
              <w:spacing w:after="20"/>
            </w:pPr>
            <w:r/>
            <w:r>
              <w:rPr>
                <w:b/>
                <w:i w:val="0"/>
                <w:sz w:val="15"/>
              </w:rPr>
              <w:t>Ask:</w:t>
            </w:r>
            <w:r>
              <w:rPr>
                <w:b w:val="0"/>
                <w:i w:val="0"/>
                <w:sz w:val="15"/>
              </w:rPr>
              <w:t xml:space="preserve"> MFA for all workforce access (administrative and standard) to systems processing Bellweather data, including remote and support access.</w:t>
            </w:r>
          </w:p>
          <w:p>
            <w:pPr>
              <w:spacing w:after="20"/>
            </w:pPr>
            <w:r>
              <w:rPr>
                <w:b/>
                <w:i w:val="0"/>
                <w:sz w:val="15"/>
              </w:rPr>
              <w:t>Fallback:</w:t>
            </w:r>
            <w:r>
              <w:rPr>
                <w:b w:val="0"/>
                <w:i w:val="0"/>
                <w:sz w:val="15"/>
              </w:rPr>
              <w:t xml:space="preserve"> phase-in within 90 days for any standard-user population, with a documented exception list.</w:t>
            </w:r>
          </w:p>
        </w:tc>
      </w:tr>
      <w:tr>
        <w:tc>
          <w:tcPr>
            <w:tcW w:type="dxa" w:w="648"/>
          </w:tcPr>
          <w:p>
            <w:pPr>
              <w:spacing w:after="20"/>
            </w:pPr>
            <w:r/>
            <w:r>
              <w:rPr>
                <w:b w:val="0"/>
                <w:i w:val="0"/>
                <w:sz w:val="15"/>
              </w:rPr>
              <w:t>D-17</w:t>
            </w:r>
          </w:p>
        </w:tc>
        <w:tc>
          <w:tcPr>
            <w:tcW w:type="dxa" w:w="1512"/>
          </w:tcPr>
          <w:p>
            <w:pPr>
              <w:spacing w:after="20"/>
            </w:pPr>
            <w:r/>
            <w:r>
              <w:rPr>
                <w:b/>
                <w:i w:val="0"/>
                <w:sz w:val="15"/>
              </w:rPr>
              <w:t>5 Security</w:t>
            </w:r>
          </w:p>
          <w:p>
            <w:pPr>
              <w:spacing w:after="20"/>
            </w:pPr>
            <w:r>
              <w:rPr>
                <w:b w:val="0"/>
                <w:i w:val="0"/>
                <w:sz w:val="15"/>
              </w:rPr>
              <w:t>Req. 5.7 (T2→T1)</w:t>
            </w:r>
          </w:p>
        </w:tc>
        <w:tc>
          <w:tcPr>
            <w:tcW w:type="dxa" w:w="2952"/>
          </w:tcPr>
          <w:p>
            <w:pPr>
              <w:spacing w:after="20"/>
            </w:pPr>
            <w:r/>
            <w:r>
              <w:rPr>
                <w:b w:val="0"/>
                <w:i w:val="0"/>
                <w:sz w:val="15"/>
              </w:rPr>
              <w:t>§ 6.2(g): “regular vulnerability scans and penetration testing of its production environment.”</w:t>
            </w:r>
          </w:p>
        </w:tc>
        <w:tc>
          <w:tcPr>
            <w:tcW w:type="dxa" w:w="3960"/>
          </w:tcPr>
          <w:p>
            <w:pPr>
              <w:spacing w:after="20"/>
            </w:pPr>
            <w:r/>
            <w:r>
              <w:rPr>
                <w:b w:val="0"/>
                <w:i w:val="0"/>
                <w:sz w:val="15"/>
              </w:rPr>
              <w:t>No annual minimum frequency, no independent third-party tester, no 30-day remediation of critical and high findings, and no results summary.</w:t>
            </w:r>
          </w:p>
        </w:tc>
        <w:tc>
          <w:tcPr>
            <w:tcW w:type="dxa" w:w="1008"/>
          </w:tcPr>
          <w:p>
            <w:pPr>
              <w:spacing w:after="20"/>
            </w:pPr>
            <w:r>
              <w:rPr>
                <w:b/>
                <w:color w:val="BF9000"/>
              </w:rPr>
            </w:r>
            <w:r>
              <w:rPr>
                <w:b/>
                <w:i w:val="0"/>
                <w:color w:val="BF9000"/>
                <w:sz w:val="15"/>
              </w:rPr>
              <w:t>Medium</w:t>
            </w:r>
          </w:p>
        </w:tc>
        <w:tc>
          <w:tcPr>
            <w:tcW w:type="dxa" w:w="3744"/>
          </w:tcPr>
          <w:p>
            <w:pPr>
              <w:spacing w:after="20"/>
            </w:pPr>
            <w:r/>
            <w:r>
              <w:rPr>
                <w:b/>
                <w:i w:val="0"/>
                <w:sz w:val="15"/>
              </w:rPr>
              <w:t>Ask:</w:t>
            </w:r>
            <w:r>
              <w:rPr>
                <w:b w:val="0"/>
                <w:i w:val="0"/>
                <w:sz w:val="15"/>
              </w:rPr>
              <w:t xml:space="preserve"> at least annual independent third-party penetration test; critical and high findings remediated within 30 days; executive summary and remediation status on request.</w:t>
            </w:r>
          </w:p>
          <w:p>
            <w:pPr>
              <w:spacing w:after="20"/>
            </w:pPr>
            <w:r>
              <w:rPr>
                <w:b/>
                <w:i w:val="0"/>
                <w:sz w:val="15"/>
              </w:rPr>
              <w:t>Fallback:</w:t>
            </w:r>
            <w:r>
              <w:rPr>
                <w:b w:val="0"/>
                <w:i w:val="0"/>
                <w:sz w:val="15"/>
              </w:rPr>
              <w:t xml:space="preserve"> high-severity findings remediated within 60 days, provided critical findings are fixed within 30.</w:t>
            </w:r>
          </w:p>
        </w:tc>
      </w:tr>
      <w:tr>
        <w:tc>
          <w:tcPr>
            <w:tcW w:type="dxa" w:w="648"/>
          </w:tcPr>
          <w:p>
            <w:pPr>
              <w:spacing w:after="20"/>
            </w:pPr>
            <w:r/>
            <w:r>
              <w:rPr>
                <w:b w:val="0"/>
                <w:i w:val="0"/>
                <w:sz w:val="15"/>
              </w:rPr>
              <w:t>D-18</w:t>
            </w:r>
          </w:p>
        </w:tc>
        <w:tc>
          <w:tcPr>
            <w:tcW w:type="dxa" w:w="1512"/>
          </w:tcPr>
          <w:p>
            <w:pPr>
              <w:spacing w:after="20"/>
            </w:pPr>
            <w:r/>
            <w:r>
              <w:rPr>
                <w:b/>
                <w:i w:val="0"/>
                <w:sz w:val="15"/>
              </w:rPr>
              <w:t>5 Security</w:t>
            </w:r>
          </w:p>
          <w:p>
            <w:pPr>
              <w:spacing w:after="20"/>
            </w:pPr>
            <w:r>
              <w:rPr>
                <w:b w:val="0"/>
                <w:i w:val="0"/>
                <w:sz w:val="15"/>
              </w:rPr>
              <w:t>Related to Req. 5.1–5.7</w:t>
            </w:r>
          </w:p>
        </w:tc>
        <w:tc>
          <w:tcPr>
            <w:tcW w:type="dxa" w:w="2952"/>
          </w:tcPr>
          <w:p>
            <w:pPr>
              <w:spacing w:after="20"/>
            </w:pPr>
            <w:r/>
            <w:r>
              <w:rPr>
                <w:b w:val="0"/>
                <w:i w:val="0"/>
                <w:sz w:val="15"/>
              </w:rPr>
              <w:t>§ 6.3: Processor may update security measures at its discretion if updates do not “materially decrease the overall level of protection.”</w:t>
            </w:r>
          </w:p>
        </w:tc>
        <w:tc>
          <w:tcPr>
            <w:tcW w:type="dxa" w:w="3960"/>
          </w:tcPr>
          <w:p>
            <w:pPr>
              <w:spacing w:after="20"/>
            </w:pPr>
            <w:r/>
            <w:r>
              <w:rPr>
                <w:b w:val="0"/>
                <w:i w:val="0"/>
                <w:sz w:val="15"/>
              </w:rPr>
              <w:t>Not a listed Playbook requirement, but an “overall level” test lets Cumulus remove a specific control (e.g., MFA) by pointing to others. There is no notice requirement.</w:t>
            </w:r>
          </w:p>
        </w:tc>
        <w:tc>
          <w:tcPr>
            <w:tcW w:type="dxa" w:w="1008"/>
          </w:tcPr>
          <w:p>
            <w:pPr>
              <w:spacing w:after="20"/>
            </w:pPr>
            <w:r>
              <w:rPr>
                <w:b/>
                <w:color w:val="548235"/>
              </w:rPr>
            </w:r>
            <w:r>
              <w:rPr>
                <w:b/>
                <w:i w:val="0"/>
                <w:color w:val="548235"/>
                <w:sz w:val="15"/>
              </w:rPr>
              <w:t>Low</w:t>
            </w:r>
          </w:p>
        </w:tc>
        <w:tc>
          <w:tcPr>
            <w:tcW w:type="dxa" w:w="3744"/>
          </w:tcPr>
          <w:p>
            <w:pPr>
              <w:spacing w:after="20"/>
            </w:pPr>
            <w:r/>
            <w:r>
              <w:rPr>
                <w:b/>
                <w:i w:val="0"/>
                <w:sz w:val="15"/>
              </w:rPr>
              <w:t>Ask:</w:t>
            </w:r>
            <w:r>
              <w:rPr>
                <w:b w:val="0"/>
                <w:i w:val="0"/>
                <w:sz w:val="15"/>
              </w:rPr>
              <w:t xml:space="preserve"> no update may reduce any specific contractual control; notice of material changes to security measures.</w:t>
            </w:r>
          </w:p>
        </w:tc>
      </w:tr>
      <w:tr>
        <w:tc>
          <w:tcPr>
            <w:tcW w:type="dxa" w:w="648"/>
          </w:tcPr>
          <w:p>
            <w:pPr>
              <w:spacing w:after="20"/>
            </w:pPr>
            <w:r/>
            <w:r>
              <w:rPr>
                <w:b w:val="0"/>
                <w:i w:val="0"/>
                <w:sz w:val="15"/>
              </w:rPr>
              <w:t>D-19</w:t>
            </w:r>
          </w:p>
        </w:tc>
        <w:tc>
          <w:tcPr>
            <w:tcW w:type="dxa" w:w="1512"/>
          </w:tcPr>
          <w:p>
            <w:pPr>
              <w:spacing w:after="20"/>
            </w:pPr>
            <w:r/>
            <w:r>
              <w:rPr>
                <w:b/>
                <w:i w:val="0"/>
                <w:sz w:val="15"/>
              </w:rPr>
              <w:t>6 Breach notification</w:t>
            </w:r>
          </w:p>
          <w:p>
            <w:pPr>
              <w:spacing w:after="20"/>
            </w:pPr>
            <w:r>
              <w:rPr>
                <w:b w:val="0"/>
                <w:i w:val="0"/>
                <w:sz w:val="15"/>
              </w:rPr>
              <w:t>Req. 6.1, 6.2 (T1); BAA-06; BAA-17</w:t>
            </w:r>
          </w:p>
        </w:tc>
        <w:tc>
          <w:tcPr>
            <w:tcW w:type="dxa" w:w="2952"/>
          </w:tcPr>
          <w:p>
            <w:pPr>
              <w:spacing w:after="20"/>
            </w:pPr>
            <w:r/>
            <w:r>
              <w:rPr>
                <w:b w:val="0"/>
                <w:i w:val="0"/>
                <w:sz w:val="15"/>
              </w:rPr>
              <w:t xml:space="preserve">§ 7.1: notice “without undue delay and in any event within </w:t>
            </w:r>
            <w:r>
              <w:rPr>
                <w:b/>
                <w:i w:val="0"/>
                <w:sz w:val="15"/>
              </w:rPr>
              <w:t>seventy-two (72) hours of confirmation</w:t>
            </w:r>
            <w:r>
              <w:rPr>
                <w:b w:val="0"/>
                <w:i w:val="0"/>
                <w:sz w:val="15"/>
              </w:rPr>
              <w:t>.” BAA § B.4.1 adopts § 7 timelines for Breaches of Unsecured PHI.</w:t>
            </w:r>
          </w:p>
        </w:tc>
        <w:tc>
          <w:tcPr>
            <w:tcW w:type="dxa" w:w="3960"/>
          </w:tcPr>
          <w:p>
            <w:pPr>
              <w:spacing w:after="20"/>
            </w:pPr>
            <w:r/>
            <w:r>
              <w:rPr>
                <w:b w:val="0"/>
                <w:i w:val="0"/>
                <w:sz w:val="15"/>
              </w:rPr>
              <w:t>This combines the two deficiencies the Playbook treats as non-negotiable: a 72-hour window (the Playbook says it is “under no circumstances” acceptable) and a “confirmation” trigger. Cumulus could investigate for days before the clock starts. That repeats the 2022 incident, where a delay of more than 96 hours fed into the $1.35M OCR settlement. A confirmation trigger is also out of step with the HIPAA “discovery” standard (45 CFR § 164.410(a)(2): known, or should reasonably have been known). Notice goes to the MSA contact, not to designated privacy and security contacts.</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mandatory language. 24 hours from discovery of any confirmed or suspected Security Incident, with discovery defined to include constructive knowledge; notice by email and phone to the CPO and the security contact.</w:t>
            </w:r>
          </w:p>
          <w:p>
            <w:pPr>
              <w:spacing w:after="20"/>
            </w:pPr>
            <w:r>
              <w:rPr>
                <w:b/>
                <w:i w:val="0"/>
                <w:sz w:val="15"/>
              </w:rPr>
              <w:t>Fallback (Playbook):</w:t>
            </w:r>
            <w:r>
              <w:rPr>
                <w:b w:val="0"/>
                <w:i w:val="0"/>
                <w:sz w:val="15"/>
              </w:rPr>
              <w:t xml:space="preserve"> 48 hours absolute outer limit, but only with the suspected/discovery trigger.</w:t>
            </w:r>
          </w:p>
          <w:p>
            <w:pPr>
              <w:spacing w:after="20"/>
            </w:pPr>
            <w:r>
              <w:rPr>
                <w:b/>
                <w:i w:val="0"/>
                <w:sz w:val="15"/>
              </w:rPr>
              <w:t>Walk-away:</w:t>
            </w:r>
            <w:r>
              <w:rPr>
                <w:b w:val="0"/>
                <w:i w:val="0"/>
                <w:sz w:val="15"/>
              </w:rPr>
              <w:t xml:space="preserve"> 72 hours, or any confirmation trigger.</w:t>
            </w:r>
          </w:p>
        </w:tc>
      </w:tr>
      <w:tr>
        <w:tc>
          <w:tcPr>
            <w:tcW w:type="dxa" w:w="648"/>
          </w:tcPr>
          <w:p>
            <w:pPr>
              <w:spacing w:after="20"/>
            </w:pPr>
            <w:r/>
            <w:r>
              <w:rPr>
                <w:b w:val="0"/>
                <w:i w:val="0"/>
                <w:sz w:val="15"/>
              </w:rPr>
              <w:t>D-20</w:t>
            </w:r>
          </w:p>
        </w:tc>
        <w:tc>
          <w:tcPr>
            <w:tcW w:type="dxa" w:w="1512"/>
          </w:tcPr>
          <w:p>
            <w:pPr>
              <w:spacing w:after="20"/>
            </w:pPr>
            <w:r/>
            <w:r>
              <w:rPr>
                <w:b/>
                <w:i w:val="0"/>
                <w:sz w:val="15"/>
              </w:rPr>
              <w:t>6 Breach notification</w:t>
            </w:r>
          </w:p>
          <w:p>
            <w:pPr>
              <w:spacing w:after="20"/>
            </w:pPr>
            <w:r>
              <w:rPr>
                <w:b w:val="0"/>
                <w:i w:val="0"/>
                <w:sz w:val="15"/>
              </w:rPr>
              <w:t>Req. 6.3 (T1); BAA-06</w:t>
            </w:r>
          </w:p>
        </w:tc>
        <w:tc>
          <w:tcPr>
            <w:tcW w:type="dxa" w:w="2952"/>
          </w:tcPr>
          <w:p>
            <w:pPr>
              <w:spacing w:after="20"/>
            </w:pPr>
            <w:r/>
            <w:r>
              <w:rPr>
                <w:b w:val="0"/>
                <w:i w:val="0"/>
                <w:sz w:val="15"/>
              </w:rPr>
              <w:t>§ 7.2: notice includes (a) nature and circumstances and (b) categories of Customer Data. BAA § B.4.2 adds identification of affected individuals.</w:t>
            </w:r>
          </w:p>
        </w:tc>
        <w:tc>
          <w:tcPr>
            <w:tcW w:type="dxa" w:w="3960"/>
          </w:tcPr>
          <w:p>
            <w:pPr>
              <w:spacing w:after="20"/>
            </w:pPr>
            <w:r/>
            <w:r>
              <w:rPr>
                <w:b w:val="0"/>
                <w:i w:val="0"/>
                <w:sz w:val="15"/>
              </w:rPr>
              <w:t>Only 2 of the 5 required elements are covered. Missing: date and time of discovery and of the incident; categories and approximate number of Data Subjects; likely consequences; measures taken or proposed, including mitigation for Data Subjects. These are also the elements Bellweather needs for its own HHS, state AG and individual notices (45 CFR § 164.410(c); 42 USC § 17932(f)).</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the five Playbook elements plus the § 164.410(c) content, provided to the extent known and supplemented as facts develop.</w:t>
            </w:r>
          </w:p>
        </w:tc>
      </w:tr>
      <w:tr>
        <w:tc>
          <w:tcPr>
            <w:tcW w:type="dxa" w:w="648"/>
          </w:tcPr>
          <w:p>
            <w:pPr>
              <w:spacing w:after="20"/>
            </w:pPr>
            <w:r/>
            <w:r>
              <w:rPr>
                <w:b w:val="0"/>
                <w:i w:val="0"/>
                <w:sz w:val="15"/>
              </w:rPr>
              <w:t>D-21</w:t>
            </w:r>
          </w:p>
        </w:tc>
        <w:tc>
          <w:tcPr>
            <w:tcW w:type="dxa" w:w="1512"/>
          </w:tcPr>
          <w:p>
            <w:pPr>
              <w:spacing w:after="20"/>
            </w:pPr>
            <w:r/>
            <w:r>
              <w:rPr>
                <w:b/>
                <w:i w:val="0"/>
                <w:sz w:val="15"/>
              </w:rPr>
              <w:t>6 Breach notification</w:t>
            </w:r>
          </w:p>
          <w:p>
            <w:pPr>
              <w:spacing w:after="20"/>
            </w:pPr>
            <w:r>
              <w:rPr>
                <w:b w:val="0"/>
                <w:i w:val="0"/>
                <w:sz w:val="15"/>
              </w:rPr>
              <w:t>Req. 6.4 (T2→T1); 6.5 (T1); 6.6 (T2→T1)</w:t>
            </w:r>
          </w:p>
        </w:tc>
        <w:tc>
          <w:tcPr>
            <w:tcW w:type="dxa" w:w="2952"/>
          </w:tcPr>
          <w:p>
            <w:pPr>
              <w:spacing w:after="20"/>
            </w:pPr>
            <w:r/>
            <w:r>
              <w:rPr>
                <w:b w:val="0"/>
                <w:i w:val="0"/>
                <w:sz w:val="15"/>
              </w:rPr>
              <w:t>§ 7.3: “cooperate,” provide “reasonable additional information,” take “commercially reasonable steps” to mitigate. § 7.4: notification is not an admission of fault. No update cadence; no evidence preservation; no control of public statements.</w:t>
            </w:r>
          </w:p>
        </w:tc>
        <w:tc>
          <w:tcPr>
            <w:tcW w:type="dxa" w:w="3960"/>
          </w:tcPr>
          <w:p>
            <w:pPr>
              <w:spacing w:after="20"/>
            </w:pPr>
            <w:r/>
            <w:r>
              <w:rPr>
                <w:b w:val="0"/>
                <w:i w:val="0"/>
                <w:sz w:val="15"/>
              </w:rPr>
              <w:t>No 24-hour update cadence. Cooperation is not “full,” and there is no duty to preserve evidence or support forensics, regulatory filings or individual notices. Nothing stops Cumulus from making public statements or notifying regulators or individuals without Bellweather’s approval. § 7.4 is a customary no-admission clause and is acceptable if narrowed so it cannot limit the DPA’s other obligations.</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updates at least every 24 hours until contained; full cooperation with forensics and notifications; evidence preservation; no public statement or notification without Controller’s prior written approval, except where independently required by law (with advance copy); Processor bears the cost of incidents it or its sub-processors cause (see D-34).</w:t>
            </w:r>
          </w:p>
          <w:p>
            <w:pPr>
              <w:spacing w:after="20"/>
            </w:pPr>
            <w:r>
              <w:rPr>
                <w:b/>
                <w:i w:val="0"/>
                <w:sz w:val="15"/>
              </w:rPr>
              <w:t>Concession:</w:t>
            </w:r>
            <w:r>
              <w:rPr>
                <w:b w:val="0"/>
                <w:i w:val="0"/>
                <w:sz w:val="15"/>
              </w:rPr>
              <w:t xml:space="preserve"> keep § 7.4 no-admission.</w:t>
            </w:r>
          </w:p>
        </w:tc>
      </w:tr>
      <w:tr>
        <w:tc>
          <w:tcPr>
            <w:tcW w:type="dxa" w:w="648"/>
          </w:tcPr>
          <w:p>
            <w:pPr>
              <w:spacing w:after="20"/>
            </w:pPr>
            <w:r/>
            <w:r>
              <w:rPr>
                <w:b w:val="0"/>
                <w:i w:val="0"/>
                <w:sz w:val="15"/>
              </w:rPr>
              <w:t>D-22</w:t>
            </w:r>
          </w:p>
        </w:tc>
        <w:tc>
          <w:tcPr>
            <w:tcW w:type="dxa" w:w="1512"/>
          </w:tcPr>
          <w:p>
            <w:pPr>
              <w:spacing w:after="20"/>
            </w:pPr>
            <w:r/>
            <w:r>
              <w:rPr>
                <w:b/>
                <w:i w:val="0"/>
                <w:sz w:val="15"/>
              </w:rPr>
              <w:t>7 Data subject rights</w:t>
            </w:r>
          </w:p>
          <w:p>
            <w:pPr>
              <w:spacing w:after="20"/>
            </w:pPr>
            <w:r>
              <w:rPr>
                <w:b w:val="0"/>
                <w:i w:val="0"/>
                <w:sz w:val="15"/>
              </w:rPr>
              <w:t>Req. 7.2 (T1); BAA-08; BAA-09</w:t>
            </w:r>
          </w:p>
        </w:tc>
        <w:tc>
          <w:tcPr>
            <w:tcW w:type="dxa" w:w="2952"/>
          </w:tcPr>
          <w:p>
            <w:pPr>
              <w:spacing w:after="20"/>
            </w:pPr>
            <w:r/>
            <w:r>
              <w:rPr>
                <w:b w:val="0"/>
                <w:i w:val="0"/>
                <w:sz w:val="15"/>
              </w:rPr>
              <w:t xml:space="preserve">§ 10.2: respond within </w:t>
            </w:r>
            <w:r>
              <w:rPr>
                <w:b/>
                <w:i w:val="0"/>
                <w:sz w:val="15"/>
              </w:rPr>
              <w:t>15 business days</w:t>
            </w:r>
            <w:r>
              <w:rPr>
                <w:b w:val="0"/>
                <w:i w:val="0"/>
                <w:sz w:val="15"/>
              </w:rPr>
              <w:t xml:space="preserve"> of instructions; open-ended extension “as soon as reasonably practicable.” BAA §§ B.3.4 and B.3.5: access and amendment within 15 business days.</w:t>
            </w:r>
          </w:p>
        </w:tc>
        <w:tc>
          <w:tcPr>
            <w:tcW w:type="dxa" w:w="3960"/>
          </w:tcPr>
          <w:p>
            <w:pPr>
              <w:spacing w:after="20"/>
            </w:pPr>
            <w:r/>
            <w:r>
              <w:rPr>
                <w:b w:val="0"/>
                <w:i w:val="0"/>
                <w:sz w:val="15"/>
              </w:rPr>
              <w:t>Three times the 5-business-day Tier 1 standard and double the 7-business-day fallback, and the extension right is unlimited. For a 1.4M-patient population across 14 states, this endangers state-law deadlines (30–45 days) and the 30-day HIPAA access deadline (§ 164.524(b)).</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mandatory language. Fulfil within 5 business days with written confirmation of completion; access and amendment under the BAA within 5 business days.</w:t>
            </w:r>
          </w:p>
          <w:p>
            <w:pPr>
              <w:spacing w:after="20"/>
            </w:pPr>
            <w:r>
              <w:rPr>
                <w:b/>
                <w:i w:val="0"/>
                <w:sz w:val="15"/>
              </w:rPr>
              <w:t>Fallback:</w:t>
            </w:r>
            <w:r>
              <w:rPr>
                <w:b w:val="0"/>
                <w:i w:val="0"/>
                <w:sz w:val="15"/>
              </w:rPr>
              <w:t xml:space="preserve"> 7 business days maximum, with no unilateral extension.</w:t>
            </w:r>
          </w:p>
          <w:p>
            <w:pPr>
              <w:spacing w:after="20"/>
            </w:pPr>
            <w:r>
              <w:rPr>
                <w:b/>
                <w:i w:val="0"/>
                <w:sz w:val="15"/>
              </w:rPr>
              <w:t>Walk-away:</w:t>
            </w:r>
            <w:r>
              <w:rPr>
                <w:b w:val="0"/>
                <w:i w:val="0"/>
                <w:sz w:val="15"/>
              </w:rPr>
              <w:t xml:space="preserve"> 10 or more business days.</w:t>
            </w:r>
          </w:p>
        </w:tc>
      </w:tr>
      <w:tr>
        <w:tc>
          <w:tcPr>
            <w:tcW w:type="dxa" w:w="648"/>
          </w:tcPr>
          <w:p>
            <w:pPr>
              <w:spacing w:after="20"/>
            </w:pPr>
            <w:r/>
            <w:r>
              <w:rPr>
                <w:b w:val="0"/>
                <w:i w:val="0"/>
                <w:sz w:val="15"/>
              </w:rPr>
              <w:t>D-23</w:t>
            </w:r>
          </w:p>
        </w:tc>
        <w:tc>
          <w:tcPr>
            <w:tcW w:type="dxa" w:w="1512"/>
          </w:tcPr>
          <w:p>
            <w:pPr>
              <w:spacing w:after="20"/>
            </w:pPr>
            <w:r/>
            <w:r>
              <w:rPr>
                <w:b/>
                <w:i w:val="0"/>
                <w:sz w:val="15"/>
              </w:rPr>
              <w:t>7 Data subject rights</w:t>
            </w:r>
          </w:p>
          <w:p>
            <w:pPr>
              <w:spacing w:after="20"/>
            </w:pPr>
            <w:r>
              <w:rPr>
                <w:b w:val="0"/>
                <w:i w:val="0"/>
                <w:sz w:val="15"/>
              </w:rPr>
              <w:t>Req. 7.1 (T1); 7.3, 7.4 (T2→T1)</w:t>
            </w:r>
          </w:p>
        </w:tc>
        <w:tc>
          <w:tcPr>
            <w:tcW w:type="dxa" w:w="2952"/>
          </w:tcPr>
          <w:p>
            <w:pPr>
              <w:spacing w:after="20"/>
            </w:pPr>
            <w:r/>
            <w:r>
              <w:rPr>
                <w:b w:val="0"/>
                <w:i w:val="0"/>
                <w:sz w:val="15"/>
              </w:rPr>
              <w:t>§ 10.1: reasonable cooperation. § 10.3: Processor will “redirect the Data Subject to Controller.”</w:t>
            </w:r>
          </w:p>
        </w:tc>
        <w:tc>
          <w:tcPr>
            <w:tcW w:type="dxa" w:w="3960"/>
          </w:tcPr>
          <w:p>
            <w:pPr>
              <w:spacing w:after="20"/>
            </w:pPr>
            <w:r/>
            <w:r>
              <w:rPr>
                <w:b w:val="0"/>
                <w:i w:val="0"/>
                <w:sz w:val="15"/>
              </w:rPr>
              <w:t>Cooperation duty present (Req. 7.1 substantially met). Gaps: the request itself is not forwarded to Bellweather (Req. 7.3 requires notice and forwarding within 1 business day), and there is no commitment to record-level search, correction and deletion capability, including data held by sub-processors (Req. 7.4).</w:t>
            </w:r>
          </w:p>
        </w:tc>
        <w:tc>
          <w:tcPr>
            <w:tcW w:type="dxa" w:w="1008"/>
          </w:tcPr>
          <w:p>
            <w:pPr>
              <w:spacing w:after="20"/>
            </w:pPr>
            <w:r>
              <w:rPr>
                <w:b/>
                <w:color w:val="BF9000"/>
              </w:rPr>
            </w:r>
            <w:r>
              <w:rPr>
                <w:b/>
                <w:i w:val="0"/>
                <w:color w:val="BF9000"/>
                <w:sz w:val="15"/>
              </w:rPr>
              <w:t>Medium</w:t>
            </w:r>
          </w:p>
        </w:tc>
        <w:tc>
          <w:tcPr>
            <w:tcW w:type="dxa" w:w="3744"/>
          </w:tcPr>
          <w:p>
            <w:pPr>
              <w:spacing w:after="20"/>
            </w:pPr>
            <w:r/>
            <w:r>
              <w:rPr>
                <w:b/>
                <w:i w:val="0"/>
                <w:sz w:val="15"/>
              </w:rPr>
              <w:t>Ask:</w:t>
            </w:r>
            <w:r>
              <w:rPr>
                <w:b w:val="0"/>
                <w:i w:val="0"/>
                <w:sz w:val="15"/>
              </w:rPr>
              <w:t xml:space="preserve"> forward direct requests to Controller’s designated contact within 1 business day and do not respond unless instructed; maintain record-level fulfilment capability across Processor and sub-processor environments.</w:t>
            </w:r>
          </w:p>
        </w:tc>
      </w:tr>
      <w:tr>
        <w:tc>
          <w:tcPr>
            <w:tcW w:type="dxa" w:w="648"/>
          </w:tcPr>
          <w:p>
            <w:pPr>
              <w:spacing w:after="20"/>
            </w:pPr>
            <w:r/>
            <w:r>
              <w:rPr>
                <w:b w:val="0"/>
                <w:i w:val="0"/>
                <w:sz w:val="15"/>
              </w:rPr>
              <w:t>D-24</w:t>
            </w:r>
          </w:p>
        </w:tc>
        <w:tc>
          <w:tcPr>
            <w:tcW w:type="dxa" w:w="1512"/>
          </w:tcPr>
          <w:p>
            <w:pPr>
              <w:spacing w:after="20"/>
            </w:pPr>
            <w:r/>
            <w:r>
              <w:rPr>
                <w:b/>
                <w:i w:val="0"/>
                <w:sz w:val="15"/>
              </w:rPr>
              <w:t>8 Cross-border</w:t>
            </w:r>
          </w:p>
          <w:p>
            <w:pPr>
              <w:spacing w:after="20"/>
            </w:pPr>
            <w:r>
              <w:rPr>
                <w:b w:val="0"/>
                <w:i w:val="0"/>
                <w:sz w:val="15"/>
              </w:rPr>
              <w:t>Req. 8.1, 8.2, 8.3 (T1)</w:t>
            </w:r>
          </w:p>
        </w:tc>
        <w:tc>
          <w:tcPr>
            <w:tcW w:type="dxa" w:w="2952"/>
          </w:tcPr>
          <w:p>
            <w:pPr>
              <w:spacing w:after="20"/>
            </w:pPr>
            <w:r/>
            <w:r>
              <w:rPr>
                <w:b w:val="0"/>
                <w:i w:val="0"/>
                <w:sz w:val="15"/>
              </w:rPr>
              <w:t>§ 8.1: “</w:t>
            </w:r>
            <w:r>
              <w:rPr>
                <w:b/>
                <w:i w:val="0"/>
                <w:sz w:val="15"/>
              </w:rPr>
              <w:t>primarily</w:t>
            </w:r>
            <w:r>
              <w:rPr>
                <w:b w:val="0"/>
                <w:i w:val="0"/>
                <w:sz w:val="15"/>
              </w:rPr>
              <w:t>” processes in the U.S. § 8.2: may transfer outside the U.S. “where necessary for disaster recovery, load balancing, or Sub-processor operations” with “appropriate safeguards.” § 8.3: safeguards “may include” transfer agreements, certifications. SCCs defined (§ 1.15) but never required. Email: Redline uses “international infrastructure”; Cumulus processes data “primarily in the United States.”</w:t>
            </w:r>
          </w:p>
        </w:tc>
        <w:tc>
          <w:tcPr>
            <w:tcW w:type="dxa" w:w="3960"/>
          </w:tcPr>
          <w:p>
            <w:pPr>
              <w:spacing w:after="20"/>
            </w:pPr>
            <w:r/>
            <w:r>
              <w:rPr>
                <w:b w:val="0"/>
                <w:i w:val="0"/>
                <w:sz w:val="15"/>
              </w:rPr>
              <w:t>A direct conflict with the absolute Tier 1 prohibition. The DPA allows transfers without consent for exactly the purposes (DR, load balancing, sub-processor operations) the Playbook names as not exempt. No prior written consent, no SCCs, no repatriation duty, and no disclosure of jurisdictions. Remote access from abroad is not addressed. The email shows this is a live issue (Redline), not a hypothetical one. For PHI, offshore processing also complicates OCR oversight and enforcement.</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mandatory language. No transfer, access or processing outside the U.S. without prior written consent; SCCs or a Controller-approved mechanism before any approved transfer; commitment that Bellweather data is not processed at, or accessible from, any non-U.S. location (Playbook preferred).</w:t>
            </w:r>
          </w:p>
          <w:p>
            <w:pPr>
              <w:spacing w:after="20"/>
            </w:pPr>
            <w:r>
              <w:rPr>
                <w:b/>
                <w:i w:val="0"/>
                <w:sz w:val="15"/>
              </w:rPr>
              <w:t>Fallback (Playbook):</w:t>
            </w:r>
            <w:r>
              <w:rPr>
                <w:b w:val="0"/>
                <w:i w:val="0"/>
                <w:sz w:val="15"/>
              </w:rPr>
              <w:t xml:space="preserve"> case-by-case written approval of named jurisdictions, with SCCs executed in advance, revocable on 30 days’ notice with repatriation within the notice period.</w:t>
            </w:r>
          </w:p>
          <w:p>
            <w:pPr>
              <w:spacing w:after="20"/>
            </w:pPr>
            <w:r>
              <w:rPr>
                <w:b/>
                <w:i w:val="0"/>
                <w:sz w:val="15"/>
              </w:rPr>
              <w:t>Walk-away:</w:t>
            </w:r>
            <w:r>
              <w:rPr>
                <w:b w:val="0"/>
                <w:i w:val="0"/>
                <w:sz w:val="15"/>
              </w:rPr>
              <w:t xml:space="preserve"> any standing permission for DR, load-balancing or sub-processor transfers.</w:t>
            </w:r>
          </w:p>
        </w:tc>
      </w:tr>
      <w:tr>
        <w:tc>
          <w:tcPr>
            <w:tcW w:type="dxa" w:w="648"/>
          </w:tcPr>
          <w:p>
            <w:pPr>
              <w:spacing w:after="20"/>
            </w:pPr>
            <w:r/>
            <w:r>
              <w:rPr>
                <w:b w:val="0"/>
                <w:i w:val="0"/>
                <w:sz w:val="15"/>
              </w:rPr>
              <w:t>D-25</w:t>
            </w:r>
          </w:p>
        </w:tc>
        <w:tc>
          <w:tcPr>
            <w:tcW w:type="dxa" w:w="1512"/>
          </w:tcPr>
          <w:p>
            <w:pPr>
              <w:spacing w:after="20"/>
            </w:pPr>
            <w:r/>
            <w:r>
              <w:rPr>
                <w:b/>
                <w:i w:val="0"/>
                <w:sz w:val="15"/>
              </w:rPr>
              <w:t>9 Audit</w:t>
            </w:r>
          </w:p>
          <w:p>
            <w:pPr>
              <w:spacing w:after="20"/>
            </w:pPr>
            <w:r>
              <w:rPr>
                <w:b w:val="0"/>
                <w:i w:val="0"/>
                <w:sz w:val="15"/>
              </w:rPr>
              <w:t>Req. 9.1 (T1); 9.6 (T2→T1); BAA-19</w:t>
            </w:r>
          </w:p>
        </w:tc>
        <w:tc>
          <w:tcPr>
            <w:tcW w:type="dxa" w:w="2952"/>
          </w:tcPr>
          <w:p>
            <w:pPr>
              <w:spacing w:after="20"/>
            </w:pPr>
            <w:r/>
            <w:r>
              <w:rPr>
                <w:b w:val="0"/>
                <w:i w:val="0"/>
                <w:sz w:val="15"/>
              </w:rPr>
              <w:t xml:space="preserve">§ 9.1: questionnaire </w:t>
            </w:r>
            <w:r>
              <w:rPr>
                <w:b/>
                <w:i w:val="0"/>
                <w:sz w:val="15"/>
              </w:rPr>
              <w:t>or</w:t>
            </w:r>
            <w:r>
              <w:rPr>
                <w:b w:val="0"/>
                <w:i w:val="0"/>
                <w:sz w:val="15"/>
              </w:rPr>
              <w:t xml:space="preserve"> SOC 2, at Processor’s election. § 9.2: on-site audits available “only where the information provided pursuant to Section 9.1 is insufficient to address a specific, documented compliance concern.” BAA: no audit clause.</w:t>
            </w:r>
          </w:p>
        </w:tc>
        <w:tc>
          <w:tcPr>
            <w:tcW w:type="dxa" w:w="3960"/>
          </w:tcPr>
          <w:p>
            <w:pPr>
              <w:spacing w:after="20"/>
            </w:pPr>
            <w:r/>
            <w:r>
              <w:rPr>
                <w:b w:val="0"/>
                <w:i w:val="0"/>
                <w:sz w:val="15"/>
              </w:rPr>
              <w:t>Exactly the “secondary or conditional” structure Req. 9.1 prohibits. Third-party reports become a substitute for, not a supplement to, direct audit. Remote audits are not provided for. The BAA does not give Covered Entity any audit right (BAA-19).</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mandatory language. On-site and remote audits as a primary right, once per calendar year, at Controller’s election; SOC 2 and other reports are supplementary. Mirror this in Exhibit B.</w:t>
            </w:r>
          </w:p>
          <w:p>
            <w:pPr>
              <w:spacing w:after="20"/>
            </w:pPr>
            <w:r>
              <w:rPr>
                <w:b/>
                <w:i w:val="0"/>
                <w:sz w:val="15"/>
              </w:rPr>
              <w:t>Concessions available:</w:t>
            </w:r>
            <w:r>
              <w:rPr>
                <w:b w:val="0"/>
                <w:i w:val="0"/>
                <w:sz w:val="15"/>
              </w:rPr>
              <w:t xml:space="preserve"> business-hours conduct; reasonable steps to avoid disruption; independent auditor under NDA; non-competitor auditor (§§ 9.2(iii), (vi), (vii) are acceptable).</w:t>
            </w:r>
          </w:p>
          <w:p>
            <w:pPr>
              <w:spacing w:after="20"/>
            </w:pPr>
            <w:r>
              <w:rPr>
                <w:b/>
                <w:i w:val="0"/>
                <w:sz w:val="15"/>
              </w:rPr>
              <w:t>Walk-away:</w:t>
            </w:r>
            <w:r>
              <w:rPr>
                <w:b w:val="0"/>
                <w:i w:val="0"/>
                <w:sz w:val="15"/>
              </w:rPr>
              <w:t xml:space="preserve"> questionnaire-only or report-only rights.</w:t>
            </w:r>
          </w:p>
        </w:tc>
      </w:tr>
      <w:tr>
        <w:tc>
          <w:tcPr>
            <w:tcW w:type="dxa" w:w="648"/>
          </w:tcPr>
          <w:p>
            <w:pPr>
              <w:spacing w:after="20"/>
            </w:pPr>
            <w:r/>
            <w:r>
              <w:rPr>
                <w:b w:val="0"/>
                <w:i w:val="0"/>
                <w:sz w:val="15"/>
              </w:rPr>
              <w:t>D-26</w:t>
            </w:r>
          </w:p>
        </w:tc>
        <w:tc>
          <w:tcPr>
            <w:tcW w:type="dxa" w:w="1512"/>
          </w:tcPr>
          <w:p>
            <w:pPr>
              <w:spacing w:after="20"/>
            </w:pPr>
            <w:r/>
            <w:r>
              <w:rPr>
                <w:b/>
                <w:i w:val="0"/>
                <w:sz w:val="15"/>
              </w:rPr>
              <w:t>9 Audit</w:t>
            </w:r>
          </w:p>
          <w:p>
            <w:pPr>
              <w:spacing w:after="20"/>
            </w:pPr>
            <w:r>
              <w:rPr>
                <w:b w:val="0"/>
                <w:i w:val="0"/>
                <w:sz w:val="15"/>
              </w:rPr>
              <w:t>Req. 9.2 (T1)</w:t>
            </w:r>
          </w:p>
        </w:tc>
        <w:tc>
          <w:tcPr>
            <w:tcW w:type="dxa" w:w="2952"/>
          </w:tcPr>
          <w:p>
            <w:pPr>
              <w:spacing w:after="20"/>
            </w:pPr>
            <w:r/>
            <w:r>
              <w:rPr>
                <w:b w:val="0"/>
                <w:i w:val="0"/>
                <w:sz w:val="15"/>
              </w:rPr>
              <w:t>§ 9.2(iv): Controller bears “all costs associated with the audit, including Processor’s reasonable internal costs for personnel time.”</w:t>
            </w:r>
          </w:p>
        </w:tc>
        <w:tc>
          <w:tcPr>
            <w:tcW w:type="dxa" w:w="3960"/>
          </w:tcPr>
          <w:p>
            <w:pPr>
              <w:spacing w:after="20"/>
            </w:pPr>
            <w:r/>
            <w:r>
              <w:rPr>
                <w:b w:val="0"/>
                <w:i w:val="0"/>
                <w:sz w:val="15"/>
              </w:rPr>
              <w:t>Directly contrary to the no-charge requirement. Charging Cumulus’s internal personnel time to Bellweather is expressly prohibited.</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the annual audit is at no charge; each party bears its own costs.</w:t>
            </w:r>
          </w:p>
          <w:p>
            <w:pPr>
              <w:spacing w:after="20"/>
            </w:pPr>
            <w:r>
              <w:rPr>
                <w:b/>
                <w:i w:val="0"/>
                <w:sz w:val="15"/>
              </w:rPr>
              <w:t>Fallback:</w:t>
            </w:r>
            <w:r>
              <w:rPr>
                <w:b w:val="0"/>
                <w:i w:val="0"/>
                <w:sz w:val="15"/>
              </w:rPr>
              <w:t xml:space="preserve"> none; the no-charge rule is preserved even in the Playbook fallback. For-cause audits beyond the annual right may be at Controller’s cost (Req. 9.3).</w:t>
            </w:r>
          </w:p>
        </w:tc>
      </w:tr>
      <w:tr>
        <w:tc>
          <w:tcPr>
            <w:tcW w:type="dxa" w:w="648"/>
          </w:tcPr>
          <w:p>
            <w:pPr>
              <w:spacing w:after="20"/>
            </w:pPr>
            <w:r/>
            <w:r>
              <w:rPr>
                <w:b w:val="0"/>
                <w:i w:val="0"/>
                <w:sz w:val="15"/>
              </w:rPr>
              <w:t>D-27</w:t>
            </w:r>
          </w:p>
        </w:tc>
        <w:tc>
          <w:tcPr>
            <w:tcW w:type="dxa" w:w="1512"/>
          </w:tcPr>
          <w:p>
            <w:pPr>
              <w:spacing w:after="20"/>
            </w:pPr>
            <w:r/>
            <w:r>
              <w:rPr>
                <w:b/>
                <w:i w:val="0"/>
                <w:sz w:val="15"/>
              </w:rPr>
              <w:t>9 Audit</w:t>
            </w:r>
          </w:p>
          <w:p>
            <w:pPr>
              <w:spacing w:after="20"/>
            </w:pPr>
            <w:r>
              <w:rPr>
                <w:b w:val="0"/>
                <w:i w:val="0"/>
                <w:sz w:val="15"/>
              </w:rPr>
              <w:t>Req. 9.4 (T1); 9.1 frequency</w:t>
            </w:r>
          </w:p>
        </w:tc>
        <w:tc>
          <w:tcPr>
            <w:tcW w:type="dxa" w:w="2952"/>
          </w:tcPr>
          <w:p>
            <w:pPr>
              <w:spacing w:after="20"/>
            </w:pPr>
            <w:r/>
            <w:r>
              <w:rPr>
                <w:b w:val="0"/>
                <w:i w:val="0"/>
                <w:sz w:val="15"/>
              </w:rPr>
              <w:t xml:space="preserve">§ 9.2(i): 45 days’ prior written notice describing the concern; § 9.2(ii): no more than once every </w:t>
            </w:r>
            <w:r>
              <w:rPr>
                <w:b/>
                <w:i w:val="0"/>
                <w:sz w:val="15"/>
              </w:rPr>
              <w:t>24 months</w:t>
            </w:r>
            <w:r>
              <w:rPr>
                <w:b w:val="0"/>
                <w:i w:val="0"/>
                <w:sz w:val="15"/>
              </w:rPr>
              <w:t>.</w:t>
            </w:r>
          </w:p>
        </w:tc>
        <w:tc>
          <w:tcPr>
            <w:tcW w:type="dxa" w:w="3960"/>
          </w:tcPr>
          <w:p>
            <w:pPr>
              <w:spacing w:after="20"/>
            </w:pPr>
            <w:r/>
            <w:r>
              <w:rPr>
                <w:b w:val="0"/>
                <w:i w:val="0"/>
                <w:sz w:val="15"/>
              </w:rPr>
              <w:t>45 days against the 15-business-day requirement (the fallback is 20 business days). Once every 24 months is below the fallback, which expressly rejects any 24-month limitation.</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scheduling within 15 business days; annual frequency; immediate access after a Breach or suspected Breach (BAA-19).</w:t>
            </w:r>
          </w:p>
          <w:p>
            <w:pPr>
              <w:spacing w:after="20"/>
            </w:pPr>
            <w:r>
              <w:rPr>
                <w:b/>
                <w:i w:val="0"/>
                <w:sz w:val="15"/>
              </w:rPr>
              <w:t>Fallback:</w:t>
            </w:r>
            <w:r>
              <w:rPr>
                <w:b w:val="0"/>
                <w:i w:val="0"/>
                <w:sz w:val="15"/>
              </w:rPr>
              <w:t xml:space="preserve"> 20 business days and once every 12 months.</w:t>
            </w:r>
          </w:p>
          <w:p>
            <w:pPr>
              <w:spacing w:after="20"/>
            </w:pPr>
            <w:r>
              <w:rPr>
                <w:b/>
                <w:i w:val="0"/>
                <w:sz w:val="15"/>
              </w:rPr>
              <w:t>Walk-away:</w:t>
            </w:r>
            <w:r>
              <w:rPr>
                <w:b w:val="0"/>
                <w:i w:val="0"/>
                <w:sz w:val="15"/>
              </w:rPr>
              <w:t xml:space="preserve"> a 24-month limit.</w:t>
            </w:r>
          </w:p>
        </w:tc>
      </w:tr>
      <w:tr>
        <w:tc>
          <w:tcPr>
            <w:tcW w:type="dxa" w:w="648"/>
          </w:tcPr>
          <w:p>
            <w:pPr>
              <w:spacing w:after="20"/>
            </w:pPr>
            <w:r/>
            <w:r>
              <w:rPr>
                <w:b w:val="0"/>
                <w:i w:val="0"/>
                <w:sz w:val="15"/>
              </w:rPr>
              <w:t>D-28</w:t>
            </w:r>
          </w:p>
        </w:tc>
        <w:tc>
          <w:tcPr>
            <w:tcW w:type="dxa" w:w="1512"/>
          </w:tcPr>
          <w:p>
            <w:pPr>
              <w:spacing w:after="20"/>
            </w:pPr>
            <w:r/>
            <w:r>
              <w:rPr>
                <w:b/>
                <w:i w:val="0"/>
                <w:sz w:val="15"/>
              </w:rPr>
              <w:t>9 Audit</w:t>
            </w:r>
          </w:p>
          <w:p>
            <w:pPr>
              <w:spacing w:after="20"/>
            </w:pPr>
            <w:r>
              <w:rPr>
                <w:b w:val="0"/>
                <w:i w:val="0"/>
                <w:sz w:val="15"/>
              </w:rPr>
              <w:t>Req. 9.3, 9.5 (T2→T1)</w:t>
            </w:r>
          </w:p>
        </w:tc>
        <w:tc>
          <w:tcPr>
            <w:tcW w:type="dxa" w:w="2952"/>
          </w:tcPr>
          <w:p>
            <w:pPr>
              <w:spacing w:after="20"/>
            </w:pPr>
            <w:r/>
            <w:r>
              <w:rPr>
                <w:b w:val="0"/>
                <w:i w:val="0"/>
                <w:sz w:val="15"/>
              </w:rPr>
              <w:t>§ 9.2(v): audits “shall not extend to the facilities or systems of Sub-processors.” No for-cause audit right. § 9.3: no disclosure of audit results to third parties without Processor consent.</w:t>
            </w:r>
          </w:p>
        </w:tc>
        <w:tc>
          <w:tcPr>
            <w:tcW w:type="dxa" w:w="3960"/>
          </w:tcPr>
          <w:p>
            <w:pPr>
              <w:spacing w:after="20"/>
            </w:pPr>
            <w:r/>
            <w:r>
              <w:rPr>
                <w:b w:val="0"/>
                <w:i w:val="0"/>
                <w:sz w:val="15"/>
              </w:rPr>
              <w:t>No for-cause audits (after an incident, a complaint or a regulatory inquiry). Sub-processors are excluded entirely, even though Redline and SwiftReach handle patient data. The § 9.3 confidentiality term would bar sharing results with Bellweather’s outside counsel, auditors, insurers or the board without consent. The regulator carve-out is helpful but not enough.</w:t>
            </w:r>
          </w:p>
        </w:tc>
        <w:tc>
          <w:tcPr>
            <w:tcW w:type="dxa" w:w="1008"/>
          </w:tcPr>
          <w:p>
            <w:pPr>
              <w:spacing w:after="20"/>
            </w:pPr>
            <w:r>
              <w:rPr>
                <w:b/>
                <w:color w:val="BF9000"/>
              </w:rPr>
            </w:r>
            <w:r>
              <w:rPr>
                <w:b/>
                <w:i w:val="0"/>
                <w:color w:val="BF9000"/>
                <w:sz w:val="15"/>
              </w:rPr>
              <w:t>Medium</w:t>
            </w:r>
          </w:p>
        </w:tc>
        <w:tc>
          <w:tcPr>
            <w:tcW w:type="dxa" w:w="3744"/>
          </w:tcPr>
          <w:p>
            <w:pPr>
              <w:spacing w:after="20"/>
            </w:pPr>
            <w:r/>
            <w:r>
              <w:rPr>
                <w:b/>
                <w:i w:val="0"/>
                <w:sz w:val="15"/>
              </w:rPr>
              <w:t>Ask:</w:t>
            </w:r>
            <w:r>
              <w:rPr>
                <w:b w:val="0"/>
                <w:i w:val="0"/>
                <w:sz w:val="15"/>
              </w:rPr>
              <w:t xml:space="preserve"> for-cause audits at Controller’s cost on reasonable notice; Processor to secure audit-through rights from sub-processors and facilitate access; allow disclosure of results to Controller’s professional advisers, auditors, insurers and regulators under confidentiality.</w:t>
            </w:r>
          </w:p>
        </w:tc>
      </w:tr>
      <w:tr>
        <w:tc>
          <w:tcPr>
            <w:tcW w:type="dxa" w:w="648"/>
          </w:tcPr>
          <w:p>
            <w:pPr>
              <w:spacing w:after="20"/>
            </w:pPr>
            <w:r/>
            <w:r>
              <w:rPr>
                <w:b w:val="0"/>
                <w:i w:val="0"/>
                <w:sz w:val="15"/>
              </w:rPr>
              <w:t>D-29</w:t>
            </w:r>
          </w:p>
        </w:tc>
        <w:tc>
          <w:tcPr>
            <w:tcW w:type="dxa" w:w="1512"/>
          </w:tcPr>
          <w:p>
            <w:pPr>
              <w:spacing w:after="20"/>
            </w:pPr>
            <w:r/>
            <w:r>
              <w:rPr>
                <w:b/>
                <w:i w:val="0"/>
                <w:sz w:val="15"/>
              </w:rPr>
              <w:t>10 Retention/deletion</w:t>
            </w:r>
          </w:p>
          <w:p>
            <w:pPr>
              <w:spacing w:after="20"/>
            </w:pPr>
            <w:r>
              <w:rPr>
                <w:b w:val="0"/>
                <w:i w:val="0"/>
                <w:sz w:val="15"/>
              </w:rPr>
              <w:t>Req. 10.1 (T1); 14.3 (T1); BAA-12</w:t>
            </w:r>
          </w:p>
        </w:tc>
        <w:tc>
          <w:tcPr>
            <w:tcW w:type="dxa" w:w="2952"/>
          </w:tcPr>
          <w:p>
            <w:pPr>
              <w:spacing w:after="20"/>
            </w:pPr>
            <w:r/>
            <w:r>
              <w:rPr>
                <w:b w:val="0"/>
                <w:i w:val="0"/>
                <w:sz w:val="15"/>
              </w:rPr>
              <w:t xml:space="preserve">§ 11.2: delete all Customer Data within </w:t>
            </w:r>
            <w:r>
              <w:rPr>
                <w:b/>
                <w:i w:val="0"/>
                <w:sz w:val="15"/>
              </w:rPr>
              <w:t>90 calendar days</w:t>
            </w:r>
            <w:r>
              <w:rPr>
                <w:b w:val="0"/>
                <w:i w:val="0"/>
                <w:sz w:val="15"/>
              </w:rPr>
              <w:t xml:space="preserve"> after termination. No return option. BAA § B.5.2: return or destroy “in accordance with Section 11.”</w:t>
            </w:r>
          </w:p>
        </w:tc>
        <w:tc>
          <w:tcPr>
            <w:tcW w:type="dxa" w:w="3960"/>
          </w:tcPr>
          <w:p>
            <w:pPr>
              <w:spacing w:after="20"/>
            </w:pPr>
            <w:r/>
            <w:r>
              <w:rPr>
                <w:b w:val="0"/>
                <w:i w:val="0"/>
                <w:sz w:val="15"/>
              </w:rPr>
              <w:t>Three times the 30-day requirement and double the 45-day fallback. No Controller election to return rather than delete, and no data-export obligation. That matters for continuity of patient communications and for transition (see D-45).</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mandatory language. At Controller’s election, return (in a commonly used, machine-readable format, a Tier 3 point) and/or delete within 30 calendar days.</w:t>
            </w:r>
          </w:p>
          <w:p>
            <w:pPr>
              <w:spacing w:after="20"/>
            </w:pPr>
            <w:r>
              <w:rPr>
                <w:b/>
                <w:i w:val="0"/>
                <w:sz w:val="15"/>
              </w:rPr>
              <w:t>Fallback:</w:t>
            </w:r>
            <w:r>
              <w:rPr>
                <w:b w:val="0"/>
                <w:i w:val="0"/>
                <w:sz w:val="15"/>
              </w:rPr>
              <w:t xml:space="preserve"> 45 calendar days absolute maximum.</w:t>
            </w:r>
          </w:p>
          <w:p>
            <w:pPr>
              <w:spacing w:after="20"/>
            </w:pPr>
            <w:r>
              <w:rPr>
                <w:b/>
                <w:i w:val="0"/>
                <w:sz w:val="15"/>
              </w:rPr>
              <w:t>Walk-away:</w:t>
            </w:r>
            <w:r>
              <w:rPr>
                <w:b w:val="0"/>
                <w:i w:val="0"/>
                <w:sz w:val="15"/>
              </w:rPr>
              <w:t xml:space="preserve"> 90 days.</w:t>
            </w:r>
          </w:p>
        </w:tc>
      </w:tr>
      <w:tr>
        <w:tc>
          <w:tcPr>
            <w:tcW w:type="dxa" w:w="648"/>
          </w:tcPr>
          <w:p>
            <w:pPr>
              <w:spacing w:after="20"/>
            </w:pPr>
            <w:r/>
            <w:r>
              <w:rPr>
                <w:b w:val="0"/>
                <w:i w:val="0"/>
                <w:sz w:val="15"/>
              </w:rPr>
              <w:t>D-30</w:t>
            </w:r>
          </w:p>
        </w:tc>
        <w:tc>
          <w:tcPr>
            <w:tcW w:type="dxa" w:w="1512"/>
          </w:tcPr>
          <w:p>
            <w:pPr>
              <w:spacing w:after="20"/>
            </w:pPr>
            <w:r/>
            <w:r>
              <w:rPr>
                <w:b/>
                <w:i w:val="0"/>
                <w:sz w:val="15"/>
              </w:rPr>
              <w:t>10 Retention/deletion</w:t>
            </w:r>
          </w:p>
          <w:p>
            <w:pPr>
              <w:spacing w:after="20"/>
            </w:pPr>
            <w:r>
              <w:rPr>
                <w:b w:val="0"/>
                <w:i w:val="0"/>
                <w:sz w:val="15"/>
              </w:rPr>
              <w:t>Req. 10.2 (T1); BAA-12</w:t>
            </w:r>
          </w:p>
        </w:tc>
        <w:tc>
          <w:tcPr>
            <w:tcW w:type="dxa" w:w="2952"/>
          </w:tcPr>
          <w:p>
            <w:pPr>
              <w:spacing w:after="20"/>
            </w:pPr>
            <w:r/>
            <w:r>
              <w:rPr>
                <w:b w:val="0"/>
                <w:i w:val="0"/>
                <w:sz w:val="15"/>
              </w:rPr>
              <w:t>No certification of deletion anywhere in the DPA or BAA.</w:t>
            </w:r>
          </w:p>
        </w:tc>
        <w:tc>
          <w:tcPr>
            <w:tcW w:type="dxa" w:w="3960"/>
          </w:tcPr>
          <w:p>
            <w:pPr>
              <w:spacing w:after="20"/>
            </w:pPr>
            <w:r/>
            <w:r>
              <w:rPr>
                <w:b w:val="0"/>
                <w:i w:val="0"/>
                <w:sz w:val="15"/>
              </w:rPr>
              <w:t>The certification requirement is omitted entirely. The Playbook says certification is non-negotiable even under the fallback. It must be signed by an officer and cover copies, backups, archives and sub-processor environments.</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officer-signed certification within 10 business days of completing deletion, covering all copies, backups and sub-processor environments. Template and format are flexible (Tier 3).</w:t>
            </w:r>
          </w:p>
        </w:tc>
      </w:tr>
      <w:tr>
        <w:tc>
          <w:tcPr>
            <w:tcW w:type="dxa" w:w="648"/>
          </w:tcPr>
          <w:p>
            <w:pPr>
              <w:spacing w:after="20"/>
            </w:pPr>
            <w:r/>
            <w:r>
              <w:rPr>
                <w:b w:val="0"/>
                <w:i w:val="0"/>
                <w:sz w:val="15"/>
              </w:rPr>
              <w:t>D-31</w:t>
            </w:r>
          </w:p>
        </w:tc>
        <w:tc>
          <w:tcPr>
            <w:tcW w:type="dxa" w:w="1512"/>
          </w:tcPr>
          <w:p>
            <w:pPr>
              <w:spacing w:after="20"/>
            </w:pPr>
            <w:r/>
            <w:r>
              <w:rPr>
                <w:b/>
                <w:i w:val="0"/>
                <w:sz w:val="15"/>
              </w:rPr>
              <w:t>10 Retention/deletion</w:t>
            </w:r>
          </w:p>
          <w:p>
            <w:pPr>
              <w:spacing w:after="20"/>
            </w:pPr>
            <w:r>
              <w:rPr>
                <w:b w:val="0"/>
                <w:i w:val="0"/>
                <w:sz w:val="15"/>
              </w:rPr>
              <w:t>Req. 10.3 (T1); 13.5 (T1); BAA-12; BAA-20</w:t>
            </w:r>
          </w:p>
        </w:tc>
        <w:tc>
          <w:tcPr>
            <w:tcW w:type="dxa" w:w="2952"/>
          </w:tcPr>
          <w:p>
            <w:pPr>
              <w:spacing w:after="20"/>
            </w:pPr>
            <w:r/>
            <w:r>
              <w:rPr>
                <w:b w:val="0"/>
                <w:i w:val="0"/>
                <w:sz w:val="15"/>
              </w:rPr>
              <w:t>§ 11.3: Processor may retain De-Identified Data and aggregated data “</w:t>
            </w:r>
            <w:r>
              <w:rPr>
                <w:b/>
                <w:i w:val="0"/>
                <w:sz w:val="15"/>
              </w:rPr>
              <w:t>indefinitely</w:t>
            </w:r>
            <w:r>
              <w:rPr>
                <w:b w:val="0"/>
                <w:i w:val="0"/>
                <w:sz w:val="15"/>
              </w:rPr>
              <w:t xml:space="preserve"> for purposes of product improvement, benchmarking, analytics, and the development of Processor’s products and services,” exempt from deletion. § 14.2 carves the same data out of survival. § 11.4: backups deleted only when “scheduled for overwriting … in the ordinary course,” with no outside date.</w:t>
            </w:r>
          </w:p>
        </w:tc>
        <w:tc>
          <w:tcPr>
            <w:tcW w:type="dxa" w:w="3960"/>
          </w:tcPr>
          <w:p>
            <w:pPr>
              <w:spacing w:after="20"/>
            </w:pPr>
            <w:r/>
            <w:r>
              <w:rPr>
                <w:b w:val="0"/>
                <w:i w:val="0"/>
                <w:sz w:val="15"/>
              </w:rPr>
              <w:t>This is the Playbook’s textbook prohibited clause (“indefinitely for product improvement and benchmarking”). Retention of Derived Data is permitted only where the law requires it. Re-identification risk is acute for a 1.4M-record dataset. The backup carve-out has no time limit and conflicts with the certification requirement. § 11.2’s legal-hold exception is broadly acceptable, but it should require citation of the specific legal requirement and minimum-necessary retention.</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delete § 11.3. No retention of Personal Data, PHI or Derived Data except as affirmatively required by law (citing the statute or order), limited to the minimum, still protected and used for no other purpose. Backups must be purged or crypto-shredded within a defined outer period (e.g., 30–45 days), and any data in backups until then may not be restored or used.</w:t>
            </w:r>
          </w:p>
          <w:p>
            <w:pPr>
              <w:spacing w:after="20"/>
            </w:pPr>
            <w:r>
              <w:rPr>
                <w:b/>
                <w:i w:val="0"/>
                <w:sz w:val="15"/>
              </w:rPr>
              <w:t>Fallback (Playbook):</w:t>
            </w:r>
            <w:r>
              <w:rPr>
                <w:b w:val="0"/>
                <w:i w:val="0"/>
                <w:sz w:val="15"/>
              </w:rPr>
              <w:t xml:space="preserve"> retention of Derived Data only on proof of a specific legal requirement, not a commercial interest.</w:t>
            </w:r>
          </w:p>
          <w:p>
            <w:pPr>
              <w:spacing w:after="20"/>
            </w:pPr>
            <w:r>
              <w:rPr>
                <w:b/>
                <w:i w:val="0"/>
                <w:sz w:val="15"/>
              </w:rPr>
              <w:t>Walk-away:</w:t>
            </w:r>
            <w:r>
              <w:rPr>
                <w:b w:val="0"/>
                <w:i w:val="0"/>
                <w:sz w:val="15"/>
              </w:rPr>
              <w:t xml:space="preserve"> any commercial-purpose retention.</w:t>
            </w:r>
          </w:p>
        </w:tc>
      </w:tr>
      <w:tr>
        <w:tc>
          <w:tcPr>
            <w:tcW w:type="dxa" w:w="648"/>
          </w:tcPr>
          <w:p>
            <w:pPr>
              <w:spacing w:after="20"/>
            </w:pPr>
            <w:r/>
            <w:r>
              <w:rPr>
                <w:b w:val="0"/>
                <w:i w:val="0"/>
                <w:sz w:val="15"/>
              </w:rPr>
              <w:t>D-32</w:t>
            </w:r>
          </w:p>
        </w:tc>
        <w:tc>
          <w:tcPr>
            <w:tcW w:type="dxa" w:w="1512"/>
          </w:tcPr>
          <w:p>
            <w:pPr>
              <w:spacing w:after="20"/>
            </w:pPr>
            <w:r/>
            <w:r>
              <w:rPr>
                <w:b/>
                <w:i w:val="0"/>
                <w:sz w:val="15"/>
              </w:rPr>
              <w:t>10 Retention/deletion</w:t>
            </w:r>
          </w:p>
          <w:p>
            <w:pPr>
              <w:spacing w:after="20"/>
            </w:pPr>
            <w:r>
              <w:rPr>
                <w:b w:val="0"/>
                <w:i w:val="0"/>
                <w:sz w:val="15"/>
              </w:rPr>
              <w:t>Req. 10.4 (T2→T1)</w:t>
            </w:r>
          </w:p>
        </w:tc>
        <w:tc>
          <w:tcPr>
            <w:tcW w:type="dxa" w:w="2952"/>
          </w:tcPr>
          <w:p>
            <w:pPr>
              <w:spacing w:after="20"/>
            </w:pPr>
            <w:r/>
            <w:r>
              <w:rPr>
                <w:b w:val="0"/>
                <w:i w:val="0"/>
                <w:sz w:val="15"/>
              </w:rPr>
              <w:t>§ 11.1: retain only as long as necessary; not longer than reasonably necessary for Exhibit A purposes.</w:t>
            </w:r>
          </w:p>
        </w:tc>
        <w:tc>
          <w:tcPr>
            <w:tcW w:type="dxa" w:w="3960"/>
          </w:tcPr>
          <w:p>
            <w:pPr>
              <w:spacing w:after="20"/>
            </w:pPr>
            <w:r/>
            <w:r>
              <w:rPr>
                <w:b w:val="0"/>
                <w:i w:val="0"/>
                <w:sz w:val="15"/>
              </w:rPr>
              <w:t>Substantially compliant. Missing: alignment with Bellweather’s retention schedule and periodic review and deletion.</w:t>
            </w:r>
          </w:p>
        </w:tc>
        <w:tc>
          <w:tcPr>
            <w:tcW w:type="dxa" w:w="1008"/>
          </w:tcPr>
          <w:p>
            <w:pPr>
              <w:spacing w:after="20"/>
            </w:pPr>
            <w:r>
              <w:rPr>
                <w:b/>
                <w:color w:val="548235"/>
              </w:rPr>
            </w:r>
            <w:r>
              <w:rPr>
                <w:b/>
                <w:i w:val="0"/>
                <w:color w:val="548235"/>
                <w:sz w:val="15"/>
              </w:rPr>
              <w:t>Low</w:t>
            </w:r>
          </w:p>
        </w:tc>
        <w:tc>
          <w:tcPr>
            <w:tcW w:type="dxa" w:w="3744"/>
          </w:tcPr>
          <w:p>
            <w:pPr>
              <w:spacing w:after="20"/>
            </w:pPr>
            <w:r/>
            <w:r>
              <w:rPr>
                <w:b/>
                <w:i w:val="0"/>
                <w:sz w:val="15"/>
              </w:rPr>
              <w:t>Ask:</w:t>
            </w:r>
            <w:r>
              <w:rPr>
                <w:b w:val="0"/>
                <w:i w:val="0"/>
                <w:sz w:val="15"/>
              </w:rPr>
              <w:t xml:space="preserve"> conform to Controller’s retention schedule as provided; periodic review and deletion of data no longer needed.</w:t>
            </w:r>
          </w:p>
        </w:tc>
      </w:tr>
      <w:tr>
        <w:tc>
          <w:tcPr>
            <w:tcW w:type="dxa" w:w="648"/>
          </w:tcPr>
          <w:p>
            <w:pPr>
              <w:spacing w:after="20"/>
            </w:pPr>
            <w:r/>
            <w:r>
              <w:rPr>
                <w:b w:val="0"/>
                <w:i w:val="0"/>
                <w:sz w:val="15"/>
              </w:rPr>
              <w:t>D-33</w:t>
            </w:r>
          </w:p>
        </w:tc>
        <w:tc>
          <w:tcPr>
            <w:tcW w:type="dxa" w:w="1512"/>
          </w:tcPr>
          <w:p>
            <w:pPr>
              <w:spacing w:after="20"/>
            </w:pPr>
            <w:r/>
            <w:r>
              <w:rPr>
                <w:b/>
                <w:i w:val="0"/>
                <w:sz w:val="15"/>
              </w:rPr>
              <w:t>11 Liability</w:t>
            </w:r>
          </w:p>
          <w:p>
            <w:pPr>
              <w:spacing w:after="20"/>
            </w:pPr>
            <w:r>
              <w:rPr>
                <w:b w:val="0"/>
                <w:i w:val="0"/>
                <w:sz w:val="15"/>
              </w:rPr>
              <w:t>Req. 11.1, 11.2 (T1)</w:t>
            </w:r>
          </w:p>
        </w:tc>
        <w:tc>
          <w:tcPr>
            <w:tcW w:type="dxa" w:w="2952"/>
          </w:tcPr>
          <w:p>
            <w:pPr>
              <w:spacing w:after="20"/>
            </w:pPr>
            <w:r/>
            <w:r>
              <w:rPr>
                <w:b w:val="0"/>
                <w:i w:val="0"/>
                <w:sz w:val="15"/>
              </w:rPr>
              <w:t xml:space="preserve">§ 12.1: aggregate DPA cap = fees paid in the </w:t>
            </w:r>
            <w:r>
              <w:rPr>
                <w:b/>
                <w:i w:val="0"/>
                <w:sz w:val="15"/>
              </w:rPr>
              <w:t>12 months preceding</w:t>
            </w:r>
            <w:r>
              <w:rPr>
                <w:b w:val="0"/>
                <w:i w:val="0"/>
                <w:sz w:val="15"/>
              </w:rPr>
              <w:t xml:space="preserve"> the event, covering all Processing claims, including Security Incidents and breach-notification failures. § 12.2: applies to all theories and to Sub-processor claims, in the aggregate, not per incident. § 12.3: the DPA cap is “separate from and in addition to” the MSA cap and governs Processing claims “exclusively.”</w:t>
            </w:r>
          </w:p>
        </w:tc>
        <w:tc>
          <w:tcPr>
            <w:tcW w:type="dxa" w:w="3960"/>
          </w:tcPr>
          <w:p>
            <w:pPr>
              <w:spacing w:after="20"/>
            </w:pPr>
            <w:r/>
            <w:r>
              <w:rPr>
                <w:b w:val="0"/>
                <w:i w:val="0"/>
                <w:sz w:val="15"/>
              </w:rPr>
              <w:t>The cap is about 1× annual fees, the level the Playbook calls a “significant shortfall.” The primary position is uncapped; the floor is 3× ACV (Playbook illustration: $1,920,000 ACV → $5,760,000 floor). The “fees paid in the preceding 12 months” look-back makes it worse: an incident in month 3 of year 1 would be capped at about three months’ fees. The aggregate (not per-incident) cap is used up by the first event. The 2022 incident alone cost more than $4,000,000 (86,000 records); the OCR settlement was $1.35M. § 12.3 is ambiguous: “in addition to” suggests stacking, but “exclusively” confines data claims to the DPA cap. Either way, data claims are capped, not carved out.</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data-protection liability (breach of the DPA/BAA, Security Incidents, violations of law, sub-processor acts, indemnities) excluded from all caps in the MSA and DPA, and from consequential-damages exclusions for notification, credit monitoring, forensics, regulatory fines and third-party claims.</w:t>
            </w:r>
          </w:p>
          <w:p>
            <w:pPr>
              <w:spacing w:after="20"/>
            </w:pPr>
            <w:r>
              <w:rPr>
                <w:b/>
                <w:i w:val="0"/>
                <w:sz w:val="15"/>
              </w:rPr>
              <w:t>Fallback (Playbook mandatory language):</w:t>
            </w:r>
            <w:r>
              <w:rPr>
                <w:b w:val="0"/>
                <w:i w:val="0"/>
                <w:sz w:val="15"/>
              </w:rPr>
              <w:t xml:space="preserve"> super-cap of no less than 3× ACV, assessed per contract year (not trailing fees paid) with a floor based on contracted ACV, separate from and not eroding the general MSA cap.</w:t>
            </w:r>
          </w:p>
          <w:p>
            <w:pPr>
              <w:spacing w:after="20"/>
            </w:pPr>
            <w:r>
              <w:rPr>
                <w:b/>
                <w:i w:val="0"/>
                <w:sz w:val="15"/>
              </w:rPr>
              <w:t>Walk-away:</w:t>
            </w:r>
            <w:r>
              <w:rPr>
                <w:b w:val="0"/>
                <w:i w:val="0"/>
                <w:sz w:val="15"/>
              </w:rPr>
              <w:t xml:space="preserve"> anything below 3× ACV (requires a CPO and GC risk-acceptance memo).</w:t>
            </w:r>
          </w:p>
        </w:tc>
      </w:tr>
      <w:tr>
        <w:tc>
          <w:tcPr>
            <w:tcW w:type="dxa" w:w="648"/>
          </w:tcPr>
          <w:p>
            <w:pPr>
              <w:spacing w:after="20"/>
            </w:pPr>
            <w:r/>
            <w:r>
              <w:rPr>
                <w:b w:val="0"/>
                <w:i w:val="0"/>
                <w:sz w:val="15"/>
              </w:rPr>
              <w:t>D-34</w:t>
            </w:r>
          </w:p>
        </w:tc>
        <w:tc>
          <w:tcPr>
            <w:tcW w:type="dxa" w:w="1512"/>
          </w:tcPr>
          <w:p>
            <w:pPr>
              <w:spacing w:after="20"/>
            </w:pPr>
            <w:r/>
            <w:r>
              <w:rPr>
                <w:b/>
                <w:i w:val="0"/>
                <w:sz w:val="15"/>
              </w:rPr>
              <w:t>11 Liability</w:t>
            </w:r>
          </w:p>
          <w:p>
            <w:pPr>
              <w:spacing w:after="20"/>
            </w:pPr>
            <w:r>
              <w:rPr>
                <w:b w:val="0"/>
                <w:i w:val="0"/>
                <w:sz w:val="15"/>
              </w:rPr>
              <w:t>Req. 11.3 (T1); 11.4 (T2→T1)</w:t>
            </w:r>
          </w:p>
        </w:tc>
        <w:tc>
          <w:tcPr>
            <w:tcW w:type="dxa" w:w="2952"/>
          </w:tcPr>
          <w:p>
            <w:pPr>
              <w:spacing w:after="20"/>
            </w:pPr>
            <w:r/>
            <w:r>
              <w:rPr>
                <w:b w:val="0"/>
                <w:i w:val="0"/>
                <w:sz w:val="15"/>
              </w:rPr>
              <w:t>No indemnification provision in the DPA or BAA. § 7.4 reserves Processor’s defenses.</w:t>
            </w:r>
          </w:p>
        </w:tc>
        <w:tc>
          <w:tcPr>
            <w:tcW w:type="dxa" w:w="3960"/>
          </w:tcPr>
          <w:p>
            <w:pPr>
              <w:spacing w:after="20"/>
            </w:pPr>
            <w:r/>
            <w:r>
              <w:rPr>
                <w:b w:val="0"/>
                <w:i w:val="0"/>
                <w:sz w:val="15"/>
              </w:rPr>
              <w:t>The Tier 1 indemnity is absent entirely: no defense or hold-harmless for DPA breaches, Security Incidents caused by Processor or sub-processors, violations of law, third-party claims, or regulatory fines, penalties and costs (notification, credit monitoring, forensics, call center).</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Playbook Req. 11.3 indemnity, including OCR civil monetary penalties and state AG costs to the extent permitted by law (Req. 11.4), outside the general cap.</w:t>
            </w:r>
          </w:p>
          <w:p>
            <w:pPr>
              <w:spacing w:after="20"/>
            </w:pPr>
            <w:r>
              <w:rPr>
                <w:b/>
                <w:i w:val="0"/>
                <w:sz w:val="15"/>
              </w:rPr>
              <w:t>Fallback:</w:t>
            </w:r>
            <w:r>
              <w:rPr>
                <w:b w:val="0"/>
                <w:i w:val="0"/>
                <w:sz w:val="15"/>
              </w:rPr>
              <w:t xml:space="preserve"> the indemnity may sit within the 3× ACV super-cap, but not within the 1× general cap.</w:t>
            </w:r>
          </w:p>
        </w:tc>
      </w:tr>
      <w:tr>
        <w:tc>
          <w:tcPr>
            <w:tcW w:type="dxa" w:w="648"/>
          </w:tcPr>
          <w:p>
            <w:pPr>
              <w:spacing w:after="20"/>
            </w:pPr>
            <w:r/>
            <w:r>
              <w:rPr>
                <w:b w:val="0"/>
                <w:i w:val="0"/>
                <w:sz w:val="15"/>
              </w:rPr>
              <w:t>D-35</w:t>
            </w:r>
          </w:p>
        </w:tc>
        <w:tc>
          <w:tcPr>
            <w:tcW w:type="dxa" w:w="1512"/>
          </w:tcPr>
          <w:p>
            <w:pPr>
              <w:spacing w:after="20"/>
            </w:pPr>
            <w:r/>
            <w:r>
              <w:rPr>
                <w:b/>
                <w:i w:val="0"/>
                <w:sz w:val="15"/>
              </w:rPr>
              <w:t>12 Insurance</w:t>
            </w:r>
          </w:p>
          <w:p>
            <w:pPr>
              <w:spacing w:after="20"/>
            </w:pPr>
            <w:r>
              <w:rPr>
                <w:b w:val="0"/>
                <w:i w:val="0"/>
                <w:sz w:val="15"/>
              </w:rPr>
              <w:t>Req. 12.1 (T1)</w:t>
            </w:r>
          </w:p>
        </w:tc>
        <w:tc>
          <w:tcPr>
            <w:tcW w:type="dxa" w:w="2952"/>
          </w:tcPr>
          <w:p>
            <w:pPr>
              <w:spacing w:after="20"/>
            </w:pPr>
            <w:r/>
            <w:r>
              <w:rPr>
                <w:b w:val="0"/>
                <w:i w:val="0"/>
                <w:sz w:val="15"/>
              </w:rPr>
              <w:t>§ 13.1: tech E&amp;O and cyber, each $5,000,000 per occurrence / $10,000,000 aggregate, A.M. Best A-; cyber includes network security, privacy, regulatory defense and penalties, and crisis management.</w:t>
            </w:r>
          </w:p>
        </w:tc>
        <w:tc>
          <w:tcPr>
            <w:tcW w:type="dxa" w:w="3960"/>
          </w:tcPr>
          <w:p>
            <w:pPr>
              <w:spacing w:after="20"/>
            </w:pPr>
            <w:r/>
            <w:r>
              <w:rPr>
                <w:b w:val="0"/>
                <w:i w:val="0"/>
                <w:sz w:val="15"/>
              </w:rPr>
              <w:t>Limits are half the Tier 1 requirement ($10M/$20M) and below the absolute-minimum fallback ($7.5M/$15M). The Playbook says coverage below the fallback is “not acceptable under any circumstances.” The coverage lines themselves are good.</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$10M per claim / $20M aggregate cyber (including tech E&amp;O, network security, privacy liability and breach response).</w:t>
            </w:r>
          </w:p>
          <w:p>
            <w:pPr>
              <w:spacing w:after="20"/>
            </w:pPr>
            <w:r>
              <w:rPr>
                <w:b/>
                <w:i w:val="0"/>
                <w:sz w:val="15"/>
              </w:rPr>
              <w:t>Fallback (Playbook):</w:t>
            </w:r>
            <w:r>
              <w:rPr>
                <w:b w:val="0"/>
                <w:i w:val="0"/>
                <w:sz w:val="15"/>
              </w:rPr>
              <w:t xml:space="preserve"> $7.5M / $15M at signing, with a binding commitment to reach $10M / $20M within the first contract year (by 7/31/2026).</w:t>
            </w:r>
          </w:p>
          <w:p>
            <w:pPr>
              <w:spacing w:after="20"/>
            </w:pPr>
            <w:r>
              <w:rPr>
                <w:b/>
                <w:i w:val="0"/>
                <w:sz w:val="15"/>
              </w:rPr>
              <w:t>Walk-away:</w:t>
            </w:r>
            <w:r>
              <w:rPr>
                <w:b w:val="0"/>
                <w:i w:val="0"/>
                <w:sz w:val="15"/>
              </w:rPr>
              <w:t xml:space="preserve"> below $7.5M / $15M.</w:t>
            </w:r>
          </w:p>
        </w:tc>
      </w:tr>
      <w:tr>
        <w:tc>
          <w:tcPr>
            <w:tcW w:type="dxa" w:w="648"/>
          </w:tcPr>
          <w:p>
            <w:pPr>
              <w:spacing w:after="20"/>
            </w:pPr>
            <w:r/>
            <w:r>
              <w:rPr>
                <w:b w:val="0"/>
                <w:i w:val="0"/>
                <w:sz w:val="15"/>
              </w:rPr>
              <w:t>D-36</w:t>
            </w:r>
          </w:p>
        </w:tc>
        <w:tc>
          <w:tcPr>
            <w:tcW w:type="dxa" w:w="1512"/>
          </w:tcPr>
          <w:p>
            <w:pPr>
              <w:spacing w:after="20"/>
            </w:pPr>
            <w:r/>
            <w:r>
              <w:rPr>
                <w:b/>
                <w:i w:val="0"/>
                <w:sz w:val="15"/>
              </w:rPr>
              <w:t>12 Insurance</w:t>
            </w:r>
          </w:p>
          <w:p>
            <w:pPr>
              <w:spacing w:after="20"/>
            </w:pPr>
            <w:r>
              <w:rPr>
                <w:b w:val="0"/>
                <w:i w:val="0"/>
                <w:sz w:val="15"/>
              </w:rPr>
              <w:t>Req. 12.2 (T1); 12.3, 12.4 (T2→T1)</w:t>
            </w:r>
          </w:p>
        </w:tc>
        <w:tc>
          <w:tcPr>
            <w:tcW w:type="dxa" w:w="2952"/>
          </w:tcPr>
          <w:p>
            <w:pPr>
              <w:spacing w:after="20"/>
            </w:pPr>
            <w:r/>
            <w:r>
              <w:rPr>
                <w:b w:val="0"/>
                <w:i w:val="0"/>
                <w:sz w:val="15"/>
              </w:rPr>
              <w:t>§ 13.2: certificate on request, no more than once per 12 months, naming Controller as certificate holder; 30 days’ prior notice of material change, cancellation or non-renewal.</w:t>
            </w:r>
          </w:p>
        </w:tc>
        <w:tc>
          <w:tcPr>
            <w:tcW w:type="dxa" w:w="3960"/>
          </w:tcPr>
          <w:p>
            <w:pPr>
              <w:spacing w:after="20"/>
            </w:pPr>
            <w:r/>
            <w:r>
              <w:rPr>
                <w:b w:val="0"/>
                <w:i w:val="0"/>
                <w:sz w:val="15"/>
              </w:rPr>
              <w:t xml:space="preserve">Gaps: no certificate before execution; Controller is a certificate holder, not an </w:t>
            </w:r>
            <w:r>
              <w:rPr>
                <w:b/>
                <w:i w:val="0"/>
                <w:sz w:val="15"/>
              </w:rPr>
              <w:t>additional insured</w:t>
            </w:r>
            <w:r>
              <w:rPr>
                <w:b w:val="0"/>
                <w:i w:val="0"/>
                <w:sz w:val="15"/>
              </w:rPr>
              <w:t>; the certificate content (policy number, sublimits, material exclusions) is not specified; no plan to increase coverage if below minimums. The 30-day change notice is substantially compliant, but it must go directly to designated contacts and include a replacement-coverage plan.</w:t>
            </w:r>
          </w:p>
        </w:tc>
        <w:tc>
          <w:tcPr>
            <w:tcW w:type="dxa" w:w="1008"/>
          </w:tcPr>
          <w:p>
            <w:pPr>
              <w:spacing w:after="20"/>
            </w:pPr>
            <w:r>
              <w:rPr>
                <w:b/>
                <w:color w:val="BF9000"/>
              </w:rPr>
            </w:r>
            <w:r>
              <w:rPr>
                <w:b/>
                <w:i w:val="0"/>
                <w:color w:val="BF9000"/>
                <w:sz w:val="15"/>
              </w:rPr>
              <w:t>Medium</w:t>
            </w:r>
          </w:p>
        </w:tc>
        <w:tc>
          <w:tcPr>
            <w:tcW w:type="dxa" w:w="3744"/>
          </w:tcPr>
          <w:p>
            <w:pPr>
              <w:spacing w:after="20"/>
            </w:pPr>
            <w:r/>
            <w:r>
              <w:rPr>
                <w:b/>
                <w:i w:val="0"/>
                <w:sz w:val="15"/>
              </w:rPr>
              <w:t>Ask:</w:t>
            </w:r>
            <w:r>
              <w:rPr>
                <w:b w:val="0"/>
                <w:i w:val="0"/>
                <w:sz w:val="15"/>
              </w:rPr>
              <w:t xml:space="preserve"> certificate before signing and annually; Bellweather named as additional insured; sublimits and exclusions disclosed (especially regulatory and PCI/contract-penalty sublimits); 30-day direct notice with a replacement plan; a 60-day plan to reach the required limits (Req. 12.4).</w:t>
            </w:r>
          </w:p>
        </w:tc>
      </w:tr>
      <w:tr>
        <w:tc>
          <w:tcPr>
            <w:tcW w:type="dxa" w:w="648"/>
          </w:tcPr>
          <w:p>
            <w:pPr>
              <w:spacing w:after="20"/>
            </w:pPr>
            <w:r/>
            <w:r>
              <w:rPr>
                <w:b w:val="0"/>
                <w:i w:val="0"/>
                <w:sz w:val="15"/>
              </w:rPr>
              <w:t>D-37</w:t>
            </w:r>
          </w:p>
        </w:tc>
        <w:tc>
          <w:tcPr>
            <w:tcW w:type="dxa" w:w="1512"/>
          </w:tcPr>
          <w:p>
            <w:pPr>
              <w:spacing w:after="20"/>
            </w:pPr>
            <w:r/>
            <w:r>
              <w:rPr>
                <w:b/>
                <w:i w:val="0"/>
                <w:sz w:val="15"/>
              </w:rPr>
              <w:t>13 HIPAA</w:t>
            </w:r>
          </w:p>
          <w:p>
            <w:pPr>
              <w:spacing w:after="20"/>
            </w:pPr>
            <w:r>
              <w:rPr>
                <w:b w:val="0"/>
                <w:i w:val="0"/>
                <w:sz w:val="15"/>
              </w:rPr>
              <w:t>Req. 13.2 (T1); BAA-03</w:t>
            </w:r>
          </w:p>
        </w:tc>
        <w:tc>
          <w:tcPr>
            <w:tcW w:type="dxa" w:w="2952"/>
          </w:tcPr>
          <w:p>
            <w:pPr>
              <w:spacing w:after="20"/>
            </w:pPr>
            <w:r/>
            <w:r>
              <w:rPr>
                <w:b w:val="0"/>
                <w:i w:val="0"/>
                <w:sz w:val="15"/>
              </w:rPr>
              <w:t>BAA § B.2.1: Business Associate “shall use PHI only as permitted by the Agreement and applicable law.” No minimum-necessary clause.</w:t>
            </w:r>
          </w:p>
        </w:tc>
        <w:tc>
          <w:tcPr>
            <w:tcW w:type="dxa" w:w="3960"/>
          </w:tcPr>
          <w:p>
            <w:pPr>
              <w:spacing w:after="20"/>
            </w:pPr>
            <w:r/>
            <w:r>
              <w:rPr>
                <w:b w:val="0"/>
                <w:i w:val="0"/>
                <w:sz w:val="15"/>
              </w:rPr>
              <w:t>The Playbook and the Checklist both say this exact formulation is insufficient. An explicit, standalone clause citing 45 CFR § 164.502(b) and § 164.514(d) is required, with supporting policies and procedures.</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insert the Checklist BAA-03 language verbatim. Low cost for Cumulus; a regulatory best practice.</w:t>
            </w:r>
          </w:p>
        </w:tc>
      </w:tr>
      <w:tr>
        <w:tc>
          <w:tcPr>
            <w:tcW w:type="dxa" w:w="648"/>
          </w:tcPr>
          <w:p>
            <w:pPr>
              <w:spacing w:after="20"/>
            </w:pPr>
            <w:r/>
            <w:r>
              <w:rPr>
                <w:b w:val="0"/>
                <w:i w:val="0"/>
                <w:sz w:val="15"/>
              </w:rPr>
              <w:t>D-38</w:t>
            </w:r>
          </w:p>
        </w:tc>
        <w:tc>
          <w:tcPr>
            <w:tcW w:type="dxa" w:w="1512"/>
          </w:tcPr>
          <w:p>
            <w:pPr>
              <w:spacing w:after="20"/>
            </w:pPr>
            <w:r/>
            <w:r>
              <w:rPr>
                <w:b/>
                <w:i w:val="0"/>
                <w:sz w:val="15"/>
              </w:rPr>
              <w:t>13 HIPAA</w:t>
            </w:r>
          </w:p>
          <w:p>
            <w:pPr>
              <w:spacing w:after="20"/>
            </w:pPr>
            <w:r>
              <w:rPr>
                <w:b w:val="0"/>
                <w:i w:val="0"/>
                <w:sz w:val="15"/>
              </w:rPr>
              <w:t>Req. 13.3 (T1); BAA-10</w:t>
            </w:r>
          </w:p>
        </w:tc>
        <w:tc>
          <w:tcPr>
            <w:tcW w:type="dxa" w:w="2952"/>
          </w:tcPr>
          <w:p>
            <w:pPr>
              <w:spacing w:after="20"/>
            </w:pPr>
            <w:r/>
            <w:r>
              <w:rPr>
                <w:b w:val="0"/>
                <w:i w:val="0"/>
                <w:sz w:val="15"/>
              </w:rPr>
              <w:t xml:space="preserve">BAA § B.3.6: disclosure records kept for </w:t>
            </w:r>
            <w:r>
              <w:rPr>
                <w:b/>
                <w:i w:val="0"/>
                <w:sz w:val="15"/>
              </w:rPr>
              <w:t>three (3) years</w:t>
            </w:r>
            <w:r>
              <w:rPr>
                <w:b w:val="0"/>
                <w:i w:val="0"/>
                <w:sz w:val="15"/>
              </w:rPr>
              <w:t>; made available within 30 days.</w:t>
            </w:r>
          </w:p>
        </w:tc>
        <w:tc>
          <w:tcPr>
            <w:tcW w:type="dxa" w:w="3960"/>
          </w:tcPr>
          <w:p>
            <w:pPr>
              <w:spacing w:after="20"/>
            </w:pPr>
            <w:r/>
            <w:r>
              <w:rPr>
                <w:b w:val="0"/>
                <w:i w:val="0"/>
                <w:sz w:val="15"/>
              </w:rPr>
              <w:t xml:space="preserve">This is a regulatory defect, not just a Playbook gap. 45 CFR § 164.528(a)(1) gives individuals an accounting of disclosures for the </w:t>
            </w:r>
            <w:r>
              <w:rPr>
                <w:b/>
                <w:i w:val="0"/>
                <w:sz w:val="15"/>
              </w:rPr>
              <w:t>six years</w:t>
            </w:r>
            <w:r>
              <w:rPr>
                <w:b w:val="0"/>
                <w:i w:val="0"/>
                <w:sz w:val="15"/>
              </w:rPr>
              <w:t xml:space="preserve"> before the request, so 3-year retention leaves Bellweather unable to comply. The 30-day production time also exceeds the Checklist’s 10 business days.</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6 years from the date of disclosure or of the last accounting, whichever is later; produce within 10 business days. Present this to Cumulus as a legal requirement, not a negotiating preference.</w:t>
            </w:r>
          </w:p>
        </w:tc>
      </w:tr>
      <w:tr>
        <w:tc>
          <w:tcPr>
            <w:tcW w:type="dxa" w:w="648"/>
          </w:tcPr>
          <w:p>
            <w:pPr>
              <w:spacing w:after="20"/>
            </w:pPr>
            <w:r/>
            <w:r>
              <w:rPr>
                <w:b w:val="0"/>
                <w:i w:val="0"/>
                <w:sz w:val="15"/>
              </w:rPr>
              <w:t>D-39</w:t>
            </w:r>
          </w:p>
        </w:tc>
        <w:tc>
          <w:tcPr>
            <w:tcW w:type="dxa" w:w="1512"/>
          </w:tcPr>
          <w:p>
            <w:pPr>
              <w:spacing w:after="20"/>
            </w:pPr>
            <w:r/>
            <w:r>
              <w:rPr>
                <w:b/>
                <w:i w:val="0"/>
                <w:sz w:val="15"/>
              </w:rPr>
              <w:t>13 HIPAA</w:t>
            </w:r>
          </w:p>
          <w:p>
            <w:pPr>
              <w:spacing w:after="20"/>
            </w:pPr>
            <w:r>
              <w:rPr>
                <w:b w:val="0"/>
                <w:i w:val="0"/>
                <w:sz w:val="15"/>
              </w:rPr>
              <w:t>Req. 13.4 (T1); BAA-15; BAA-17</w:t>
            </w:r>
          </w:p>
        </w:tc>
        <w:tc>
          <w:tcPr>
            <w:tcW w:type="dxa" w:w="2952"/>
          </w:tcPr>
          <w:p>
            <w:pPr>
              <w:spacing w:after="20"/>
            </w:pPr>
            <w:r/>
            <w:r>
              <w:rPr>
                <w:b w:val="0"/>
                <w:i w:val="0"/>
                <w:sz w:val="15"/>
              </w:rPr>
              <w:t>The HITECH Act appears only in the § 1.1 definition. No acknowledgment of business-associate direct liability or of the 42 USC § 17932 breach-notification duty.</w:t>
            </w:r>
          </w:p>
        </w:tc>
        <w:tc>
          <w:tcPr>
            <w:tcW w:type="dxa" w:w="3960"/>
          </w:tcPr>
          <w:p>
            <w:pPr>
              <w:spacing w:after="20"/>
            </w:pPr>
            <w:r/>
            <w:r>
              <w:rPr>
                <w:b w:val="0"/>
                <w:i w:val="0"/>
                <w:sz w:val="15"/>
              </w:rPr>
              <w:t>Both HITECH clauses are missing: the general acknowledgment (§§ 17931, 17934) and the breach-notification reference (§ 17932; 45 CFR § 164.410, “discovery” per § 164.410(a)(2)). This creates ambiguity over which timeline (contractual or statutory) applies and what content is required.</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insert the BAA-15 and BAA-17 language. The contractual 24-hour period applies in place of the 60-day statutory maximum.</w:t>
            </w:r>
          </w:p>
        </w:tc>
      </w:tr>
      <w:tr>
        <w:tc>
          <w:tcPr>
            <w:tcW w:type="dxa" w:w="648"/>
          </w:tcPr>
          <w:p>
            <w:pPr>
              <w:spacing w:after="20"/>
            </w:pPr>
            <w:r/>
            <w:r>
              <w:rPr>
                <w:b w:val="0"/>
                <w:i w:val="0"/>
                <w:sz w:val="15"/>
              </w:rPr>
              <w:t>D-40</w:t>
            </w:r>
          </w:p>
        </w:tc>
        <w:tc>
          <w:tcPr>
            <w:tcW w:type="dxa" w:w="1512"/>
          </w:tcPr>
          <w:p>
            <w:pPr>
              <w:spacing w:after="20"/>
            </w:pPr>
            <w:r/>
            <w:r>
              <w:rPr>
                <w:b/>
                <w:i w:val="0"/>
                <w:sz w:val="15"/>
              </w:rPr>
              <w:t>13 HIPAA</w:t>
            </w:r>
          </w:p>
          <w:p>
            <w:pPr>
              <w:spacing w:after="20"/>
            </w:pPr>
            <w:r>
              <w:rPr>
                <w:b w:val="0"/>
                <w:i w:val="0"/>
                <w:sz w:val="15"/>
              </w:rPr>
              <w:t>Req. 13.5 (T1); BAA-16; BAA-20</w:t>
            </w:r>
          </w:p>
        </w:tc>
        <w:tc>
          <w:tcPr>
            <w:tcW w:type="dxa" w:w="2952"/>
          </w:tcPr>
          <w:p>
            <w:pPr>
              <w:spacing w:after="20"/>
            </w:pPr>
            <w:r/>
            <w:r>
              <w:rPr>
                <w:b w:val="0"/>
                <w:i w:val="0"/>
                <w:sz w:val="15"/>
              </w:rPr>
              <w:t xml:space="preserve">DPA § 3.3: Processor may de-identify Customer Data; § 1.5: De-Identified Data is not Customer Data. BAA § B.2.4: Business Associate may de-identify PHI, and “De-Identified Data may be used by Business Associate </w:t>
            </w:r>
            <w:r>
              <w:rPr>
                <w:b/>
                <w:i w:val="0"/>
                <w:sz w:val="15"/>
              </w:rPr>
              <w:t>without restriction</w:t>
            </w:r>
            <w:r>
              <w:rPr>
                <w:b w:val="0"/>
                <w:i w:val="0"/>
                <w:sz w:val="15"/>
              </w:rPr>
              <w:t>.” § 11.3: indefinite retention for product development. Email: Redline benchmarking “across their customer base.” BAA silent on sale of PHI.</w:t>
            </w:r>
          </w:p>
        </w:tc>
        <w:tc>
          <w:tcPr>
            <w:tcW w:type="dxa" w:w="3960"/>
          </w:tcPr>
          <w:p>
            <w:pPr>
              <w:spacing w:after="20"/>
            </w:pPr>
            <w:r/>
            <w:r>
              <w:rPr>
                <w:b w:val="0"/>
                <w:i w:val="0"/>
                <w:sz w:val="15"/>
              </w:rPr>
              <w:t>The Checklist says a BAA permitting de-identification “without restriction” “must be rejected.” Cumulus has unilateral, self-certified de-identification rights with no consent, no method documentation, no expert requirement and no re-identification ban. Combined with Redline’s cross-customer benchmarking, this suggests Bellweather patient data is being turned into commercial value, which raises indirect-remuneration concerns under 42 USC § 17935(d). The BAA is silent on sale of PHI, which the Checklist says must be flagged Non-Compliant (BAA-16). Under § 2.3 and § 15.7, Exhibit B controls over the body, so the “without restriction” language prevails over § 3.2’s purpose limitation.</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no de-identification without prior written consent; if consented, expert determination or safe harbor with documentation; no commercial use (product improvement, benchmarking, analytics, model training, sale) without separate express consent; no re-identification; de-identified data deleted at termination; add BAA-16 sale-of-PHI prohibition.</w:t>
            </w:r>
          </w:p>
          <w:p>
            <w:pPr>
              <w:spacing w:after="20"/>
            </w:pPr>
            <w:r>
              <w:rPr>
                <w:b/>
                <w:i w:val="0"/>
                <w:sz w:val="15"/>
              </w:rPr>
              <w:t>Possible accommodation:</w:t>
            </w:r>
            <w:r>
              <w:rPr>
                <w:b w:val="0"/>
                <w:i w:val="0"/>
                <w:sz w:val="15"/>
              </w:rPr>
              <w:t xml:space="preserve"> consent to narrowly defined de-identified reporting delivered to Bellweather itself, performed in the U.S., with no cross-customer pooling.</w:t>
            </w:r>
          </w:p>
        </w:tc>
      </w:tr>
      <w:tr>
        <w:tc>
          <w:tcPr>
            <w:tcW w:type="dxa" w:w="648"/>
          </w:tcPr>
          <w:p>
            <w:pPr>
              <w:spacing w:after="20"/>
            </w:pPr>
            <w:r/>
            <w:r>
              <w:rPr>
                <w:b w:val="0"/>
                <w:i w:val="0"/>
                <w:sz w:val="15"/>
              </w:rPr>
              <w:t>D-41</w:t>
            </w:r>
          </w:p>
        </w:tc>
        <w:tc>
          <w:tcPr>
            <w:tcW w:type="dxa" w:w="1512"/>
          </w:tcPr>
          <w:p>
            <w:pPr>
              <w:spacing w:after="20"/>
            </w:pPr>
            <w:r/>
            <w:r>
              <w:rPr>
                <w:b/>
                <w:i w:val="0"/>
                <w:sz w:val="15"/>
              </w:rPr>
              <w:t>13 HIPAA</w:t>
            </w:r>
          </w:p>
          <w:p>
            <w:pPr>
              <w:spacing w:after="20"/>
            </w:pPr>
            <w:r>
              <w:rPr>
                <w:b w:val="0"/>
                <w:i w:val="0"/>
                <w:sz w:val="15"/>
              </w:rPr>
              <w:t>Req. 13.6 (T1) (§ 164.504(e)(2) elements)</w:t>
            </w:r>
          </w:p>
        </w:tc>
        <w:tc>
          <w:tcPr>
            <w:tcW w:type="dxa" w:w="2952"/>
          </w:tcPr>
          <w:p>
            <w:pPr>
              <w:spacing w:after="20"/>
            </w:pPr>
            <w:r/>
            <w:r>
              <w:rPr>
                <w:b w:val="0"/>
                <w:i w:val="0"/>
                <w:sz w:val="15"/>
              </w:rPr>
              <w:t>Exhibit B: B.2 (uses), B.3.2 (reporting), B.3.1 (safeguards), B.3.4 (access), B.3.5 (amendment), B.3.6 (accounting), B.3.7 (HHS access), B.5.2 (return/destroy), B.5.3 (termination).</w:t>
            </w:r>
          </w:p>
        </w:tc>
        <w:tc>
          <w:tcPr>
            <w:tcW w:type="dxa" w:w="3960"/>
          </w:tcPr>
          <w:p>
            <w:pPr>
              <w:spacing w:after="20"/>
            </w:pPr>
            <w:r/>
            <w:r>
              <w:rPr>
                <w:b w:val="0"/>
                <w:i w:val="0"/>
                <w:sz w:val="15"/>
              </w:rPr>
              <w:t xml:space="preserve">All nine topics are addressed in form, but several are deficient in substance: (b) reporting covers impermissible uses and Breaches but not </w:t>
            </w:r>
            <w:r>
              <w:rPr>
                <w:b/>
                <w:i w:val="0"/>
                <w:sz w:val="15"/>
              </w:rPr>
              <w:t>Security Incidents</w:t>
            </w:r>
            <w:r>
              <w:rPr>
                <w:b w:val="0"/>
                <w:i w:val="0"/>
                <w:sz w:val="15"/>
              </w:rPr>
              <w:t xml:space="preserve"> as § 164.314(a)(2)(i)(C) requires; (d), (e) and (f) have non-compliant timelines and retention (D-22, D-38); (h) is tied to the 90-day deletion with no certification (D-29, D-30); (i) B.5.3 allows termination of “this BAA” only, not the underlying Agreement (§ 164.504(e)(2)(iii) requires authority to terminate the contract), and allows a cure period of up to 30 days.</w:t>
            </w:r>
          </w:p>
        </w:tc>
        <w:tc>
          <w:tcPr>
            <w:tcW w:type="dxa" w:w="1008"/>
          </w:tcPr>
          <w:p>
            <w:pPr>
              <w:spacing w:after="20"/>
            </w:pPr>
            <w:r>
              <w:rPr>
                <w:b/>
                <w:color w:val="E26B0A"/>
              </w:rPr>
            </w:r>
            <w:r>
              <w:rPr>
                <w:b/>
                <w:i w:val="0"/>
                <w:color w:val="E26B0A"/>
                <w:sz w:val="15"/>
              </w:rPr>
              <w:t>High</w:t>
            </w:r>
          </w:p>
        </w:tc>
        <w:tc>
          <w:tcPr>
            <w:tcW w:type="dxa" w:w="3744"/>
          </w:tcPr>
          <w:p>
            <w:pPr>
              <w:spacing w:after="20"/>
            </w:pPr>
            <w:r/>
            <w:r>
              <w:rPr>
                <w:b/>
                <w:i w:val="0"/>
                <w:sz w:val="15"/>
              </w:rPr>
              <w:t>Ask:</w:t>
            </w:r>
            <w:r>
              <w:rPr>
                <w:b w:val="0"/>
                <w:i w:val="0"/>
                <w:sz w:val="15"/>
              </w:rPr>
              <w:t xml:space="preserve"> conform each element (see the Checklist matrix, Section 6). Termination right extends to the DPA, MSA and all affected services, with a 15-day cure and immediate termination where cure is not possible (BAA-13).</w:t>
            </w:r>
          </w:p>
        </w:tc>
      </w:tr>
      <w:tr>
        <w:tc>
          <w:tcPr>
            <w:tcW w:type="dxa" w:w="648"/>
          </w:tcPr>
          <w:p>
            <w:pPr>
              <w:spacing w:after="20"/>
            </w:pPr>
            <w:r/>
            <w:r>
              <w:rPr>
                <w:b w:val="0"/>
                <w:i w:val="0"/>
                <w:sz w:val="15"/>
              </w:rPr>
              <w:t>D-42</w:t>
            </w:r>
          </w:p>
        </w:tc>
        <w:tc>
          <w:tcPr>
            <w:tcW w:type="dxa" w:w="1512"/>
          </w:tcPr>
          <w:p>
            <w:pPr>
              <w:spacing w:after="20"/>
            </w:pPr>
            <w:r/>
            <w:r>
              <w:rPr>
                <w:b/>
                <w:i w:val="0"/>
                <w:sz w:val="15"/>
              </w:rPr>
              <w:t>13 HIPAA</w:t>
            </w:r>
          </w:p>
          <w:p>
            <w:pPr>
              <w:spacing w:after="20"/>
            </w:pPr>
            <w:r>
              <w:rPr>
                <w:b w:val="0"/>
                <w:i w:val="0"/>
                <w:sz w:val="15"/>
              </w:rPr>
              <w:t>Req. 13.7 (T2→T1)</w:t>
            </w:r>
          </w:p>
        </w:tc>
        <w:tc>
          <w:tcPr>
            <w:tcW w:type="dxa" w:w="2952"/>
          </w:tcPr>
          <w:p>
            <w:pPr>
              <w:spacing w:after="20"/>
            </w:pPr>
            <w:r/>
            <w:r>
              <w:rPr>
                <w:b w:val="0"/>
                <w:i w:val="0"/>
                <w:sz w:val="15"/>
              </w:rPr>
              <w:t>No reference to CMIA or other state health-privacy laws, beyond a generic “applicable state privacy laws” in § 1.1.</w:t>
            </w:r>
          </w:p>
        </w:tc>
        <w:tc>
          <w:tcPr>
            <w:tcW w:type="dxa" w:w="3960"/>
          </w:tcPr>
          <w:p>
            <w:pPr>
              <w:spacing w:after="20"/>
            </w:pPr>
            <w:r/>
            <w:r>
              <w:rPr>
                <w:b w:val="0"/>
                <w:i w:val="0"/>
                <w:sz w:val="15"/>
              </w:rPr>
              <w:t>Bellweather operates in 14 states, including California (CMIA). There is no duty to comply with the more stringent state rule, such as disclosure limits, shorter notice deadlines or extra individual rights.</w:t>
            </w:r>
          </w:p>
        </w:tc>
        <w:tc>
          <w:tcPr>
            <w:tcW w:type="dxa" w:w="1008"/>
          </w:tcPr>
          <w:p>
            <w:pPr>
              <w:spacing w:after="20"/>
            </w:pPr>
            <w:r>
              <w:rPr>
                <w:b/>
                <w:color w:val="BF9000"/>
              </w:rPr>
            </w:r>
            <w:r>
              <w:rPr>
                <w:b/>
                <w:i w:val="0"/>
                <w:color w:val="BF9000"/>
                <w:sz w:val="15"/>
              </w:rPr>
              <w:t>Medium</w:t>
            </w:r>
          </w:p>
        </w:tc>
        <w:tc>
          <w:tcPr>
            <w:tcW w:type="dxa" w:w="3744"/>
          </w:tcPr>
          <w:p>
            <w:pPr>
              <w:spacing w:after="20"/>
            </w:pPr>
            <w:r/>
            <w:r>
              <w:rPr>
                <w:b/>
                <w:i w:val="0"/>
                <w:sz w:val="15"/>
              </w:rPr>
              <w:t>Ask:</w:t>
            </w:r>
            <w:r>
              <w:rPr>
                <w:b w:val="0"/>
                <w:i w:val="0"/>
                <w:sz w:val="15"/>
              </w:rPr>
              <w:t xml:space="preserve"> comply with CMIA (Cal. Civ. Code § 56 et seq.) and analogous state laws; the more stringent requirement controls.</w:t>
            </w:r>
          </w:p>
        </w:tc>
      </w:tr>
      <w:tr>
        <w:tc>
          <w:tcPr>
            <w:tcW w:type="dxa" w:w="648"/>
          </w:tcPr>
          <w:p>
            <w:pPr>
              <w:spacing w:after="20"/>
            </w:pPr>
            <w:r/>
            <w:r>
              <w:rPr>
                <w:b w:val="0"/>
                <w:i w:val="0"/>
                <w:sz w:val="15"/>
              </w:rPr>
              <w:t>D-43</w:t>
            </w:r>
          </w:p>
        </w:tc>
        <w:tc>
          <w:tcPr>
            <w:tcW w:type="dxa" w:w="1512"/>
          </w:tcPr>
          <w:p>
            <w:pPr>
              <w:spacing w:after="20"/>
            </w:pPr>
            <w:r/>
            <w:r>
              <w:rPr>
                <w:b/>
                <w:i w:val="0"/>
                <w:sz w:val="15"/>
              </w:rPr>
              <w:t>14 Termination</w:t>
            </w:r>
          </w:p>
          <w:p>
            <w:pPr>
              <w:spacing w:after="20"/>
            </w:pPr>
            <w:r>
              <w:rPr>
                <w:b w:val="0"/>
                <w:i w:val="0"/>
                <w:sz w:val="15"/>
              </w:rPr>
              <w:t>Req. 14.1 (T1)</w:t>
            </w:r>
          </w:p>
        </w:tc>
        <w:tc>
          <w:tcPr>
            <w:tcW w:type="dxa" w:w="2952"/>
          </w:tcPr>
          <w:p>
            <w:pPr>
              <w:spacing w:after="20"/>
            </w:pPr>
            <w:r/>
            <w:r>
              <w:rPr>
                <w:b w:val="0"/>
                <w:i w:val="0"/>
                <w:sz w:val="15"/>
              </w:rPr>
              <w:t>DPA § 14 contains no Controller termination rights. The only right is BAA § B.5.3: terminate the BAA for material violation after a cure period of up to 30 days.</w:t>
            </w:r>
          </w:p>
        </w:tc>
        <w:tc>
          <w:tcPr>
            <w:tcW w:type="dxa" w:w="3960"/>
          </w:tcPr>
          <w:p>
            <w:pPr>
              <w:spacing w:after="20"/>
            </w:pPr>
            <w:r/>
            <w:r>
              <w:rPr>
                <w:b w:val="0"/>
                <w:i w:val="0"/>
                <w:sz w:val="15"/>
              </w:rPr>
              <w:t>Missing all three triggers: (a) material breach of data obligations with a 15-day cure; (b) immediate termination for a Security Incident affecting more than 1,000 Data Subjects; (c) violation of law. Termination is not tied to the MSA and services.</w:t>
            </w:r>
          </w:p>
        </w:tc>
        <w:tc>
          <w:tcPr>
            <w:tcW w:type="dxa" w:w="1008"/>
          </w:tcPr>
          <w:p>
            <w:pPr>
              <w:spacing w:after="20"/>
            </w:pPr>
            <w:r>
              <w:rPr>
                <w:b/>
                <w:color w:val="C00000"/>
              </w:rPr>
            </w:r>
            <w:r>
              <w:rPr>
                <w:b/>
                <w:i w:val="0"/>
                <w:color w:val="C00000"/>
                <w:sz w:val="15"/>
              </w:rPr>
              <w:t>Critical</w:t>
            </w:r>
          </w:p>
        </w:tc>
        <w:tc>
          <w:tcPr>
            <w:tcW w:type="dxa" w:w="3744"/>
          </w:tcPr>
          <w:p>
            <w:pPr>
              <w:spacing w:after="20"/>
            </w:pPr>
            <w:r/>
            <w:r>
              <w:rPr>
                <w:b/>
                <w:i w:val="0"/>
                <w:sz w:val="15"/>
              </w:rPr>
              <w:t>Ask:</w:t>
            </w:r>
            <w:r>
              <w:rPr>
                <w:b w:val="0"/>
                <w:i w:val="0"/>
                <w:sz w:val="15"/>
              </w:rPr>
              <w:t xml:space="preserve"> Req. 14.1 triggers, exercisable over the DPA, MSA and affected services without penalty or early-termination fees; immediate termination for persistent or wilful breaches.</w:t>
            </w:r>
          </w:p>
        </w:tc>
      </w:tr>
      <w:tr>
        <w:tc>
          <w:tcPr>
            <w:tcW w:type="dxa" w:w="648"/>
          </w:tcPr>
          <w:p>
            <w:pPr>
              <w:spacing w:after="20"/>
            </w:pPr>
            <w:r/>
            <w:r>
              <w:rPr>
                <w:b w:val="0"/>
                <w:i w:val="0"/>
                <w:sz w:val="15"/>
              </w:rPr>
              <w:t>D-44</w:t>
            </w:r>
          </w:p>
        </w:tc>
        <w:tc>
          <w:tcPr>
            <w:tcW w:type="dxa" w:w="1512"/>
          </w:tcPr>
          <w:p>
            <w:pPr>
              <w:spacing w:after="20"/>
            </w:pPr>
            <w:r/>
            <w:r>
              <w:rPr>
                <w:b/>
                <w:i w:val="0"/>
                <w:sz w:val="15"/>
              </w:rPr>
              <w:t>14 Termination</w:t>
            </w:r>
          </w:p>
          <w:p>
            <w:pPr>
              <w:spacing w:after="20"/>
            </w:pPr>
            <w:r>
              <w:rPr>
                <w:b w:val="0"/>
                <w:i w:val="0"/>
                <w:sz w:val="15"/>
              </w:rPr>
              <w:t>Req. 14.3 (T1); 14.4 (T2→T1)</w:t>
            </w:r>
          </w:p>
        </w:tc>
        <w:tc>
          <w:tcPr>
            <w:tcW w:type="dxa" w:w="2952"/>
          </w:tcPr>
          <w:p>
            <w:pPr>
              <w:spacing w:after="20"/>
            </w:pPr>
            <w:r/>
            <w:r>
              <w:rPr>
                <w:b w:val="0"/>
                <w:i w:val="0"/>
                <w:sz w:val="15"/>
              </w:rPr>
              <w:t>§ 14.2: obligations continue for retained data (except De-Identified/aggregated data). § 14.3 survival list: §§ 1, 4, 7, 9, 11, 12, 13, 15. § 14.1: DPA auto-renews with the MSA.</w:t>
            </w:r>
          </w:p>
        </w:tc>
        <w:tc>
          <w:tcPr>
            <w:tcW w:type="dxa" w:w="3960"/>
          </w:tcPr>
          <w:p>
            <w:pPr>
              <w:spacing w:after="20"/>
            </w:pPr>
            <w:r/>
            <w:r>
              <w:rPr>
                <w:b w:val="0"/>
                <w:i w:val="0"/>
                <w:sz w:val="15"/>
              </w:rPr>
              <w:t>The survival list omits § 3 (instructions), § 5 (sub-processors), § 6 (security), § 8 (transfers) and § 10 (DSR). § 14.2 partly closes the gap, but the express omission of § 6 invites argument. Indemnity cannot survive because none exists. The Derived Data carve-out conflicts with Req. 14.3. Survival must run until certification (D-30).</w:t>
            </w:r>
          </w:p>
        </w:tc>
        <w:tc>
          <w:tcPr>
            <w:tcW w:type="dxa" w:w="1008"/>
          </w:tcPr>
          <w:p>
            <w:pPr>
              <w:spacing w:after="20"/>
            </w:pPr>
            <w:r>
              <w:rPr>
                <w:b/>
                <w:color w:val="BF9000"/>
              </w:rPr>
            </w:r>
            <w:r>
              <w:rPr>
                <w:b/>
                <w:i w:val="0"/>
                <w:color w:val="BF9000"/>
                <w:sz w:val="15"/>
              </w:rPr>
              <w:t>Medium</w:t>
            </w:r>
          </w:p>
        </w:tc>
        <w:tc>
          <w:tcPr>
            <w:tcW w:type="dxa" w:w="3744"/>
          </w:tcPr>
          <w:p>
            <w:pPr>
              <w:spacing w:after="20"/>
            </w:pPr>
            <w:r/>
            <w:r>
              <w:rPr>
                <w:b/>
                <w:i w:val="0"/>
                <w:sz w:val="15"/>
              </w:rPr>
              <w:t>Ask:</w:t>
            </w:r>
            <w:r>
              <w:rPr>
                <w:b w:val="0"/>
                <w:i w:val="0"/>
                <w:sz w:val="15"/>
              </w:rPr>
              <w:t xml:space="preserve"> all data-protection obligations (confidentiality, security, transfers, sub-processors, breach notification, cooperation, indemnity, liability) survive until return or deletion is complete and certified. Remove the Derived Data carve-out.</w:t>
            </w:r>
          </w:p>
        </w:tc>
      </w:tr>
      <w:tr>
        <w:tc>
          <w:tcPr>
            <w:tcW w:type="dxa" w:w="648"/>
          </w:tcPr>
          <w:p>
            <w:pPr>
              <w:spacing w:after="20"/>
            </w:pPr>
            <w:r/>
            <w:r>
              <w:rPr>
                <w:b w:val="0"/>
                <w:i w:val="0"/>
                <w:sz w:val="15"/>
              </w:rPr>
              <w:t>D-45</w:t>
            </w:r>
          </w:p>
        </w:tc>
        <w:tc>
          <w:tcPr>
            <w:tcW w:type="dxa" w:w="1512"/>
          </w:tcPr>
          <w:p>
            <w:pPr>
              <w:spacing w:after="20"/>
            </w:pPr>
            <w:r/>
            <w:r>
              <w:rPr>
                <w:b/>
                <w:i w:val="0"/>
                <w:sz w:val="15"/>
              </w:rPr>
              <w:t>14 Termination</w:t>
            </w:r>
          </w:p>
          <w:p>
            <w:pPr>
              <w:spacing w:after="20"/>
            </w:pPr>
            <w:r>
              <w:rPr>
                <w:b w:val="0"/>
                <w:i w:val="0"/>
                <w:sz w:val="15"/>
              </w:rPr>
              <w:t>Req. 14.5 (T2→T1)</w:t>
            </w:r>
          </w:p>
        </w:tc>
        <w:tc>
          <w:tcPr>
            <w:tcW w:type="dxa" w:w="2952"/>
          </w:tcPr>
          <w:p>
            <w:pPr>
              <w:spacing w:after="20"/>
            </w:pPr>
            <w:r/>
            <w:r>
              <w:rPr>
                <w:b w:val="0"/>
                <w:i w:val="0"/>
                <w:sz w:val="15"/>
              </w:rPr>
              <w:t>No transition-assistance provision.</w:t>
            </w:r>
          </w:p>
        </w:tc>
        <w:tc>
          <w:tcPr>
            <w:tcW w:type="dxa" w:w="3960"/>
          </w:tcPr>
          <w:p>
            <w:pPr>
              <w:spacing w:after="20"/>
            </w:pPr>
            <w:r/>
            <w:r>
              <w:rPr>
                <w:b w:val="0"/>
                <w:i w:val="0"/>
                <w:sz w:val="15"/>
              </w:rPr>
              <w:t>No duty to help migrate to Bellweather or a successor, which matters for uninterrupted patient communications (appointment reminders, care-plan notices).</w:t>
            </w:r>
          </w:p>
        </w:tc>
        <w:tc>
          <w:tcPr>
            <w:tcW w:type="dxa" w:w="1008"/>
          </w:tcPr>
          <w:p>
            <w:pPr>
              <w:spacing w:after="20"/>
            </w:pPr>
            <w:r>
              <w:rPr>
                <w:b/>
                <w:color w:val="BF9000"/>
              </w:rPr>
            </w:r>
            <w:r>
              <w:rPr>
                <w:b/>
                <w:i w:val="0"/>
                <w:color w:val="BF9000"/>
                <w:sz w:val="15"/>
              </w:rPr>
              <w:t>Medium</w:t>
            </w:r>
          </w:p>
        </w:tc>
        <w:tc>
          <w:tcPr>
            <w:tcW w:type="dxa" w:w="3744"/>
          </w:tcPr>
          <w:p>
            <w:pPr>
              <w:spacing w:after="20"/>
            </w:pPr>
            <w:r/>
            <w:r>
              <w:rPr>
                <w:b/>
                <w:i w:val="0"/>
                <w:sz w:val="15"/>
              </w:rPr>
              <w:t>Ask:</w:t>
            </w:r>
            <w:r>
              <w:rPr>
                <w:b w:val="0"/>
                <w:i w:val="0"/>
                <w:sz w:val="15"/>
              </w:rPr>
              <w:t xml:space="preserve"> up to 90 days of transition assistance after termination: data export in an agreed machine-readable format, knowledge transfer and technical support, with DPA protections continuing throughout.</w:t>
            </w:r>
          </w:p>
        </w:tc>
      </w:tr>
      <w:tr>
        <w:tc>
          <w:tcPr>
            <w:tcW w:type="dxa" w:w="648"/>
          </w:tcPr>
          <w:p>
            <w:pPr>
              <w:spacing w:after="20"/>
            </w:pPr>
            <w:r/>
            <w:r>
              <w:rPr>
                <w:b w:val="0"/>
                <w:i w:val="0"/>
                <w:sz w:val="15"/>
              </w:rPr>
              <w:t>D-46</w:t>
            </w:r>
          </w:p>
        </w:tc>
        <w:tc>
          <w:tcPr>
            <w:tcW w:type="dxa" w:w="1512"/>
          </w:tcPr>
          <w:p>
            <w:pPr>
              <w:spacing w:after="20"/>
            </w:pPr>
            <w:r/>
            <w:r>
              <w:rPr>
                <w:b/>
                <w:i w:val="0"/>
                <w:sz w:val="15"/>
              </w:rPr>
              <w:t>Structural / outside Playbook</w:t>
            </w:r>
          </w:p>
          <w:p>
            <w:pPr>
              <w:spacing w:after="20"/>
            </w:pPr>
            <w:r>
              <w:rPr>
                <w:b w:val="0"/>
                <w:i w:val="0"/>
                <w:sz w:val="15"/>
              </w:rPr>
              <w:t>Playbook § 1.3 (commercial terms excluded); § 15.7 precedence</w:t>
            </w:r>
          </w:p>
        </w:tc>
        <w:tc>
          <w:tcPr>
            <w:tcW w:type="dxa" w:w="2952"/>
          </w:tcPr>
          <w:p>
            <w:pPr>
              <w:spacing w:after="20"/>
            </w:pPr>
            <w:r/>
            <w:r>
              <w:rPr>
                <w:b w:val="0"/>
                <w:i w:val="0"/>
                <w:sz w:val="15"/>
              </w:rPr>
              <w:t>§ 15.1 Oregon law; § 15.2 exclusive venue in Multnomah County, OR; § 14.1 auto-renewal; § 15.7 Exhibits control over the DPA body, and the DPA controls over the MSA for data matters.</w:t>
            </w:r>
          </w:p>
        </w:tc>
        <w:tc>
          <w:tcPr>
            <w:tcW w:type="dxa" w:w="3960"/>
          </w:tcPr>
          <w:p>
            <w:pPr>
              <w:spacing w:after="20"/>
            </w:pPr>
            <w:r/>
            <w:r>
              <w:rPr>
                <w:b w:val="0"/>
                <w:i w:val="0"/>
                <w:sz w:val="15"/>
              </w:rPr>
              <w:t>Governing law, venue and auto-renewal are outside the Playbook (commercial standards apply), so they are referred to the commercial contracting team. Bellweather is a Delaware corporation headquartered in Massachusetts and would normally seek Massachusetts or Delaware law and venue. The precedence clause has a privacy effect: because Exhibit B always controls, weaker BAA terms (e.g., B.2.4 “without restriction”) override stronger body terms.</w:t>
            </w:r>
          </w:p>
        </w:tc>
        <w:tc>
          <w:tcPr>
            <w:tcW w:type="dxa" w:w="1008"/>
          </w:tcPr>
          <w:p>
            <w:pPr>
              <w:spacing w:after="20"/>
            </w:pPr>
            <w:r>
              <w:rPr>
                <w:b/>
                <w:color w:val="BF9000"/>
              </w:rPr>
            </w:r>
            <w:r>
              <w:rPr>
                <w:b/>
                <w:i w:val="0"/>
                <w:color w:val="BF9000"/>
                <w:sz w:val="15"/>
              </w:rPr>
              <w:t>Medium</w:t>
            </w:r>
          </w:p>
        </w:tc>
        <w:tc>
          <w:tcPr>
            <w:tcW w:type="dxa" w:w="3744"/>
          </w:tcPr>
          <w:p>
            <w:pPr>
              <w:spacing w:after="20"/>
            </w:pPr>
            <w:r/>
            <w:r>
              <w:rPr>
                <w:b/>
                <w:i w:val="0"/>
                <w:sz w:val="15"/>
              </w:rPr>
              <w:t>Ask:</w:t>
            </w:r>
            <w:r>
              <w:rPr>
                <w:b w:val="0"/>
                <w:i w:val="0"/>
                <w:sz w:val="15"/>
              </w:rPr>
              <w:t xml:space="preserve"> replace with a “most protective provision controls” rule for Personal Data and PHI, so no Exhibit, MSA or order-form term can reduce DPA/BAA protections. Refer governing law, venue and auto-renewal to the MSA negotiation.</w:t>
            </w:r>
          </w:p>
        </w:tc>
      </w:tr>
    </w:tbl>
    <w:p>
      <w:pPr>
        <w:spacing w:after="40"/>
      </w:pPr>
    </w:p>
    <w:p>
      <w:pPr>
        <w:pStyle w:val="Heading1"/>
      </w:pPr>
      <w:r>
        <w:t>6. HIPAA BAA Checklist v2.1 Compliance Matrix (Exhibit B)</w:t>
      </w:r>
    </w:p>
    <w:p>
      <w:pPr>
        <w:spacing w:after="120"/>
      </w:pPr>
      <w:r>
        <w:rPr>
          <w:b w:val="0"/>
          <w:i w:val="0"/>
          <w:sz w:val="18"/>
        </w:rPr>
        <w:t xml:space="preserve">Result: </w:t>
      </w:r>
      <w:r>
        <w:rPr>
          <w:b/>
          <w:i w:val="0"/>
          <w:sz w:val="18"/>
        </w:rPr>
        <w:t>2 Compliant / 6 Partial / 14 Non-Compliant</w:t>
      </w:r>
      <w:r>
        <w:rPr>
          <w:b w:val="0"/>
          <w:i w:val="0"/>
          <w:sz w:val="18"/>
        </w:rPr>
        <w:t xml:space="preserve"> of 22. Under Checklist § 2, Step 4, each Partial or Non-Compliant item must be documented in this Deviation Report and escalated. Items marked ⚖ are defects measured against HIPAA itself, not only against Bellweather policy, and should not be risk-accepted.</w:t>
      </w:r>
    </w:p>
    <w:tbl>
      <w:tblPr>
        <w:tblStyle w:val="TableGrid"/>
        <w:tblW w:type="auto" w:w="0"/>
        <w:jc w:val="center"/>
        <w:tblLayout w:type="fixed"/>
        <w:tblLook w:firstColumn="1" w:firstRow="1" w:lastColumn="0" w:lastRow="0" w:noHBand="0" w:noVBand="1" w:val="04A0"/>
      </w:tblPr>
      <w:tblGrid>
        <w:gridCol w:w="936"/>
        <w:gridCol w:w="2232"/>
        <w:gridCol w:w="1368"/>
        <w:gridCol w:w="1655"/>
        <w:gridCol w:w="4608"/>
        <w:gridCol w:w="3024"/>
      </w:tblGrid>
      <w:tr>
        <w:trPr>
          <w:tblHeader w:val="true"/>
        </w:trPr>
        <w:tc>
          <w:tcPr>
            <w:tcW w:type="dxa" w:w="936"/>
            <w:shd w:val="clear" w:color="auto" w:fill="1F3864"/>
          </w:tcPr>
          <w:p>
            <w:r/>
            <w:r>
              <w:rPr>
                <w:b/>
                <w:color w:val="FFFFFF"/>
                <w:sz w:val="15"/>
              </w:rPr>
              <w:t>Req.</w:t>
            </w:r>
          </w:p>
        </w:tc>
        <w:tc>
          <w:tcPr>
            <w:tcW w:type="dxa" w:w="2232"/>
            <w:shd w:val="clear" w:color="auto" w:fill="1F3864"/>
          </w:tcPr>
          <w:p>
            <w:r/>
            <w:r>
              <w:rPr>
                <w:b/>
                <w:color w:val="FFFFFF"/>
                <w:sz w:val="15"/>
              </w:rPr>
              <w:t>Topic</w:t>
            </w:r>
          </w:p>
        </w:tc>
        <w:tc>
          <w:tcPr>
            <w:tcW w:type="dxa" w:w="1368"/>
            <w:shd w:val="clear" w:color="auto" w:fill="1F3864"/>
          </w:tcPr>
          <w:p>
            <w:r/>
            <w:r>
              <w:rPr>
                <w:b/>
                <w:color w:val="FFFFFF"/>
                <w:sz w:val="15"/>
              </w:rPr>
              <w:t>Status</w:t>
            </w:r>
          </w:p>
        </w:tc>
        <w:tc>
          <w:tcPr>
            <w:tcW w:type="dxa" w:w="1656"/>
            <w:shd w:val="clear" w:color="auto" w:fill="1F3864"/>
          </w:tcPr>
          <w:p>
            <w:r/>
            <w:r>
              <w:rPr>
                <w:b/>
                <w:color w:val="FFFFFF"/>
                <w:sz w:val="15"/>
              </w:rPr>
              <w:t>Cumulus ref.</w:t>
            </w:r>
          </w:p>
        </w:tc>
        <w:tc>
          <w:tcPr>
            <w:tcW w:type="dxa" w:w="4608"/>
            <w:shd w:val="clear" w:color="auto" w:fill="1F3864"/>
          </w:tcPr>
          <w:p>
            <w:r/>
            <w:r>
              <w:rPr>
                <w:b/>
                <w:color w:val="FFFFFF"/>
                <w:sz w:val="15"/>
              </w:rPr>
              <w:t>Gap</w:t>
            </w:r>
          </w:p>
        </w:tc>
        <w:tc>
          <w:tcPr>
            <w:tcW w:type="dxa" w:w="3024"/>
            <w:shd w:val="clear" w:color="auto" w:fill="1F3864"/>
          </w:tcPr>
          <w:p>
            <w:r/>
            <w:r>
              <w:rPr>
                <w:b/>
                <w:color w:val="FFFFFF"/>
                <w:sz w:val="15"/>
              </w:rPr>
              <w:t>Required fix (cross-ref)</w:t>
            </w:r>
          </w:p>
        </w:tc>
      </w:tr>
      <w:tr>
        <w:tc>
          <w:tcPr>
            <w:tcW w:type="dxa" w:w="936"/>
          </w:tcPr>
          <w:p>
            <w:pPr>
              <w:spacing w:after="20"/>
            </w:pPr>
            <w:r/>
            <w:r>
              <w:rPr>
                <w:b w:val="0"/>
                <w:i w:val="0"/>
                <w:sz w:val="15"/>
              </w:rPr>
              <w:t>BAA-01 ⚖</w:t>
            </w:r>
          </w:p>
        </w:tc>
        <w:tc>
          <w:tcPr>
            <w:tcW w:type="dxa" w:w="2232"/>
          </w:tcPr>
          <w:p>
            <w:pPr>
              <w:spacing w:after="20"/>
            </w:pPr>
            <w:r/>
            <w:r>
              <w:rPr>
                <w:b w:val="0"/>
                <w:i w:val="0"/>
                <w:sz w:val="15"/>
              </w:rPr>
              <w:t>Definitions (BA, PHI, ePHI, Security Incident)</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B.1; DPA §§ 1.9, 1.12</w:t>
            </w:r>
          </w:p>
        </w:tc>
        <w:tc>
          <w:tcPr>
            <w:tcW w:type="dxa" w:w="4608"/>
          </w:tcPr>
          <w:p>
            <w:pPr>
              <w:spacing w:after="20"/>
            </w:pPr>
            <w:r/>
            <w:r>
              <w:rPr>
                <w:b w:val="0"/>
                <w:i w:val="0"/>
                <w:sz w:val="15"/>
              </w:rPr>
              <w:t>B.1 defines BA, CE, PHI, Unsecured PHI and Breach, but not Security Incident. The only definition (DPA § 1.12) is “confirmed”-only and excludes attempted access, so it is narrower than § 164.304.</w:t>
            </w:r>
          </w:p>
        </w:tc>
        <w:tc>
          <w:tcPr>
            <w:tcW w:type="dxa" w:w="3024"/>
          </w:tcPr>
          <w:p>
            <w:pPr>
              <w:spacing w:after="20"/>
            </w:pPr>
            <w:r/>
            <w:r>
              <w:rPr>
                <w:b w:val="0"/>
                <w:i w:val="0"/>
                <w:sz w:val="15"/>
              </w:rPr>
              <w:t>Adopt § 164.304 / Checklist definition: confirmed and suspected, including attempted access (D-01).</w:t>
            </w:r>
          </w:p>
        </w:tc>
      </w:tr>
      <w:tr>
        <w:tc>
          <w:tcPr>
            <w:tcW w:type="dxa" w:w="936"/>
          </w:tcPr>
          <w:p>
            <w:pPr>
              <w:spacing w:after="20"/>
            </w:pPr>
            <w:r/>
            <w:r>
              <w:rPr>
                <w:b w:val="0"/>
                <w:i w:val="0"/>
                <w:sz w:val="15"/>
              </w:rPr>
              <w:t>BAA-02</w:t>
            </w:r>
          </w:p>
        </w:tc>
        <w:tc>
          <w:tcPr>
            <w:tcW w:type="dxa" w:w="2232"/>
          </w:tcPr>
          <w:p>
            <w:pPr>
              <w:spacing w:after="20"/>
            </w:pPr>
            <w:r/>
            <w:r>
              <w:rPr>
                <w:b w:val="0"/>
                <w:i w:val="0"/>
                <w:sz w:val="15"/>
              </w:rPr>
              <w:t>Permitted uses and disclosures</w:t>
            </w:r>
          </w:p>
        </w:tc>
        <w:tc>
          <w:tcPr>
            <w:tcW w:type="dxa" w:w="1368"/>
          </w:tcPr>
          <w:p>
            <w:pPr>
              <w:spacing w:after="20"/>
            </w:pPr>
            <w:r>
              <w:rPr>
                <w:b/>
                <w:color w:val="E26B0A"/>
              </w:rPr>
            </w:r>
            <w:r>
              <w:rPr>
                <w:b/>
                <w:i w:val="0"/>
                <w:color w:val="E26B0A"/>
                <w:sz w:val="15"/>
              </w:rPr>
              <w:t>Partial</w:t>
            </w:r>
          </w:p>
        </w:tc>
        <w:tc>
          <w:tcPr>
            <w:tcW w:type="dxa" w:w="1656"/>
          </w:tcPr>
          <w:p>
            <w:pPr>
              <w:spacing w:after="20"/>
            </w:pPr>
            <w:r/>
            <w:r>
              <w:rPr>
                <w:b w:val="0"/>
                <w:i w:val="0"/>
                <w:sz w:val="15"/>
              </w:rPr>
              <w:t>B.2.1–B.2.3</w:t>
            </w:r>
          </w:p>
        </w:tc>
        <w:tc>
          <w:tcPr>
            <w:tcW w:type="dxa" w:w="4608"/>
          </w:tcPr>
          <w:p>
            <w:pPr>
              <w:spacing w:after="20"/>
            </w:pPr>
            <w:r/>
            <w:r>
              <w:rPr>
                <w:b w:val="0"/>
                <w:i w:val="0"/>
                <w:sz w:val="15"/>
              </w:rPr>
              <w:t>Core language is present (B.2.1, B.2.2), and B.2.3 tracks § 164.504(e)(4). But B.2.4 creates a broad “own purposes” carve-out (unrestricted use of de-identified data), and B.2.2 exempts B.2.1 uses “as permitted by the Agreement” from the Privacy Rule test.</w:t>
            </w:r>
          </w:p>
        </w:tc>
        <w:tc>
          <w:tcPr>
            <w:tcW w:type="dxa" w:w="3024"/>
          </w:tcPr>
          <w:p>
            <w:pPr>
              <w:spacing w:after="20"/>
            </w:pPr>
            <w:r/>
            <w:r>
              <w:rPr>
                <w:b w:val="0"/>
                <w:i w:val="0"/>
                <w:sz w:val="15"/>
              </w:rPr>
              <w:t>Delete the B.2.4 carve-out; limit B.2.2 exceptions to § 164.504(e)(4) management/administration only.</w:t>
            </w:r>
          </w:p>
        </w:tc>
      </w:tr>
      <w:tr>
        <w:tc>
          <w:tcPr>
            <w:tcW w:type="dxa" w:w="936"/>
          </w:tcPr>
          <w:p>
            <w:pPr>
              <w:spacing w:after="20"/>
            </w:pPr>
            <w:r/>
            <w:r>
              <w:rPr>
                <w:b w:val="0"/>
                <w:i w:val="0"/>
                <w:sz w:val="15"/>
              </w:rPr>
              <w:t>BAA-03</w:t>
            </w:r>
          </w:p>
        </w:tc>
        <w:tc>
          <w:tcPr>
            <w:tcW w:type="dxa" w:w="2232"/>
          </w:tcPr>
          <w:p>
            <w:pPr>
              <w:spacing w:after="20"/>
            </w:pPr>
            <w:r/>
            <w:r>
              <w:rPr>
                <w:b w:val="0"/>
                <w:i w:val="0"/>
                <w:sz w:val="15"/>
              </w:rPr>
              <w:t>Minimum necessary</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B.2.1</w:t>
            </w:r>
          </w:p>
        </w:tc>
        <w:tc>
          <w:tcPr>
            <w:tcW w:type="dxa" w:w="4608"/>
          </w:tcPr>
          <w:p>
            <w:pPr>
              <w:spacing w:after="20"/>
            </w:pPr>
            <w:r/>
            <w:r>
              <w:rPr>
                <w:b w:val="0"/>
                <w:i w:val="0"/>
                <w:sz w:val="15"/>
              </w:rPr>
              <w:t>Only “as permitted by the Agreement and applicable law”, which the Checklist expressly says is insufficient. No standalone clause citing § 164.502(b) / § 164.514(d).</w:t>
            </w:r>
          </w:p>
        </w:tc>
        <w:tc>
          <w:tcPr>
            <w:tcW w:type="dxa" w:w="3024"/>
          </w:tcPr>
          <w:p>
            <w:pPr>
              <w:spacing w:after="20"/>
            </w:pPr>
            <w:r/>
            <w:r>
              <w:rPr>
                <w:b w:val="0"/>
                <w:i w:val="0"/>
                <w:sz w:val="15"/>
              </w:rPr>
              <w:t>Insert Checklist BAA-03 language verbatim (D-37).</w:t>
            </w:r>
          </w:p>
        </w:tc>
      </w:tr>
      <w:tr>
        <w:tc>
          <w:tcPr>
            <w:tcW w:type="dxa" w:w="936"/>
          </w:tcPr>
          <w:p>
            <w:pPr>
              <w:spacing w:after="20"/>
            </w:pPr>
            <w:r/>
            <w:r>
              <w:rPr>
                <w:b w:val="0"/>
                <w:i w:val="0"/>
                <w:sz w:val="15"/>
              </w:rPr>
              <w:t>BAA-04</w:t>
            </w:r>
          </w:p>
        </w:tc>
        <w:tc>
          <w:tcPr>
            <w:tcW w:type="dxa" w:w="2232"/>
          </w:tcPr>
          <w:p>
            <w:pPr>
              <w:spacing w:after="20"/>
            </w:pPr>
            <w:r/>
            <w:r>
              <w:rPr>
                <w:b w:val="0"/>
                <w:i w:val="0"/>
                <w:sz w:val="15"/>
              </w:rPr>
              <w:t>Prohibition on unauthorized use/disclosure</w:t>
            </w:r>
          </w:p>
        </w:tc>
        <w:tc>
          <w:tcPr>
            <w:tcW w:type="dxa" w:w="1368"/>
          </w:tcPr>
          <w:p>
            <w:pPr>
              <w:spacing w:after="20"/>
            </w:pPr>
            <w:r>
              <w:rPr>
                <w:b/>
                <w:color w:val="548235"/>
              </w:rPr>
            </w:r>
            <w:r>
              <w:rPr>
                <w:b/>
                <w:i w:val="0"/>
                <w:color w:val="548235"/>
                <w:sz w:val="15"/>
              </w:rPr>
              <w:t>Compliant</w:t>
            </w:r>
          </w:p>
        </w:tc>
        <w:tc>
          <w:tcPr>
            <w:tcW w:type="dxa" w:w="1656"/>
          </w:tcPr>
          <w:p>
            <w:pPr>
              <w:spacing w:after="20"/>
            </w:pPr>
            <w:r/>
            <w:r>
              <w:rPr>
                <w:b w:val="0"/>
                <w:i w:val="0"/>
                <w:sz w:val="15"/>
              </w:rPr>
              <w:t>B.2.1</w:t>
            </w:r>
          </w:p>
        </w:tc>
        <w:tc>
          <w:tcPr>
            <w:tcW w:type="dxa" w:w="4608"/>
          </w:tcPr>
          <w:p>
            <w:pPr>
              <w:spacing w:after="20"/>
            </w:pPr>
            <w:r/>
            <w:r>
              <w:rPr>
                <w:b w:val="0"/>
                <w:i w:val="0"/>
                <w:sz w:val="15"/>
              </w:rPr>
              <w:t>“shall not use or disclose PHI in any manner or for any purpose that is not expressly authorized by this BAA or the Agreement, except as Required by Law.”</w:t>
            </w:r>
          </w:p>
        </w:tc>
        <w:tc>
          <w:tcPr>
            <w:tcW w:type="dxa" w:w="3024"/>
          </w:tcPr>
          <w:p>
            <w:pPr>
              <w:spacing w:after="20"/>
            </w:pPr>
            <w:r/>
            <w:r>
              <w:rPr>
                <w:b w:val="0"/>
                <w:i w:val="0"/>
                <w:sz w:val="15"/>
              </w:rPr>
              <w:t>No change. Optionally restate as a standalone covenant.</w:t>
            </w:r>
          </w:p>
        </w:tc>
      </w:tr>
      <w:tr>
        <w:tc>
          <w:tcPr>
            <w:tcW w:type="dxa" w:w="936"/>
          </w:tcPr>
          <w:p>
            <w:pPr>
              <w:spacing w:after="20"/>
            </w:pPr>
            <w:r/>
            <w:r>
              <w:rPr>
                <w:b w:val="0"/>
                <w:i w:val="0"/>
                <w:sz w:val="15"/>
              </w:rPr>
              <w:t>BAA-05</w:t>
            </w:r>
          </w:p>
        </w:tc>
        <w:tc>
          <w:tcPr>
            <w:tcW w:type="dxa" w:w="2232"/>
          </w:tcPr>
          <w:p>
            <w:pPr>
              <w:spacing w:after="20"/>
            </w:pPr>
            <w:r/>
            <w:r>
              <w:rPr>
                <w:b w:val="0"/>
                <w:i w:val="0"/>
                <w:sz w:val="15"/>
              </w:rPr>
              <w:t>Safeguards / Security Rule</w:t>
            </w:r>
          </w:p>
        </w:tc>
        <w:tc>
          <w:tcPr>
            <w:tcW w:type="dxa" w:w="1368"/>
          </w:tcPr>
          <w:p>
            <w:pPr>
              <w:spacing w:after="20"/>
            </w:pPr>
            <w:r>
              <w:rPr>
                <w:b/>
                <w:color w:val="E26B0A"/>
              </w:rPr>
            </w:r>
            <w:r>
              <w:rPr>
                <w:b/>
                <w:i w:val="0"/>
                <w:color w:val="E26B0A"/>
                <w:sz w:val="15"/>
              </w:rPr>
              <w:t>Partial</w:t>
            </w:r>
          </w:p>
        </w:tc>
        <w:tc>
          <w:tcPr>
            <w:tcW w:type="dxa" w:w="1656"/>
          </w:tcPr>
          <w:p>
            <w:pPr>
              <w:spacing w:after="20"/>
            </w:pPr>
            <w:r/>
            <w:r>
              <w:rPr>
                <w:b w:val="0"/>
                <w:i w:val="0"/>
                <w:sz w:val="15"/>
              </w:rPr>
              <w:t>B.3.1; DPA § 6.2</w:t>
            </w:r>
          </w:p>
        </w:tc>
        <w:tc>
          <w:tcPr>
            <w:tcW w:type="dxa" w:w="4608"/>
          </w:tcPr>
          <w:p>
            <w:pPr>
              <w:spacing w:after="20"/>
            </w:pPr>
            <w:r/>
            <w:r>
              <w:rPr>
                <w:b w:val="0"/>
                <w:i w:val="0"/>
                <w:sz w:val="15"/>
              </w:rPr>
              <w:t>Security Rule compliance and the safeguards covenant are present. Encryption is not AES-256; at-rest encryption is limited to PHI databases; backups are encrypted only “where technically feasible.” HITRUST status is unclear.</w:t>
            </w:r>
          </w:p>
        </w:tc>
        <w:tc>
          <w:tcPr>
            <w:tcW w:type="dxa" w:w="3024"/>
          </w:tcPr>
          <w:p>
            <w:pPr>
              <w:spacing w:after="20"/>
            </w:pPr>
            <w:r/>
            <w:r>
              <w:rPr>
                <w:b w:val="0"/>
                <w:i w:val="0"/>
                <w:sz w:val="15"/>
              </w:rPr>
              <w:t>Add AES-256 at rest (all stores, backups) and TLS 1.2+ in transit to Exhibit B (D-12, D-14).</w:t>
            </w:r>
          </w:p>
        </w:tc>
      </w:tr>
      <w:tr>
        <w:tc>
          <w:tcPr>
            <w:tcW w:type="dxa" w:w="936"/>
          </w:tcPr>
          <w:p>
            <w:pPr>
              <w:spacing w:after="20"/>
            </w:pPr>
            <w:r/>
            <w:r>
              <w:rPr>
                <w:b w:val="0"/>
                <w:i w:val="0"/>
                <w:sz w:val="15"/>
              </w:rPr>
              <w:t>BAA-06 ⚖</w:t>
            </w:r>
          </w:p>
        </w:tc>
        <w:tc>
          <w:tcPr>
            <w:tcW w:type="dxa" w:w="2232"/>
          </w:tcPr>
          <w:p>
            <w:pPr>
              <w:spacing w:after="20"/>
            </w:pPr>
            <w:r/>
            <w:r>
              <w:rPr>
                <w:b w:val="0"/>
                <w:i w:val="0"/>
                <w:sz w:val="15"/>
              </w:rPr>
              <w:t>Reporting Security Incidents and Breaches – 24 hours</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B.3.2; B.4.1–B.4.2; DPA § 7</w:t>
            </w:r>
          </w:p>
        </w:tc>
        <w:tc>
          <w:tcPr>
            <w:tcW w:type="dxa" w:w="4608"/>
          </w:tcPr>
          <w:p>
            <w:pPr>
              <w:spacing w:after="20"/>
            </w:pPr>
            <w:r/>
            <w:r>
              <w:rPr>
                <w:b w:val="0"/>
                <w:i w:val="0"/>
                <w:sz w:val="15"/>
              </w:rPr>
              <w:t>72 hours after “confirmation”; Security Incidents (attempted/suspected) are not reportable; content is 2 of 5 elements plus individual identification.</w:t>
            </w:r>
          </w:p>
        </w:tc>
        <w:tc>
          <w:tcPr>
            <w:tcW w:type="dxa" w:w="3024"/>
          </w:tcPr>
          <w:p>
            <w:pPr>
              <w:spacing w:after="20"/>
            </w:pPr>
            <w:r/>
            <w:r>
              <w:rPr>
                <w:b w:val="0"/>
                <w:i w:val="0"/>
                <w:sz w:val="15"/>
              </w:rPr>
              <w:t>24 hours from discovery, confirmed or suspected; full five-element content (D-19, D-20).</w:t>
            </w:r>
          </w:p>
        </w:tc>
      </w:tr>
      <w:tr>
        <w:tc>
          <w:tcPr>
            <w:tcW w:type="dxa" w:w="936"/>
          </w:tcPr>
          <w:p>
            <w:pPr>
              <w:spacing w:after="20"/>
            </w:pPr>
            <w:r/>
            <w:r>
              <w:rPr>
                <w:b w:val="0"/>
                <w:i w:val="0"/>
                <w:sz w:val="15"/>
              </w:rPr>
              <w:t>BAA-07</w:t>
            </w:r>
          </w:p>
        </w:tc>
        <w:tc>
          <w:tcPr>
            <w:tcW w:type="dxa" w:w="2232"/>
          </w:tcPr>
          <w:p>
            <w:pPr>
              <w:spacing w:after="20"/>
            </w:pPr>
            <w:r/>
            <w:r>
              <w:rPr>
                <w:b w:val="0"/>
                <w:i w:val="0"/>
                <w:sz w:val="15"/>
              </w:rPr>
              <w:t>Subcontractors – same restrictions; full liability</w:t>
            </w:r>
          </w:p>
        </w:tc>
        <w:tc>
          <w:tcPr>
            <w:tcW w:type="dxa" w:w="1368"/>
          </w:tcPr>
          <w:p>
            <w:pPr>
              <w:spacing w:after="20"/>
            </w:pPr>
            <w:r>
              <w:rPr>
                <w:b/>
                <w:color w:val="E26B0A"/>
              </w:rPr>
            </w:r>
            <w:r>
              <w:rPr>
                <w:b/>
                <w:i w:val="0"/>
                <w:color w:val="E26B0A"/>
                <w:sz w:val="15"/>
              </w:rPr>
              <w:t>Partial</w:t>
            </w:r>
          </w:p>
        </w:tc>
        <w:tc>
          <w:tcPr>
            <w:tcW w:type="dxa" w:w="1656"/>
          </w:tcPr>
          <w:p>
            <w:pPr>
              <w:spacing w:after="20"/>
            </w:pPr>
            <w:r/>
            <w:r>
              <w:rPr>
                <w:b w:val="0"/>
                <w:i w:val="0"/>
                <w:sz w:val="15"/>
              </w:rPr>
              <w:t>B.3.3; DPA §§ 5.4, 5.5</w:t>
            </w:r>
          </w:p>
        </w:tc>
        <w:tc>
          <w:tcPr>
            <w:tcW w:type="dxa" w:w="4608"/>
          </w:tcPr>
          <w:p>
            <w:pPr>
              <w:spacing w:after="20"/>
            </w:pPr>
            <w:r/>
            <w:r>
              <w:rPr>
                <w:b w:val="0"/>
                <w:i w:val="0"/>
                <w:sz w:val="15"/>
              </w:rPr>
              <w:t>B.3.3 requires the “same restrictions” and makes BA “responsible for ensuring compliance” (good). But there is no reference to a § 164.504(e)-compliant written subcontractor BAA, and DPA § 5.5 limits liability to “commercially reasonable efforts”, which conflicts with full liability.</w:t>
            </w:r>
          </w:p>
        </w:tc>
        <w:tc>
          <w:tcPr>
            <w:tcW w:type="dxa" w:w="3024"/>
          </w:tcPr>
          <w:p>
            <w:pPr>
              <w:spacing w:after="20"/>
            </w:pPr>
            <w:r/>
            <w:r>
              <w:rPr>
                <w:b w:val="0"/>
                <w:i w:val="0"/>
                <w:sz w:val="15"/>
              </w:rPr>
              <w:t>Add written subcontractor BAA and full-liability language; delete § 5.5 (D-09, D-10).</w:t>
            </w:r>
          </w:p>
        </w:tc>
      </w:tr>
      <w:tr>
        <w:tc>
          <w:tcPr>
            <w:tcW w:type="dxa" w:w="936"/>
          </w:tcPr>
          <w:p>
            <w:pPr>
              <w:spacing w:after="20"/>
            </w:pPr>
            <w:r/>
            <w:r>
              <w:rPr>
                <w:b w:val="0"/>
                <w:i w:val="0"/>
                <w:sz w:val="15"/>
              </w:rPr>
              <w:t>BAA-08</w:t>
            </w:r>
          </w:p>
        </w:tc>
        <w:tc>
          <w:tcPr>
            <w:tcW w:type="dxa" w:w="2232"/>
          </w:tcPr>
          <w:p>
            <w:pPr>
              <w:spacing w:after="20"/>
            </w:pPr>
            <w:r/>
            <w:r>
              <w:rPr>
                <w:b w:val="0"/>
                <w:i w:val="0"/>
                <w:sz w:val="15"/>
              </w:rPr>
              <w:t>Individual access – 5 business days</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B.3.4</w:t>
            </w:r>
          </w:p>
        </w:tc>
        <w:tc>
          <w:tcPr>
            <w:tcW w:type="dxa" w:w="4608"/>
          </w:tcPr>
          <w:p>
            <w:pPr>
              <w:spacing w:after="20"/>
            </w:pPr>
            <w:r/>
            <w:r>
              <w:rPr>
                <w:b w:val="0"/>
                <w:i w:val="0"/>
                <w:sz w:val="15"/>
              </w:rPr>
              <w:t>15 business days.</w:t>
            </w:r>
          </w:p>
        </w:tc>
        <w:tc>
          <w:tcPr>
            <w:tcW w:type="dxa" w:w="3024"/>
          </w:tcPr>
          <w:p>
            <w:pPr>
              <w:spacing w:after="20"/>
            </w:pPr>
            <w:r/>
            <w:r>
              <w:rPr>
                <w:b w:val="0"/>
                <w:i w:val="0"/>
                <w:sz w:val="15"/>
              </w:rPr>
              <w:t>5 business days, Designated Record Set reference (D-22).</w:t>
            </w:r>
          </w:p>
        </w:tc>
      </w:tr>
      <w:tr>
        <w:tc>
          <w:tcPr>
            <w:tcW w:type="dxa" w:w="936"/>
          </w:tcPr>
          <w:p>
            <w:pPr>
              <w:spacing w:after="20"/>
            </w:pPr>
            <w:r/>
            <w:r>
              <w:rPr>
                <w:b w:val="0"/>
                <w:i w:val="0"/>
                <w:sz w:val="15"/>
              </w:rPr>
              <w:t>BAA-09</w:t>
            </w:r>
          </w:p>
        </w:tc>
        <w:tc>
          <w:tcPr>
            <w:tcW w:type="dxa" w:w="2232"/>
          </w:tcPr>
          <w:p>
            <w:pPr>
              <w:spacing w:after="20"/>
            </w:pPr>
            <w:r/>
            <w:r>
              <w:rPr>
                <w:b w:val="0"/>
                <w:i w:val="0"/>
                <w:sz w:val="15"/>
              </w:rPr>
              <w:t>Amendment – 5 business days</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B.3.5</w:t>
            </w:r>
          </w:p>
        </w:tc>
        <w:tc>
          <w:tcPr>
            <w:tcW w:type="dxa" w:w="4608"/>
          </w:tcPr>
          <w:p>
            <w:pPr>
              <w:spacing w:after="20"/>
            </w:pPr>
            <w:r/>
            <w:r>
              <w:rPr>
                <w:b w:val="0"/>
                <w:i w:val="0"/>
                <w:sz w:val="15"/>
              </w:rPr>
              <w:t>15 business days.</w:t>
            </w:r>
          </w:p>
        </w:tc>
        <w:tc>
          <w:tcPr>
            <w:tcW w:type="dxa" w:w="3024"/>
          </w:tcPr>
          <w:p>
            <w:pPr>
              <w:spacing w:after="20"/>
            </w:pPr>
            <w:r/>
            <w:r>
              <w:rPr>
                <w:b w:val="0"/>
                <w:i w:val="0"/>
                <w:sz w:val="15"/>
              </w:rPr>
              <w:t>5 business days (D-22).</w:t>
            </w:r>
          </w:p>
        </w:tc>
      </w:tr>
      <w:tr>
        <w:tc>
          <w:tcPr>
            <w:tcW w:type="dxa" w:w="936"/>
          </w:tcPr>
          <w:p>
            <w:pPr>
              <w:spacing w:after="20"/>
            </w:pPr>
            <w:r/>
            <w:r>
              <w:rPr>
                <w:b w:val="0"/>
                <w:i w:val="0"/>
                <w:sz w:val="15"/>
              </w:rPr>
              <w:t>BAA-10 ⚖</w:t>
            </w:r>
          </w:p>
        </w:tc>
        <w:tc>
          <w:tcPr>
            <w:tcW w:type="dxa" w:w="2232"/>
          </w:tcPr>
          <w:p>
            <w:pPr>
              <w:spacing w:after="20"/>
            </w:pPr>
            <w:r/>
            <w:r>
              <w:rPr>
                <w:b w:val="0"/>
                <w:i w:val="0"/>
                <w:sz w:val="15"/>
              </w:rPr>
              <w:t>Accounting of disclosures – 6-year records</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B.3.6</w:t>
            </w:r>
          </w:p>
        </w:tc>
        <w:tc>
          <w:tcPr>
            <w:tcW w:type="dxa" w:w="4608"/>
          </w:tcPr>
          <w:p>
            <w:pPr>
              <w:spacing w:after="20"/>
            </w:pPr>
            <w:r/>
            <w:r>
              <w:rPr>
                <w:b w:val="0"/>
                <w:i w:val="0"/>
                <w:sz w:val="15"/>
              </w:rPr>
              <w:t>3-year record retention (§ 164.528(a)(1) requires a 6-year look-back); records produced within 30 days (Checklist: 10 business days).</w:t>
            </w:r>
          </w:p>
        </w:tc>
        <w:tc>
          <w:tcPr>
            <w:tcW w:type="dxa" w:w="3024"/>
          </w:tcPr>
          <w:p>
            <w:pPr>
              <w:spacing w:after="20"/>
            </w:pPr>
            <w:r/>
            <w:r>
              <w:rPr>
                <w:b w:val="0"/>
                <w:i w:val="0"/>
                <w:sz w:val="15"/>
              </w:rPr>
              <w:t>6 years from disclosure or last accounting, whichever is later; 10 business days (D-38).</w:t>
            </w:r>
          </w:p>
        </w:tc>
      </w:tr>
      <w:tr>
        <w:tc>
          <w:tcPr>
            <w:tcW w:type="dxa" w:w="936"/>
          </w:tcPr>
          <w:p>
            <w:pPr>
              <w:spacing w:after="20"/>
            </w:pPr>
            <w:r/>
            <w:r>
              <w:rPr>
                <w:b w:val="0"/>
                <w:i w:val="0"/>
                <w:sz w:val="15"/>
              </w:rPr>
              <w:t>BAA-11</w:t>
            </w:r>
          </w:p>
        </w:tc>
        <w:tc>
          <w:tcPr>
            <w:tcW w:type="dxa" w:w="2232"/>
          </w:tcPr>
          <w:p>
            <w:pPr>
              <w:spacing w:after="20"/>
            </w:pPr>
            <w:r/>
            <w:r>
              <w:rPr>
                <w:b w:val="0"/>
                <w:i w:val="0"/>
                <w:sz w:val="15"/>
              </w:rPr>
              <w:t>Books and records available to HHS</w:t>
            </w:r>
          </w:p>
        </w:tc>
        <w:tc>
          <w:tcPr>
            <w:tcW w:type="dxa" w:w="1368"/>
          </w:tcPr>
          <w:p>
            <w:pPr>
              <w:spacing w:after="20"/>
            </w:pPr>
            <w:r>
              <w:rPr>
                <w:b/>
                <w:color w:val="E26B0A"/>
              </w:rPr>
            </w:r>
            <w:r>
              <w:rPr>
                <w:b/>
                <w:i w:val="0"/>
                <w:color w:val="E26B0A"/>
                <w:sz w:val="15"/>
              </w:rPr>
              <w:t>Partial (minor)</w:t>
            </w:r>
          </w:p>
        </w:tc>
        <w:tc>
          <w:tcPr>
            <w:tcW w:type="dxa" w:w="1656"/>
          </w:tcPr>
          <w:p>
            <w:pPr>
              <w:spacing w:after="20"/>
            </w:pPr>
            <w:r/>
            <w:r>
              <w:rPr>
                <w:b w:val="0"/>
                <w:i w:val="0"/>
                <w:sz w:val="15"/>
              </w:rPr>
              <w:t>B.3.7</w:t>
            </w:r>
          </w:p>
        </w:tc>
        <w:tc>
          <w:tcPr>
            <w:tcW w:type="dxa" w:w="4608"/>
          </w:tcPr>
          <w:p>
            <w:pPr>
              <w:spacing w:after="20"/>
            </w:pPr>
            <w:r/>
            <w:r>
              <w:rPr>
                <w:b w:val="0"/>
                <w:i w:val="0"/>
                <w:sz w:val="15"/>
              </w:rPr>
              <w:t>Present and cooperative. Refers only to determining “Covered Entity’s compliance”; the Checklist requires “Covered Entity’s and Business Associate’s compliance.”</w:t>
            </w:r>
          </w:p>
        </w:tc>
        <w:tc>
          <w:tcPr>
            <w:tcW w:type="dxa" w:w="3024"/>
          </w:tcPr>
          <w:p>
            <w:pPr>
              <w:spacing w:after="20"/>
            </w:pPr>
            <w:r/>
            <w:r>
              <w:rPr>
                <w:b w:val="0"/>
                <w:i w:val="0"/>
                <w:sz w:val="15"/>
              </w:rPr>
              <w:t>Conforming edit: add “and Business Associate’s”.</w:t>
            </w:r>
          </w:p>
        </w:tc>
      </w:tr>
      <w:tr>
        <w:tc>
          <w:tcPr>
            <w:tcW w:type="dxa" w:w="936"/>
          </w:tcPr>
          <w:p>
            <w:pPr>
              <w:spacing w:after="20"/>
            </w:pPr>
            <w:r/>
            <w:r>
              <w:rPr>
                <w:b w:val="0"/>
                <w:i w:val="0"/>
                <w:sz w:val="15"/>
              </w:rPr>
              <w:t>BAA-12</w:t>
            </w:r>
          </w:p>
        </w:tc>
        <w:tc>
          <w:tcPr>
            <w:tcW w:type="dxa" w:w="2232"/>
          </w:tcPr>
          <w:p>
            <w:pPr>
              <w:spacing w:after="20"/>
            </w:pPr>
            <w:r/>
            <w:r>
              <w:rPr>
                <w:b w:val="0"/>
                <w:i w:val="0"/>
                <w:sz w:val="15"/>
              </w:rPr>
              <w:t>Return/destruction – 30 days; certification</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B.5.2; DPA §§ 11.2–11.4</w:t>
            </w:r>
          </w:p>
        </w:tc>
        <w:tc>
          <w:tcPr>
            <w:tcW w:type="dxa" w:w="4608"/>
          </w:tcPr>
          <w:p>
            <w:pPr>
              <w:spacing w:after="20"/>
            </w:pPr>
            <w:r/>
            <w:r>
              <w:rPr>
                <w:b w:val="0"/>
                <w:i w:val="0"/>
                <w:sz w:val="15"/>
              </w:rPr>
              <w:t>90 days via DPA § 11; no Covered Entity election; no certification; de-identified/aggregated data and backups carved out. The infeasibility clause is present (good), but it does not require identifying the specific legal requirement.</w:t>
            </w:r>
          </w:p>
        </w:tc>
        <w:tc>
          <w:tcPr>
            <w:tcW w:type="dxa" w:w="3024"/>
          </w:tcPr>
          <w:p>
            <w:pPr>
              <w:spacing w:after="20"/>
            </w:pPr>
            <w:r/>
            <w:r>
              <w:rPr>
                <w:b w:val="0"/>
                <w:i w:val="0"/>
                <w:sz w:val="15"/>
              </w:rPr>
              <w:t>30 days at CE election; officer certification in 10 business days; specify legal basis for any infeasibility (D-29 to D-31).</w:t>
            </w:r>
          </w:p>
        </w:tc>
      </w:tr>
      <w:tr>
        <w:tc>
          <w:tcPr>
            <w:tcW w:type="dxa" w:w="936"/>
          </w:tcPr>
          <w:p>
            <w:pPr>
              <w:spacing w:after="20"/>
            </w:pPr>
            <w:r/>
            <w:r>
              <w:rPr>
                <w:b w:val="0"/>
                <w:i w:val="0"/>
                <w:sz w:val="15"/>
              </w:rPr>
              <w:t>BAA-13 ⚖</w:t>
            </w:r>
          </w:p>
        </w:tc>
        <w:tc>
          <w:tcPr>
            <w:tcW w:type="dxa" w:w="2232"/>
          </w:tcPr>
          <w:p>
            <w:pPr>
              <w:spacing w:after="20"/>
            </w:pPr>
            <w:r/>
            <w:r>
              <w:rPr>
                <w:b w:val="0"/>
                <w:i w:val="0"/>
                <w:sz w:val="15"/>
              </w:rPr>
              <w:t>Termination for material violation – 15-day cure</w:t>
            </w:r>
          </w:p>
        </w:tc>
        <w:tc>
          <w:tcPr>
            <w:tcW w:type="dxa" w:w="1368"/>
          </w:tcPr>
          <w:p>
            <w:pPr>
              <w:spacing w:after="20"/>
            </w:pPr>
            <w:r>
              <w:rPr>
                <w:b/>
                <w:color w:val="E26B0A"/>
              </w:rPr>
            </w:r>
            <w:r>
              <w:rPr>
                <w:b/>
                <w:i w:val="0"/>
                <w:color w:val="E26B0A"/>
                <w:sz w:val="15"/>
              </w:rPr>
              <w:t>Partial</w:t>
            </w:r>
          </w:p>
        </w:tc>
        <w:tc>
          <w:tcPr>
            <w:tcW w:type="dxa" w:w="1656"/>
          </w:tcPr>
          <w:p>
            <w:pPr>
              <w:spacing w:after="20"/>
            </w:pPr>
            <w:r/>
            <w:r>
              <w:rPr>
                <w:b w:val="0"/>
                <w:i w:val="0"/>
                <w:sz w:val="15"/>
              </w:rPr>
              <w:t>B.5.3</w:t>
            </w:r>
          </w:p>
        </w:tc>
        <w:tc>
          <w:tcPr>
            <w:tcW w:type="dxa" w:w="4608"/>
          </w:tcPr>
          <w:p>
            <w:pPr>
              <w:spacing w:after="20"/>
            </w:pPr>
            <w:r/>
            <w:r>
              <w:rPr>
                <w:b w:val="0"/>
                <w:i w:val="0"/>
                <w:sz w:val="15"/>
              </w:rPr>
              <w:t>Termination right exists, but with a cure period of up to 30 days. It terminates “this BAA” only, not the Agreement, and there is no immediate termination where cure is not possible.</w:t>
            </w:r>
          </w:p>
        </w:tc>
        <w:tc>
          <w:tcPr>
            <w:tcW w:type="dxa" w:w="3024"/>
          </w:tcPr>
          <w:p>
            <w:pPr>
              <w:spacing w:after="20"/>
            </w:pPr>
            <w:r/>
            <w:r>
              <w:rPr>
                <w:b w:val="0"/>
                <w:i w:val="0"/>
                <w:sz w:val="15"/>
              </w:rPr>
              <w:t>15-day cure; immediate termination if cure is not possible; extends to DPA/MSA (D-41, D-43).</w:t>
            </w:r>
          </w:p>
        </w:tc>
      </w:tr>
      <w:tr>
        <w:tc>
          <w:tcPr>
            <w:tcW w:type="dxa" w:w="936"/>
          </w:tcPr>
          <w:p>
            <w:pPr>
              <w:spacing w:after="20"/>
            </w:pPr>
            <w:r/>
            <w:r>
              <w:rPr>
                <w:b w:val="0"/>
                <w:i w:val="0"/>
                <w:sz w:val="15"/>
              </w:rPr>
              <w:t>BAA-14</w:t>
            </w:r>
          </w:p>
        </w:tc>
        <w:tc>
          <w:tcPr>
            <w:tcW w:type="dxa" w:w="2232"/>
          </w:tcPr>
          <w:p>
            <w:pPr>
              <w:spacing w:after="20"/>
            </w:pPr>
            <w:r/>
            <w:r>
              <w:rPr>
                <w:b w:val="0"/>
                <w:i w:val="0"/>
                <w:sz w:val="15"/>
              </w:rPr>
              <w:t>Obligations of Covered Entity</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w:t>
            </w:r>
          </w:p>
        </w:tc>
        <w:tc>
          <w:tcPr>
            <w:tcW w:type="dxa" w:w="4608"/>
          </w:tcPr>
          <w:p>
            <w:pPr>
              <w:spacing w:after="20"/>
            </w:pPr>
            <w:r/>
            <w:r>
              <w:rPr>
                <w:b w:val="0"/>
                <w:i w:val="0"/>
                <w:sz w:val="15"/>
              </w:rPr>
              <w:t>Absent. No NPP-limitation, revocation or § 164.522 restriction notice mechanics.</w:t>
            </w:r>
          </w:p>
        </w:tc>
        <w:tc>
          <w:tcPr>
            <w:tcW w:type="dxa" w:w="3024"/>
          </w:tcPr>
          <w:p>
            <w:pPr>
              <w:spacing w:after="20"/>
            </w:pPr>
            <w:r/>
            <w:r>
              <w:rPr>
                <w:b w:val="0"/>
                <w:i w:val="0"/>
                <w:sz w:val="15"/>
              </w:rPr>
              <w:t>Insert Checklist BAA-14 language (low-controversy; it also protects Cumulus).</w:t>
            </w:r>
          </w:p>
        </w:tc>
      </w:tr>
      <w:tr>
        <w:tc>
          <w:tcPr>
            <w:tcW w:type="dxa" w:w="936"/>
          </w:tcPr>
          <w:p>
            <w:pPr>
              <w:spacing w:after="20"/>
            </w:pPr>
            <w:r/>
            <w:r>
              <w:rPr>
                <w:b w:val="0"/>
                <w:i w:val="0"/>
                <w:sz w:val="15"/>
              </w:rPr>
              <w:t>BAA-15</w:t>
            </w:r>
          </w:p>
        </w:tc>
        <w:tc>
          <w:tcPr>
            <w:tcW w:type="dxa" w:w="2232"/>
          </w:tcPr>
          <w:p>
            <w:pPr>
              <w:spacing w:after="20"/>
            </w:pPr>
            <w:r/>
            <w:r>
              <w:rPr>
                <w:b w:val="0"/>
                <w:i w:val="0"/>
                <w:sz w:val="15"/>
              </w:rPr>
              <w:t>HITECH Act compliance – general</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DPA § 1.1 only</w:t>
            </w:r>
          </w:p>
        </w:tc>
        <w:tc>
          <w:tcPr>
            <w:tcW w:type="dxa" w:w="4608"/>
          </w:tcPr>
          <w:p>
            <w:pPr>
              <w:spacing w:after="20"/>
            </w:pPr>
            <w:r/>
            <w:r>
              <w:rPr>
                <w:b w:val="0"/>
                <w:i w:val="0"/>
                <w:sz w:val="15"/>
              </w:rPr>
              <w:t>HITECH named only in a definition; no acknowledgment of direct BA obligations (§§ 17931, 17934).</w:t>
            </w:r>
          </w:p>
        </w:tc>
        <w:tc>
          <w:tcPr>
            <w:tcW w:type="dxa" w:w="3024"/>
          </w:tcPr>
          <w:p>
            <w:pPr>
              <w:spacing w:after="20"/>
            </w:pPr>
            <w:r/>
            <w:r>
              <w:rPr>
                <w:b w:val="0"/>
                <w:i w:val="0"/>
                <w:sz w:val="15"/>
              </w:rPr>
              <w:t>Insert BAA-15 language (D-39).</w:t>
            </w:r>
          </w:p>
        </w:tc>
      </w:tr>
      <w:tr>
        <w:tc>
          <w:tcPr>
            <w:tcW w:type="dxa" w:w="936"/>
          </w:tcPr>
          <w:p>
            <w:pPr>
              <w:spacing w:after="20"/>
            </w:pPr>
            <w:r/>
            <w:r>
              <w:rPr>
                <w:b w:val="0"/>
                <w:i w:val="0"/>
                <w:sz w:val="15"/>
              </w:rPr>
              <w:t>BAA-16</w:t>
            </w:r>
          </w:p>
        </w:tc>
        <w:tc>
          <w:tcPr>
            <w:tcW w:type="dxa" w:w="2232"/>
          </w:tcPr>
          <w:p>
            <w:pPr>
              <w:spacing w:after="20"/>
            </w:pPr>
            <w:r/>
            <w:r>
              <w:rPr>
                <w:b w:val="0"/>
                <w:i w:val="0"/>
                <w:sz w:val="15"/>
              </w:rPr>
              <w:t>No sale of PHI / remuneration</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w:t>
            </w:r>
          </w:p>
        </w:tc>
        <w:tc>
          <w:tcPr>
            <w:tcW w:type="dxa" w:w="4608"/>
          </w:tcPr>
          <w:p>
            <w:pPr>
              <w:spacing w:after="20"/>
            </w:pPr>
            <w:r/>
            <w:r>
              <w:rPr>
                <w:b w:val="0"/>
                <w:i w:val="0"/>
                <w:sz w:val="15"/>
              </w:rPr>
              <w:t>Silent; the Checklist says silence = Non-Compliant. This is aggravated by unrestricted de-identification and Redline’s cross-customer benchmarking.</w:t>
            </w:r>
          </w:p>
        </w:tc>
        <w:tc>
          <w:tcPr>
            <w:tcW w:type="dxa" w:w="3024"/>
          </w:tcPr>
          <w:p>
            <w:pPr>
              <w:spacing w:after="20"/>
            </w:pPr>
            <w:r/>
            <w:r>
              <w:rPr>
                <w:b w:val="0"/>
                <w:i w:val="0"/>
                <w:sz w:val="15"/>
              </w:rPr>
              <w:t>Insert BAA-16 language (D-40).</w:t>
            </w:r>
          </w:p>
        </w:tc>
      </w:tr>
      <w:tr>
        <w:tc>
          <w:tcPr>
            <w:tcW w:type="dxa" w:w="936"/>
          </w:tcPr>
          <w:p>
            <w:pPr>
              <w:spacing w:after="20"/>
            </w:pPr>
            <w:r/>
            <w:r>
              <w:rPr>
                <w:b w:val="0"/>
                <w:i w:val="0"/>
                <w:sz w:val="15"/>
              </w:rPr>
              <w:t>BAA-17</w:t>
            </w:r>
          </w:p>
        </w:tc>
        <w:tc>
          <w:tcPr>
            <w:tcW w:type="dxa" w:w="2232"/>
          </w:tcPr>
          <w:p>
            <w:pPr>
              <w:spacing w:after="20"/>
            </w:pPr>
            <w:r/>
            <w:r>
              <w:rPr>
                <w:b w:val="0"/>
                <w:i w:val="0"/>
                <w:sz w:val="15"/>
              </w:rPr>
              <w:t>HITECH breach notification (§ 17932; § 164.410)</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B.4.1</w:t>
            </w:r>
          </w:p>
        </w:tc>
        <w:tc>
          <w:tcPr>
            <w:tcW w:type="dxa" w:w="4608"/>
          </w:tcPr>
          <w:p>
            <w:pPr>
              <w:spacing w:after="20"/>
            </w:pPr>
            <w:r/>
            <w:r>
              <w:rPr>
                <w:b w:val="0"/>
                <w:i w:val="0"/>
                <w:sz w:val="15"/>
              </w:rPr>
              <w:t>No reference to § 17932 or § 164.410; “confirmation” trigger instead of § 164.410(a)(2) discovery.</w:t>
            </w:r>
          </w:p>
        </w:tc>
        <w:tc>
          <w:tcPr>
            <w:tcW w:type="dxa" w:w="3024"/>
          </w:tcPr>
          <w:p>
            <w:pPr>
              <w:spacing w:after="20"/>
            </w:pPr>
            <w:r/>
            <w:r>
              <w:rPr>
                <w:b w:val="0"/>
                <w:i w:val="0"/>
                <w:sz w:val="15"/>
              </w:rPr>
              <w:t>Insert BAA-17 language; 24 hours from discovery (D-19, D-39).</w:t>
            </w:r>
          </w:p>
        </w:tc>
      </w:tr>
      <w:tr>
        <w:tc>
          <w:tcPr>
            <w:tcW w:type="dxa" w:w="936"/>
          </w:tcPr>
          <w:p>
            <w:pPr>
              <w:spacing w:after="20"/>
            </w:pPr>
            <w:r/>
            <w:r>
              <w:rPr>
                <w:b w:val="0"/>
                <w:i w:val="0"/>
                <w:sz w:val="15"/>
              </w:rPr>
              <w:t>BAA-18</w:t>
            </w:r>
          </w:p>
        </w:tc>
        <w:tc>
          <w:tcPr>
            <w:tcW w:type="dxa" w:w="2232"/>
          </w:tcPr>
          <w:p>
            <w:pPr>
              <w:spacing w:after="20"/>
            </w:pPr>
            <w:r/>
            <w:r>
              <w:rPr>
                <w:b w:val="0"/>
                <w:i w:val="0"/>
                <w:sz w:val="15"/>
              </w:rPr>
              <w:t>Mitigation</w:t>
            </w:r>
          </w:p>
        </w:tc>
        <w:tc>
          <w:tcPr>
            <w:tcW w:type="dxa" w:w="1368"/>
          </w:tcPr>
          <w:p>
            <w:pPr>
              <w:spacing w:after="20"/>
            </w:pPr>
            <w:r>
              <w:rPr>
                <w:b/>
                <w:color w:val="E26B0A"/>
              </w:rPr>
            </w:r>
            <w:r>
              <w:rPr>
                <w:b/>
                <w:i w:val="0"/>
                <w:color w:val="E26B0A"/>
                <w:sz w:val="15"/>
              </w:rPr>
              <w:t>Partial</w:t>
            </w:r>
          </w:p>
        </w:tc>
        <w:tc>
          <w:tcPr>
            <w:tcW w:type="dxa" w:w="1656"/>
          </w:tcPr>
          <w:p>
            <w:pPr>
              <w:spacing w:after="20"/>
            </w:pPr>
            <w:r/>
            <w:r>
              <w:rPr>
                <w:b w:val="0"/>
                <w:i w:val="0"/>
                <w:sz w:val="15"/>
              </w:rPr>
              <w:t>DPA § 7.3</w:t>
            </w:r>
          </w:p>
        </w:tc>
        <w:tc>
          <w:tcPr>
            <w:tcW w:type="dxa" w:w="4608"/>
          </w:tcPr>
          <w:p>
            <w:pPr>
              <w:spacing w:after="20"/>
            </w:pPr>
            <w:r/>
            <w:r>
              <w:rPr>
                <w:b w:val="0"/>
                <w:i w:val="0"/>
                <w:sz w:val="15"/>
              </w:rPr>
              <w:t>Only “commercially reasonable steps to mitigate the effects of the Security Incident” in the DPA body. There is no BAA duty to mitigate harmful effects of impermissible uses/disclosures, and none covering subcontractors.</w:t>
            </w:r>
          </w:p>
        </w:tc>
        <w:tc>
          <w:tcPr>
            <w:tcW w:type="dxa" w:w="3024"/>
          </w:tcPr>
          <w:p>
            <w:pPr>
              <w:spacing w:after="20"/>
            </w:pPr>
            <w:r/>
            <w:r>
              <w:rPr>
                <w:b w:val="0"/>
                <w:i w:val="0"/>
                <w:sz w:val="15"/>
              </w:rPr>
              <w:t>Insert BAA-18 language covering BA and subcontractors.</w:t>
            </w:r>
          </w:p>
        </w:tc>
      </w:tr>
      <w:tr>
        <w:tc>
          <w:tcPr>
            <w:tcW w:type="dxa" w:w="936"/>
          </w:tcPr>
          <w:p>
            <w:pPr>
              <w:spacing w:after="20"/>
            </w:pPr>
            <w:r/>
            <w:r>
              <w:rPr>
                <w:b w:val="0"/>
                <w:i w:val="0"/>
                <w:sz w:val="15"/>
              </w:rPr>
              <w:t>BAA-19</w:t>
            </w:r>
          </w:p>
        </w:tc>
        <w:tc>
          <w:tcPr>
            <w:tcW w:type="dxa" w:w="2232"/>
          </w:tcPr>
          <w:p>
            <w:pPr>
              <w:spacing w:after="20"/>
            </w:pPr>
            <w:r/>
            <w:r>
              <w:rPr>
                <w:b w:val="0"/>
                <w:i w:val="0"/>
                <w:sz w:val="15"/>
              </w:rPr>
              <w:t>Audit and monitoring – annual, no charge, 15 business days, subcontractors</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None in BAA; DPA § 9</w:t>
            </w:r>
          </w:p>
        </w:tc>
        <w:tc>
          <w:tcPr>
            <w:tcW w:type="dxa" w:w="4608"/>
          </w:tcPr>
          <w:p>
            <w:pPr>
              <w:spacing w:after="20"/>
            </w:pPr>
            <w:r/>
            <w:r>
              <w:rPr>
                <w:b w:val="0"/>
                <w:i w:val="0"/>
                <w:sz w:val="15"/>
              </w:rPr>
              <w:t>No BAA audit right. DPA audit is secondary, once per 24 months, 45 days’ notice, at Controller’s cost, sub-processors excluded.</w:t>
            </w:r>
          </w:p>
        </w:tc>
        <w:tc>
          <w:tcPr>
            <w:tcW w:type="dxa" w:w="3024"/>
          </w:tcPr>
          <w:p>
            <w:pPr>
              <w:spacing w:after="20"/>
            </w:pPr>
            <w:r/>
            <w:r>
              <w:rPr>
                <w:b w:val="0"/>
                <w:i w:val="0"/>
                <w:sz w:val="15"/>
              </w:rPr>
              <w:t>Insert BAA-19 language; conform DPA § 9 (D-25 to D-28).</w:t>
            </w:r>
          </w:p>
        </w:tc>
      </w:tr>
      <w:tr>
        <w:tc>
          <w:tcPr>
            <w:tcW w:type="dxa" w:w="936"/>
          </w:tcPr>
          <w:p>
            <w:pPr>
              <w:spacing w:after="20"/>
            </w:pPr>
            <w:r/>
            <w:r>
              <w:rPr>
                <w:b w:val="0"/>
                <w:i w:val="0"/>
                <w:sz w:val="15"/>
              </w:rPr>
              <w:t>BAA-20</w:t>
            </w:r>
          </w:p>
        </w:tc>
        <w:tc>
          <w:tcPr>
            <w:tcW w:type="dxa" w:w="2232"/>
          </w:tcPr>
          <w:p>
            <w:pPr>
              <w:spacing w:after="20"/>
            </w:pPr>
            <w:r/>
            <w:r>
              <w:rPr>
                <w:b w:val="0"/>
                <w:i w:val="0"/>
                <w:sz w:val="15"/>
              </w:rPr>
              <w:t>De-identification restrictions</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B.2.4; DPA §§ 1.5, 3.3, 11.3</w:t>
            </w:r>
          </w:p>
        </w:tc>
        <w:tc>
          <w:tcPr>
            <w:tcW w:type="dxa" w:w="4608"/>
          </w:tcPr>
          <w:p>
            <w:pPr>
              <w:spacing w:after="20"/>
            </w:pPr>
            <w:r/>
            <w:r>
              <w:rPr>
                <w:b w:val="0"/>
                <w:i w:val="0"/>
                <w:sz w:val="15"/>
              </w:rPr>
              <w:t>Self-serve de-identification; use “without restriction”; indefinite retention. The Checklist says such a BAA “must be rejected.”</w:t>
            </w:r>
          </w:p>
        </w:tc>
        <w:tc>
          <w:tcPr>
            <w:tcW w:type="dxa" w:w="3024"/>
          </w:tcPr>
          <w:p>
            <w:pPr>
              <w:spacing w:after="20"/>
            </w:pPr>
            <w:r/>
            <w:r>
              <w:rPr>
                <w:b w:val="0"/>
                <w:i w:val="0"/>
                <w:sz w:val="15"/>
              </w:rPr>
              <w:t>Insert BAA-20 language; delete B.2.4 second sentence and DPA § 11.3 (D-40).</w:t>
            </w:r>
          </w:p>
        </w:tc>
      </w:tr>
      <w:tr>
        <w:tc>
          <w:tcPr>
            <w:tcW w:type="dxa" w:w="936"/>
          </w:tcPr>
          <w:p>
            <w:pPr>
              <w:spacing w:after="20"/>
            </w:pPr>
            <w:r/>
            <w:r>
              <w:rPr>
                <w:b w:val="0"/>
                <w:i w:val="0"/>
                <w:sz w:val="15"/>
              </w:rPr>
              <w:t>BAA-21</w:t>
            </w:r>
          </w:p>
        </w:tc>
        <w:tc>
          <w:tcPr>
            <w:tcW w:type="dxa" w:w="2232"/>
          </w:tcPr>
          <w:p>
            <w:pPr>
              <w:spacing w:after="20"/>
            </w:pPr>
            <w:r/>
            <w:r>
              <w:rPr>
                <w:b w:val="0"/>
                <w:i w:val="0"/>
                <w:sz w:val="15"/>
              </w:rPr>
              <w:t>Electronic transactions (45 CFR Part 162)</w:t>
            </w:r>
          </w:p>
        </w:tc>
        <w:tc>
          <w:tcPr>
            <w:tcW w:type="dxa" w:w="1368"/>
          </w:tcPr>
          <w:p>
            <w:pPr>
              <w:spacing w:after="20"/>
            </w:pPr>
            <w:r>
              <w:rPr>
                <w:b/>
                <w:color w:val="C00000"/>
              </w:rPr>
            </w:r>
            <w:r>
              <w:rPr>
                <w:b/>
                <w:i w:val="0"/>
                <w:color w:val="C00000"/>
                <w:sz w:val="15"/>
              </w:rPr>
              <w:t>Non-Compliant</w:t>
            </w:r>
          </w:p>
        </w:tc>
        <w:tc>
          <w:tcPr>
            <w:tcW w:type="dxa" w:w="1656"/>
          </w:tcPr>
          <w:p>
            <w:pPr>
              <w:spacing w:after="20"/>
            </w:pPr>
            <w:r/>
            <w:r>
              <w:rPr>
                <w:b w:val="0"/>
                <w:i w:val="0"/>
                <w:sz w:val="15"/>
              </w:rPr>
              <w:t>—</w:t>
            </w:r>
          </w:p>
        </w:tc>
        <w:tc>
          <w:tcPr>
            <w:tcW w:type="dxa" w:w="4608"/>
          </w:tcPr>
          <w:p>
            <w:pPr>
              <w:spacing w:after="20"/>
            </w:pPr>
            <w:r/>
            <w:r>
              <w:rPr>
                <w:b w:val="0"/>
                <w:i w:val="0"/>
                <w:sz w:val="15"/>
              </w:rPr>
              <w:t>Absent. Exposure is low on the current scope (patient engagement), but insurance member IDs are processed and the Checklist requires the clause in all BAAs.</w:t>
            </w:r>
          </w:p>
        </w:tc>
        <w:tc>
          <w:tcPr>
            <w:tcW w:type="dxa" w:w="3024"/>
          </w:tcPr>
          <w:p>
            <w:pPr>
              <w:spacing w:after="20"/>
            </w:pPr>
            <w:r/>
            <w:r>
              <w:rPr>
                <w:b w:val="0"/>
                <w:i w:val="0"/>
                <w:sz w:val="15"/>
              </w:rPr>
              <w:t>Insert BAA-21 language.</w:t>
            </w:r>
          </w:p>
        </w:tc>
      </w:tr>
      <w:tr>
        <w:tc>
          <w:tcPr>
            <w:tcW w:type="dxa" w:w="936"/>
          </w:tcPr>
          <w:p>
            <w:pPr>
              <w:spacing w:after="20"/>
            </w:pPr>
            <w:r/>
            <w:r>
              <w:rPr>
                <w:b w:val="0"/>
                <w:i w:val="0"/>
                <w:sz w:val="15"/>
              </w:rPr>
              <w:t>BAA-22</w:t>
            </w:r>
          </w:p>
        </w:tc>
        <w:tc>
          <w:tcPr>
            <w:tcW w:type="dxa" w:w="2232"/>
          </w:tcPr>
          <w:p>
            <w:pPr>
              <w:spacing w:after="20"/>
            </w:pPr>
            <w:r/>
            <w:r>
              <w:rPr>
                <w:b w:val="0"/>
                <w:i w:val="0"/>
                <w:sz w:val="15"/>
              </w:rPr>
              <w:t>Amendment to comply with law; interpretation</w:t>
            </w:r>
          </w:p>
        </w:tc>
        <w:tc>
          <w:tcPr>
            <w:tcW w:type="dxa" w:w="1368"/>
          </w:tcPr>
          <w:p>
            <w:pPr>
              <w:spacing w:after="20"/>
            </w:pPr>
            <w:r>
              <w:rPr>
                <w:b/>
                <w:color w:val="548235"/>
              </w:rPr>
            </w:r>
            <w:r>
              <w:rPr>
                <w:b/>
                <w:i w:val="0"/>
                <w:color w:val="548235"/>
                <w:sz w:val="15"/>
              </w:rPr>
              <w:t>Compliant</w:t>
            </w:r>
          </w:p>
        </w:tc>
        <w:tc>
          <w:tcPr>
            <w:tcW w:type="dxa" w:w="1656"/>
          </w:tcPr>
          <w:p>
            <w:pPr>
              <w:spacing w:after="20"/>
            </w:pPr>
            <w:r/>
            <w:r>
              <w:rPr>
                <w:b w:val="0"/>
                <w:i w:val="0"/>
                <w:sz w:val="15"/>
              </w:rPr>
              <w:t>B.6.2; B.6.3</w:t>
            </w:r>
          </w:p>
        </w:tc>
        <w:tc>
          <w:tcPr>
            <w:tcW w:type="dxa" w:w="4608"/>
          </w:tcPr>
          <w:p>
            <w:pPr>
              <w:spacing w:after="20"/>
            </w:pPr>
            <w:r/>
            <w:r>
              <w:rPr>
                <w:b w:val="0"/>
                <w:i w:val="0"/>
                <w:sz w:val="15"/>
              </w:rPr>
              <w:t>B.6.2 amendment obligation and B.6.3 HIPAA-compliant interpretation are present.</w:t>
            </w:r>
          </w:p>
        </w:tc>
        <w:tc>
          <w:tcPr>
            <w:tcW w:type="dxa" w:w="3024"/>
          </w:tcPr>
          <w:p>
            <w:pPr>
              <w:spacing w:after="20"/>
            </w:pPr>
            <w:r/>
            <w:r>
              <w:rPr>
                <w:b w:val="0"/>
                <w:i w:val="0"/>
                <w:sz w:val="15"/>
              </w:rPr>
              <w:t>No change. Optionally add “and Business Associate” to B.6.3.</w:t>
            </w:r>
          </w:p>
        </w:tc>
      </w:tr>
    </w:tbl>
    <w:p>
      <w:pPr>
        <w:spacing w:after="40"/>
      </w:pPr>
    </w:p>
    <w:p>
      <w:pPr>
        <w:spacing w:after="120"/>
      </w:pPr>
      <w:r>
        <w:rPr>
          <w:b w:val="0"/>
          <w:i/>
          <w:sz w:val="17"/>
        </w:rPr>
        <w:t>⚖ Regulatory notes: BAA-01/BAA-06: § 164.314(a)(2)(i)(C) requires reporting of “any security incident of which it becomes aware,” and § 164.304 defines that term to include attempted unauthorized access. BAA-10: § 164.528(a)(1) gives a six-year accounting right. BAA-13: § 164.504(e)(2)(iii) requires that the contract authorize termination of the contract by the covered entity. A pattern of unreasonable failure by the BA must also be addressed under § 164.504(e)(1)(ii).</w:t>
      </w:r>
    </w:p>
    <w:p>
      <w:pPr>
        <w:sectPr>
          <w:pgSz w:w="15840" w:h="12240" w:orient="landscape"/>
          <w:pgMar w:top="1152" w:right="1008" w:bottom="1152" w:left="1008" w:header="720" w:footer="720" w:gutter="0"/>
          <w:cols w:space="720"/>
          <w:docGrid w:linePitch="360"/>
        </w:sectPr>
      </w:pPr>
    </w:p>
    <w:p>
      <w:pPr>
        <w:pStyle w:val="Heading1"/>
      </w:pPr>
      <w:r>
        <w:t>7. Negotiation Strategy</w:t>
      </w:r>
    </w:p>
    <w:p>
      <w:pPr>
        <w:pStyle w:val="Heading2"/>
      </w:pPr>
      <w:r>
        <w:t>7.1 Priority Groupings</w:t>
      </w:r>
    </w:p>
    <w:tbl>
      <w:tblPr>
        <w:tblStyle w:val="TableGrid"/>
        <w:tblW w:type="auto" w:w="0"/>
        <w:jc w:val="center"/>
        <w:tblLayout w:type="fixed"/>
        <w:tblLook w:firstColumn="1" w:firstRow="1" w:lastColumn="0" w:lastRow="0" w:noHBand="0" w:noVBand="1" w:val="04A0"/>
      </w:tblPr>
      <w:tblGrid>
        <w:gridCol w:w="1872"/>
        <w:gridCol w:w="3456"/>
        <w:gridCol w:w="4320"/>
      </w:tblGrid>
      <w:tr>
        <w:trPr>
          <w:tblHeader w:val="true"/>
        </w:trPr>
        <w:tc>
          <w:tcPr>
            <w:tcW w:type="dxa" w:w="1872"/>
            <w:shd w:val="clear" w:color="auto" w:fill="1F3864"/>
          </w:tcPr>
          <w:p>
            <w:r/>
            <w:r>
              <w:rPr>
                <w:b/>
                <w:color w:val="FFFFFF"/>
                <w:sz w:val="17"/>
              </w:rPr>
              <w:t>Group</w:t>
            </w:r>
          </w:p>
        </w:tc>
        <w:tc>
          <w:tcPr>
            <w:tcW w:type="dxa" w:w="3456"/>
            <w:shd w:val="clear" w:color="auto" w:fill="1F3864"/>
          </w:tcPr>
          <w:p>
            <w:r/>
            <w:r>
              <w:rPr>
                <w:b/>
                <w:color w:val="FFFFFF"/>
                <w:sz w:val="17"/>
              </w:rPr>
              <w:t>Items</w:t>
            </w:r>
          </w:p>
        </w:tc>
        <w:tc>
          <w:tcPr>
            <w:tcW w:type="dxa" w:w="4320"/>
            <w:shd w:val="clear" w:color="auto" w:fill="1F3864"/>
          </w:tcPr>
          <w:p>
            <w:r/>
            <w:r>
              <w:rPr>
                <w:b/>
                <w:color w:val="FFFFFF"/>
                <w:sz w:val="17"/>
              </w:rPr>
              <w:t>Approach</w:t>
            </w:r>
          </w:p>
        </w:tc>
      </w:tr>
      <w:tr>
        <w:tc>
          <w:tcPr>
            <w:tcW w:type="dxa" w:w="1872"/>
          </w:tcPr>
          <w:p>
            <w:pPr>
              <w:spacing w:after="20"/>
            </w:pPr>
            <w:r/>
            <w:r>
              <w:rPr>
                <w:b w:val="0"/>
                <w:i w:val="0"/>
                <w:sz w:val="17"/>
              </w:rPr>
              <w:t>A — Walk-away / gating</w:t>
            </w:r>
          </w:p>
        </w:tc>
        <w:tc>
          <w:tcPr>
            <w:tcW w:type="dxa" w:w="3456"/>
          </w:tcPr>
          <w:p>
            <w:pPr>
              <w:spacing w:after="20"/>
            </w:pPr>
            <w:r/>
            <w:r>
              <w:rPr>
                <w:b w:val="0"/>
                <w:i w:val="0"/>
                <w:sz w:val="17"/>
              </w:rPr>
              <w:t>D-01, D-04, D-06, D-07, D-08, D-10, D-12, D-19, D-24, D-25, D-27, D-31, D-33, D-34, D-35, D-40, D-43</w:t>
            </w:r>
          </w:p>
        </w:tc>
        <w:tc>
          <w:tcPr>
            <w:tcW w:type="dxa" w:w="4320"/>
          </w:tcPr>
          <w:p>
            <w:pPr>
              <w:spacing w:after="20"/>
            </w:pPr>
            <w:r/>
            <w:r>
              <w:rPr>
                <w:b w:val="0"/>
                <w:i w:val="0"/>
                <w:sz w:val="17"/>
              </w:rPr>
              <w:t>Below the Playbook fallback, or a statutory defect. Insist; there is no authority to accept without a CPO and GC risk-acceptance memo. Expect the most resistance on liability, insurance, the audit model and de-identification rights.</w:t>
            </w:r>
          </w:p>
        </w:tc>
      </w:tr>
      <w:tr>
        <w:tc>
          <w:tcPr>
            <w:tcW w:type="dxa" w:w="1872"/>
          </w:tcPr>
          <w:p>
            <w:pPr>
              <w:spacing w:after="20"/>
            </w:pPr>
            <w:r/>
            <w:r>
              <w:rPr>
                <w:b w:val="0"/>
                <w:i w:val="0"/>
                <w:sz w:val="17"/>
              </w:rPr>
              <w:t>B — Must-fix, low vendor cost</w:t>
            </w:r>
          </w:p>
        </w:tc>
        <w:tc>
          <w:tcPr>
            <w:tcW w:type="dxa" w:w="3456"/>
          </w:tcPr>
          <w:p>
            <w:pPr>
              <w:spacing w:after="20"/>
            </w:pPr>
            <w:r/>
            <w:r>
              <w:rPr>
                <w:b w:val="0"/>
                <w:i w:val="0"/>
                <w:sz w:val="17"/>
              </w:rPr>
              <w:t>D-02, D-03, D-05, D-09, D-13, D-15, D-20, D-23, D-30, D-32, D-36, D-37, D-38, D-39, D-41, D-42, D-44; BAA-11, 14, 15, 16, 18, 21, 22</w:t>
            </w:r>
          </w:p>
        </w:tc>
        <w:tc>
          <w:tcPr>
            <w:tcW w:type="dxa" w:w="4320"/>
          </w:tcPr>
          <w:p>
            <w:pPr>
              <w:spacing w:after="20"/>
            </w:pPr>
            <w:r/>
            <w:r>
              <w:rPr>
                <w:b w:val="0"/>
                <w:i w:val="0"/>
                <w:sz w:val="17"/>
              </w:rPr>
              <w:t>Regulatory or boilerplate conformity that a healthcare-focused vendor should accept readily. Present it as a “HIPAA conformity package” and expect fast agreement. D-37 and D-38 are rated Critical because they are statutory defects and cannot be waived, but they should cost Cumulus little to fix.</w:t>
            </w:r>
          </w:p>
        </w:tc>
      </w:tr>
      <w:tr>
        <w:tc>
          <w:tcPr>
            <w:tcW w:type="dxa" w:w="1872"/>
          </w:tcPr>
          <w:p>
            <w:pPr>
              <w:spacing w:after="20"/>
            </w:pPr>
            <w:r/>
            <w:r>
              <w:rPr>
                <w:b w:val="0"/>
                <w:i w:val="0"/>
                <w:sz w:val="17"/>
              </w:rPr>
              <w:t>C — Tradeable within Playbook limits</w:t>
            </w:r>
          </w:p>
        </w:tc>
        <w:tc>
          <w:tcPr>
            <w:tcW w:type="dxa" w:w="3456"/>
          </w:tcPr>
          <w:p>
            <w:pPr>
              <w:spacing w:after="20"/>
            </w:pPr>
            <w:r/>
            <w:r>
              <w:rPr>
                <w:b w:val="0"/>
                <w:i w:val="0"/>
                <w:sz w:val="17"/>
              </w:rPr>
              <w:t>D-11, D-14, D-16, D-17, D-18, D-21, D-22, D-26, D-28, D-29, D-45, D-46</w:t>
            </w:r>
          </w:p>
        </w:tc>
        <w:tc>
          <w:tcPr>
            <w:tcW w:type="dxa" w:w="4320"/>
          </w:tcPr>
          <w:p>
            <w:pPr>
              <w:spacing w:after="20"/>
            </w:pPr>
            <w:r/>
            <w:r>
              <w:rPr>
                <w:b w:val="0"/>
                <w:i w:val="0"/>
                <w:sz w:val="17"/>
              </w:rPr>
              <w:t>Some flexibility exists, up to the stated fallbacks (e.g., the D-04 cost-recovery mechanism for scope-expanding instructions; DSR at 7 business days; audit scheduling at 20 business days; 45-day deletion; insurance phase-in). Use these to close Group A items.</w:t>
            </w:r>
          </w:p>
        </w:tc>
      </w:tr>
    </w:tbl>
    <w:p>
      <w:pPr>
        <w:spacing w:after="40"/>
      </w:pPr>
    </w:p>
    <w:p>
      <w:pPr>
        <w:pStyle w:val="Heading2"/>
      </w:pPr>
      <w:r>
        <w:t>7.2 Concessions Bellweather Can Offer Without Breaching the Playbook</w:t>
      </w:r>
    </w:p>
    <w:p>
      <w:pPr>
        <w:pStyle w:val="ListBullet"/>
        <w:spacing w:after="60"/>
      </w:pPr>
      <w:r>
        <w:rPr>
          <w:b/>
          <w:i w:val="0"/>
        </w:rPr>
        <w:t>Tier 3 items</w:t>
      </w:r>
      <w:r>
        <w:rPr>
          <w:b w:val="0"/>
          <w:i w:val="0"/>
        </w:rPr>
        <w:t xml:space="preserve"> (Playbook § 18.3): accept email or letter breach-notice format; Cumulus’s own deletion-certificate template (if it covers all required elements); semi-annual sub-processor list refresh; Cumulus’s preferred machine-readable export format; audit methodology is Bellweather’s choice but can be coordinated.</w:t>
      </w:r>
    </w:p>
    <w:p>
      <w:pPr>
        <w:pStyle w:val="ListBullet"/>
        <w:spacing w:after="60"/>
      </w:pPr>
      <w:r>
        <w:rPr>
          <w:b/>
          <w:i w:val="0"/>
        </w:rPr>
        <w:t>Audit mechanics:</w:t>
      </w:r>
      <w:r>
        <w:rPr>
          <w:b w:val="0"/>
          <w:i w:val="0"/>
        </w:rPr>
        <w:t xml:space="preserve"> keep Cumulus’s § 9.2(iii) business-hours and non-interference language, (vi) NDA for independent auditors and (vii) non-competitor auditor restriction. Offer to scope the annual audit to rely on SOC 2 / HITRUST controls where current, to cut Cumulus’s burden without giving up the primary right.</w:t>
      </w:r>
    </w:p>
    <w:p>
      <w:pPr>
        <w:pStyle w:val="ListBullet"/>
        <w:spacing w:after="60"/>
      </w:pPr>
      <w:r>
        <w:rPr>
          <w:b/>
          <w:i w:val="0"/>
        </w:rPr>
        <w:t>Security Incident reporting:</w:t>
      </w:r>
      <w:r>
        <w:rPr>
          <w:b w:val="0"/>
          <w:i w:val="0"/>
        </w:rPr>
        <w:t xml:space="preserve"> agree that unsuccessful pings, port scans and blocked attacks need not be notified individually, provided they are logged and reported in aggregate on request. Keep the § 7.4 no-admission clause.</w:t>
      </w:r>
    </w:p>
    <w:p>
      <w:pPr>
        <w:pStyle w:val="ListBullet"/>
        <w:spacing w:after="60"/>
      </w:pPr>
      <w:r>
        <w:rPr>
          <w:b/>
          <w:i w:val="0"/>
        </w:rPr>
        <w:t>Instructions:</w:t>
      </w:r>
      <w:r>
        <w:rPr>
          <w:b w:val="0"/>
          <w:i w:val="0"/>
        </w:rPr>
        <w:t xml:space="preserve"> a cost-recovery mechanism (agreed in advance and never a condition of compliance) for supplemental instructions that materially expand scope.</w:t>
      </w:r>
    </w:p>
    <w:p>
      <w:pPr>
        <w:pStyle w:val="ListBullet"/>
        <w:spacing w:after="60"/>
      </w:pPr>
      <w:r>
        <w:rPr>
          <w:b/>
          <w:i w:val="0"/>
        </w:rPr>
        <w:t>De-identification:</w:t>
      </w:r>
      <w:r>
        <w:rPr>
          <w:b w:val="0"/>
          <w:i w:val="0"/>
        </w:rPr>
        <w:t xml:space="preserve"> a narrowly drawn consent for de-identified reporting delivered only to Bellweather, done in the U.S. by expert determination, with no cross-customer pooling and deletion at termination.</w:t>
      </w:r>
    </w:p>
    <w:p>
      <w:pPr>
        <w:pStyle w:val="ListBullet"/>
        <w:spacing w:after="60"/>
      </w:pPr>
      <w:r>
        <w:rPr>
          <w:b/>
          <w:i w:val="0"/>
        </w:rPr>
        <w:t>Insurance:</w:t>
      </w:r>
      <w:r>
        <w:rPr>
          <w:b w:val="0"/>
          <w:i w:val="0"/>
        </w:rPr>
        <w:t xml:space="preserve"> a phase-in to $10M / $20M by the end of contract year one (July 31, 2026), if signing coverage is at least $7.5M / $15M (Playbook fallback).</w:t>
      </w:r>
    </w:p>
    <w:p>
      <w:pPr>
        <w:pStyle w:val="ListBullet"/>
        <w:spacing w:after="60"/>
      </w:pPr>
      <w:r>
        <w:rPr>
          <w:b/>
          <w:i w:val="0"/>
        </w:rPr>
        <w:t>Mutuality:</w:t>
      </w:r>
      <w:r>
        <w:rPr>
          <w:b w:val="0"/>
          <w:i w:val="0"/>
        </w:rPr>
        <w:t xml:space="preserve"> accept reasonable reciprocal confidentiality of audit reports and Covered Entity obligations (BAA-14), which benefit Cumulus.</w:t>
      </w:r>
    </w:p>
    <w:p>
      <w:pPr>
        <w:pStyle w:val="Heading2"/>
      </w:pPr>
      <w:r>
        <w:t>7.3 Sequencing and Handling</w:t>
      </w:r>
    </w:p>
    <w:p>
      <w:pPr>
        <w:pStyle w:val="ListBullet"/>
        <w:spacing w:after="60"/>
      </w:pPr>
      <w:r>
        <w:rPr>
          <w:b/>
          <w:i w:val="0"/>
        </w:rPr>
        <w:t>Round 1 (late April 2025):</w:t>
      </w:r>
      <w:r>
        <w:rPr>
          <w:b w:val="0"/>
          <w:i w:val="0"/>
        </w:rPr>
        <w:t xml:space="preserve"> send the rider and the diligence list together. Ask Cumulus to answer the Redline, offshore, HITRUST and insurance questions in writing before the first call. Accept Kessler’s offer of the SOC 2 report under NDA.</w:t>
      </w:r>
    </w:p>
    <w:p>
      <w:pPr>
        <w:pStyle w:val="ListBullet"/>
        <w:spacing w:after="60"/>
      </w:pPr>
      <w:r>
        <w:rPr>
          <w:b/>
          <w:i w:val="0"/>
        </w:rPr>
        <w:t>Round 2 (May 2025):</w:t>
      </w:r>
      <w:r>
        <w:rPr>
          <w:b w:val="0"/>
          <w:i w:val="0"/>
        </w:rPr>
        <w:t xml:space="preserve"> a working call to close Group B in bulk, then Group A item by item. Pair concessions: e.g., keep the no-admission clause and aggregate reporting of unsuccessful attempts in exchange for 24 hours, confirmed or suspected; scope audits to rely on SOC 2 in exchange for an annual, no-charge, primary audit right.</w:t>
      </w:r>
    </w:p>
    <w:p>
      <w:pPr>
        <w:pStyle w:val="ListBullet"/>
        <w:spacing w:after="60"/>
      </w:pPr>
      <w:r>
        <w:rPr>
          <w:b/>
          <w:i w:val="0"/>
        </w:rPr>
        <w:t>Liability and insurance</w:t>
      </w:r>
      <w:r>
        <w:rPr>
          <w:b w:val="0"/>
          <w:i w:val="0"/>
        </w:rPr>
        <w:t xml:space="preserve"> should be negotiated alongside the MSA limitation-of-liability clause. DPA § 12.3 interacts with the MSA cap, and the carve-out must appear in both documents.</w:t>
      </w:r>
    </w:p>
    <w:p>
      <w:pPr>
        <w:pStyle w:val="ListBullet"/>
        <w:spacing w:after="60"/>
      </w:pPr>
      <w:r>
        <w:rPr>
          <w:b/>
          <w:i w:val="0"/>
        </w:rPr>
        <w:t>Do not disclose</w:t>
      </w:r>
      <w:r>
        <w:rPr>
          <w:b w:val="0"/>
          <w:i w:val="0"/>
        </w:rPr>
        <w:t xml:space="preserve"> the Playbook, the Checklist, internal fallbacks or details of the 2022 incident. Present positions as Bellweather requirements based on its HIPAA covered-entity obligations, OCR expectations and the 1.4M-patient risk profile.</w:t>
      </w:r>
    </w:p>
    <w:p>
      <w:pPr>
        <w:pStyle w:val="ListBullet"/>
        <w:spacing w:after="60"/>
      </w:pPr>
      <w:r>
        <w:rPr>
          <w:b/>
          <w:i w:val="0"/>
        </w:rPr>
        <w:t>Escalation checkpoint (mid-June 2025):</w:t>
      </w:r>
      <w:r>
        <w:rPr>
          <w:b w:val="0"/>
          <w:i w:val="0"/>
        </w:rPr>
        <w:t xml:space="preserve"> any Group A item still open gets a Tier 1 escalation memo under Playbook § 19 (deviation, requirement, risk assessment, mitigations, business justification) for CPO and GC sign-off. Thornfield &amp; Ashe should be engaged through the GC’s office for the liability/insurance and de-identification memos.</w:t>
      </w:r>
    </w:p>
    <w:p>
      <w:pPr>
        <w:pStyle w:val="ListBullet"/>
        <w:spacing w:after="60"/>
      </w:pPr>
      <w:r>
        <w:rPr>
          <w:b/>
          <w:i w:val="0"/>
        </w:rPr>
        <w:t>Cumulus leverage points:</w:t>
      </w:r>
      <w:r>
        <w:rPr>
          <w:b w:val="0"/>
          <w:i w:val="0"/>
        </w:rPr>
        <w:t xml:space="preserve"> Cumulus is courting a large health-system customer, has offered to walk through the BAA and wants signature “well in advance of the August 1 target.” A healthcare SaaS vendor without current HITRUST should expect enhanced contractual protection in return.</w:t>
      </w:r>
    </w:p>
    <w:p>
      <w:pPr>
        <w:pStyle w:val="Heading1"/>
      </w:pPr>
      <w:r>
        <w:t>8. Proposed Counter-Language (Bellweather Rider — Key Provisions)</w:t>
      </w:r>
    </w:p>
    <w:p>
      <w:pPr>
        <w:spacing w:after="120"/>
      </w:pPr>
      <w:r>
        <w:rPr>
          <w:b w:val="0"/>
          <w:i/>
          <w:sz w:val="19"/>
        </w:rPr>
        <w:t>This language is drawn from the Playbook mandatory language and the Checklist required language, adapted to Cumulus’s defined terms. It should be issued as a rider or redline to the Cumulus form, and it is suitable to share with Cumulus.</w:t>
      </w:r>
    </w:p>
    <w:p>
      <w:pPr>
        <w:spacing w:after="20"/>
      </w:pPr>
      <w:r>
        <w:rPr>
          <w:b/>
          <w:i w:val="0"/>
          <w:color w:val="1F3864"/>
          <w:sz w:val="20"/>
        </w:rPr>
        <w:t>R-1  § 1.12 Security Incident (D-01)</w:t>
      </w:r>
    </w:p>
    <w:p>
      <w:pPr>
        <w:spacing w:after="120"/>
      </w:pPr>
      <w:r>
        <w:rPr>
          <w:b w:val="0"/>
          <w:i w:val="0"/>
          <w:sz w:val="19"/>
        </w:rPr>
        <w:t>“Security Incident” means any confirmed or suspected unauthorized access to, acquisition of, use of, or disclosure of Customer Data that compromises or may compromise the security, confidentiality, or integrity of such data, and any event that materially compromises the security, integrity, or confidentiality of systems used to Process Customer Data (including ransomware or unauthorized configuration changes), regardless of whether exfiltration is confirmed. Unsuccessful attempts that do not result in unauthorized access (such as pings, port scans and blocked log-on attempts) need not be notified individually under Section 7 but shall be logged, retained and reported to Controller in aggregate upon request.</w:t>
      </w:r>
    </w:p>
    <w:p>
      <w:pPr>
        <w:spacing w:after="20"/>
      </w:pPr>
      <w:r>
        <w:rPr>
          <w:b/>
          <w:i w:val="0"/>
          <w:color w:val="1F3864"/>
          <w:sz w:val="20"/>
        </w:rPr>
        <w:t>R-2  § 1 New definitions (D-02)</w:t>
      </w:r>
    </w:p>
    <w:p>
      <w:pPr>
        <w:spacing w:after="120"/>
      </w:pPr>
      <w:r>
        <w:rPr>
          <w:b w:val="0"/>
          <w:i w:val="0"/>
          <w:sz w:val="19"/>
        </w:rPr>
        <w:t>“Derived Data” means any data created, generated, or derived by Processor from Customer Data, including de-identified data, aggregated data, analytics outputs, engagement metrics, patient satisfaction scores and communication preference profiles; Derived Data shall be treated as Customer Data unless Processor demonstrates to Controller’s reasonable satisfaction that it has been irreversibly de-identified by a method approved in writing by Controller. “Documented Instructions” means written instructions from Controller specifying the scope, nature, purpose and manner of Processing, whether set forth in this DPA, any exhibit, or issued during the term under Section 3.1.</w:t>
      </w:r>
    </w:p>
    <w:p>
      <w:pPr>
        <w:spacing w:after="20"/>
      </w:pPr>
      <w:r>
        <w:rPr>
          <w:b/>
          <w:i w:val="0"/>
          <w:color w:val="1F3864"/>
          <w:sz w:val="20"/>
        </w:rPr>
        <w:t>R-3  § 3.1 Instructions (D-04, D-05)</w:t>
      </w:r>
    </w:p>
    <w:p>
      <w:pPr>
        <w:spacing w:after="120"/>
      </w:pPr>
      <w:r>
        <w:rPr>
          <w:b w:val="0"/>
          <w:i w:val="0"/>
          <w:sz w:val="19"/>
        </w:rPr>
        <w:t>Processor shall process Customer Data only in accordance with Controller’s Documented Instructions, whether set forth in this DPA, any exhibit or schedule hereto, or provided by Controller during the term in writing (including by email from an authorized contact). Processor shall promptly inform Controller if, in Processor’s opinion, an instruction infringes Applicable Data Protection Law. Controller’s authorized contacts are its Chief Privacy Officer and General Counsel and such other persons as Controller designates by written notice. Processor shall log all instructions and acknowledge each in writing within two (2) business days and confirm compliance within five (5) business days. Supplemental instructions do not require an amendment under Section 15.4.</w:t>
      </w:r>
    </w:p>
    <w:p>
      <w:pPr>
        <w:spacing w:after="20"/>
      </w:pPr>
      <w:r>
        <w:rPr>
          <w:b/>
          <w:i w:val="0"/>
          <w:color w:val="1F3864"/>
          <w:sz w:val="20"/>
        </w:rPr>
        <w:t>R-4  § 5 Sub-processors (D-06 to D-10)</w:t>
      </w:r>
    </w:p>
    <w:p>
      <w:pPr>
        <w:spacing w:after="120"/>
      </w:pPr>
      <w:r>
        <w:rPr>
          <w:b w:val="0"/>
          <w:i w:val="0"/>
          <w:sz w:val="19"/>
        </w:rPr>
        <w:t>Processor shall provide at least thirty (30) calendar days’ prior written notice by email to Controller’s Chief Privacy Officer of any new Sub-processor or material change in scope, identifying the legal entity, services, data categories, processing and access locations, and data protection measures. If Controller objects during the notice period and the parties cannot resolve the objection within thirty (30) calendar days, Controller may terminate this DPA and the applicable services without penalty or fee, and Processor shall cooperate in the orderly transition of Processing. Processor shall not engage the objected-to Sub-processor during the resolution period. Processor shall impose on each Sub-processor by written agreement data protection obligations equivalent to those in this DPA (and, for PHI, a subcontractor business associate agreement complying with 45 CFR §§ 164.504(e) and 164.314(a)). Processor shall be fully liable for the acts, errors, and omissions of its Sub-processors as if such acts, errors, and omissions were those of Processor. [Delete § 5.5.]</w:t>
      </w:r>
    </w:p>
    <w:p>
      <w:pPr>
        <w:spacing w:after="20"/>
      </w:pPr>
      <w:r>
        <w:rPr>
          <w:b/>
          <w:i w:val="0"/>
          <w:color w:val="1F3864"/>
          <w:sz w:val="20"/>
        </w:rPr>
        <w:t>R-5  § 6.2 Security (D-11 to D-17)</w:t>
      </w:r>
    </w:p>
    <w:p>
      <w:pPr>
        <w:spacing w:after="120"/>
      </w:pPr>
      <w:r>
        <w:rPr>
          <w:b w:val="0"/>
          <w:i w:val="0"/>
          <w:sz w:val="19"/>
        </w:rPr>
        <w:t>(a) SOC 2 Type II covering at least the Security, Availability and Confidentiality criteria, report delivered annually within thirty (30) days of issuance or request (whichever is earlier), with a remediation plan for any exception. (b) HITRUST r2 achieved by [date ≤ 12 months after the Effective Date] and maintained. (c) TLS 1.2 or higher for all transmissions, including within Processor’s internal networks. (d) AES-256 (or a stronger NIST-approved standard) encryption at rest for all Customer Data in all datastores and media, including backups, archives, logs and non-production environments. (e) MFA for all personnel access. (f) Annual independent penetration test; critical and high findings remediated within thirty (30) days. (g) Annual incident-response test, with evidence on request.</w:t>
      </w:r>
    </w:p>
    <w:p>
      <w:pPr>
        <w:spacing w:after="20"/>
      </w:pPr>
      <w:r>
        <w:rPr>
          <w:b/>
          <w:i w:val="0"/>
          <w:color w:val="1F3864"/>
          <w:sz w:val="20"/>
        </w:rPr>
        <w:t>R-6  § 7 Breach notification (D-19 to D-21)</w:t>
      </w:r>
    </w:p>
    <w:p>
      <w:pPr>
        <w:spacing w:after="120"/>
      </w:pPr>
      <w:r>
        <w:rPr>
          <w:b w:val="0"/>
          <w:i w:val="0"/>
          <w:sz w:val="19"/>
        </w:rPr>
        <w:t>Processor shall notify Controller in writing within twenty-four (24) hours of Processor’s discovery of any confirmed or suspected Security Incident. “Discovery” means the point at which Processor becomes aware, or reasonably should become aware, of facts suggesting that a Security Incident has occurred or may have occurred. The notice shall state (a) the nature of the Security Incident, including the date and time of discovery and, if known, of the incident; (b) the categories and approximate number of Data Subjects affected; (c) the categories of Customer Data involved; (d) the likely consequences; and (e) the measures taken or proposed, including to mitigate adverse effects on Data Subjects. Processor shall provide updates at least every twenty-four (24) hours until containment, preserve all evidence, cooperate fully with Controller’s investigation and notifications, and make no public statement or notification to regulators or individuals without Controller’s prior written approval except as independently required by law (with advance notice and a copy to Controller).</w:t>
      </w:r>
    </w:p>
    <w:p>
      <w:pPr>
        <w:spacing w:after="20"/>
      </w:pPr>
      <w:r>
        <w:rPr>
          <w:b/>
          <w:i w:val="0"/>
          <w:color w:val="1F3864"/>
          <w:sz w:val="20"/>
        </w:rPr>
        <w:t>R-7  § 10 Data subject requests (D-22, D-23)</w:t>
      </w:r>
    </w:p>
    <w:p>
      <w:pPr>
        <w:spacing w:after="120"/>
      </w:pPr>
      <w:r>
        <w:rPr>
          <w:b w:val="0"/>
          <w:i w:val="0"/>
          <w:sz w:val="19"/>
        </w:rPr>
        <w:t>Upon receiving Controller’s instruction regarding a Data Subject request, Processor shall take all steps necessary to fulfill the request within five (5) business days and shall confirm completion to Controller in writing. Processor shall forward any request received directly to Controller within one (1) business day and shall not respond unless instructed.</w:t>
      </w:r>
    </w:p>
    <w:p>
      <w:pPr>
        <w:spacing w:after="20"/>
      </w:pPr>
      <w:r>
        <w:rPr>
          <w:b/>
          <w:i w:val="0"/>
          <w:color w:val="1F3864"/>
          <w:sz w:val="20"/>
        </w:rPr>
        <w:t>R-8  § 8 Data location (D-24)</w:t>
      </w:r>
    </w:p>
    <w:p>
      <w:pPr>
        <w:spacing w:after="120"/>
      </w:pPr>
      <w:r>
        <w:rPr>
          <w:b w:val="0"/>
          <w:i w:val="0"/>
          <w:sz w:val="19"/>
        </w:rPr>
        <w:t>Processor shall not transfer, access, or otherwise process Customer Data outside the United States (including for disaster recovery, load balancing, backup, support or Sub-processor operations, and including remote access) without Controller’s prior written consent. In the event Controller consents, Processor shall, prior to the transfer, enter into Standard Contractual Clauses or such other transfer mechanism as Controller may approve in writing. Controller may revoke consent on thirty (30) days’ notice, and Processor shall repatriate all Customer Data within that period.</w:t>
      </w:r>
    </w:p>
    <w:p>
      <w:pPr>
        <w:spacing w:after="20"/>
      </w:pPr>
      <w:r>
        <w:rPr>
          <w:b/>
          <w:i w:val="0"/>
          <w:color w:val="1F3864"/>
          <w:sz w:val="20"/>
        </w:rPr>
        <w:t>R-9  § 9 Audit (D-25 to D-28)</w:t>
      </w:r>
    </w:p>
    <w:p>
      <w:pPr>
        <w:spacing w:after="120"/>
      </w:pPr>
      <w:r>
        <w:rPr>
          <w:b w:val="0"/>
          <w:i w:val="0"/>
          <w:sz w:val="19"/>
        </w:rPr>
        <w:t>Controller shall have the right to conduct on-site and remote audits of Processor’s data processing activities, information security controls, and sub-processor management no more than once per calendar year at no charge to Controller (except Controller’s own costs of conducting the audit). Processor shall accommodate scheduling of each audit within fifteen (15) business days of Controller’s written request (immediately following a Breach or suspected Breach). Additional audits may be conducted for cause at Controller’s expense. Processor shall secure and facilitate equivalent audit rights over its Sub-processors. SOC 2 and other third-party reports supplement but do not replace these rights.</w:t>
      </w:r>
    </w:p>
    <w:p>
      <w:pPr>
        <w:spacing w:after="20"/>
      </w:pPr>
      <w:r>
        <w:rPr>
          <w:b/>
          <w:i w:val="0"/>
          <w:color w:val="1F3864"/>
          <w:sz w:val="20"/>
        </w:rPr>
        <w:t>R-10  § 11 Return/deletion; Derived Data (D-29 to D-31)</w:t>
      </w:r>
    </w:p>
    <w:p>
      <w:pPr>
        <w:spacing w:after="120"/>
      </w:pPr>
      <w:r>
        <w:rPr>
          <w:b w:val="0"/>
          <w:i w:val="0"/>
          <w:sz w:val="19"/>
        </w:rPr>
        <w:t>Upon termination or expiration of this DPA, Processor shall, at Controller’s election, delete or return all Customer Data within thirty (30) calendar days. Processor shall provide Controller with a written certification of deletion, signed by an authorized officer, within ten (10) business days of completing deletion, covering all copies, backups, archives and Sub-processor environments. Processor shall not retain any Customer Data or Derived Data following deletion except to the extent required by Applicable Data Protection Law (identifying the specific requirement), and any such retained data shall remain subject to the obligations of this DPA. [Delete § 11.3; conform § 11.4 to a fixed backup purge period.]</w:t>
      </w:r>
    </w:p>
    <w:p>
      <w:pPr>
        <w:spacing w:after="20"/>
      </w:pPr>
      <w:r>
        <w:rPr>
          <w:b/>
          <w:i w:val="0"/>
          <w:color w:val="1F3864"/>
          <w:sz w:val="20"/>
        </w:rPr>
        <w:t>R-11  § 12 Liability and indemnity (D-33, D-34)</w:t>
      </w:r>
    </w:p>
    <w:p>
      <w:pPr>
        <w:spacing w:after="120"/>
      </w:pPr>
      <w:r>
        <w:rPr>
          <w:b w:val="0"/>
          <w:i w:val="0"/>
          <w:sz w:val="19"/>
        </w:rPr>
        <w:t>Notwithstanding any limitation of liability in the Agreement or this DPA, Processor’s liability for all claims arising from or related to (a) Processor’s breach of its data protection obligations, (b) any Security Incident, (c) any violation of Applicable Data Protection Law in connection with the processing of Customer Data, or (d) Processor’s indemnification obligations shall not be subject to any limitation of liability [fallback: “shall in no event be capped at less than three (3) times the Annual Contract Value”]. Processor shall indemnify, defend, and hold harmless Controller from all losses, claims, damages, fines, penalties, costs and expenses (including reasonable attorneys’ fees and costs of investigation, forensic analysis, notification, credit monitoring and remediation) arising from Processor’s breach of this DPA, any Security Incident caused or contributed to by Processor or its Sub-processors, or any violation of Applicable Data Protection Law by Processor or its Sub-processors.</w:t>
      </w:r>
    </w:p>
    <w:p>
      <w:pPr>
        <w:spacing w:after="20"/>
      </w:pPr>
      <w:r>
        <w:rPr>
          <w:b/>
          <w:i w:val="0"/>
          <w:color w:val="1F3864"/>
          <w:sz w:val="20"/>
        </w:rPr>
        <w:t>R-12  § 13 Insurance (D-35, D-36)</w:t>
      </w:r>
    </w:p>
    <w:p>
      <w:pPr>
        <w:spacing w:after="120"/>
      </w:pPr>
      <w:r>
        <w:rPr>
          <w:b w:val="0"/>
          <w:i w:val="0"/>
          <w:sz w:val="19"/>
        </w:rPr>
        <w:t>Cyber liability insurance (including technology errors and omissions, network security, privacy liability and breach response) of not less than $10,000,000 per claim and $20,000,000 aggregate, naming Controller as additional insured, with a certificate (insurer, policy number, limits, dates, material exclusions and sublimits) delivered before execution and annually, and thirty (30) days’ direct notice of any material change, cancellation or non-renewal.</w:t>
      </w:r>
    </w:p>
    <w:p>
      <w:pPr>
        <w:spacing w:after="20"/>
      </w:pPr>
      <w:r>
        <w:rPr>
          <w:b/>
          <w:i w:val="0"/>
          <w:color w:val="1F3864"/>
          <w:sz w:val="20"/>
        </w:rPr>
        <w:t>R-13  Exhibit B insertions (D-37 to D-41; Checklist)</w:t>
      </w:r>
    </w:p>
    <w:p>
      <w:pPr>
        <w:spacing w:after="120"/>
      </w:pPr>
      <w:r>
        <w:rPr>
          <w:b w:val="0"/>
          <w:i w:val="0"/>
          <w:sz w:val="19"/>
        </w:rPr>
        <w:t>Insert the Checklist v2.1 required language for: BAA-03 minimum necessary (§§ 164.502(b), 164.514(d)); BAA-06/BAA-17 reporting of Security Incidents and Breaches within 24 hours of discovery (§ 164.410(a)(2)), with HITECH § 17932 acknowledgment; BAA-08/09 five-business-day access and amendment; BAA-10 six-year accounting records produced within 10 business days; BAA-12 return/destruction within 30 days at CE election with certification; BAA-13 15-day cure, immediate termination where cure is not possible, and termination extending to the Agreement; BAA-14 CE obligations; BAA-15 HITECH acknowledgment; BAA-16 no sale of PHI; BAA-18 mitigation, including subcontractors; BAA-19 audit; BAA-20 de-identification only with prior written consent and no commercial use, and no re-identification (replacing B.2.4); BAA-21 Part 162 transactions; and CMIA/state-law compliance where more stringent (Playbook Req. 13.7).</w:t>
      </w:r>
    </w:p>
    <w:p>
      <w:pPr>
        <w:spacing w:after="20"/>
      </w:pPr>
      <w:r>
        <w:rPr>
          <w:b/>
          <w:i w:val="0"/>
          <w:color w:val="1F3864"/>
          <w:sz w:val="20"/>
        </w:rPr>
        <w:t>R-14  § 14 Termination; § 15.7 Precedence (D-43, D-44, D-46)</w:t>
      </w:r>
    </w:p>
    <w:p>
      <w:pPr>
        <w:spacing w:after="120"/>
      </w:pPr>
      <w:r>
        <w:rPr>
          <w:b w:val="0"/>
          <w:i w:val="0"/>
          <w:sz w:val="19"/>
        </w:rPr>
        <w:t>Controller may terminate this DPA, the MSA and any affected services immediately on written notice if (a) Processor materially breaches a data protection obligation and fails to cure within fifteen (15) calendar days of notice; (b) a Security Incident affects the Personal Data or PHI of more than 1,000 Data Subjects; or (c) Processor violates Applicable Data Protection Law in Processing Customer Data. Processor shall provide up to ninety (90) days of transition assistance. All data protection obligations survive until deletion or return is completed and certified. In the event of any conflict among the MSA, this DPA and its Exhibits, the provision most protective of Customer Data shall control.</w:t>
      </w:r>
    </w:p>
    <w:p>
      <w:pPr>
        <w:pStyle w:val="Heading1"/>
      </w:pPr>
      <w:r>
        <w:t>9. Pre-Execution Diligence Requests to Cumulus</w:t>
      </w:r>
    </w:p>
    <w:p>
      <w:pPr>
        <w:pStyle w:val="ListNumber"/>
        <w:spacing w:after="60"/>
      </w:pPr>
      <w:r>
        <w:rPr>
          <w:b w:val="0"/>
          <w:i w:val="0"/>
        </w:rPr>
        <w:t>SOC 2 Type II report (1/1/2024–12/31/2024) under NDA, the trust services criteria in scope, any exceptions with management responses, and a bridge letter through the effective date.</w:t>
      </w:r>
    </w:p>
    <w:p>
      <w:pPr>
        <w:pStyle w:val="ListNumber"/>
        <w:spacing w:after="60"/>
      </w:pPr>
      <w:r>
        <w:rPr>
          <w:b w:val="0"/>
          <w:i w:val="0"/>
        </w:rPr>
        <w:t>HITRUST r2: the prior certification dates, the expiry date, the current assessment stage, the assessor’s status letter and the target certification date.</w:t>
      </w:r>
    </w:p>
    <w:p>
      <w:pPr>
        <w:pStyle w:val="ListNumber"/>
        <w:spacing w:after="60"/>
      </w:pPr>
      <w:r>
        <w:rPr>
          <w:b w:val="0"/>
          <w:i w:val="0"/>
        </w:rPr>
        <w:t>Redline Analytics Group, LLC: (i) the data elements it receives (identifiable PHI, limited data set or de-identified data); (ii) who performs de-identification and by what method (expert determination or safe harbor), with documentation; (iii) every country and affiliate entity in its processing and access chain; (iv) whether Bellweather-derived data is pooled for cross-customer benchmarking or sold or licensed; (v) a copy of the Cumulus–Redline BAA/DPA.</w:t>
      </w:r>
    </w:p>
    <w:p>
      <w:pPr>
        <w:pStyle w:val="ListNumber"/>
        <w:spacing w:after="60"/>
      </w:pPr>
      <w:r>
        <w:rPr>
          <w:b w:val="0"/>
          <w:i w:val="0"/>
        </w:rPr>
        <w:t>Pinnacle Cloud Infrastructure, Inc.: primary and DR/failover regions (all in the U.S.?), backup locations and encryption standard; whether any support personnel access from outside the U.S.</w:t>
      </w:r>
    </w:p>
    <w:p>
      <w:pPr>
        <w:pStyle w:val="ListNumber"/>
        <w:spacing w:after="60"/>
      </w:pPr>
      <w:r>
        <w:rPr>
          <w:b w:val="0"/>
          <w:i w:val="0"/>
        </w:rPr>
        <w:t>SwiftReach Communications, Inc.: whether message content includes PHI; the downstream carriers and aggregators (sub-sub-processors under § 1.14); any offshore routing; a copy of its BAA.</w:t>
      </w:r>
    </w:p>
    <w:p>
      <w:pPr>
        <w:pStyle w:val="ListNumber"/>
        <w:spacing w:after="60"/>
      </w:pPr>
      <w:r>
        <w:rPr>
          <w:b w:val="0"/>
          <w:i w:val="0"/>
        </w:rPr>
        <w:t>A complete sub-processor chain certification, including affiliates and subsidiaries of Cumulus and of each sub-processor, with countries (Req. 4.1/8.3).</w:t>
      </w:r>
    </w:p>
    <w:p>
      <w:pPr>
        <w:pStyle w:val="ListNumber"/>
        <w:spacing w:after="60"/>
      </w:pPr>
      <w:r>
        <w:rPr>
          <w:b w:val="0"/>
          <w:i w:val="0"/>
        </w:rPr>
        <w:t>Encryption architecture: the at-rest standard (AES-256?) for every datastore, including object storage, logs, backups and non-production environments, and key management.</w:t>
      </w:r>
    </w:p>
    <w:p>
      <w:pPr>
        <w:pStyle w:val="ListNumber"/>
        <w:spacing w:after="60"/>
      </w:pPr>
      <w:r>
        <w:rPr>
          <w:b w:val="0"/>
          <w:i w:val="0"/>
        </w:rPr>
        <w:t>MFA coverage for standard users; the most recent penetration-test executive summary and remediation status; evidence of the last incident-response tabletop.</w:t>
      </w:r>
    </w:p>
    <w:p>
      <w:pPr>
        <w:pStyle w:val="ListNumber"/>
        <w:spacing w:after="60"/>
      </w:pPr>
      <w:r>
        <w:rPr>
          <w:b w:val="0"/>
          <w:i w:val="0"/>
        </w:rPr>
        <w:t>Certificates of insurance for tech E&amp;O and cyber: carrier, A.M. Best rating, policy numbers, limits, sublimits (regulatory, notification), exclusions, and whether excess limits can be obtained.</w:t>
      </w:r>
    </w:p>
    <w:p>
      <w:pPr>
        <w:pStyle w:val="ListNumber"/>
        <w:spacing w:after="60"/>
      </w:pPr>
      <w:r>
        <w:rPr>
          <w:b w:val="0"/>
          <w:i w:val="0"/>
        </w:rPr>
        <w:t>Whether any HIPAA standard transactions (e.g., eligibility queries using insurance member IDs) are performed (BAA-21).</w:t>
      </w:r>
    </w:p>
    <w:p>
      <w:pPr>
        <w:pStyle w:val="ListNumber"/>
        <w:spacing w:after="60"/>
      </w:pPr>
      <w:r>
        <w:rPr>
          <w:b w:val="0"/>
          <w:i w:val="0"/>
        </w:rPr>
        <w:t>Commercial data from Bellweather procurement: the confirmed ACV and expected data-subject and transaction volumes, needed for Exhibit A and the liability floor.</w:t>
      </w:r>
    </w:p>
    <w:p>
      <w:pPr>
        <w:pStyle w:val="Heading1"/>
      </w:pPr>
      <w:r>
        <w:t>10. Approvals Required and Next Steps</w:t>
      </w:r>
    </w:p>
    <w:p>
      <w:pPr>
        <w:pStyle w:val="ListBullet"/>
        <w:spacing w:after="60"/>
      </w:pPr>
      <w:r>
        <w:rPr>
          <w:b/>
          <w:i w:val="0"/>
        </w:rPr>
        <w:t>Approval authority.</w:t>
      </w:r>
      <w:r>
        <w:rPr>
          <w:b w:val="0"/>
          <w:i w:val="0"/>
        </w:rPr>
        <w:t xml:space="preserve"> With tier elevation, any deviation the business wants to accept, including Playbook fallbacks, needs a written escalation memo approved by both the CPO and the GC (Playbook §§ 3, 19; Checklist § 1). No contract manager or business-unit leader may waive a Checklist item.</w:t>
      </w:r>
    </w:p>
    <w:p>
      <w:pPr>
        <w:pStyle w:val="ListBullet"/>
        <w:spacing w:after="60"/>
      </w:pPr>
      <w:r>
        <w:rPr>
          <w:b/>
          <w:i w:val="0"/>
        </w:rPr>
        <w:t>Items that should not be risk-accepted.</w:t>
      </w:r>
      <w:r>
        <w:rPr>
          <w:b w:val="0"/>
          <w:i w:val="0"/>
        </w:rPr>
        <w:t xml:space="preserve"> The statutory defects (6-year accounting records, Security Incident reporting that includes attempted incidents, BAA authority to terminate the contract, and the § 164.504(e) elements) are HIPAA requirements. Accepting them would expose Bellweather directly to OCR enforcement, which is relevant given the prior $1.35M settlement and the Massachusetts AG history.</w:t>
      </w:r>
    </w:p>
    <w:p>
      <w:pPr>
        <w:pStyle w:val="ListBullet"/>
        <w:spacing w:after="60"/>
      </w:pPr>
      <w:r>
        <w:rPr>
          <w:b/>
          <w:i w:val="0"/>
        </w:rPr>
        <w:t>Contract file.</w:t>
      </w:r>
      <w:r>
        <w:rPr>
          <w:b w:val="0"/>
          <w:i w:val="0"/>
        </w:rPr>
        <w:t xml:space="preserve"> Keep this report, the completed Checklist matrix (Section 6) and any signed escalation memos in the contract review file. Record approved deviations in the Privacy Office deviation tracker (Playbook § 3).</w:t>
      </w:r>
    </w:p>
    <w:p>
      <w:pPr>
        <w:pStyle w:val="ListBullet"/>
        <w:spacing w:after="60"/>
      </w:pPr>
      <w:r>
        <w:rPr>
          <w:b/>
          <w:i w:val="0"/>
        </w:rPr>
        <w:t>Coordination with the MSA.</w:t>
      </w:r>
      <w:r>
        <w:rPr>
          <w:b w:val="0"/>
          <w:i w:val="0"/>
        </w:rPr>
        <w:t xml:space="preserve"> The liability carve-out, termination rights, transition assistance, governing law/venue (Oregon / Multnomah County) and auto-renewal must be aligned with the MSA negotiation. Refer governing law, venue and auto-renewal to the commercial contracting team (Playbook § 1.3).</w:t>
      </w:r>
    </w:p>
    <w:p>
      <w:pPr>
        <w:pStyle w:val="ListBullet"/>
        <w:spacing w:after="60"/>
      </w:pPr>
      <w:r>
        <w:rPr>
          <w:b/>
          <w:i w:val="0"/>
        </w:rPr>
        <w:t>Timeline.</w:t>
      </w:r>
      <w:r>
        <w:rPr>
          <w:b w:val="0"/>
          <w:i w:val="0"/>
        </w:rPr>
        <w:t xml:space="preserve"> Respond to Kessler with the rider and diligence list promptly. Target agreement on Group B items in May 2025, and hold the escalation checkpoint by mid-June 2025, to protect the August 1, 2025 go-live. </w:t>
      </w:r>
      <w:r>
        <w:rPr>
          <w:b/>
          <w:i w:val="0"/>
        </w:rPr>
        <w:t>No PHI should be loaded to the platform, including for pilots or implementation testing, until an executed BAA is in place.</w:t>
      </w:r>
    </w:p>
    <w:p>
      <w:pPr>
        <w:pStyle w:val="Heading1"/>
      </w:pPr>
      <w:r>
        <w:t>Appendix A — Provisions Acceptable as Drafted (or with Minor Edits)</w:t>
      </w:r>
    </w:p>
    <w:p>
      <w:pPr>
        <w:pStyle w:val="ListBullet"/>
        <w:spacing w:after="60"/>
      </w:pPr>
      <w:r>
        <w:rPr>
          <w:b w:val="0"/>
          <w:i w:val="0"/>
          <w:sz w:val="19"/>
        </w:rPr>
        <w:t>§ 2.3 / § 15.7: the BAA applies to PHI, and the DPA controls over the MSA on data matters (subject to the “most protective” fix in D-46).</w:t>
      </w:r>
    </w:p>
    <w:p>
      <w:pPr>
        <w:pStyle w:val="ListBullet"/>
        <w:spacing w:after="60"/>
      </w:pPr>
      <w:r>
        <w:rPr>
          <w:b w:val="0"/>
          <w:i w:val="0"/>
          <w:sz w:val="19"/>
        </w:rPr>
        <w:t>§ 3.2: purpose limitation, with notice of legally compelled Processing.</w:t>
      </w:r>
    </w:p>
    <w:p>
      <w:pPr>
        <w:pStyle w:val="ListBullet"/>
        <w:spacing w:after="60"/>
      </w:pPr>
      <w:r>
        <w:rPr>
          <w:b w:val="0"/>
          <w:i w:val="0"/>
          <w:sz w:val="19"/>
        </w:rPr>
        <w:t>§ 4.1–4.2: personnel confidentiality and need-to-know access.</w:t>
      </w:r>
    </w:p>
    <w:p>
      <w:pPr>
        <w:pStyle w:val="ListBullet"/>
        <w:spacing w:after="60"/>
      </w:pPr>
      <w:r>
        <w:rPr>
          <w:b w:val="0"/>
          <w:i w:val="0"/>
          <w:sz w:val="19"/>
        </w:rPr>
        <w:t>§ 6.2(c): TLS 1.2+ (extend to internal networks); § 6.2(f): annually tested incident response plan.</w:t>
      </w:r>
    </w:p>
    <w:p>
      <w:pPr>
        <w:pStyle w:val="ListBullet"/>
        <w:spacing w:after="60"/>
      </w:pPr>
      <w:r>
        <w:rPr>
          <w:b w:val="0"/>
          <w:i w:val="0"/>
          <w:sz w:val="19"/>
        </w:rPr>
        <w:t>§ 7.4: no-admission clause (acceptable if it does not limit other obligations).</w:t>
      </w:r>
    </w:p>
    <w:p>
      <w:pPr>
        <w:pStyle w:val="ListBullet"/>
        <w:spacing w:after="60"/>
      </w:pPr>
      <w:r>
        <w:rPr>
          <w:b w:val="0"/>
          <w:i w:val="0"/>
          <w:sz w:val="19"/>
        </w:rPr>
        <w:t>§ 9.2(iii), (vi), (vii): audit conduct during business hours, independent-auditor NDA and non-competitor restriction.</w:t>
      </w:r>
    </w:p>
    <w:p>
      <w:pPr>
        <w:pStyle w:val="ListBullet"/>
        <w:spacing w:after="60"/>
      </w:pPr>
      <w:r>
        <w:rPr>
          <w:b w:val="0"/>
          <w:i w:val="0"/>
          <w:sz w:val="19"/>
        </w:rPr>
        <w:t>§ 10.1 and § 11.1: cooperation on data subject requests and retention limited to necessity during the term (with the edits in D-23 and D-32).</w:t>
      </w:r>
    </w:p>
    <w:p>
      <w:pPr>
        <w:pStyle w:val="ListBullet"/>
        <w:spacing w:after="60"/>
      </w:pPr>
      <w:r>
        <w:rPr>
          <w:b w:val="0"/>
          <w:i w:val="0"/>
          <w:sz w:val="19"/>
        </w:rPr>
        <w:t>§ 13.1: A.M. Best A- carrier rating and the scope of cyber coverage (regulatory defense and penalties, notification); § 13.2: 30-day notice of cancellation.</w:t>
      </w:r>
    </w:p>
    <w:p>
      <w:pPr>
        <w:pStyle w:val="ListBullet"/>
        <w:spacing w:after="60"/>
      </w:pPr>
      <w:r>
        <w:rPr>
          <w:b w:val="0"/>
          <w:i w:val="0"/>
          <w:sz w:val="19"/>
        </w:rPr>
        <w:t>Exhibit A § A.1: data categories and data subject categories (closely track Playbook Req. 2.2(a)–(b)).</w:t>
      </w:r>
    </w:p>
    <w:p>
      <w:pPr>
        <w:pStyle w:val="ListBullet"/>
        <w:spacing w:after="60"/>
      </w:pPr>
      <w:r>
        <w:rPr>
          <w:b w:val="0"/>
          <w:i w:val="0"/>
          <w:sz w:val="19"/>
        </w:rPr>
        <w:t>Exhibit B §§ B.2.1, B.2.3, B.3.7, B.5.2 (infeasibility clause), B.6.2, B.6.3: core HIPAA mechanics.</w:t>
      </w:r>
    </w:p>
    <w:sectPr w:rsidR="00FC693F" w:rsidRPr="0006063C" w:rsidSect="00034616">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Bellweather Health Systems, Inc. — Cumulus DPA Deviation Report — Prepared under Playbook v4.2 and HIPAA Checklist v2.1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5"/>
      </w:rPr>
      <w:t>PRIVILEGED &amp; CONFIDENTIAL — ATTORNEY-CLIENT COMMUNICATION / ATTORNEY WORK PRODUCT — INTERNAL: DO NOT SHARE WITH VENDOR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