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AND CONFIDENTIAL — PREPARED FOR THE PURPOSE OF GIVING LEGAL ADVICE</w:t>
      </w:r>
    </w:p>
    <w:p>
      <w:pPr>
        <w:spacing w:after="80"/>
      </w:pPr>
    </w:p>
    <w:p>
      <w:pPr>
        <w:spacing w:after="80"/>
        <w:jc w:val="center"/>
      </w:pPr>
      <w:r>
        <w:rPr>
          <w:b/>
          <w:i w:val="0"/>
          <w:sz w:val="40"/>
        </w:rPr>
        <w:t>GAP ANALYSIS REPORT</w:t>
      </w:r>
    </w:p>
    <w:p>
      <w:pPr>
        <w:spacing w:after="80"/>
        <w:jc w:val="center"/>
      </w:pPr>
      <w:r>
        <w:rPr>
          <w:b/>
          <w:i w:val="0"/>
          <w:sz w:val="24"/>
        </w:rPr>
        <w:t>Remediation Implementation Plan (v1.0, 3 February 2025) measured against the ICO Regulatory Undertaking dated 15 January 2025</w:t>
      </w:r>
    </w:p>
    <w:p>
      <w:pPr>
        <w:spacing w:after="80"/>
        <w:jc w:val="center"/>
      </w:pPr>
      <w:r>
        <w:rPr>
          <w:b w:val="0"/>
          <w:i w:val="0"/>
          <w:sz w:val="22"/>
        </w:rPr>
        <w:t>Bellhaven Health UK Ltd. (Company No. 09847321) — ICO Case Reference ICO/INV/2024/09871</w:t>
      </w:r>
    </w:p>
    <w:p>
      <w:pPr>
        <w:spacing w:after="80"/>
      </w:pP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1984"/>
            <w:shd w:val="clear" w:color="auto" w:fill="1F3A5F"/>
          </w:tcPr>
          <w:p>
            <w:r/>
            <w:r>
              <w:rPr>
                <w:b/>
                <w:color w:val="FFFFFF"/>
                <w:sz w:val="17"/>
              </w:rPr>
              <w:t>Item</w:t>
            </w:r>
          </w:p>
        </w:tc>
        <w:tc>
          <w:tcPr>
            <w:tcW w:type="dxa" w:w="7370"/>
            <w:shd w:val="clear" w:color="auto" w:fill="1F3A5F"/>
          </w:tcPr>
          <w:p>
            <w:r/>
            <w:r>
              <w:rPr>
                <w:b/>
                <w:color w:val="FFFFFF"/>
                <w:sz w:val="17"/>
              </w:rPr>
              <w:t>Detail</w:t>
            </w:r>
          </w:p>
        </w:tc>
      </w:tr>
      <w:tr>
        <w:tc>
          <w:tcPr>
            <w:tcW w:type="dxa" w:w="1984"/>
          </w:tcPr>
          <w:p>
            <w:r/>
            <w:r>
              <w:rPr>
                <w:sz w:val="17"/>
              </w:rPr>
              <w:t>Prepared for</w:t>
            </w:r>
          </w:p>
        </w:tc>
        <w:tc>
          <w:tcPr>
            <w:tcW w:type="dxa" w:w="7370"/>
          </w:tcPr>
          <w:p>
            <w:r/>
            <w:r>
              <w:rPr>
                <w:sz w:val="17"/>
              </w:rPr>
              <w:t>Catherine Thornfield, Lead Partner, Thornfield &amp; Associates LLP (for onward advice to Jonathan Kierce, Managing Director, and Dr Fiona Hartwell, DPO, Bellhaven Health UK Ltd.)</w:t>
            </w:r>
          </w:p>
        </w:tc>
      </w:tr>
      <w:tr>
        <w:tc>
          <w:tcPr>
            <w:tcW w:type="dxa" w:w="1984"/>
          </w:tcPr>
          <w:p>
            <w:r/>
            <w:r>
              <w:rPr>
                <w:sz w:val="17"/>
              </w:rPr>
              <w:t>Purpose</w:t>
            </w:r>
          </w:p>
        </w:tc>
        <w:tc>
          <w:tcPr>
            <w:tcW w:type="dxa" w:w="7370"/>
          </w:tcPr>
          <w:p>
            <w:r/>
            <w:r>
              <w:rPr>
                <w:sz w:val="17"/>
              </w:rPr>
              <w:t>Commitment-by-commitment review of whether the Remediation Implementation Plan (the “Plan”) meets each of the 47 Commitments in the Regulatory Undertaking (the “Undertaking”) and its timetable, reporting, audit and variation provisions, before the Plan is circulated or relied on in reporting to the ICO.</w:t>
            </w:r>
          </w:p>
        </w:tc>
      </w:tr>
      <w:tr>
        <w:tc>
          <w:tcPr>
            <w:tcW w:type="dxa" w:w="1984"/>
          </w:tcPr>
          <w:p>
            <w:r/>
            <w:r>
              <w:rPr>
                <w:sz w:val="17"/>
              </w:rPr>
              <w:t>Documents reviewed</w:t>
            </w:r>
          </w:p>
        </w:tc>
        <w:tc>
          <w:tcPr>
            <w:tcW w:type="dxa" w:w="7370"/>
          </w:tcPr>
          <w:p>
            <w:r/>
            <w:r>
              <w:rPr>
                <w:sz w:val="17"/>
              </w:rPr>
              <w:t>(1) Regulatory Undertaking, 15 Jan 2025, including Schedules 1 and 2; (2) Remediation Implementation Plan v1.0 “FINAL”, 3 Feb 2025, including Appendices A–D; (3) ICO Investigation Summary and Preliminary Findings letter, 18 Nov 2024; (4) Commitment Mapping Matrix (xlsx: Commitment Mapping, Timeline Comparison and Budget Allocation sheets); (5) email chain Ngata / Kassab / Hartwell, 5–6 Feb 2025.</w:t>
            </w:r>
          </w:p>
        </w:tc>
      </w:tr>
      <w:tr>
        <w:tc>
          <w:tcPr>
            <w:tcW w:type="dxa" w:w="1984"/>
          </w:tcPr>
          <w:p>
            <w:r/>
            <w:r>
              <w:rPr>
                <w:sz w:val="17"/>
              </w:rPr>
              <w:t>Position as at</w:t>
            </w:r>
          </w:p>
        </w:tc>
        <w:tc>
          <w:tcPr>
            <w:tcW w:type="dxa" w:w="7370"/>
          </w:tcPr>
          <w:p>
            <w:r/>
            <w:r>
              <w:rPr>
                <w:sz w:val="17"/>
              </w:rPr>
              <w:t>The documents above, up to the last email of 6 Feb 2025. The Phase 1 deadline (14 Feb 2025) is then 6 business days away.</w:t>
            </w:r>
          </w:p>
        </w:tc>
      </w:tr>
      <w:tr>
        <w:tc>
          <w:tcPr>
            <w:tcW w:type="dxa" w:w="1984"/>
          </w:tcPr>
          <w:p>
            <w:r/>
            <w:r>
              <w:rPr>
                <w:sz w:val="17"/>
              </w:rPr>
              <w:t>Controlling text</w:t>
            </w:r>
          </w:p>
        </w:tc>
        <w:tc>
          <w:tcPr>
            <w:tcW w:type="dxa" w:w="7370"/>
          </w:tcPr>
          <w:p>
            <w:r/>
            <w:r>
              <w:rPr>
                <w:sz w:val="17"/>
              </w:rPr>
              <w:t>Where documents conflict, the Undertaking governs (Cl. 12.3 entire agreement). Schedule 1 of the Undertaking is the operative statement of findings. The ICO letter numbers its findings differently and is cited as “ICO Finding”.</w:t>
            </w:r>
          </w:p>
        </w:tc>
      </w:tr>
    </w:tbl>
    <w:p>
      <w:pPr>
        <w:spacing w:after="40"/>
      </w:pPr>
    </w:p>
    <w:p>
      <w:pPr>
        <w:pStyle w:val="Heading1"/>
      </w:pPr>
      <w:r>
        <w:t>1. Executive Summary</w:t>
      </w:r>
    </w:p>
    <w:p>
      <w:pPr>
        <w:spacing w:after="80"/>
      </w:pPr>
      <w:r>
        <w:rPr>
          <w:b w:val="0"/>
          <w:i w:val="0"/>
        </w:rPr>
        <w:t>The Plan says it gives “a comprehensive and robust response to all forty-seven commitments”. It does not. We found a gap in every one of the 47 Commitments. At the low end the gap is a drafting point; at the high end the Plan either leaves the Commitment out entirely or adopts a standard the Undertaking expressly forbids. Two Commitments have no action item at all, and ten carry gaps that, if not fixed, would amount to non-compliance with the Undertaking. Non-compliance would expose BHS UK to the enforcement routes in Section 9: an enforcement notice, a penalty of up to £8.7 million (the ICO’s current assessment; the statutory ceiling is higher), and publication.</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134"/>
            <w:shd w:val="clear" w:color="auto" w:fill="1F3A5F"/>
          </w:tcPr>
          <w:p>
            <w:r/>
            <w:r>
              <w:rPr>
                <w:b/>
                <w:color w:val="FFFFFF"/>
                <w:sz w:val="17"/>
              </w:rPr>
              <w:t>Rating</w:t>
            </w:r>
          </w:p>
        </w:tc>
        <w:tc>
          <w:tcPr>
            <w:tcW w:type="dxa" w:w="4252"/>
            <w:shd w:val="clear" w:color="auto" w:fill="1F3A5F"/>
          </w:tcPr>
          <w:p>
            <w:r/>
            <w:r>
              <w:rPr>
                <w:b/>
                <w:color w:val="FFFFFF"/>
                <w:sz w:val="17"/>
              </w:rPr>
              <w:t>Meaning</w:t>
            </w:r>
          </w:p>
        </w:tc>
        <w:tc>
          <w:tcPr>
            <w:tcW w:type="dxa" w:w="567"/>
            <w:shd w:val="clear" w:color="auto" w:fill="1F3A5F"/>
          </w:tcPr>
          <w:p>
            <w:r/>
            <w:r>
              <w:rPr>
                <w:b/>
                <w:color w:val="FFFFFF"/>
                <w:sz w:val="17"/>
              </w:rPr>
              <w:t>No.</w:t>
            </w:r>
          </w:p>
        </w:tc>
        <w:tc>
          <w:tcPr>
            <w:tcW w:type="dxa" w:w="3402"/>
            <w:shd w:val="clear" w:color="auto" w:fill="1F3A5F"/>
          </w:tcPr>
          <w:p>
            <w:r/>
            <w:r>
              <w:rPr>
                <w:b/>
                <w:color w:val="FFFFFF"/>
                <w:sz w:val="17"/>
              </w:rPr>
              <w:t>Commitments</w:t>
            </w:r>
          </w:p>
        </w:tc>
      </w:tr>
      <w:tr>
        <w:tc>
          <w:tcPr>
            <w:tcW w:type="dxa" w:w="1134"/>
            <w:shd w:val="clear" w:color="auto" w:fill="F4B6B6"/>
          </w:tcPr>
          <w:p>
            <w:r/>
            <w:r>
              <w:rPr>
                <w:b/>
                <w:sz w:val="17"/>
              </w:rPr>
              <w:t>Critical</w:t>
            </w:r>
          </w:p>
        </w:tc>
        <w:tc>
          <w:tcPr>
            <w:tcW w:type="dxa" w:w="4252"/>
          </w:tcPr>
          <w:p>
            <w:r/>
            <w:r>
              <w:rPr>
                <w:sz w:val="17"/>
              </w:rPr>
              <w:t>Commitment not addressed, or the Plan contradicts an express core requirement or deadline. Non-compliance is certain unless the Plan is changed or the ICO agrees an extension or variation.</w:t>
            </w:r>
          </w:p>
        </w:tc>
        <w:tc>
          <w:tcPr>
            <w:tcW w:type="dxa" w:w="567"/>
          </w:tcPr>
          <w:p>
            <w:r/>
            <w:r>
              <w:rPr>
                <w:sz w:val="17"/>
              </w:rPr>
              <w:t>10</w:t>
            </w:r>
          </w:p>
        </w:tc>
        <w:tc>
          <w:tcPr>
            <w:tcW w:type="dxa" w:w="3402"/>
          </w:tcPr>
          <w:p>
            <w:r/>
            <w:r>
              <w:rPr>
                <w:sz w:val="17"/>
              </w:rPr>
              <w:t>1, 2, 6, 17, 20, 29, 33, 38, 41, 47</w:t>
            </w:r>
          </w:p>
        </w:tc>
      </w:tr>
      <w:tr>
        <w:tc>
          <w:tcPr>
            <w:tcW w:type="dxa" w:w="1134"/>
            <w:shd w:val="clear" w:color="auto" w:fill="F9D9A6"/>
          </w:tcPr>
          <w:p>
            <w:r/>
            <w:r>
              <w:rPr>
                <w:b/>
                <w:sz w:val="17"/>
              </w:rPr>
              <w:t>High</w:t>
            </w:r>
          </w:p>
        </w:tc>
        <w:tc>
          <w:tcPr>
            <w:tcW w:type="dxa" w:w="4252"/>
          </w:tcPr>
          <w:p>
            <w:r/>
            <w:r>
              <w:rPr>
                <w:sz w:val="17"/>
              </w:rPr>
              <w:t>A material express element is omitted or watered down, usually one tied to a Schedule 1 finding.</w:t>
            </w:r>
          </w:p>
        </w:tc>
        <w:tc>
          <w:tcPr>
            <w:tcW w:type="dxa" w:w="567"/>
          </w:tcPr>
          <w:p>
            <w:r/>
            <w:r>
              <w:rPr>
                <w:sz w:val="17"/>
              </w:rPr>
              <w:t>9</w:t>
            </w:r>
          </w:p>
        </w:tc>
        <w:tc>
          <w:tcPr>
            <w:tcW w:type="dxa" w:w="3402"/>
          </w:tcPr>
          <w:p>
            <w:r/>
            <w:r>
              <w:rPr>
                <w:sz w:val="17"/>
              </w:rPr>
              <w:t>3, 4, 8, 9, 11, 18, 21, 26, 45</w:t>
            </w:r>
          </w:p>
        </w:tc>
      </w:tr>
      <w:tr>
        <w:tc>
          <w:tcPr>
            <w:tcW w:type="dxa" w:w="1134"/>
            <w:shd w:val="clear" w:color="auto" w:fill="FFF2B3"/>
          </w:tcPr>
          <w:p>
            <w:r/>
            <w:r>
              <w:rPr>
                <w:b/>
                <w:sz w:val="17"/>
              </w:rPr>
              <w:t>Medium</w:t>
            </w:r>
          </w:p>
        </w:tc>
        <w:tc>
          <w:tcPr>
            <w:tcW w:type="dxa" w:w="4252"/>
          </w:tcPr>
          <w:p>
            <w:r/>
            <w:r>
              <w:rPr>
                <w:sz w:val="17"/>
              </w:rPr>
              <w:t>Specific sub-requirements (SLAs, sign-offs, reporting, scope details) are missing. Fixable by redrafting the Plan.</w:t>
            </w:r>
          </w:p>
        </w:tc>
        <w:tc>
          <w:tcPr>
            <w:tcW w:type="dxa" w:w="567"/>
          </w:tcPr>
          <w:p>
            <w:r/>
            <w:r>
              <w:rPr>
                <w:sz w:val="17"/>
              </w:rPr>
              <w:t>21</w:t>
            </w:r>
          </w:p>
        </w:tc>
        <w:tc>
          <w:tcPr>
            <w:tcW w:type="dxa" w:w="3402"/>
          </w:tcPr>
          <w:p>
            <w:r/>
            <w:r>
              <w:rPr>
                <w:sz w:val="17"/>
              </w:rPr>
              <w:t>5, 7, 10, 12, 13, 14, 15, 16, 22, 24, 25, 28, 30, 31, 32, 37, 39, 40, 43, 44, 46</w:t>
            </w:r>
          </w:p>
        </w:tc>
      </w:tr>
      <w:tr>
        <w:tc>
          <w:tcPr>
            <w:tcW w:type="dxa" w:w="1134"/>
            <w:shd w:val="clear" w:color="auto" w:fill="D9EAD3"/>
          </w:tcPr>
          <w:p>
            <w:r/>
            <w:r>
              <w:rPr>
                <w:b/>
                <w:sz w:val="17"/>
              </w:rPr>
              <w:t>Low</w:t>
            </w:r>
          </w:p>
        </w:tc>
        <w:tc>
          <w:tcPr>
            <w:tcW w:type="dxa" w:w="4252"/>
          </w:tcPr>
          <w:p>
            <w:r/>
            <w:r>
              <w:rPr>
                <w:sz w:val="17"/>
              </w:rPr>
              <w:t>Substance broadly aligned; drafting, evidence or confirmation points only.</w:t>
            </w:r>
          </w:p>
        </w:tc>
        <w:tc>
          <w:tcPr>
            <w:tcW w:type="dxa" w:w="567"/>
          </w:tcPr>
          <w:p>
            <w:r/>
            <w:r>
              <w:rPr>
                <w:sz w:val="17"/>
              </w:rPr>
              <w:t>7</w:t>
            </w:r>
          </w:p>
        </w:tc>
        <w:tc>
          <w:tcPr>
            <w:tcW w:type="dxa" w:w="3402"/>
          </w:tcPr>
          <w:p>
            <w:r/>
            <w:r>
              <w:rPr>
                <w:sz w:val="17"/>
              </w:rPr>
              <w:t>19, 23, 27, 34, 35, 36, 42</w:t>
            </w:r>
          </w:p>
        </w:tc>
      </w:tr>
    </w:tbl>
    <w:p>
      <w:pPr>
        <w:spacing w:after="40"/>
      </w:pPr>
    </w:p>
    <w:p>
      <w:pPr>
        <w:pStyle w:val="Heading3"/>
      </w:pPr>
      <w:r>
        <w:t>Key conclusions</w:t>
      </w:r>
    </w:p>
    <w:p>
      <w:pPr>
        <w:pStyle w:val="ListBullet"/>
        <w:spacing w:after="40"/>
      </w:pPr>
      <w:r>
        <w:rPr>
          <w:b/>
        </w:rPr>
        <w:t>Phase 1 is at immediate risk.</w:t>
      </w:r>
      <w:r>
        <w:t xml:space="preserve"> All five Phase 1 Commitments (due 14 Feb 2025) have gaps, and three are Critical. Patch management (C1) is planned for 28 Feb, and realistically early March. Encryption in transit (C2) adopts the prohibited “TLS 1.2 or higher”. The escalation protocol (C33) allows up to 72 hours and depends on confirming a breach, against a 24-hour, no-confirmation rule. The C33 fix is a drafting change and must be made before 14 Feb.</w:t>
      </w:r>
    </w:p>
    <w:p>
      <w:pPr>
        <w:pStyle w:val="ListBullet"/>
        <w:spacing w:after="40"/>
      </w:pPr>
      <w:r>
        <w:rPr>
          <w:b/>
        </w:rPr>
        <w:t>Two Commitments are missing entirely.</w:t>
      </w:r>
      <w:r>
        <w:t xml:space="preserve"> Sub-processor due diligence (C17) and the children’s data / AADC assessment (C47) have no action item, owner or budget. Appendix A leaves both out silently, and the matrix records both as “NOT MAPPED”. The ICO had singled out both gaps (ICO Findings 7 and 13).</w:t>
      </w:r>
    </w:p>
    <w:p>
      <w:pPr>
        <w:pStyle w:val="ListBullet"/>
        <w:spacing w:after="40"/>
      </w:pPr>
      <w:r>
        <w:rPr>
          <w:b/>
        </w:rPr>
        <w:t>Several Plan choices are expressly prohibited.</w:t>
      </w:r>
      <w:r>
        <w:t xml:space="preserve"> The Plan routes the DPO through BHS Inc.’s General Counsel (C38). It appoints Ridgeline, the excluded forensic firm, as penetration tester (C6). It audits only 21 of 47 Commitments (C41). It leaves out the intra-group transfers to BHS Inc. that were themselves a finding (C20). It sets pseudonymisation at 85% and test/dev only, against 100% in all Non-Production Environments (C29). In each case the Undertaking says expressly what the Plan must not do or must cover.</w:t>
      </w:r>
    </w:p>
    <w:p>
      <w:pPr>
        <w:pStyle w:val="ListBullet"/>
        <w:spacing w:after="40"/>
      </w:pPr>
      <w:r>
        <w:rPr>
          <w:b/>
        </w:rPr>
        <w:t>Departures are being made by self-help.</w:t>
      </w:r>
      <w:r>
        <w:t xml:space="preserve"> The Plan departs from deadlines and specifications without using the Undertaking’s procedures: no Cl. 7.6 extension request (the Phase 1 request window closed on 31 Jan 2025), no Cl. 8.2 impediment notice within 5 business days, and no Cl. 11 variation. The emails show these departures were known and considered, so they cannot later be presented as oversights. Under Cl. 8.3(e) the DPO and MD must personally certify that each Quarterly Report is accurate and complete.</w:t>
      </w:r>
    </w:p>
    <w:p>
      <w:pPr>
        <w:pStyle w:val="ListBullet"/>
        <w:spacing w:after="40"/>
      </w:pPr>
      <w:r>
        <w:rPr>
          <w:b/>
        </w:rPr>
        <w:t>The £4.2m budget does not fund full compliance.</w:t>
      </w:r>
      <w:r>
        <w:t xml:space="preserve"> The commitments with no budget are C17 and C47. Items under-funded on the Plan’s own figures are: an external training provider (C21); two extra penetration tests a year (C6); full-scope audit (C41); pseudonymisation to 100% (C29), put at £280,000–£340,000 extra by Dr Kassab; and DPO team salaries (C26). Recital 2.9 records BHS UK’s confirmation that it has the resources to implement all Commitments, so budget limits will carry little weight under Cl. 9.2(d).</w:t>
      </w:r>
    </w:p>
    <w:p>
      <w:pPr>
        <w:pStyle w:val="ListBullet"/>
        <w:spacing w:after="40"/>
      </w:pPr>
      <w:r>
        <w:rPr>
          <w:b/>
        </w:rPr>
        <w:t>The mapping matrix is unreliable.</w:t>
      </w:r>
      <w:r>
        <w:t xml:space="preserve"> The matrix contains significant errors: wrong deadlines, misdescribed commitments, wrong action numbers, budget figures that do not match the Plan, a wrong penalty basis, and a wrong partner name. It also rates as “MAPPED” many Commitments that have material gaps. It should not be used for the final reconciliation (Section 6).</w:t>
      </w:r>
    </w:p>
    <w:p>
      <w:pPr>
        <w:pStyle w:val="Heading3"/>
      </w:pPr>
      <w:r>
        <w:t>Priority actions (detail in Section 8)</w:t>
      </w:r>
    </w:p>
    <w:p>
      <w:pPr>
        <w:pStyle w:val="ListNumber"/>
        <w:spacing w:after="40"/>
      </w:pPr>
      <w:r>
        <w:rPr>
          <w:b/>
        </w:rPr>
        <w:t xml:space="preserve">By 14 Feb 2025: </w:t>
      </w:r>
      <w:r>
        <w:t>rewrite Action 36 (24-hour SLA, no confirmation precondition); finalise and get BHS UK board and DPO approval of the IRP (C32); add 4-hour revocation and quarterly access reviews (C3); enforce TLS 1.3 wherever technically possible.</w:t>
      </w:r>
    </w:p>
    <w:p>
      <w:pPr>
        <w:pStyle w:val="ListNumber"/>
        <w:spacing w:after="40"/>
      </w:pPr>
      <w:r>
        <w:rPr>
          <w:b/>
        </w:rPr>
        <w:t xml:space="preserve">Immediately (this week): </w:t>
      </w:r>
      <w:r>
        <w:t>send the ICO a Cl. 8.2 impediment notice and a late Cl. 7.6 extension request for C1; open a Cl. 11.2 variation request for the 11 TLS 1.2-only trusts (C2), proposing equivalent compensating controls; agree the approach in a call with Deputy Commissioner Voss’s team.</w:t>
      </w:r>
    </w:p>
    <w:p>
      <w:pPr>
        <w:pStyle w:val="ListNumber"/>
        <w:spacing w:after="40"/>
      </w:pPr>
      <w:r>
        <w:rPr>
          <w:b/>
        </w:rPr>
        <w:t xml:space="preserve">Before Plan v1.1 is circulated: </w:t>
      </w:r>
      <w:r>
        <w:t>add new action items for C17 and C47; rewrite C38 and C6; widen the scope of C20, C29 and C41; correct all Medium and Low items; rebuild Appendix A from the Undertaking text, not from the matrix.</w:t>
      </w:r>
    </w:p>
    <w:p>
      <w:pPr>
        <w:pStyle w:val="ListNumber"/>
        <w:spacing w:after="40"/>
      </w:pPr>
      <w:r>
        <w:rPr>
          <w:b/>
        </w:rPr>
        <w:t xml:space="preserve">Board: </w:t>
      </w:r>
      <w:r>
        <w:t>convene the BHS UK Ltd board to approve the revised Plan, the extra funding, the DPO reporting line and the Privacy Champion. Note that the Plan says the budget was approved by the “BHS board”, whereas Recital 2.9 refers to the BHS UK board.</w:t>
      </w:r>
    </w:p>
    <w:p>
      <w:pPr>
        <w:pStyle w:val="Heading1"/>
      </w:pPr>
      <w:r>
        <w:t>2. Scope and Methodology</w:t>
      </w:r>
    </w:p>
    <w:p>
      <w:pPr>
        <w:spacing w:after="80"/>
      </w:pPr>
      <w:r>
        <w:rPr>
          <w:b w:val="0"/>
          <w:i w:val="0"/>
        </w:rPr>
        <w:t>We broke each of the 47 Commitments in Section 6 of the Undertaking into its individual obligations (standards, numeric thresholds, frequencies, sign-offs, scope definitions and deadlines), using the Section 7 phase deadlines and the Clause 3.1 definitions, especially “Non-Production Environments”. We then compared each obligation with the Plan action items mapped to it, the Plan’s target dates, owners, budgets and evidence deliverables, and the Plan’s general sections (reporting, governance, risk, appendices). We also used the ICO letter, which explains what the ICO meant by each Commitment, and the email chain, which records the reasons for known departures. We checked the Commitment Mapping Matrix against the primary documents rather than relying on it.</w:t>
      </w:r>
    </w:p>
    <w:p>
      <w:pPr>
        <w:spacing w:after="80"/>
      </w:pPr>
      <w:r>
        <w:rPr>
          <w:b w:val="0"/>
          <w:i w:val="0"/>
        </w:rPr>
        <w:t>Phase deadlines (Section 7): Phase 1 by 14 Feb 2025 (C1, C2, C3, C32, C33); Phase 2 by 15 Apr 2025 (C4–C10, C15, C21, C34–C38, C44); Phase 3 by 14 Jul 2025 (C11–C14, C16–C20, C22–C31, C39, C40, C42, C43, C45, C46); Phase 4 by 15 Jan 2026 (C41, C47). Each Commitment must be “fully implemented” by its phase deadline. A Plan date earlier than the deadline is compliant; a later date is not, unless the ICO approves it in advance in writing (Cl. 7.6).</w:t>
      </w:r>
    </w:p>
    <w:p>
      <w:pPr>
        <w:pStyle w:val="Heading1"/>
      </w:pPr>
      <w:r>
        <w:t>3. Critical Gaps — Detailed Analysis</w:t>
      </w:r>
    </w:p>
    <w:p>
      <w:pPr>
        <w:pStyle w:val="Heading2"/>
      </w:pPr>
      <w:r>
        <w:t>3.1 Commitment 33 — 24-hour internal escalation SLA (Phase 1)</w:t>
      </w:r>
    </w:p>
    <w:p>
      <w:pPr>
        <w:spacing w:after="80"/>
      </w:pPr>
      <w:r>
        <w:rPr>
          <w:b w:val="0"/>
          <w:i w:val="0"/>
        </w:rPr>
        <w:t>Undertaking: the DPO must be notified within 24 hours of discovery of a potential breach. “Discovery” includes any reasonable suspicion or automated alert (33(a)). Notification must not depend on triage or confirmation (33(b)) and must be triggered even where the facts are uncertain (33(c)). Required supporting measures: SIEM auto-alerting to the DPO, a procedure accessible to all staff, a 24/7 hotline or web form, and timestamped logs.</w:t>
      </w:r>
    </w:p>
    <w:p>
      <w:pPr>
        <w:spacing w:after="80"/>
      </w:pPr>
      <w:r>
        <w:rPr>
          <w:b w:val="0"/>
          <w:i w:val="0"/>
        </w:rPr>
        <w:t>Plan (Action 36): IT Security notifies the Privacy Team within 48 hours; the Privacy Team assesses within 24 hours; the DPO is told only “where the assessment confirms a personal data breach”. The Plan justifies this as “reducing the risk of over-reporting”.</w:t>
      </w:r>
    </w:p>
    <w:p>
      <w:pPr>
        <w:spacing w:after="80"/>
      </w:pPr>
      <w:r>
        <w:rPr>
          <w:b w:val="0"/>
          <w:i w:val="0"/>
        </w:rPr>
        <w:t>Gap: the protocol breaches each of 33(a)–(c). The time to DPO notification could exceed 72 hours, nearly double the 38-hour delay that produced Sch. 1 Finding 14, and DPO notification is conditional. None of the supporting measures appear. Because Action 36 is due 14 Feb 2025, adopting it as drafted would be a Phase 1 breach on day one. The fix is a drafting and process change that needs no procurement, so there is no reason for the gap to remain.</w:t>
      </w:r>
    </w:p>
    <w:p>
      <w:pPr>
        <w:pStyle w:val="Heading2"/>
      </w:pPr>
      <w:r>
        <w:t>3.2 Commitment 2 — TLS 1.3 in transit (Phase 1)</w:t>
      </w:r>
    </w:p>
    <w:p>
      <w:pPr>
        <w:spacing w:after="80"/>
      </w:pPr>
      <w:r>
        <w:rPr>
          <w:b w:val="0"/>
          <w:i w:val="0"/>
        </w:rPr>
        <w:t>Undertaking: TLS 1.3 for all data flows, with no fallback to TLS 1.2 or lower and lower-version cipher suites disabled on all endpoints. Sch. 1 Finding 2 rests on the TLS 1.0/1.1 connections to trusts and clinics.</w:t>
      </w:r>
    </w:p>
    <w:p>
      <w:pPr>
        <w:spacing w:after="80"/>
      </w:pPr>
      <w:r>
        <w:rPr>
          <w:b w:val="0"/>
          <w:i w:val="0"/>
        </w:rPr>
        <w:t>Plan (Action 2): “TLS 1.2 or higher”, with a TLS 1.3 roadmap deferred to Phase 3. Emails: 11 of 47 trusts run appliances that support TLS 1.2 at most (mostly Rhapsody and older Mirth Connect), including 3 mental-health trusts carrying roughly 12,000 of the 41,203 mental-health records. The upgrade horizon is 18–24 months.</w:t>
      </w:r>
    </w:p>
    <w:p>
      <w:pPr>
        <w:spacing w:after="80"/>
      </w:pPr>
      <w:r>
        <w:rPr>
          <w:b w:val="0"/>
          <w:i w:val="0"/>
        </w:rPr>
        <w:t>Gap and analysis: the patient-safety concern is real and is a relevant factor under Cl. 9.2(d). But the Undertaking provides only one route for changing a Commitment: a written, signed variation (Cl. 11.1–11.2) supported by “a proposed alternative that achieves equivalent data protection outcomes”. Mr Ngata’s view (email of 6 Feb) that “no reasonable regulator” would object is not a substitute for that process. The ICO letter states that even TLS 1.2 is “insufficient” for this data. Recommended approach: (i) enforce TLS 1.3-only by 14 Feb on everything BHS UK controls, i.e. all internal flows and the 36 compatible trusts; (ii) for the 11 trusts, propose compensating controls of equivalent effect, such as a BHS-managed TLS 1.3 edge proxy or IPsec/HSCN tunnel, TLS 1.2 restricted to AEAD/PFS suites, IP allow-listing, enhanced monitoring of those flows, and a dated per-trust migration schedule with quarterly reporting; (iii) file the Cl. 11.2 request and a Cl. 8.2 notice now; (iv) keep the trust-engagement record the DPO suggested. Also add archive storage and documented key management, which the Plan omits.</w:t>
      </w:r>
    </w:p>
    <w:p>
      <w:pPr>
        <w:pStyle w:val="Heading2"/>
      </w:pPr>
      <w:r>
        <w:t>3.3 Commitment 1 — Automated patch management (Phase 1)</w:t>
      </w:r>
    </w:p>
    <w:p>
      <w:pPr>
        <w:spacing w:after="80"/>
      </w:pPr>
      <w:r>
        <w:rPr>
          <w:b w:val="0"/>
          <w:i w:val="0"/>
        </w:rPr>
        <w:t>Undertaking: an automated system fully implemented by 14 Feb 2025, with critical/high patches applied within 14 days of public disclosure. Recital and Sch. 1 Finding 1 record that a 34-day gap directly enabled the Breach.</w:t>
      </w:r>
    </w:p>
    <w:p>
      <w:pPr>
        <w:spacing w:after="80"/>
      </w:pPr>
      <w:r>
        <w:rPr>
          <w:b w:val="0"/>
          <w:i w:val="0"/>
        </w:rPr>
        <w:t>Plan (Action 1): target 28 Feb 2025, with interim weekly manual patching. Emails: the PatchGuard MSA is stuck in BHS Inc. procurement in Austin; Dr Kassab expects 12–14 business days after licence execution (10–12 Feb), i.e. “realistically into early March”; manual patching is running at roughly a 10–12 day cycle.</w:t>
      </w:r>
    </w:p>
    <w:p>
      <w:pPr>
        <w:spacing w:after="80"/>
      </w:pPr>
      <w:r>
        <w:rPr>
          <w:b w:val="0"/>
          <w:i w:val="0"/>
        </w:rPr>
        <w:t>Gap and analysis: the delay is a known breach of a Phase 1 deadline. Cl. 7.6 required any extension request at least 14 days before the deadline, i.e. by 31 Jan 2025. That window has passed, so BHS UK’s only realistic course is a candid late request backed by a Cl. 8.2 impediment notice. The 5-business-day clock under Cl. 8.2 probably began when the licence delay was raised on the call the week before 5 Feb, so it has expired or is about to. Cl. 1.3 makes BHS UK responsible for procuring BHS Inc.’s action, so group procurement delay is no defence. Leaving disclosure until the first Quarterly Report (an option floated in the DPO’s email of 6 Feb) would breach Cl. 8.2, which says expressly that BHS UK must not wait for a Quarterly Report. Separately, the Plan measures the SLA from “vendor patch availability” rather than public disclosure, and omits the medium-severity SLA, the DPO dashboard and the monthly DPO sign-off.</w:t>
      </w:r>
    </w:p>
    <w:p>
      <w:pPr>
        <w:pStyle w:val="Heading2"/>
      </w:pPr>
      <w:r>
        <w:t>3.4 Commitment 38 — DPO reporting line (Phase 2)</w:t>
      </w:r>
    </w:p>
    <w:p>
      <w:pPr>
        <w:spacing w:after="80"/>
      </w:pPr>
      <w:r>
        <w:rPr>
          <w:b w:val="0"/>
          <w:i w:val="0"/>
        </w:rPr>
        <w:t>Undertaking: a direct line to the board of Bellhaven Health UK Ltd., unfettered and without management intermediation, which “shall not be routed through any group-level management function, including the General Counsel of BHS Inc.”; a standing report at every board meeting; and a right of escalation at any time without approval.</w:t>
      </w:r>
    </w:p>
    <w:p>
      <w:pPr>
        <w:spacing w:after="80"/>
      </w:pPr>
      <w:r>
        <w:rPr>
          <w:b w:val="0"/>
          <w:i w:val="0"/>
        </w:rPr>
        <w:t>Plan (Action 41): the DPO will “report to the General Counsel, Priya Dasgupta”, who acts as the “primary conduit” to the board; direct access only where the DPO “considers that direct access is necessary”.</w:t>
      </w:r>
    </w:p>
    <w:p>
      <w:pPr>
        <w:spacing w:after="80"/>
      </w:pPr>
      <w:r>
        <w:rPr>
          <w:b w:val="0"/>
          <w:i w:val="0"/>
        </w:rPr>
        <w:t>Gap: this is the arrangement the Undertaking expressly prohibits. Before the Breach the DPO reported to the MD, who reported to the GC (ICO Finding 12). The Plan would place the US group GC directly above the DPO, so it does not improve the position and arguably makes it worse. The Plan also does not say which board it means, and elsewhere it refers to “the BHS board” (the parent). Ms Dasgupta also sits on the Steering Committee and owns the delayed PatchGuard MSA. This structure risks a breach of Art. 38(3) UK GDPR as well as of the Undertaking.</w:t>
      </w:r>
    </w:p>
    <w:p>
      <w:pPr>
        <w:pStyle w:val="Heading2"/>
      </w:pPr>
      <w:r>
        <w:t>3.5 Commitment 6 — Independent penetration testing (Phase 2)</w:t>
      </w:r>
    </w:p>
    <w:p>
      <w:pPr>
        <w:spacing w:after="80"/>
      </w:pPr>
      <w:r>
        <w:rPr>
          <w:b w:val="0"/>
          <w:i w:val="0"/>
        </w:rPr>
        <w:t>Undertaking: a quarterly test (at least 4 per calendar year) by an independent CREST provider that has not provided forensic, remediation or other Breach-related services. It states: “this requirement precludes the engagement of Ridgeline Cybersecurity Consultants Ltd.”</w:t>
      </w:r>
    </w:p>
    <w:p>
      <w:pPr>
        <w:spacing w:after="80"/>
      </w:pPr>
      <w:r>
        <w:rPr>
          <w:b w:val="0"/>
          <w:i w:val="0"/>
        </w:rPr>
        <w:t>Plan (Action 7): bi-annual tests by Ridgeline, chosen for its knowledge of the architecture. Budget £160,000 for two tests.</w:t>
      </w:r>
    </w:p>
    <w:p>
      <w:pPr>
        <w:spacing w:after="80"/>
      </w:pPr>
      <w:r>
        <w:rPr>
          <w:b w:val="0"/>
          <w:i w:val="0"/>
        </w:rPr>
        <w:t>Gap: appointing a provider the Undertaking names as excluded is a clear breach of C6, and the frequency is also wrong. Ridgeline is also the forensic investigator, the technical lead on the Steering Committee and owner of Actions 1, 2, 4, 6, 7, 8 and 32. This concentration is the reason the ICO required independence. A new provider must be procured in time to complete the first test by 15 Apr 2025. Note too that 4 tests in calendar 2025 with a first test in April needs a compressed schedule, or ICO confirmation that a pro-rata count for 2025 is acceptable.</w:t>
      </w:r>
    </w:p>
    <w:p>
      <w:pPr>
        <w:pStyle w:val="Heading2"/>
      </w:pPr>
      <w:r>
        <w:t>3.6 Commitment 29 — Pseudonymisation (Phase 3)</w:t>
      </w:r>
    </w:p>
    <w:p>
      <w:pPr>
        <w:spacing w:after="80"/>
      </w:pPr>
      <w:r>
        <w:rPr>
          <w:b w:val="0"/>
          <w:i w:val="0"/>
        </w:rPr>
        <w:t>Undertaking: 100% of special category health data pseudonymised in all Non-Production Environments by 14 Jul 2025, with milestones at 60, 120 and 180 days. “Non-Production Environments” is defined in Cl. 3.1 and restated in C29 to include testing, development, staging, QA, UAT, analytics, reporting/BI, data warehouses and sandboxes.</w:t>
      </w:r>
    </w:p>
    <w:p>
      <w:pPr>
        <w:spacing w:after="80"/>
      </w:pPr>
      <w:r>
        <w:rPr>
          <w:b w:val="0"/>
          <w:i w:val="0"/>
        </w:rPr>
        <w:t>Plan (Action 32): 85% coverage, test and development only, with the rest deferred to a “subsequent phase”; no milestones. Emails: the remaining 15% sits in legacy pipelines feeding analytics and two reporting dashboards. Staging and QA need a masking layer that does not yet exist. Full compliance would cost an extra £280,000–£340,000. The DPO accepted the 85% figure “for now” for budget and “optics” reasons, while expecting the ICO to read the scope broadly.</w:t>
      </w:r>
    </w:p>
    <w:p>
      <w:pPr>
        <w:spacing w:after="80"/>
      </w:pPr>
      <w:r>
        <w:rPr>
          <w:b w:val="0"/>
          <w:i w:val="0"/>
        </w:rPr>
        <w:t>Gap and analysis: the Plan departs from both the coverage and the scope requirements. The DPO’s email is wrong to say the term is undefined, because Cl. 3.1 defines it exhaustively. The ICO letter (Finding 10) shows that the ICO had found mental-health data in exactly the excluded environments (staging, QA, analytics, reporting). Budget is not a defence given Recital 2.9. BHS UK does not have to build a full masking layer to comply: the obligation is that no un-pseudonymised special category data is present. It can comply by withdrawing production special category data from staging, QA, analytics and reporting (synthetic or masked datasets, or aggregated feeds) until masking is ready. The technical description should also be corrected: “irreversible hashing” is inconsistent with a separately protected re-identification key, and unsalted hashes of NHS numbers can be reversed by enumeration.</w:t>
      </w:r>
    </w:p>
    <w:p>
      <w:pPr>
        <w:pStyle w:val="Heading2"/>
      </w:pPr>
      <w:r>
        <w:t>3.7 Commitment 20 — International transfers incl. BHS Inc. (Phase 3)</w:t>
      </w:r>
    </w:p>
    <w:p>
      <w:pPr>
        <w:spacing w:after="80"/>
      </w:pPr>
      <w:r>
        <w:rPr>
          <w:b w:val="0"/>
          <w:i w:val="0"/>
        </w:rPr>
        <w:t>Undertaking: safeguards for all restricted transfers, including to processors, sub-processors and group entities, “including, without limitation, any transfers to BHS Inc.”; a register of all international transfers.</w:t>
      </w:r>
    </w:p>
    <w:p>
      <w:pPr>
        <w:spacing w:after="80"/>
      </w:pPr>
      <w:r>
        <w:rPr>
          <w:b w:val="0"/>
          <w:i w:val="0"/>
        </w:rPr>
        <w:t>Plan (Action 21): third-party sub-processors only.</w:t>
      </w:r>
    </w:p>
    <w:p>
      <w:pPr>
        <w:spacing w:after="80"/>
      </w:pPr>
      <w:r>
        <w:rPr>
          <w:b w:val="0"/>
          <w:i w:val="0"/>
        </w:rPr>
        <w:t>Gap: the Plan leaves out the transfer that was itself a finding (Sch. 1 Finding 12; ICO Finding 8), namely routine transfers of health data to BHS Inc. in Austin with no SCCs, IDTA, BCRs or TRA. Every such transfer continues to infringe Chapter V, so the BHS Inc. transfer should be dealt with first, well before 14 Jul. Options are an IDTA or the UK Addendum to the EU SCCs plus a TRA, or documented reliance on the UK Extension to the EU-US DPF if BHS Inc. is certified and HR or health data is in scope. In the meantime, minimise the data transferred. The Plan also omits direct processors and limits the register to sub-processors.</w:t>
      </w:r>
    </w:p>
    <w:p>
      <w:pPr>
        <w:pStyle w:val="Heading2"/>
      </w:pPr>
      <w:r>
        <w:t>3.8 Commitment 41 — Independent audit scope (Phase 4)</w:t>
      </w:r>
    </w:p>
    <w:p>
      <w:pPr>
        <w:spacing w:after="80"/>
      </w:pPr>
      <w:r>
        <w:rPr>
          <w:b w:val="0"/>
          <w:i w:val="0"/>
        </w:rPr>
        <w:t>Undertaking: Pendleton must audit “all forty-seven (47) Commitments … across all eight (8) domains … without exception”; the full report must go to the ICO within 30 days; a remediation plan is due within 60 days.</w:t>
      </w:r>
    </w:p>
    <w:p>
      <w:pPr>
        <w:spacing w:after="80"/>
      </w:pPr>
      <w:r>
        <w:rPr>
          <w:b w:val="0"/>
          <w:i w:val="0"/>
        </w:rPr>
        <w:t>Plan (Action 44): the audit covers WS1, WS6 and WS7 only (C1–9, C32–37, C38–43 = 21 Commitments), leaving 26 Commitments in WS2–5 and WS8 unaudited. The report is to be “made available” to the ICO. Budget £95,000.</w:t>
      </w:r>
    </w:p>
    <w:p>
      <w:pPr>
        <w:spacing w:after="80"/>
      </w:pPr>
      <w:r>
        <w:rPr>
          <w:b w:val="0"/>
          <w:i w:val="0"/>
        </w:rPr>
        <w:t>Gap: an express “without exception” requirement is narrowed by risk-based scoping. The ICO letter also made audit “covering all remediation areas” a precondition of accepting the Undertaking. Pendleton’s engagement letter must be reset to full scope and re-budgeted, with the 30-day delivery and 60-day remediation plan stated.</w:t>
      </w:r>
    </w:p>
    <w:p>
      <w:pPr>
        <w:pStyle w:val="Heading2"/>
      </w:pPr>
      <w:r>
        <w:t>3.9 Commitments 17 and 47 — not addressed</w:t>
      </w:r>
    </w:p>
    <w:p>
      <w:pPr>
        <w:spacing w:after="80"/>
      </w:pPr>
      <w:r>
        <w:rPr>
          <w:b w:val="0"/>
          <w:i w:val="0"/>
        </w:rPr>
        <w:t>C17 (sub-processor due diligence, Phase 3): pre-engagement risk assessments, annual sub-processor audits, Art. 28 flow-down, an ICO-accessible register, and prior written authorisation. The Plan has no action item, and Appendix A jumps from C16 to C18. The ICO called this a “discrete and significant failing”, and BHS UK could not even list its sub-processors (Sch. 1 Finding 8).</w:t>
      </w:r>
    </w:p>
    <w:p>
      <w:pPr>
        <w:spacing w:after="80"/>
      </w:pPr>
      <w:r>
        <w:rPr>
          <w:b w:val="0"/>
          <w:i w:val="0"/>
        </w:rPr>
        <w:t>C47 (children’s data / AADC, Phase 4): a full AADC review, required changes implemented and a report to the ICO, all by 15 Jan 2026. There is no action item or budget; the AADC appears only in the glossary. The ICO estimates about 28,000 under-18 records (ICO Finding 13). Because the changes must be implemented, not just identified, by 15 Jan 2026, and the C41 audit must verify them by then, the assessment needs to start in Q2 2025. Action 52 (PECR cookie review) does not substitute.</w:t>
      </w:r>
    </w:p>
    <w:p>
      <w:pPr>
        <w:spacing w:after="80"/>
      </w:pPr>
      <w:r>
        <w:rPr>
          <w:b w:val="0"/>
          <w:i w:val="0"/>
        </w:rPr>
        <w:t>Both omissions contradict the Plan’s statement that it covers all 47 Commitments. Mr Ngata’s planned evening cross-check (email of 6 Feb) was to work “from the mapping matrix”, which itself leaves both rows out of its main sheet. The reconciliation should be redone directly against Schedule 2 of the Undertaking.</w:t>
      </w:r>
    </w:p>
    <w:p>
      <w:pPr>
        <w:sectPr>
          <w:headerReference w:type="default" r:id="rId9"/>
          <w:pgSz w:w="12240" w:h="15840"/>
          <w:pgMar w:top="1134" w:right="1247" w:bottom="1134" w:left="1247" w:header="720" w:footer="720" w:gutter="0"/>
          <w:cols w:space="720"/>
          <w:docGrid w:linePitch="360"/>
        </w:sectPr>
      </w:pPr>
    </w:p>
    <w:p>
      <w:pPr>
        <w:pStyle w:val="Heading1"/>
      </w:pPr>
      <w:r>
        <w:t>4. Commitment-by-Commitment Gap Analysis (all 47 Commitments)</w:t>
      </w:r>
    </w:p>
    <w:p>
      <w:pPr>
        <w:spacing w:after="80"/>
      </w:pPr>
      <w:r>
        <w:rPr>
          <w:b w:val="0"/>
          <w:i/>
          <w:sz w:val="18"/>
        </w:rPr>
        <w:t>“P1–P4” = Undertaking phase and deadline. Plan budgets are the Plan’s own figures; the matrix figures differ (see Section 6). Ratings are as defined in Section 1.</w:t>
      </w:r>
    </w:p>
    <w:p>
      <w:pPr>
        <w:pStyle w:val="Heading2"/>
      </w:pPr>
      <w:r>
        <w:t>Domain 1 — Technical Security Measures (C1–C9)</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rPr>
          <w:tblHeader w:val="true"/>
        </w:trPr>
        <w:tc>
          <w:tcPr>
            <w:tcW w:type="dxa" w:w="1474"/>
            <w:shd w:val="clear" w:color="auto" w:fill="1F3A5F"/>
          </w:tcPr>
          <w:p>
            <w:r/>
            <w:r>
              <w:rPr>
                <w:b/>
                <w:color w:val="FFFFFF"/>
                <w:sz w:val="15"/>
              </w:rPr>
              <w:t>Commitment / Phase</w:t>
            </w:r>
          </w:p>
        </w:tc>
        <w:tc>
          <w:tcPr>
            <w:tcW w:type="dxa" w:w="2948"/>
            <w:shd w:val="clear" w:color="auto" w:fill="1F3A5F"/>
          </w:tcPr>
          <w:p>
            <w:r/>
            <w:r>
              <w:rPr>
                <w:b/>
                <w:color w:val="FFFFFF"/>
                <w:sz w:val="15"/>
              </w:rPr>
              <w:t>Undertaking requirements</w:t>
            </w:r>
          </w:p>
        </w:tc>
        <w:tc>
          <w:tcPr>
            <w:tcW w:type="dxa" w:w="2268"/>
            <w:shd w:val="clear" w:color="auto" w:fill="1F3A5F"/>
          </w:tcPr>
          <w:p>
            <w:r/>
            <w:r>
              <w:rPr>
                <w:b/>
                <w:color w:val="FFFFFF"/>
                <w:sz w:val="15"/>
              </w:rPr>
              <w:t>Plan coverage</w:t>
            </w:r>
          </w:p>
        </w:tc>
        <w:tc>
          <w:tcPr>
            <w:tcW w:type="dxa" w:w="3288"/>
            <w:shd w:val="clear" w:color="auto" w:fill="1F3A5F"/>
          </w:tcPr>
          <w:p>
            <w:r/>
            <w:r>
              <w:rPr>
                <w:b/>
                <w:color w:val="FFFFFF"/>
                <w:sz w:val="15"/>
              </w:rPr>
              <w:t>Gap(s) identified</w:t>
            </w:r>
          </w:p>
        </w:tc>
        <w:tc>
          <w:tcPr>
            <w:tcW w:type="dxa" w:w="907"/>
            <w:shd w:val="clear" w:color="auto" w:fill="1F3A5F"/>
          </w:tcPr>
          <w:p>
            <w:r/>
            <w:r>
              <w:rPr>
                <w:b/>
                <w:color w:val="FFFFFF"/>
                <w:sz w:val="15"/>
              </w:rPr>
              <w:t>Rating</w:t>
            </w:r>
          </w:p>
        </w:tc>
        <w:tc>
          <w:tcPr>
            <w:tcW w:type="dxa" w:w="3061"/>
            <w:shd w:val="clear" w:color="auto" w:fill="1F3A5F"/>
          </w:tcPr>
          <w:p>
            <w:r/>
            <w:r>
              <w:rPr>
                <w:b/>
                <w:color w:val="FFFFFF"/>
                <w:sz w:val="15"/>
              </w:rPr>
              <w:t>Recommended remediation</w:t>
            </w:r>
          </w:p>
        </w:tc>
      </w:tr>
      <w:tr>
        <w:tc>
          <w:tcPr>
            <w:tcW w:type="dxa" w:w="1474"/>
          </w:tcPr>
          <w:p>
            <w:r/>
            <w:r>
              <w:rPr>
                <w:sz w:val="15"/>
              </w:rPr>
              <w:t>C1</w:t>
              <w:br/>
              <w:t>Automated Patch Management</w:t>
              <w:br/>
              <w:t>P1 – 14 Feb 2025</w:t>
            </w:r>
          </w:p>
        </w:tc>
        <w:tc>
          <w:tcPr>
            <w:tcW w:type="dxa" w:w="2948"/>
          </w:tcPr>
          <w:p>
            <w:r/>
            <w:r>
              <w:rPr>
                <w:sz w:val="15"/>
              </w:rPr>
              <w:t>Automated patching across all BellCloud UK components (OS, middleware, API gateways, DBMS, third-party libraries); critical/high (CVSS ≥7.0 or vendor rating, whichever higher) within 14 days of public disclosure; medium within 30 days; real-time dashboard viewable by DPO and IT security; monthly DPO review with sign-off and escalation to MD.</w:t>
            </w:r>
          </w:p>
        </w:tc>
        <w:tc>
          <w:tcPr>
            <w:tcW w:type="dxa" w:w="2268"/>
          </w:tcPr>
          <w:p>
            <w:r/>
            <w:r>
              <w:rPr>
                <w:sz w:val="15"/>
              </w:rPr>
              <w:t>Action 1 (PatchGuard Enterprise v8.2). Target 28 Feb 2025. 14-day cycle measured from “vendor patch availability”. Interim weekly manual patching overseen by Ridgeline. Owner: Dr Kassab / IT Infrastructure. £220,000.</w:t>
            </w:r>
          </w:p>
        </w:tc>
        <w:tc>
          <w:tcPr>
            <w:tcW w:type="dxa" w:w="3288"/>
          </w:tcPr>
          <w:p>
            <w:r/>
            <w:r>
              <w:rPr>
                <w:sz w:val="15"/>
              </w:rPr>
              <w:t>(1) Target date is 14 days after the Phase 1 deadline; Dr Kassab’s email (5 Feb) says “realistically into early March”. No extension request has been made under Cl. 7.6, and the 14-day request window closed on 31 Jan 2025. (2) Clock runs from “vendor patch availability”, not public disclosure as Commitment 1(a) requires. (3) No 30-day medium-severity SLA. (4) No CVSS-or-vendor “higher classification” rule. (5) No real-time dashboard for the DPO; no monthly DPO review, sign-off or escalation to the MD. (6) Scope is described only as “all BellCloud UK infrastructure”; DBMS, middleware and third-party libraries are not listed. (7) Interim manual patching does not meet the requirement for an automated system (Dr Kassab accepts this).</w:t>
            </w:r>
          </w:p>
        </w:tc>
        <w:tc>
          <w:tcPr>
            <w:tcW w:type="dxa" w:w="907"/>
            <w:shd w:val="clear" w:color="auto" w:fill="F4B6B6"/>
          </w:tcPr>
          <w:p>
            <w:r/>
            <w:r>
              <w:rPr>
                <w:b/>
                <w:sz w:val="15"/>
              </w:rPr>
              <w:t>Critical</w:t>
            </w:r>
          </w:p>
        </w:tc>
        <w:tc>
          <w:tcPr>
            <w:tcW w:type="dxa" w:w="3061"/>
          </w:tcPr>
          <w:p>
            <w:r/>
            <w:r>
              <w:rPr>
                <w:sz w:val="15"/>
              </w:rPr>
              <w:t>Notify the ICO now under Cl. 8.2 (material impediment, 5 business days) and make a late extension request under Cl. 7.6 that admits the missed window, gives full reasons, the interim controls and a firm revised date. Measure the SLA from public disclosure. Add the medium-severity SLA, the classification rule, the DPO dashboard and the monthly DPO sign-off and escalation. Escalate the PatchGuard MSA within BHS Inc. (Cl. 1.3: a delay at BHS Inc. is no defence). Keep dated logs of interim patching as evidence.</w:t>
            </w:r>
          </w:p>
        </w:tc>
      </w:tr>
      <w:tr>
        <w:tc>
          <w:tcPr>
            <w:tcW w:type="dxa" w:w="1474"/>
          </w:tcPr>
          <w:p>
            <w:r/>
            <w:r>
              <w:rPr>
                <w:sz w:val="15"/>
              </w:rPr>
              <w:t>C2</w:t>
              <w:br/>
              <w:t>Encryption Standards</w:t>
              <w:br/>
              <w:t>P1 – 14 Feb 2025</w:t>
            </w:r>
          </w:p>
        </w:tc>
        <w:tc>
          <w:tcPr>
            <w:tcW w:type="dxa" w:w="2948"/>
          </w:tcPr>
          <w:p>
            <w:r/>
            <w:r>
              <w:rPr>
                <w:sz w:val="15"/>
              </w:rPr>
              <w:t>AES-256 at rest for all personal data stores (databases, file stores, backups, archives); TLS 1.3 for all flows to, from and within BellCloud UK, with no fallback to TLS 1.2 or below and all lower-version cipher suites disabled on every endpoint; documented configurations; key management (generation, storage, rotation, destruction).</w:t>
            </w:r>
          </w:p>
        </w:tc>
        <w:tc>
          <w:tcPr>
            <w:tcW w:type="dxa" w:w="2268"/>
          </w:tcPr>
          <w:p>
            <w:r/>
            <w:r>
              <w:rPr>
                <w:sz w:val="15"/>
              </w:rPr>
              <w:t>Action 2. AES-256 at rest (databases, file stores, backup media). In transit: “TLS 1.2 or higher”, with a TLS 1.3 migration roadmap deferred to Phase 3. Target 14 Feb 2025. £310,000.</w:t>
            </w:r>
          </w:p>
        </w:tc>
        <w:tc>
          <w:tcPr>
            <w:tcW w:type="dxa" w:w="3288"/>
          </w:tcPr>
          <w:p>
            <w:r/>
            <w:r>
              <w:rPr>
                <w:sz w:val="15"/>
              </w:rPr>
              <w:t>(1) The Plan adopts a standard (TLS 1.2 fallback) that the Undertaking expressly prohibits. This is a unilateral variation, and under Cl. 11.1 a variation needs written agreement signed by both parties. (2) Emails confirm that 11 of 47 trusts are TLS 1.2-only, including 3 mental-health trusts holding roughly 12,000 of the 41,203 mental-health records, with an 18–24 month upgrade horizon. (3) TLS 1.0/1.1 use was a specific finding (Sch. 1 Finding 2). (4) Archive storage is not listed. (5) The Plan has no key-management procedure and no encryption configuration documentation (it lists TLS certificates only). (6) Cipher-suite disablement is not addressed.</w:t>
            </w:r>
          </w:p>
        </w:tc>
        <w:tc>
          <w:tcPr>
            <w:tcW w:type="dxa" w:w="907"/>
            <w:shd w:val="clear" w:color="auto" w:fill="F4B6B6"/>
          </w:tcPr>
          <w:p>
            <w:r/>
            <w:r>
              <w:rPr>
                <w:b/>
                <w:sz w:val="15"/>
              </w:rPr>
              <w:t>Critical</w:t>
            </w:r>
          </w:p>
        </w:tc>
        <w:tc>
          <w:tcPr>
            <w:tcW w:type="dxa" w:w="3061"/>
          </w:tcPr>
          <w:p>
            <w:r/>
            <w:r>
              <w:rPr>
                <w:sz w:val="15"/>
              </w:rPr>
              <w:t>Do not submit the Plan with “TLS 1.2 or higher” as if it complied. Enforce TLS 1.3-only on every endpoint BHS controls (internal service-to-service and the 36 compatible trusts) by 14 Feb. For the 11 legacy trusts, make a Cl. 11.2 variation request with reasons, impact and a proposed alternative of equivalent effect, for example TLS 1.3 to a BHS-managed edge proxy or IPsec/HSCN tunnel with TLS 1.2 limited to hardened AEAD cipher suites, a per-trust timetable and monthly reporting. Also notify under Cl. 8.2. Record trust engagement, as the DPO suggested. Add archives and key management.</w:t>
            </w:r>
          </w:p>
        </w:tc>
      </w:tr>
      <w:tr>
        <w:tc>
          <w:tcPr>
            <w:tcW w:type="dxa" w:w="1474"/>
          </w:tcPr>
          <w:p>
            <w:r/>
            <w:r>
              <w:rPr>
                <w:sz w:val="15"/>
              </w:rPr>
              <w:t>C3</w:t>
              <w:br/>
              <w:t>Access Controls</w:t>
              <w:br/>
              <w:t>P1 – 14 Feb 2025</w:t>
            </w:r>
          </w:p>
        </w:tc>
        <w:tc>
          <w:tcPr>
            <w:tcW w:type="dxa" w:w="2948"/>
          </w:tcPr>
          <w:p>
            <w:r/>
            <w:r>
              <w:rPr>
                <w:sz w:val="15"/>
              </w:rPr>
              <w:t>RBAC on least privilege mapped to job functions; automated provisioning; quarterly access reviews signed off by line manager and DPO; leaver and role-change revocation within 4 hours, enforced through HR-system integration.</w:t>
            </w:r>
          </w:p>
        </w:tc>
        <w:tc>
          <w:tcPr>
            <w:tcW w:type="dxa" w:w="2268"/>
          </w:tcPr>
          <w:p>
            <w:r/>
            <w:r>
              <w:rPr>
                <w:sz w:val="15"/>
              </w:rPr>
              <w:t>Action 3. RBAC, a one-off comprehensive access review, privilege revocation, role definitions, PAM. Target 12 Feb 2025. Owner: IT Security Lead. £185,000.</w:t>
            </w:r>
          </w:p>
        </w:tc>
        <w:tc>
          <w:tcPr>
            <w:tcW w:type="dxa" w:w="3288"/>
          </w:tcPr>
          <w:p>
            <w:r/>
            <w:r>
              <w:rPr>
                <w:sz w:val="15"/>
              </w:rPr>
              <w:t>(1) Automated provisioning is missing. (2) Only a one-off review is planned; recurring quarterly reviews with line-manager and DPO sign-off are missing. (3) The 4-hour leaver/role-change revocation and HR integration are missing. This matters because the ICO found 8 of 23 unrestricted admin accounts belonged to leavers. The matrix wrongly records Commitment 3 as fully aligned.</w:t>
            </w:r>
          </w:p>
        </w:tc>
        <w:tc>
          <w:tcPr>
            <w:tcW w:type="dxa" w:w="907"/>
            <w:shd w:val="clear" w:color="auto" w:fill="F9D9A6"/>
          </w:tcPr>
          <w:p>
            <w:r/>
            <w:r>
              <w:rPr>
                <w:b/>
                <w:sz w:val="15"/>
              </w:rPr>
              <w:t>High</w:t>
            </w:r>
          </w:p>
        </w:tc>
        <w:tc>
          <w:tcPr>
            <w:tcW w:type="dxa" w:w="3061"/>
          </w:tcPr>
          <w:p>
            <w:r/>
            <w:r>
              <w:rPr>
                <w:sz w:val="15"/>
              </w:rPr>
              <w:t>Add an HR-integrated joiner-mover-leaver workflow with a 4-hour revocation SLA and logging; a quarterly review calendar (first review by end Q2 2025) with documented line-manager and DPO sign-off; and automated provisioning. Add evidence lines: HR-integration test results and revocation timestamp reports.</w:t>
            </w:r>
          </w:p>
        </w:tc>
      </w:tr>
      <w:tr>
        <w:tc>
          <w:tcPr>
            <w:tcW w:type="dxa" w:w="1474"/>
          </w:tcPr>
          <w:p>
            <w:r/>
            <w:r>
              <w:rPr>
                <w:sz w:val="15"/>
              </w:rPr>
              <w:t>C4</w:t>
              <w:br/>
              <w:t>Network Segmentation</w:t>
              <w:br/>
              <w:t>P2 – 15 Apr 2025</w:t>
            </w:r>
          </w:p>
        </w:tc>
        <w:tc>
          <w:tcPr>
            <w:tcW w:type="dxa" w:w="2948"/>
          </w:tcPr>
          <w:p>
            <w:r/>
            <w:r>
              <w:rPr>
                <w:sz w:val="15"/>
              </w:rPr>
              <w:t>Isolate (a) patient data zones from corporate IT (no direct path); (b) production from all Non-Production Environments, with controlled and logged flows; (c) each NHS trust’s data from other trusts, logically, at application and infrastructure level; (d) admin pathways from data pathways, using dedicated hardened management interfaces.</w:t>
            </w:r>
          </w:p>
        </w:tc>
        <w:tc>
          <w:tcPr>
            <w:tcW w:type="dxa" w:w="2268"/>
          </w:tcPr>
          <w:p>
            <w:r/>
            <w:r>
              <w:rPr>
                <w:sz w:val="15"/>
              </w:rPr>
              <w:t>Action 4. Patient data isolated from corporate networks, development environments and public-facing services; micro-segmentation, ACLs, firewall rules. Target 10 Apr 2025. £275,000.</w:t>
            </w:r>
          </w:p>
        </w:tc>
        <w:tc>
          <w:tcPr>
            <w:tcW w:type="dxa" w:w="3288"/>
          </w:tcPr>
          <w:p>
            <w:r/>
            <w:r>
              <w:rPr>
                <w:sz w:val="15"/>
              </w:rPr>
              <w:t>(1) Production is segregated only from “development environments”, not all Non-Production Environments as defined in Cl. 3.1 (staging, QA, UAT, analytics, reporting, data warehouse, sandboxes). (2) No control or logging of production-to-non-production flows. (3) Per-trust logical separation is missing. (4) Separation of the administrative pathway and hardened management interfaces is missing.</w:t>
            </w:r>
          </w:p>
        </w:tc>
        <w:tc>
          <w:tcPr>
            <w:tcW w:type="dxa" w:w="907"/>
            <w:shd w:val="clear" w:color="auto" w:fill="F9D9A6"/>
          </w:tcPr>
          <w:p>
            <w:r/>
            <w:r>
              <w:rPr>
                <w:b/>
                <w:sz w:val="15"/>
              </w:rPr>
              <w:t>High</w:t>
            </w:r>
          </w:p>
        </w:tc>
        <w:tc>
          <w:tcPr>
            <w:tcW w:type="dxa" w:w="3061"/>
          </w:tcPr>
          <w:p>
            <w:r/>
            <w:r>
              <w:rPr>
                <w:sz w:val="15"/>
              </w:rPr>
              <w:t>Extend scope to all Non-Production Environments and to logged, approved data flows; add per-trust tenancy separation with test evidence; add a dedicated admin plane and jump hosts; and test segmentation independently (could form part of the first independent penetration test).</w:t>
            </w:r>
          </w:p>
        </w:tc>
      </w:tr>
      <w:tr>
        <w:tc>
          <w:tcPr>
            <w:tcW w:type="dxa" w:w="1474"/>
          </w:tcPr>
          <w:p>
            <w:r/>
            <w:r>
              <w:rPr>
                <w:sz w:val="15"/>
              </w:rPr>
              <w:t>C5</w:t>
              <w:br/>
              <w:t>API Security</w:t>
              <w:br/>
              <w:t>P2 – 15 Apr 2025</w:t>
            </w:r>
          </w:p>
        </w:tc>
        <w:tc>
          <w:tcPr>
            <w:tcW w:type="dxa" w:w="2948"/>
          </w:tcPr>
          <w:p>
            <w:r/>
            <w:r>
              <w:rPr>
                <w:sz w:val="15"/>
              </w:rPr>
              <w:t>API gateway with rate limiting, authentication, input validation and schema enforcement for all external APIs; API security testing at least quarterly (automated and manual); complete API inventory (purpose, authentication, data exposure, risk class); legacy endpoints deprecated within 30 days of identification.</w:t>
            </w:r>
          </w:p>
        </w:tc>
        <w:tc>
          <w:tcPr>
            <w:tcW w:type="dxa" w:w="2268"/>
          </w:tcPr>
          <w:p>
            <w:r/>
            <w:r>
              <w:rPr>
                <w:sz w:val="15"/>
              </w:rPr>
              <w:t>Action 5. WAF, rate limiting, input validation, authN/authZ, schema enforcement; evidence includes API inventory and risk classification. Target 8 Apr 2025. £195,000.</w:t>
            </w:r>
          </w:p>
        </w:tc>
        <w:tc>
          <w:tcPr>
            <w:tcW w:type="dxa" w:w="3288"/>
          </w:tcPr>
          <w:p>
            <w:r/>
            <w:r>
              <w:rPr>
                <w:sz w:val="15"/>
              </w:rPr>
              <w:t>(1) No quarterly API security testing cadence. (2) No 30-day legacy endpoint deprecation rule. (3) The inventory fields required by Commitment 5(c) are not specified.</w:t>
            </w:r>
          </w:p>
        </w:tc>
        <w:tc>
          <w:tcPr>
            <w:tcW w:type="dxa" w:w="907"/>
            <w:shd w:val="clear" w:color="auto" w:fill="FFF2B3"/>
          </w:tcPr>
          <w:p>
            <w:r/>
            <w:r>
              <w:rPr>
                <w:b/>
                <w:sz w:val="15"/>
              </w:rPr>
              <w:t>Medium</w:t>
            </w:r>
          </w:p>
        </w:tc>
        <w:tc>
          <w:tcPr>
            <w:tcW w:type="dxa" w:w="3061"/>
          </w:tcPr>
          <w:p>
            <w:r/>
            <w:r>
              <w:rPr>
                <w:sz w:val="15"/>
              </w:rPr>
              <w:t>Add a quarterly API test schedule (automated and manual), a 30-day deprecation SLA with a tracking log, and the required inventory fields.</w:t>
            </w:r>
          </w:p>
        </w:tc>
      </w:tr>
      <w:tr>
        <w:tc>
          <w:tcPr>
            <w:tcW w:type="dxa" w:w="1474"/>
          </w:tcPr>
          <w:p>
            <w:r/>
            <w:r>
              <w:rPr>
                <w:sz w:val="15"/>
              </w:rPr>
              <w:t>C6</w:t>
              <w:br/>
              <w:t>Penetration Testing</w:t>
              <w:br/>
              <w:t>P2 – 15 Apr 2025</w:t>
            </w:r>
          </w:p>
        </w:tc>
        <w:tc>
          <w:tcPr>
            <w:tcW w:type="dxa" w:w="2948"/>
          </w:tcPr>
          <w:p>
            <w:r/>
            <w:r>
              <w:rPr>
                <w:sz w:val="15"/>
              </w:rPr>
              <w:t>Independent CREST-accredited external testing each quarter (at least 4 per calendar year). The provider must not have provided forensic, remediation or other Breach-related services; Ridgeline is expressly excluded. Critical/high findings fixed within 30 days of the report; full reports available to the ICO on request.</w:t>
            </w:r>
          </w:p>
        </w:tc>
        <w:tc>
          <w:tcPr>
            <w:tcW w:type="dxa" w:w="2268"/>
          </w:tcPr>
          <w:p>
            <w:r/>
            <w:r>
              <w:rPr>
                <w:sz w:val="15"/>
              </w:rPr>
              <w:t>Action 7. Bi-annual tests (2 a year) by Ridgeline, chosen for its “extensive knowledge of the BellCloud UK architecture”. First test 15 Apr 2025. £160,000 (two tests).</w:t>
            </w:r>
          </w:p>
        </w:tc>
        <w:tc>
          <w:tcPr>
            <w:tcW w:type="dxa" w:w="3288"/>
          </w:tcPr>
          <w:p>
            <w:r/>
            <w:r>
              <w:rPr>
                <w:sz w:val="15"/>
              </w:rPr>
              <w:t>(1) Ridgeline is expressly excluded by name. Appointing it breaches Commitment 6 outright, and its forensic and remediation role is the reason for the exclusion. (2) Frequency is half the requirement. (3) There is no 30-day remediation SLA. (4) There is no provision to make reports available to the ICO. (5) The budget covers only 2 tests. (6) With a first test in April, 4 tests in calendar 2025 needs a compressed schedule.</w:t>
            </w:r>
          </w:p>
        </w:tc>
        <w:tc>
          <w:tcPr>
            <w:tcW w:type="dxa" w:w="907"/>
            <w:shd w:val="clear" w:color="auto" w:fill="F4B6B6"/>
          </w:tcPr>
          <w:p>
            <w:r/>
            <w:r>
              <w:rPr>
                <w:b/>
                <w:sz w:val="15"/>
              </w:rPr>
              <w:t>Critical</w:t>
            </w:r>
          </w:p>
        </w:tc>
        <w:tc>
          <w:tcPr>
            <w:tcW w:type="dxa" w:w="3061"/>
          </w:tcPr>
          <w:p>
            <w:r/>
            <w:r>
              <w:rPr>
                <w:sz w:val="15"/>
              </w:rPr>
              <w:t>Remove Ridgeline. Procure an unconnected CREST provider now so the first test is done by 15 Apr 2025, and confirm independence in writing (no Breach-related services). Schedule quarterly tests (for example Apr, Jun, Sep, Dec 2025) to reach 4 in 2025, or get ICO confirmation of the 2025 count. Add the 30-day critical/high SLA and ICO access, and re-budget for 4 tests a year.</w:t>
            </w:r>
          </w:p>
        </w:tc>
      </w:tr>
      <w:tr>
        <w:tc>
          <w:tcPr>
            <w:tcW w:type="dxa" w:w="1474"/>
          </w:tcPr>
          <w:p>
            <w:r/>
            <w:r>
              <w:rPr>
                <w:sz w:val="15"/>
              </w:rPr>
              <w:t>C7</w:t>
              <w:br/>
              <w:t>Vulnerability Scanning</w:t>
              <w:br/>
              <w:t>P2 – 15 Apr 2025</w:t>
            </w:r>
          </w:p>
        </w:tc>
        <w:tc>
          <w:tcPr>
            <w:tcW w:type="dxa" w:w="2948"/>
          </w:tcPr>
          <w:p>
            <w:r/>
            <w:r>
              <w:rPr>
                <w:sz w:val="15"/>
              </w:rPr>
              <w:t>Continuous automated scanning of all internet-facing and internal systems; at least weekly; results triaged by qualified personnel within 48 hours; remediation workflow integrated with the Commitment 1 patch system.</w:t>
            </w:r>
          </w:p>
        </w:tc>
        <w:tc>
          <w:tcPr>
            <w:tcW w:type="dxa" w:w="2268"/>
          </w:tcPr>
          <w:p>
            <w:r/>
            <w:r>
              <w:rPr>
                <w:sz w:val="15"/>
              </w:rPr>
              <w:t>Action 6. Continuous scanning, weekly cycles, risk-prioritised workflows, PatchGuard integration; covers production, staging and development. Target 5 Apr 2025. Owner: Ridgeline. £130,000.</w:t>
            </w:r>
          </w:p>
        </w:tc>
        <w:tc>
          <w:tcPr>
            <w:tcW w:type="dxa" w:w="3288"/>
          </w:tcPr>
          <w:p>
            <w:r/>
            <w:r>
              <w:rPr>
                <w:sz w:val="15"/>
              </w:rPr>
              <w:t>(1) No 48-hour triage SLA or qualified-personnel requirement. (2) Scope omits QA, UAT, analytics, reporting and other non-production systems. (3) Integration depends on PatchGuard, which is itself late (C1).</w:t>
            </w:r>
          </w:p>
        </w:tc>
        <w:tc>
          <w:tcPr>
            <w:tcW w:type="dxa" w:w="907"/>
            <w:shd w:val="clear" w:color="auto" w:fill="FFF2B3"/>
          </w:tcPr>
          <w:p>
            <w:r/>
            <w:r>
              <w:rPr>
                <w:b/>
                <w:sz w:val="15"/>
              </w:rPr>
              <w:t>Medium</w:t>
            </w:r>
          </w:p>
        </w:tc>
        <w:tc>
          <w:tcPr>
            <w:tcW w:type="dxa" w:w="3061"/>
          </w:tcPr>
          <w:p>
            <w:r/>
            <w:r>
              <w:rPr>
                <w:sz w:val="15"/>
              </w:rPr>
              <w:t>Add the 48-hour triage SLA with named qualified triage staff, extend scope to all in-scope systems, and define a stop-gap ticketing integration until PatchGuard is live.</w:t>
            </w:r>
          </w:p>
        </w:tc>
      </w:tr>
      <w:tr>
        <w:tc>
          <w:tcPr>
            <w:tcW w:type="dxa" w:w="1474"/>
          </w:tcPr>
          <w:p>
            <w:r/>
            <w:r>
              <w:rPr>
                <w:sz w:val="15"/>
              </w:rPr>
              <w:t>C8</w:t>
              <w:br/>
              <w:t>Logging and Monitoring (SIEM)</w:t>
              <w:br/>
              <w:t>P2 – 15 Apr 2025</w:t>
            </w:r>
          </w:p>
        </w:tc>
        <w:tc>
          <w:tcPr>
            <w:tcW w:type="dxa" w:w="2948"/>
          </w:tcPr>
          <w:p>
            <w:r/>
            <w:r>
              <w:rPr>
                <w:sz w:val="15"/>
              </w:rPr>
              <w:t>Centralised SIEM capturing access, authentication (including failed attempts), data exports, admin actions, configuration changes and privilege escalations; 12-month retention in a tamper-evident, immutable store; real-time alerts for anomalies (unusual access, high-volume exports, unusual locations, repeated failed logins); 24/7 monitoring by qualified staff or a managed SOC.</w:t>
            </w:r>
          </w:p>
        </w:tc>
        <w:tc>
          <w:tcPr>
            <w:tcW w:type="dxa" w:w="2268"/>
          </w:tcPr>
          <w:p>
            <w:r/>
            <w:r>
              <w:rPr>
                <w:sz w:val="15"/>
              </w:rPr>
              <w:t>Action 8. SIEM with real-time alerting for “all access to personal data stores”; 12-month tamper-evident retention. Target 12 Apr 2025. £210,000.</w:t>
            </w:r>
          </w:p>
        </w:tc>
        <w:tc>
          <w:tcPr>
            <w:tcW w:type="dxa" w:w="3288"/>
          </w:tcPr>
          <w:p>
            <w:r/>
            <w:r>
              <w:rPr>
                <w:sz w:val="15"/>
              </w:rPr>
              <w:t>(1) Event coverage is limited to data-store access; the other event classes are missing. (2) The store is described as tamper-evident but not immutable. (3) The required alert use-cases are not specified. (4) There is no 24/7 monitoring commitment (in-house or managed SOC). (5) There is no automated SIEM alert to the DPO, which C33 requires.</w:t>
            </w:r>
          </w:p>
        </w:tc>
        <w:tc>
          <w:tcPr>
            <w:tcW w:type="dxa" w:w="907"/>
            <w:shd w:val="clear" w:color="auto" w:fill="F9D9A6"/>
          </w:tcPr>
          <w:p>
            <w:r/>
            <w:r>
              <w:rPr>
                <w:b/>
                <w:sz w:val="15"/>
              </w:rPr>
              <w:t>High</w:t>
            </w:r>
          </w:p>
        </w:tc>
        <w:tc>
          <w:tcPr>
            <w:tcW w:type="dxa" w:w="3061"/>
          </w:tcPr>
          <w:p>
            <w:r/>
            <w:r>
              <w:rPr>
                <w:sz w:val="15"/>
              </w:rPr>
              <w:t>Specify all Commitment 8(a) event classes, an immutable (WORM) store, the 8(c) use-cases, and a contracted 24/7 SOC with SLAs. Link SIEM alerts to automatic DPO notification under C33.</w:t>
            </w:r>
          </w:p>
        </w:tc>
      </w:tr>
      <w:tr>
        <w:tc>
          <w:tcPr>
            <w:tcW w:type="dxa" w:w="1474"/>
          </w:tcPr>
          <w:p>
            <w:r/>
            <w:r>
              <w:rPr>
                <w:sz w:val="15"/>
              </w:rPr>
              <w:t>C9</w:t>
              <w:br/>
              <w:t>Multi-Factor Authentication</w:t>
              <w:br/>
              <w:t>P2 – 15 Apr 2025</w:t>
            </w:r>
          </w:p>
        </w:tc>
        <w:tc>
          <w:tcPr>
            <w:tcW w:type="dxa" w:w="2948"/>
          </w:tcPr>
          <w:p>
            <w:r/>
            <w:r>
              <w:rPr>
                <w:sz w:val="15"/>
              </w:rPr>
              <w:t>MFA for all admin access, all remote staff access (VPN, RDP etc.), all access to special category data (local or remote), and all third-party access including NHS trust and clinic users through portals or APIs. At least two factors from different categories; SMS OTP not acceptable as a sole second factor.</w:t>
            </w:r>
          </w:p>
        </w:tc>
        <w:tc>
          <w:tcPr>
            <w:tcW w:type="dxa" w:w="2268"/>
          </w:tcPr>
          <w:p>
            <w:r/>
            <w:r>
              <w:rPr>
                <w:sz w:val="15"/>
              </w:rPr>
              <w:t>Action 9. MFA for administrative and user access, PAM, developers, clinical data portals; hardware tokens and authenticator apps. Evidence includes an “exception register”. Target 14 Apr 2025. £165,000.</w:t>
            </w:r>
          </w:p>
        </w:tc>
        <w:tc>
          <w:tcPr>
            <w:tcW w:type="dxa" w:w="3288"/>
          </w:tcPr>
          <w:p>
            <w:r/>
            <w:r>
              <w:rPr>
                <w:sz w:val="15"/>
              </w:rPr>
              <w:t>(1) Remote-access channels and third-party/partner API access are not expressly covered. (2) No prohibition on SMS as a sole factor. (3) No different-category factor rule. (4) The “exception register” implies exceptions the Undertaking does not allow.</w:t>
            </w:r>
          </w:p>
        </w:tc>
        <w:tc>
          <w:tcPr>
            <w:tcW w:type="dxa" w:w="907"/>
            <w:shd w:val="clear" w:color="auto" w:fill="F9D9A6"/>
          </w:tcPr>
          <w:p>
            <w:r/>
            <w:r>
              <w:rPr>
                <w:b/>
                <w:sz w:val="15"/>
              </w:rPr>
              <w:t>High</w:t>
            </w:r>
          </w:p>
        </w:tc>
        <w:tc>
          <w:tcPr>
            <w:tcW w:type="dxa" w:w="3061"/>
          </w:tcPr>
          <w:p>
            <w:r/>
            <w:r>
              <w:rPr>
                <w:sz w:val="15"/>
              </w:rPr>
              <w:t>Expressly cover VPN/RDP and all partner portal and API access (machine-to-machine: mutual TLS or OAuth with strong client authentication), ban SMS as a sole factor, and replace the exception register with a nil-exceptions attestation (or an ICO-agreed variation).</w:t>
            </w:r>
          </w:p>
        </w:tc>
      </w:tr>
    </w:tbl>
    <w:p>
      <w:pPr>
        <w:spacing w:after="40"/>
      </w:pPr>
    </w:p>
    <w:p>
      <w:pPr>
        <w:pStyle w:val="Heading2"/>
      </w:pPr>
      <w:r>
        <w:t>Domain 2 — Data Protection Impact Assessments (C10–C14)</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rPr>
          <w:tblHeader w:val="true"/>
        </w:trPr>
        <w:tc>
          <w:tcPr>
            <w:tcW w:type="dxa" w:w="1474"/>
            <w:shd w:val="clear" w:color="auto" w:fill="1F3A5F"/>
          </w:tcPr>
          <w:p>
            <w:r/>
            <w:r>
              <w:rPr>
                <w:b/>
                <w:color w:val="FFFFFF"/>
                <w:sz w:val="15"/>
              </w:rPr>
              <w:t>Commitment / Phase</w:t>
            </w:r>
          </w:p>
        </w:tc>
        <w:tc>
          <w:tcPr>
            <w:tcW w:type="dxa" w:w="2948"/>
            <w:shd w:val="clear" w:color="auto" w:fill="1F3A5F"/>
          </w:tcPr>
          <w:p>
            <w:r/>
            <w:r>
              <w:rPr>
                <w:b/>
                <w:color w:val="FFFFFF"/>
                <w:sz w:val="15"/>
              </w:rPr>
              <w:t>Undertaking requirements</w:t>
            </w:r>
          </w:p>
        </w:tc>
        <w:tc>
          <w:tcPr>
            <w:tcW w:type="dxa" w:w="2268"/>
            <w:shd w:val="clear" w:color="auto" w:fill="1F3A5F"/>
          </w:tcPr>
          <w:p>
            <w:r/>
            <w:r>
              <w:rPr>
                <w:b/>
                <w:color w:val="FFFFFF"/>
                <w:sz w:val="15"/>
              </w:rPr>
              <w:t>Plan coverage</w:t>
            </w:r>
          </w:p>
        </w:tc>
        <w:tc>
          <w:tcPr>
            <w:tcW w:type="dxa" w:w="3288"/>
            <w:shd w:val="clear" w:color="auto" w:fill="1F3A5F"/>
          </w:tcPr>
          <w:p>
            <w:r/>
            <w:r>
              <w:rPr>
                <w:b/>
                <w:color w:val="FFFFFF"/>
                <w:sz w:val="15"/>
              </w:rPr>
              <w:t>Gap(s) identified</w:t>
            </w:r>
          </w:p>
        </w:tc>
        <w:tc>
          <w:tcPr>
            <w:tcW w:type="dxa" w:w="907"/>
            <w:shd w:val="clear" w:color="auto" w:fill="1F3A5F"/>
          </w:tcPr>
          <w:p>
            <w:r/>
            <w:r>
              <w:rPr>
                <w:b/>
                <w:color w:val="FFFFFF"/>
                <w:sz w:val="15"/>
              </w:rPr>
              <w:t>Rating</w:t>
            </w:r>
          </w:p>
        </w:tc>
        <w:tc>
          <w:tcPr>
            <w:tcW w:type="dxa" w:w="3061"/>
            <w:shd w:val="clear" w:color="auto" w:fill="1F3A5F"/>
          </w:tcPr>
          <w:p>
            <w:r/>
            <w:r>
              <w:rPr>
                <w:b/>
                <w:color w:val="FFFFFF"/>
                <w:sz w:val="15"/>
              </w:rPr>
              <w:t>Recommended remediation</w:t>
            </w:r>
          </w:p>
        </w:tc>
      </w:tr>
      <w:tr>
        <w:tc>
          <w:tcPr>
            <w:tcW w:type="dxa" w:w="1474"/>
          </w:tcPr>
          <w:p>
            <w:r/>
            <w:r>
              <w:rPr>
                <w:sz w:val="15"/>
              </w:rPr>
              <w:t>C10</w:t>
              <w:br/>
              <w:t>DPIA Framework</w:t>
              <w:br/>
              <w:t>P2 – 15 Apr 2025</w:t>
            </w:r>
          </w:p>
        </w:tc>
        <w:tc>
          <w:tcPr>
            <w:tcW w:type="dxa" w:w="2948"/>
          </w:tcPr>
          <w:p>
            <w:r/>
            <w:r>
              <w:rPr>
                <w:sz w:val="15"/>
              </w:rPr>
              <w:t>Criteria for when a DPIA is required (Art. 35 and ICO guidance); standard methodology and templates; DPO sign-off on all DPIAs before processing begins; DPIA screening built into project and change control so nothing proceeds without screening.</w:t>
            </w:r>
          </w:p>
        </w:tc>
        <w:tc>
          <w:tcPr>
            <w:tcW w:type="dxa" w:w="2268"/>
          </w:tcPr>
          <w:p>
            <w:r/>
            <w:r>
              <w:rPr>
                <w:sz w:val="15"/>
              </w:rPr>
              <w:t>Action 10 (framework, methodology, criteria, change-management integration; approved by the Steering Committee); Action 16 (template library); Action 15 (PM training, 14 Jul). Target 15 Apr 2025.</w:t>
            </w:r>
          </w:p>
        </w:tc>
        <w:tc>
          <w:tcPr>
            <w:tcW w:type="dxa" w:w="3288"/>
          </w:tcPr>
          <w:p>
            <w:r/>
            <w:r>
              <w:rPr>
                <w:sz w:val="15"/>
              </w:rPr>
              <w:t>(1) There is no requirement for DPO sign-off before processing. The Plan names Steering Committee approval instead, a body that includes BHS Inc.’s General Counsel and Ridgeline. (2) There is no “no screening, no go” gate in change control.</w:t>
            </w:r>
          </w:p>
        </w:tc>
        <w:tc>
          <w:tcPr>
            <w:tcW w:type="dxa" w:w="907"/>
            <w:shd w:val="clear" w:color="auto" w:fill="FFF2B3"/>
          </w:tcPr>
          <w:p>
            <w:r/>
            <w:r>
              <w:rPr>
                <w:b/>
                <w:sz w:val="15"/>
              </w:rPr>
              <w:t>Medium</w:t>
            </w:r>
          </w:p>
        </w:tc>
        <w:tc>
          <w:tcPr>
            <w:tcW w:type="dxa" w:w="3061"/>
          </w:tcPr>
          <w:p>
            <w:r/>
            <w:r>
              <w:rPr>
                <w:sz w:val="15"/>
              </w:rPr>
              <w:t>Make DPO sign-off a mandatory pre-processing gate and add a mandatory screening step to change control, with evidence of the change-control configuration.</w:t>
            </w:r>
          </w:p>
        </w:tc>
      </w:tr>
      <w:tr>
        <w:tc>
          <w:tcPr>
            <w:tcW w:type="dxa" w:w="1474"/>
          </w:tcPr>
          <w:p>
            <w:r/>
            <w:r>
              <w:rPr>
                <w:sz w:val="15"/>
              </w:rPr>
              <w:t>C11</w:t>
              <w:br/>
              <w:t>Retrospective DPIAs</w:t>
              <w:br/>
              <w:t>P3 – 14 Jul 2025</w:t>
            </w:r>
          </w:p>
        </w:tc>
        <w:tc>
          <w:tcPr>
            <w:tcW w:type="dxa" w:w="2948"/>
          </w:tcPr>
          <w:p>
            <w:r/>
            <w:r>
              <w:rPr>
                <w:sz w:val="15"/>
              </w:rPr>
              <w:t>Retrospective DPIAs on all existing processing involving personal data in BellCloud UK, prioritising special category data, completed within 180 days; each assessing necessity and proportionality, risks and mitigations.</w:t>
            </w:r>
          </w:p>
        </w:tc>
        <w:tc>
          <w:tcPr>
            <w:tcW w:type="dxa" w:w="2268"/>
          </w:tcPr>
          <w:p>
            <w:r/>
            <w:r>
              <w:rPr>
                <w:sz w:val="15"/>
              </w:rPr>
              <w:t>Action 11. Retrospective DPIAs on all existing high-risk processing after a screening exercise. Target 10 Jul 2025. £90,000.</w:t>
            </w:r>
          </w:p>
        </w:tc>
        <w:tc>
          <w:tcPr>
            <w:tcW w:type="dxa" w:w="3288"/>
          </w:tcPr>
          <w:p>
            <w:r/>
            <w:r>
              <w:rPr>
                <w:sz w:val="15"/>
              </w:rPr>
              <w:t>The scope is narrowed from all processing in BellCloud UK to high-risk processing only. Sch. 1 Finding 6 records that no BellCloud UK DPIA existed. The Plan does not state the required content (necessity, proportionality, risks, mitigations).</w:t>
            </w:r>
          </w:p>
        </w:tc>
        <w:tc>
          <w:tcPr>
            <w:tcW w:type="dxa" w:w="907"/>
            <w:shd w:val="clear" w:color="auto" w:fill="F9D9A6"/>
          </w:tcPr>
          <w:p>
            <w:r/>
            <w:r>
              <w:rPr>
                <w:b/>
                <w:sz w:val="15"/>
              </w:rPr>
              <w:t>High</w:t>
            </w:r>
          </w:p>
        </w:tc>
        <w:tc>
          <w:tcPr>
            <w:tcW w:type="dxa" w:w="3061"/>
          </w:tcPr>
          <w:p>
            <w:r/>
            <w:r>
              <w:rPr>
                <w:sz w:val="15"/>
              </w:rPr>
              <w:t>Restore the full scope (every BellCloud UK processing activity, prioritising special category data), state the required DPIA content, and set an interim milestone (for example 15 May 2025) for the special category DPIAs.</w:t>
            </w:r>
          </w:p>
        </w:tc>
      </w:tr>
      <w:tr>
        <w:tc>
          <w:tcPr>
            <w:tcW w:type="dxa" w:w="1474"/>
          </w:tcPr>
          <w:p>
            <w:r/>
            <w:r>
              <w:rPr>
                <w:sz w:val="15"/>
              </w:rPr>
              <w:t>C12</w:t>
              <w:br/>
              <w:t>DPIA Review Triggers</w:t>
              <w:br/>
              <w:t>P3 – 14 Jul 2025</w:t>
            </w:r>
          </w:p>
        </w:tc>
        <w:tc>
          <w:tcPr>
            <w:tcW w:type="dxa" w:w="2948"/>
          </w:tcPr>
          <w:p>
            <w:r/>
            <w:r>
              <w:rPr>
                <w:sz w:val="15"/>
              </w:rPr>
              <w:t>Documented triggers: (a) any new processing; (b) significant changes to purpose, scope, context or technology; (c) changes to the risk environment (threat intelligence, regulation, new vulnerabilities); (d) at least an annual review of all DPIAs.</w:t>
            </w:r>
          </w:p>
        </w:tc>
        <w:tc>
          <w:tcPr>
            <w:tcW w:type="dxa" w:w="2268"/>
          </w:tcPr>
          <w:p>
            <w:r/>
            <w:r>
              <w:rPr>
                <w:sz w:val="15"/>
              </w:rPr>
              <w:t>Action 12. Triggers for changes to processing, new data types, new technologies, significant system changes; integrated with project and change management. Target 14 Jul 2025.</w:t>
            </w:r>
          </w:p>
        </w:tc>
        <w:tc>
          <w:tcPr>
            <w:tcW w:type="dxa" w:w="3288"/>
          </w:tcPr>
          <w:p>
            <w:r/>
            <w:r>
              <w:rPr>
                <w:sz w:val="15"/>
              </w:rPr>
              <w:t>Triggers for changes to the risk environment (c) and the mandatory annual review (d) are missing. New processing (a) is only implicit.</w:t>
            </w:r>
          </w:p>
        </w:tc>
        <w:tc>
          <w:tcPr>
            <w:tcW w:type="dxa" w:w="907"/>
            <w:shd w:val="clear" w:color="auto" w:fill="FFF2B3"/>
          </w:tcPr>
          <w:p>
            <w:r/>
            <w:r>
              <w:rPr>
                <w:b/>
                <w:sz w:val="15"/>
              </w:rPr>
              <w:t>Medium</w:t>
            </w:r>
          </w:p>
        </w:tc>
        <w:tc>
          <w:tcPr>
            <w:tcW w:type="dxa" w:w="3061"/>
          </w:tcPr>
          <w:p>
            <w:r/>
            <w:r>
              <w:rPr>
                <w:sz w:val="15"/>
              </w:rPr>
              <w:t>Add triggers (a), (c) and (d) and an annual review calendar linked to the DPIA register.</w:t>
            </w:r>
          </w:p>
        </w:tc>
      </w:tr>
      <w:tr>
        <w:tc>
          <w:tcPr>
            <w:tcW w:type="dxa" w:w="1474"/>
          </w:tcPr>
          <w:p>
            <w:r/>
            <w:r>
              <w:rPr>
                <w:sz w:val="15"/>
              </w:rPr>
              <w:t>C13</w:t>
              <w:br/>
              <w:t>ICO Consultation Threshold</w:t>
              <w:br/>
              <w:t>P3 – 14 Jul 2025</w:t>
            </w:r>
          </w:p>
        </w:tc>
        <w:tc>
          <w:tcPr>
            <w:tcW w:type="dxa" w:w="2948"/>
          </w:tcPr>
          <w:p>
            <w:r/>
            <w:r>
              <w:rPr>
                <w:sz w:val="15"/>
              </w:rPr>
              <w:t>Formal documented Art. 36 process where residual risk stays high after mitigation; every decision on whether to consult documented, with reasons for not consulting and DPO sign-off.</w:t>
            </w:r>
          </w:p>
        </w:tc>
        <w:tc>
          <w:tcPr>
            <w:tcW w:type="dxa" w:w="2268"/>
          </w:tcPr>
          <w:p>
            <w:r/>
            <w:r>
              <w:rPr>
                <w:sz w:val="15"/>
              </w:rPr>
              <w:t>Action 13. Internal threshold and escalation process for high residual risk. Target 14 Jul 2025.</w:t>
            </w:r>
          </w:p>
        </w:tc>
        <w:tc>
          <w:tcPr>
            <w:tcW w:type="dxa" w:w="3288"/>
          </w:tcPr>
          <w:p>
            <w:r/>
            <w:r>
              <w:rPr>
                <w:sz w:val="15"/>
              </w:rPr>
              <w:t>No requirement to document every consultation decision and the reasons for not consulting, and no DPO sign-off on those decisions.</w:t>
            </w:r>
          </w:p>
        </w:tc>
        <w:tc>
          <w:tcPr>
            <w:tcW w:type="dxa" w:w="907"/>
            <w:shd w:val="clear" w:color="auto" w:fill="FFF2B3"/>
          </w:tcPr>
          <w:p>
            <w:r/>
            <w:r>
              <w:rPr>
                <w:b/>
                <w:sz w:val="15"/>
              </w:rPr>
              <w:t>Medium</w:t>
            </w:r>
          </w:p>
        </w:tc>
        <w:tc>
          <w:tcPr>
            <w:tcW w:type="dxa" w:w="3061"/>
          </w:tcPr>
          <w:p>
            <w:r/>
            <w:r>
              <w:rPr>
                <w:sz w:val="15"/>
              </w:rPr>
              <w:t>Add a decision log with reasons and DPO sign-off for every high-risk DPIA outcome.</w:t>
            </w:r>
          </w:p>
        </w:tc>
      </w:tr>
      <w:tr>
        <w:tc>
          <w:tcPr>
            <w:tcW w:type="dxa" w:w="1474"/>
          </w:tcPr>
          <w:p>
            <w:r/>
            <w:r>
              <w:rPr>
                <w:sz w:val="15"/>
              </w:rPr>
              <w:t>C14</w:t>
              <w:br/>
              <w:t>DPIA Register</w:t>
              <w:br/>
              <w:t>P3 – 14 Jul 2025</w:t>
            </w:r>
          </w:p>
        </w:tc>
        <w:tc>
          <w:tcPr>
            <w:tcW w:type="dxa" w:w="2948"/>
          </w:tcPr>
          <w:p>
            <w:r/>
            <w:r>
              <w:rPr>
                <w:sz w:val="15"/>
              </w:rPr>
              <w:t>Central register accessible to the DPO and to the ICO on request; lists DPIAs, review dates, outcomes, residual risks accepted by senior management with justification, and next review date; updated within 5 business days of any DPIA completion or review.</w:t>
            </w:r>
          </w:p>
        </w:tc>
        <w:tc>
          <w:tcPr>
            <w:tcW w:type="dxa" w:w="2268"/>
          </w:tcPr>
          <w:p>
            <w:r/>
            <w:r>
              <w:rPr>
                <w:sz w:val="15"/>
              </w:rPr>
              <w:t>Action 14. Register accessible to the DPO and senior management, recording DPIAs, review dates, outcomes, residual risk; DPIA tool. Target 14 Jul 2025. £55,000.</w:t>
            </w:r>
          </w:p>
        </w:tc>
        <w:tc>
          <w:tcPr>
            <w:tcW w:type="dxa" w:w="3288"/>
          </w:tcPr>
          <w:p>
            <w:r/>
            <w:r>
              <w:rPr>
                <w:sz w:val="15"/>
              </w:rPr>
              <w:t>(1) No ICO access on request. (2) No record of senior-management risk acceptance with justification. (3) No next-review-date field. (4) No 5-business-day update SLA.</w:t>
            </w:r>
          </w:p>
        </w:tc>
        <w:tc>
          <w:tcPr>
            <w:tcW w:type="dxa" w:w="907"/>
            <w:shd w:val="clear" w:color="auto" w:fill="FFF2B3"/>
          </w:tcPr>
          <w:p>
            <w:r/>
            <w:r>
              <w:rPr>
                <w:b/>
                <w:sz w:val="15"/>
              </w:rPr>
              <w:t>Medium</w:t>
            </w:r>
          </w:p>
        </w:tc>
        <w:tc>
          <w:tcPr>
            <w:tcW w:type="dxa" w:w="3061"/>
          </w:tcPr>
          <w:p>
            <w:r/>
            <w:r>
              <w:rPr>
                <w:sz w:val="15"/>
              </w:rPr>
              <w:t>Add the missing fields, ICO access, and the 5-business-day update SLA.</w:t>
            </w:r>
          </w:p>
        </w:tc>
      </w:tr>
    </w:tbl>
    <w:p>
      <w:pPr>
        <w:spacing w:after="40"/>
      </w:pPr>
    </w:p>
    <w:p>
      <w:pPr>
        <w:pStyle w:val="Heading2"/>
      </w:pPr>
      <w:r>
        <w:t>Domain 3 — Data Processor Management (C15–C20)</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rPr>
          <w:tblHeader w:val="true"/>
        </w:trPr>
        <w:tc>
          <w:tcPr>
            <w:tcW w:type="dxa" w:w="1474"/>
            <w:shd w:val="clear" w:color="auto" w:fill="1F3A5F"/>
          </w:tcPr>
          <w:p>
            <w:r/>
            <w:r>
              <w:rPr>
                <w:b/>
                <w:color w:val="FFFFFF"/>
                <w:sz w:val="15"/>
              </w:rPr>
              <w:t>Commitment / Phase</w:t>
            </w:r>
          </w:p>
        </w:tc>
        <w:tc>
          <w:tcPr>
            <w:tcW w:type="dxa" w:w="2948"/>
            <w:shd w:val="clear" w:color="auto" w:fill="1F3A5F"/>
          </w:tcPr>
          <w:p>
            <w:r/>
            <w:r>
              <w:rPr>
                <w:b/>
                <w:color w:val="FFFFFF"/>
                <w:sz w:val="15"/>
              </w:rPr>
              <w:t>Undertaking requirements</w:t>
            </w:r>
          </w:p>
        </w:tc>
        <w:tc>
          <w:tcPr>
            <w:tcW w:type="dxa" w:w="2268"/>
            <w:shd w:val="clear" w:color="auto" w:fill="1F3A5F"/>
          </w:tcPr>
          <w:p>
            <w:r/>
            <w:r>
              <w:rPr>
                <w:b/>
                <w:color w:val="FFFFFF"/>
                <w:sz w:val="15"/>
              </w:rPr>
              <w:t>Plan coverage</w:t>
            </w:r>
          </w:p>
        </w:tc>
        <w:tc>
          <w:tcPr>
            <w:tcW w:type="dxa" w:w="3288"/>
            <w:shd w:val="clear" w:color="auto" w:fill="1F3A5F"/>
          </w:tcPr>
          <w:p>
            <w:r/>
            <w:r>
              <w:rPr>
                <w:b/>
                <w:color w:val="FFFFFF"/>
                <w:sz w:val="15"/>
              </w:rPr>
              <w:t>Gap(s) identified</w:t>
            </w:r>
          </w:p>
        </w:tc>
        <w:tc>
          <w:tcPr>
            <w:tcW w:type="dxa" w:w="907"/>
            <w:shd w:val="clear" w:color="auto" w:fill="1F3A5F"/>
          </w:tcPr>
          <w:p>
            <w:r/>
            <w:r>
              <w:rPr>
                <w:b/>
                <w:color w:val="FFFFFF"/>
                <w:sz w:val="15"/>
              </w:rPr>
              <w:t>Rating</w:t>
            </w:r>
          </w:p>
        </w:tc>
        <w:tc>
          <w:tcPr>
            <w:tcW w:type="dxa" w:w="3061"/>
            <w:shd w:val="clear" w:color="auto" w:fill="1F3A5F"/>
          </w:tcPr>
          <w:p>
            <w:r/>
            <w:r>
              <w:rPr>
                <w:b/>
                <w:color w:val="FFFFFF"/>
                <w:sz w:val="15"/>
              </w:rPr>
              <w:t>Recommended remediation</w:t>
            </w:r>
          </w:p>
        </w:tc>
      </w:tr>
      <w:tr>
        <w:tc>
          <w:tcPr>
            <w:tcW w:type="dxa" w:w="1474"/>
          </w:tcPr>
          <w:p>
            <w:r/>
            <w:r>
              <w:rPr>
                <w:sz w:val="15"/>
              </w:rPr>
              <w:t>C15</w:t>
              <w:br/>
              <w:t>Processor Audit Programme</w:t>
              <w:br/>
              <w:t>P2 – 15 Apr 2025</w:t>
            </w:r>
          </w:p>
        </w:tc>
        <w:tc>
          <w:tcPr>
            <w:tcW w:type="dxa" w:w="2948"/>
          </w:tcPr>
          <w:p>
            <w:r/>
            <w:r>
              <w:rPr>
                <w:sz w:val="15"/>
              </w:rPr>
              <w:t>At least annual audit of every processor covering DPA compliance, TOMs, sub-processor management and data subject rights fulfilment; DPO review of every report; material non-compliance escalated to the MD and, where appropriate, the board.</w:t>
            </w:r>
          </w:p>
        </w:tc>
        <w:tc>
          <w:tcPr>
            <w:tcW w:type="dxa" w:w="2268"/>
          </w:tcPr>
          <w:p>
            <w:r/>
            <w:r>
              <w:rPr>
                <w:sz w:val="15"/>
              </w:rPr>
              <w:t>Action 17. Risk-based programme with annual audits of all processors; inventory; risk classification; enhanced frequency for high-risk processors; remediation process. Target 15 Apr 2025. £120,000.</w:t>
            </w:r>
          </w:p>
        </w:tc>
        <w:tc>
          <w:tcPr>
            <w:tcW w:type="dxa" w:w="3288"/>
          </w:tcPr>
          <w:p>
            <w:r/>
            <w:r>
              <w:rPr>
                <w:sz w:val="15"/>
              </w:rPr>
              <w:t>(1) Audit content areas are not specified. (2) No DPO review of each report. (3) No escalation route to the MD or board. (4) The programme does not reach sub-processors (see C17).</w:t>
            </w:r>
          </w:p>
        </w:tc>
        <w:tc>
          <w:tcPr>
            <w:tcW w:type="dxa" w:w="907"/>
            <w:shd w:val="clear" w:color="auto" w:fill="FFF2B3"/>
          </w:tcPr>
          <w:p>
            <w:r/>
            <w:r>
              <w:rPr>
                <w:b/>
                <w:sz w:val="15"/>
              </w:rPr>
              <w:t>Medium</w:t>
            </w:r>
          </w:p>
        </w:tc>
        <w:tc>
          <w:tcPr>
            <w:tcW w:type="dxa" w:w="3061"/>
          </w:tcPr>
          <w:p>
            <w:r/>
            <w:r>
              <w:rPr>
                <w:sz w:val="15"/>
              </w:rPr>
              <w:t>Specify the four audit areas, DPO review, and the MD/board escalation route. Prioritise the 7 of 12 processor relationships the ICO found deficient.</w:t>
            </w:r>
          </w:p>
        </w:tc>
      </w:tr>
      <w:tr>
        <w:tc>
          <w:tcPr>
            <w:tcW w:type="dxa" w:w="1474"/>
          </w:tcPr>
          <w:p>
            <w:r/>
            <w:r>
              <w:rPr>
                <w:sz w:val="15"/>
              </w:rPr>
              <w:t>C16</w:t>
              <w:br/>
              <w:t>Updated Article 28 Agreements</w:t>
              <w:br/>
              <w:t>P3 – 14 Jul 2025</w:t>
            </w:r>
          </w:p>
        </w:tc>
        <w:tc>
          <w:tcPr>
            <w:tcW w:type="dxa" w:w="2948"/>
          </w:tcPr>
          <w:p>
            <w:r/>
            <w:r>
              <w:rPr>
                <w:sz w:val="15"/>
              </w:rPr>
              <w:t>All DPAs updated and executed to include every Art. 28(3) term: (a) documented instructions; (b) confidentiality; (c) security; (d) sub-processor conditions; (e) data subject rights assistance; (f) breach and DPIA assistance; (g) deletion or return; (h) audit rights.</w:t>
            </w:r>
          </w:p>
        </w:tc>
        <w:tc>
          <w:tcPr>
            <w:tcW w:type="dxa" w:w="2268"/>
          </w:tcPr>
          <w:p>
            <w:r/>
            <w:r>
              <w:rPr>
                <w:sz w:val="15"/>
              </w:rPr>
              <w:t>Action 18. Clauses on subject matter, duration, nature and purpose, data types, controller obligations, sub-processing, audit rights, return and deletion, international transfers. Target 10 Jul 2025. £95,000.</w:t>
            </w:r>
          </w:p>
        </w:tc>
        <w:tc>
          <w:tcPr>
            <w:tcW w:type="dxa" w:w="3288"/>
          </w:tcPr>
          <w:p>
            <w:r/>
            <w:r>
              <w:rPr>
                <w:sz w:val="15"/>
              </w:rPr>
              <w:t>Terms (a) documented instructions, (b) confidentiality, (c) Art. 32 security, (e) data subject rights assistance and (f) breach and DPIA assistance are not listed. Execution depends on processor cooperation (Plan §14 risk 3) with no fallback.</w:t>
            </w:r>
          </w:p>
        </w:tc>
        <w:tc>
          <w:tcPr>
            <w:tcW w:type="dxa" w:w="907"/>
            <w:shd w:val="clear" w:color="auto" w:fill="FFF2B3"/>
          </w:tcPr>
          <w:p>
            <w:r/>
            <w:r>
              <w:rPr>
                <w:b/>
                <w:sz w:val="15"/>
              </w:rPr>
              <w:t>Medium</w:t>
            </w:r>
          </w:p>
        </w:tc>
        <w:tc>
          <w:tcPr>
            <w:tcW w:type="dxa" w:w="3061"/>
          </w:tcPr>
          <w:p>
            <w:r/>
            <w:r>
              <w:rPr>
                <w:sz w:val="15"/>
              </w:rPr>
              <w:t>Map the DPA template clause by clause to Art. 28(3)(a)–(h), add a fallback (suspend or replace non-signing processors), and track execution per processor.</w:t>
            </w:r>
          </w:p>
        </w:tc>
      </w:tr>
      <w:tr>
        <w:tc>
          <w:tcPr>
            <w:tcW w:type="dxa" w:w="1474"/>
          </w:tcPr>
          <w:p>
            <w:r/>
            <w:r>
              <w:rPr>
                <w:sz w:val="15"/>
              </w:rPr>
              <w:t>C17</w:t>
              <w:br/>
              <w:t>Sub-Processor Due Diligence</w:t>
              <w:br/>
              <w:t>P3 – 14 Jul 2025</w:t>
            </w:r>
          </w:p>
        </w:tc>
        <w:tc>
          <w:tcPr>
            <w:tcW w:type="dxa" w:w="2948"/>
          </w:tcPr>
          <w:p>
            <w:r/>
            <w:r>
              <w:rPr>
                <w:sz w:val="15"/>
              </w:rPr>
              <w:t>Pre-engagement privacy risk assessment of every sub-processor; annual sub-processor compliance audits; Art. 28 flow-down through the chain; register of approved sub-processors (identity, location, scope) available to the ICO; no sub-processor engaged without BHS UK’s prior written authorisation.</w:t>
            </w:r>
          </w:p>
        </w:tc>
        <w:tc>
          <w:tcPr>
            <w:tcW w:type="dxa" w:w="2268"/>
          </w:tcPr>
          <w:p>
            <w:r/>
            <w:r>
              <w:rPr>
                <w:sz w:val="15"/>
              </w:rPr>
              <w:t>No action item, no owner, no budget. Missing from Appendix A, the WS3 table and the matrix. The only related text is Action 18 (“sub-processing restrictions and approval mechanisms”) and Action 21 (an international-only sub-processor transfer register).</w:t>
            </w:r>
          </w:p>
        </w:tc>
        <w:tc>
          <w:tcPr>
            <w:tcW w:type="dxa" w:w="3288"/>
          </w:tcPr>
          <w:p>
            <w:r/>
            <w:r>
              <w:rPr>
                <w:sz w:val="15"/>
              </w:rPr>
              <w:t>The commitment is not addressed at all. The ICO called the absence of sub-processor due diligence a “discrete and significant failing” (ICO letter, Finding 7), and Sch. 1 Finding 8 notes BHS UK could not produce a list of sub-processors. The Plan’s claim to address all 47 commitments is wrong.</w:t>
            </w:r>
          </w:p>
        </w:tc>
        <w:tc>
          <w:tcPr>
            <w:tcW w:type="dxa" w:w="907"/>
            <w:shd w:val="clear" w:color="auto" w:fill="F4B6B6"/>
          </w:tcPr>
          <w:p>
            <w:r/>
            <w:r>
              <w:rPr>
                <w:b/>
                <w:sz w:val="15"/>
              </w:rPr>
              <w:t>Critical</w:t>
            </w:r>
          </w:p>
        </w:tc>
        <w:tc>
          <w:tcPr>
            <w:tcW w:type="dxa" w:w="3061"/>
          </w:tcPr>
          <w:p>
            <w:r/>
            <w:r>
              <w:rPr>
                <w:sz w:val="15"/>
              </w:rPr>
              <w:t>Create a new action item (owner: DPO and Procurement; target on or before 14 Jul 2025, with an interim register by 15 May 2025) covering a full sub-processor census, pre-engagement assessments, an annual audit schedule, flow-down clauses, an ICO-accessible register, and a prior-written-authorisation control. Fund it and correct Appendix A, the WS3 narrative and the matrix.</w:t>
            </w:r>
          </w:p>
        </w:tc>
      </w:tr>
      <w:tr>
        <w:tc>
          <w:tcPr>
            <w:tcW w:type="dxa" w:w="1474"/>
          </w:tcPr>
          <w:p>
            <w:r/>
            <w:r>
              <w:rPr>
                <w:sz w:val="15"/>
              </w:rPr>
              <w:t>C18</w:t>
              <w:br/>
              <w:t>Processor Breach Notification Chain</w:t>
              <w:br/>
              <w:t>P3 – 14 Jul 2025</w:t>
            </w:r>
          </w:p>
        </w:tc>
        <w:tc>
          <w:tcPr>
            <w:tcW w:type="dxa" w:w="2948"/>
          </w:tcPr>
          <w:p>
            <w:r/>
            <w:r>
              <w:rPr>
                <w:sz w:val="15"/>
              </w:rPr>
              <w:t>Processors and sub-processors contractually bound to notify BHS UK without undue delay and within 24 hours of discovery; documented chain to the DPO with immediate triage; minimum content (nature, categories and approximate numbers of data subjects, containment and remediation measures).</w:t>
            </w:r>
          </w:p>
        </w:tc>
        <w:tc>
          <w:tcPr>
            <w:tcW w:type="dxa" w:w="2268"/>
          </w:tcPr>
          <w:p>
            <w:r/>
            <w:r>
              <w:rPr>
                <w:sz w:val="15"/>
              </w:rPr>
              <w:t>Action 19. “Without undue delay and within contractually defined timeframes”; content, contacts, channels and escalation; built into the Action 18 DPAs. Target 14 Jul 2025.</w:t>
            </w:r>
          </w:p>
        </w:tc>
        <w:tc>
          <w:tcPr>
            <w:tcW w:type="dxa" w:w="3288"/>
          </w:tcPr>
          <w:p>
            <w:r/>
            <w:r>
              <w:rPr>
                <w:sz w:val="15"/>
              </w:rPr>
              <w:t>(1) No 24-hour maximum. (2) Sub-processors are not expressly bound. (3) Routing to the DPO with immediate triage is not stated. (4) The minimum content items are not enumerated.</w:t>
            </w:r>
          </w:p>
        </w:tc>
        <w:tc>
          <w:tcPr>
            <w:tcW w:type="dxa" w:w="907"/>
            <w:shd w:val="clear" w:color="auto" w:fill="F9D9A6"/>
          </w:tcPr>
          <w:p>
            <w:r/>
            <w:r>
              <w:rPr>
                <w:b/>
                <w:sz w:val="15"/>
              </w:rPr>
              <w:t>High</w:t>
            </w:r>
          </w:p>
        </w:tc>
        <w:tc>
          <w:tcPr>
            <w:tcW w:type="dxa" w:w="3061"/>
          </w:tcPr>
          <w:p>
            <w:r/>
            <w:r>
              <w:rPr>
                <w:sz w:val="15"/>
              </w:rPr>
              <w:t>Hard-code the 24-hour maximum for processors and sub-processors, direct notices to the DPO, and list the minimum content items.</w:t>
            </w:r>
          </w:p>
        </w:tc>
      </w:tr>
      <w:tr>
        <w:tc>
          <w:tcPr>
            <w:tcW w:type="dxa" w:w="1474"/>
          </w:tcPr>
          <w:p>
            <w:r/>
            <w:r>
              <w:rPr>
                <w:sz w:val="15"/>
              </w:rPr>
              <w:t>C19</w:t>
              <w:br/>
              <w:t>Processor Data Return/Deletion</w:t>
              <w:br/>
              <w:t>P3 – 14 Jul 2025</w:t>
            </w:r>
          </w:p>
        </w:tc>
        <w:tc>
          <w:tcPr>
            <w:tcW w:type="dxa" w:w="2948"/>
          </w:tcPr>
          <w:p>
            <w:r/>
            <w:r>
              <w:rPr>
                <w:sz w:val="15"/>
              </w:rPr>
              <w:t>Contractual return or secure deletion on termination with written certification; checked through the C15 audit programme; certificates kept for the term of the Undertaking plus 2 years.</w:t>
            </w:r>
          </w:p>
        </w:tc>
        <w:tc>
          <w:tcPr>
            <w:tcW w:type="dxa" w:w="2268"/>
          </w:tcPr>
          <w:p>
            <w:r/>
            <w:r>
              <w:rPr>
                <w:sz w:val="15"/>
              </w:rPr>
              <w:t>Action 20. Contractual certified deletion, verification (certificates, independent verification), evidence kept for audit. Target 14 Jul 2025. £60,000.</w:t>
            </w:r>
          </w:p>
        </w:tc>
        <w:tc>
          <w:tcPr>
            <w:tcW w:type="dxa" w:w="3288"/>
          </w:tcPr>
          <w:p>
            <w:r/>
            <w:r>
              <w:rPr>
                <w:sz w:val="15"/>
              </w:rPr>
              <w:t>Retention of certificates for the term plus 2 years and the link to C15 verification are not stated.</w:t>
            </w:r>
          </w:p>
        </w:tc>
        <w:tc>
          <w:tcPr>
            <w:tcW w:type="dxa" w:w="907"/>
            <w:shd w:val="clear" w:color="auto" w:fill="D9EAD3"/>
          </w:tcPr>
          <w:p>
            <w:r/>
            <w:r>
              <w:rPr>
                <w:b/>
                <w:sz w:val="15"/>
              </w:rPr>
              <w:t>Low</w:t>
            </w:r>
          </w:p>
        </w:tc>
        <w:tc>
          <w:tcPr>
            <w:tcW w:type="dxa" w:w="3061"/>
          </w:tcPr>
          <w:p>
            <w:r/>
            <w:r>
              <w:rPr>
                <w:sz w:val="15"/>
              </w:rPr>
              <w:t>Add the retention period (consistent with Cl. 10.2) and the C15 verification step.</w:t>
            </w:r>
          </w:p>
        </w:tc>
      </w:tr>
      <w:tr>
        <w:tc>
          <w:tcPr>
            <w:tcW w:type="dxa" w:w="1474"/>
          </w:tcPr>
          <w:p>
            <w:r/>
            <w:r>
              <w:rPr>
                <w:sz w:val="15"/>
              </w:rPr>
              <w:t>C20</w:t>
              <w:br/>
              <w:t>International Transfer Safeguards</w:t>
              <w:br/>
              <w:t>P3 – 14 Jul 2025</w:t>
            </w:r>
          </w:p>
        </w:tc>
        <w:tc>
          <w:tcPr>
            <w:tcW w:type="dxa" w:w="2948"/>
          </w:tcPr>
          <w:p>
            <w:r/>
            <w:r>
              <w:rPr>
                <w:sz w:val="15"/>
              </w:rPr>
              <w:t>Appropriate safeguards (s.119A SCCs/IDTA/Addendum and TRAs) for all restricted transfers, including to processors, sub-processors and group entities, expressly including BHS Inc. (US); a register of all international transfers with safeguards documented.</w:t>
            </w:r>
          </w:p>
        </w:tc>
        <w:tc>
          <w:tcPr>
            <w:tcW w:type="dxa" w:w="2268"/>
          </w:tcPr>
          <w:p>
            <w:r/>
            <w:r>
              <w:rPr>
                <w:sz w:val="15"/>
              </w:rPr>
              <w:t>Action 21. Limited to “third-party sub-processors” in non-adequate jurisdictions: IDTAs or Addenda, TRAs, a sub-processor transfer register. Target 14 Jul 2025. £160,000.</w:t>
            </w:r>
          </w:p>
        </w:tc>
        <w:tc>
          <w:tcPr>
            <w:tcW w:type="dxa" w:w="3288"/>
          </w:tcPr>
          <w:p>
            <w:r/>
            <w:r>
              <w:rPr>
                <w:sz w:val="15"/>
              </w:rPr>
              <w:t>The Plan omits the very transfer the ICO found unlawful: routine intra-group transfers of health data to BHS Inc. in Austin with no safeguard and no TRA (Sch. 1 Finding 12; ICO Finding 8). Direct processors are also omitted, and the register covers sub-processors only. The UK Extension to the EU-US DPF is not assessed, although the ICO said it must be specifically assessed and documented.</w:t>
            </w:r>
          </w:p>
        </w:tc>
        <w:tc>
          <w:tcPr>
            <w:tcW w:type="dxa" w:w="907"/>
            <w:shd w:val="clear" w:color="auto" w:fill="F4B6B6"/>
          </w:tcPr>
          <w:p>
            <w:r/>
            <w:r>
              <w:rPr>
                <w:b/>
                <w:sz w:val="15"/>
              </w:rPr>
              <w:t>Critical</w:t>
            </w:r>
          </w:p>
        </w:tc>
        <w:tc>
          <w:tcPr>
            <w:tcW w:type="dxa" w:w="3061"/>
          </w:tcPr>
          <w:p>
            <w:r/>
            <w:r>
              <w:rPr>
                <w:sz w:val="15"/>
              </w:rPr>
              <w:t>Expand scope to all restricted transfers, with BHS Inc. first. Execute an IDTA or Addendum with BHS Inc. (or document reliance on the UK Extension if BHS Inc. is certified and the data categories are covered), complete a TRA, and minimise or suspend transfers that are not needed. Bring the BHS Inc. transfer forward to before 15 Apr 2025, given its ongoing unlawfulness. Keep a register of all transfers. Feed the results into the C44 privacy notices.</w:t>
            </w:r>
          </w:p>
        </w:tc>
      </w:tr>
    </w:tbl>
    <w:p>
      <w:pPr>
        <w:spacing w:after="40"/>
      </w:pPr>
    </w:p>
    <w:p>
      <w:pPr>
        <w:pStyle w:val="Heading2"/>
      </w:pPr>
      <w:r>
        <w:t>Domain 4 — Staff Training &amp; Awareness (C21–C26)</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rPr>
          <w:tblHeader w:val="true"/>
        </w:trPr>
        <w:tc>
          <w:tcPr>
            <w:tcW w:type="dxa" w:w="1474"/>
            <w:shd w:val="clear" w:color="auto" w:fill="1F3A5F"/>
          </w:tcPr>
          <w:p>
            <w:r/>
            <w:r>
              <w:rPr>
                <w:b/>
                <w:color w:val="FFFFFF"/>
                <w:sz w:val="15"/>
              </w:rPr>
              <w:t>Commitment / Phase</w:t>
            </w:r>
          </w:p>
        </w:tc>
        <w:tc>
          <w:tcPr>
            <w:tcW w:type="dxa" w:w="2948"/>
            <w:shd w:val="clear" w:color="auto" w:fill="1F3A5F"/>
          </w:tcPr>
          <w:p>
            <w:r/>
            <w:r>
              <w:rPr>
                <w:b/>
                <w:color w:val="FFFFFF"/>
                <w:sz w:val="15"/>
              </w:rPr>
              <w:t>Undertaking requirements</w:t>
            </w:r>
          </w:p>
        </w:tc>
        <w:tc>
          <w:tcPr>
            <w:tcW w:type="dxa" w:w="2268"/>
            <w:shd w:val="clear" w:color="auto" w:fill="1F3A5F"/>
          </w:tcPr>
          <w:p>
            <w:r/>
            <w:r>
              <w:rPr>
                <w:b/>
                <w:color w:val="FFFFFF"/>
                <w:sz w:val="15"/>
              </w:rPr>
              <w:t>Plan coverage</w:t>
            </w:r>
          </w:p>
        </w:tc>
        <w:tc>
          <w:tcPr>
            <w:tcW w:type="dxa" w:w="3288"/>
            <w:shd w:val="clear" w:color="auto" w:fill="1F3A5F"/>
          </w:tcPr>
          <w:p>
            <w:r/>
            <w:r>
              <w:rPr>
                <w:b/>
                <w:color w:val="FFFFFF"/>
                <w:sz w:val="15"/>
              </w:rPr>
              <w:t>Gap(s) identified</w:t>
            </w:r>
          </w:p>
        </w:tc>
        <w:tc>
          <w:tcPr>
            <w:tcW w:type="dxa" w:w="907"/>
            <w:shd w:val="clear" w:color="auto" w:fill="1F3A5F"/>
          </w:tcPr>
          <w:p>
            <w:r/>
            <w:r>
              <w:rPr>
                <w:b/>
                <w:color w:val="FFFFFF"/>
                <w:sz w:val="15"/>
              </w:rPr>
              <w:t>Rating</w:t>
            </w:r>
          </w:p>
        </w:tc>
        <w:tc>
          <w:tcPr>
            <w:tcW w:type="dxa" w:w="3061"/>
            <w:shd w:val="clear" w:color="auto" w:fill="1F3A5F"/>
          </w:tcPr>
          <w:p>
            <w:r/>
            <w:r>
              <w:rPr>
                <w:b/>
                <w:color w:val="FFFFFF"/>
                <w:sz w:val="15"/>
              </w:rPr>
              <w:t>Recommended remediation</w:t>
            </w:r>
          </w:p>
        </w:tc>
      </w:tr>
      <w:tr>
        <w:tc>
          <w:tcPr>
            <w:tcW w:type="dxa" w:w="1474"/>
          </w:tcPr>
          <w:p>
            <w:r/>
            <w:r>
              <w:rPr>
                <w:sz w:val="15"/>
              </w:rPr>
              <w:t>C21</w:t>
              <w:br/>
              <w:t>Mandatory Annual Training</w:t>
              <w:br/>
              <w:t>P2 – 15 Apr 2025</w:t>
            </w:r>
          </w:p>
        </w:tc>
        <w:tc>
          <w:tcPr>
            <w:tcW w:type="dxa" w:w="2948"/>
          </w:tcPr>
          <w:p>
            <w:r/>
            <w:r>
              <w:rPr>
                <w:sz w:val="15"/>
              </w:rPr>
              <w:t>Annual training for all UK staff (342 plus new hires), delivered by a qualified external provider approved by the DPO, with assessed competency; curriculum (a)–(f) including the C33 escalation SLA, role-relevant duties and Undertaking obligations; new joiners within 30 days; records kept for the term.</w:t>
            </w:r>
          </w:p>
        </w:tc>
        <w:tc>
          <w:tcPr>
            <w:tcW w:type="dxa" w:w="2268"/>
          </w:tcPr>
          <w:p>
            <w:r/>
            <w:r>
              <w:rPr>
                <w:sz w:val="15"/>
              </w:rPr>
              <w:t>Action 24. Internally developed e-learning on the BHS LMS; 80% pass mark; curriculum covers GDPR principles, breach reporting, special category data, rights, minimisation and retention, scenarios. 100% completion within 30 days of module launch. Target 15 Apr 2025. £45,000.</w:t>
            </w:r>
          </w:p>
        </w:tc>
        <w:tc>
          <w:tcPr>
            <w:tcW w:type="dxa" w:w="3288"/>
          </w:tcPr>
          <w:p>
            <w:r/>
            <w:r>
              <w:rPr>
                <w:sz w:val="15"/>
              </w:rPr>
              <w:t>(1) Internal delivery contradicts the express external-provider requirement. The ICO also criticised the lack of “qualified and externally delivered training”. (2) No DPO approval of the provider. (3) Curriculum items (c) (the C33 SLA), (e) role-relevant obligations and (f) Undertaking obligations are missing. (4) No 30-day new-joiner rule. (5) If the module launches on 15 Apr, completion may not happen until mid-May, after the Phase 2 deadline. (6) There is no budget for an external provider.</w:t>
            </w:r>
          </w:p>
        </w:tc>
        <w:tc>
          <w:tcPr>
            <w:tcW w:type="dxa" w:w="907"/>
            <w:shd w:val="clear" w:color="auto" w:fill="F9D9A6"/>
          </w:tcPr>
          <w:p>
            <w:r/>
            <w:r>
              <w:rPr>
                <w:b/>
                <w:sz w:val="15"/>
              </w:rPr>
              <w:t>High</w:t>
            </w:r>
          </w:p>
        </w:tc>
        <w:tc>
          <w:tcPr>
            <w:tcW w:type="dxa" w:w="3061"/>
          </w:tcPr>
          <w:p>
            <w:r/>
            <w:r>
              <w:rPr>
                <w:sz w:val="15"/>
              </w:rPr>
              <w:t>Engage a qualified external provider (DPO-approved), budget for it, add the missing curriculum items and the new-joiner rule, and set the launch date so that 100% completion falls on or before 15 Apr 2025.</w:t>
            </w:r>
          </w:p>
        </w:tc>
      </w:tr>
      <w:tr>
        <w:tc>
          <w:tcPr>
            <w:tcW w:type="dxa" w:w="1474"/>
          </w:tcPr>
          <w:p>
            <w:r/>
            <w:r>
              <w:rPr>
                <w:sz w:val="15"/>
              </w:rPr>
              <w:t>C22</w:t>
              <w:br/>
              <w:t>Role-Based Specialist Training</w:t>
              <w:br/>
              <w:t>P3 – 14 Jul 2025</w:t>
            </w:r>
          </w:p>
        </w:tc>
        <w:tc>
          <w:tcPr>
            <w:tcW w:type="dxa" w:w="2948"/>
          </w:tcPr>
          <w:p>
            <w:r/>
            <w:r>
              <w:rPr>
                <w:sz w:val="15"/>
              </w:rPr>
              <w:t>Specialist training at least annually for high-risk roles, including IT security, development, clinical data management, customer support and data analytics; DPO approval of content and scope.</w:t>
            </w:r>
          </w:p>
        </w:tc>
        <w:tc>
          <w:tcPr>
            <w:tcW w:type="dxa" w:w="2268"/>
          </w:tcPr>
          <w:p>
            <w:r/>
            <w:r>
              <w:rPr>
                <w:sz w:val="15"/>
              </w:rPr>
              <w:t>Action 25. External providers for IT security, developers, clinical data managers, privacy team and customer-facing DSR staff. Target 14 Jul 2025. £120,000.</w:t>
            </w:r>
          </w:p>
        </w:tc>
        <w:tc>
          <w:tcPr>
            <w:tcW w:type="dxa" w:w="3288"/>
          </w:tcPr>
          <w:p>
            <w:r/>
            <w:r>
              <w:rPr>
                <w:sz w:val="15"/>
              </w:rPr>
              <w:t>(1) Data analytics staff are missing, although the analytics and reporting environments hold un-pseudonymised special category data. (2) No annual cadence. (3) No DPO approval.</w:t>
            </w:r>
          </w:p>
        </w:tc>
        <w:tc>
          <w:tcPr>
            <w:tcW w:type="dxa" w:w="907"/>
            <w:shd w:val="clear" w:color="auto" w:fill="FFF2B3"/>
          </w:tcPr>
          <w:p>
            <w:r/>
            <w:r>
              <w:rPr>
                <w:b/>
                <w:sz w:val="15"/>
              </w:rPr>
              <w:t>Medium</w:t>
            </w:r>
          </w:p>
        </w:tc>
        <w:tc>
          <w:tcPr>
            <w:tcW w:type="dxa" w:w="3061"/>
          </w:tcPr>
          <w:p>
            <w:r/>
            <w:r>
              <w:rPr>
                <w:sz w:val="15"/>
              </w:rPr>
              <w:t>Add analytics and reporting staff, the annual cadence, and DPO approval of content.</w:t>
            </w:r>
          </w:p>
        </w:tc>
      </w:tr>
      <w:tr>
        <w:tc>
          <w:tcPr>
            <w:tcW w:type="dxa" w:w="1474"/>
          </w:tcPr>
          <w:p>
            <w:r/>
            <w:r>
              <w:rPr>
                <w:sz w:val="15"/>
              </w:rPr>
              <w:t>C23</w:t>
              <w:br/>
              <w:t>Phishing Simulation</w:t>
              <w:br/>
              <w:t>P3 – 14 Jul 2025</w:t>
            </w:r>
          </w:p>
        </w:tc>
        <w:tc>
          <w:tcPr>
            <w:tcW w:type="dxa" w:w="2948"/>
          </w:tcPr>
          <w:p>
            <w:r/>
            <w:r>
              <w:rPr>
                <w:sz w:val="15"/>
              </w:rPr>
              <w:t>At least quarterly simulations for all staff; results tracked at individual and team level; targeted remedial training for failures; aggregate results to the DPO and in the quarterly board reports.</w:t>
            </w:r>
          </w:p>
        </w:tc>
        <w:tc>
          <w:tcPr>
            <w:tcW w:type="dxa" w:w="2268"/>
          </w:tcPr>
          <w:p>
            <w:r/>
            <w:r>
              <w:rPr>
                <w:sz w:val="15"/>
              </w:rPr>
              <w:t>Action 26. Monthly simulations; follow-up training within 7 days; quarterly results to the Steering Committee and board reporting. Target 14 Jul 2025. £60,000.</w:t>
            </w:r>
          </w:p>
        </w:tc>
        <w:tc>
          <w:tcPr>
            <w:tcW w:type="dxa" w:w="3288"/>
          </w:tcPr>
          <w:p>
            <w:r/>
            <w:r>
              <w:rPr>
                <w:sz w:val="15"/>
              </w:rPr>
              <w:t>Frequency exceeds the requirement. Individual and team-level tracking and reporting to the DPO are not stated.</w:t>
            </w:r>
          </w:p>
        </w:tc>
        <w:tc>
          <w:tcPr>
            <w:tcW w:type="dxa" w:w="907"/>
            <w:shd w:val="clear" w:color="auto" w:fill="D9EAD3"/>
          </w:tcPr>
          <w:p>
            <w:r/>
            <w:r>
              <w:rPr>
                <w:b/>
                <w:sz w:val="15"/>
              </w:rPr>
              <w:t>Low</w:t>
            </w:r>
          </w:p>
        </w:tc>
        <w:tc>
          <w:tcPr>
            <w:tcW w:type="dxa" w:w="3061"/>
          </w:tcPr>
          <w:p>
            <w:r/>
            <w:r>
              <w:rPr>
                <w:sz w:val="15"/>
              </w:rPr>
              <w:t>Add individual and team tracking and express reporting to the DPO.</w:t>
            </w:r>
          </w:p>
        </w:tc>
      </w:tr>
      <w:tr>
        <w:tc>
          <w:tcPr>
            <w:tcW w:type="dxa" w:w="1474"/>
          </w:tcPr>
          <w:p>
            <w:r/>
            <w:r>
              <w:rPr>
                <w:sz w:val="15"/>
              </w:rPr>
              <w:t>C24</w:t>
              <w:br/>
              <w:t>Training Completion KPIs</w:t>
              <w:br/>
              <w:t>P3 – 14 Jul 2025</w:t>
            </w:r>
          </w:p>
        </w:tc>
        <w:tc>
          <w:tcPr>
            <w:tcW w:type="dxa" w:w="2948"/>
          </w:tcPr>
          <w:p>
            <w:r/>
            <w:r>
              <w:rPr>
                <w:sz w:val="15"/>
              </w:rPr>
              <w:t>100% completion within 30 days of each annual cycle; 95% pass rate on competency assessments with extra training for those below; disciplinary escalation for non-completion.</w:t>
            </w:r>
          </w:p>
        </w:tc>
        <w:tc>
          <w:tcPr>
            <w:tcW w:type="dxa" w:w="2268"/>
          </w:tcPr>
          <w:p>
            <w:r/>
            <w:r>
              <w:rPr>
                <w:sz w:val="15"/>
              </w:rPr>
              <w:t>Action 27. Training management system, KPI dashboard; 100% completion KPI stated in Action 24. Target 14 Jul 2025. £45,000.</w:t>
            </w:r>
          </w:p>
        </w:tc>
        <w:tc>
          <w:tcPr>
            <w:tcW w:type="dxa" w:w="3288"/>
          </w:tcPr>
          <w:p>
            <w:r/>
            <w:r>
              <w:rPr>
                <w:sz w:val="15"/>
              </w:rPr>
              <w:t>(1) No 95% pass-rate KPI. (2) No disciplinary escalation. The matrix also misstates this commitment as “95% completion”.</w:t>
            </w:r>
          </w:p>
        </w:tc>
        <w:tc>
          <w:tcPr>
            <w:tcW w:type="dxa" w:w="907"/>
            <w:shd w:val="clear" w:color="auto" w:fill="FFF2B3"/>
          </w:tcPr>
          <w:p>
            <w:r/>
            <w:r>
              <w:rPr>
                <w:b/>
                <w:sz w:val="15"/>
              </w:rPr>
              <w:t>Medium</w:t>
            </w:r>
          </w:p>
        </w:tc>
        <w:tc>
          <w:tcPr>
            <w:tcW w:type="dxa" w:w="3061"/>
          </w:tcPr>
          <w:p>
            <w:r/>
            <w:r>
              <w:rPr>
                <w:sz w:val="15"/>
              </w:rPr>
              <w:t>Add the 95% pass-rate KPI, the remedial-training loop, and disciplinary escalation under HR policy.</w:t>
            </w:r>
          </w:p>
        </w:tc>
      </w:tr>
      <w:tr>
        <w:tc>
          <w:tcPr>
            <w:tcW w:type="dxa" w:w="1474"/>
          </w:tcPr>
          <w:p>
            <w:r/>
            <w:r>
              <w:rPr>
                <w:sz w:val="15"/>
              </w:rPr>
              <w:t>C25</w:t>
              <w:br/>
              <w:t>Board-Level Reporting on Training</w:t>
              <w:br/>
              <w:t>P3 – 14 Jul 2025</w:t>
            </w:r>
          </w:p>
        </w:tc>
        <w:tc>
          <w:tcPr>
            <w:tcW w:type="dxa" w:w="2948"/>
          </w:tcPr>
          <w:p>
            <w:r/>
            <w:r>
              <w:rPr>
                <w:sz w:val="15"/>
              </w:rPr>
              <w:t>Training metrics (completion, scores, phishing results, remedial actions) in quarterly board reports; the DPO presents training metrics as a standing item at every board meeting.</w:t>
            </w:r>
          </w:p>
        </w:tc>
        <w:tc>
          <w:tcPr>
            <w:tcW w:type="dxa" w:w="2268"/>
          </w:tcPr>
          <w:p>
            <w:r/>
            <w:r>
              <w:rPr>
                <w:sz w:val="15"/>
              </w:rPr>
              <w:t>Action 22 (cross-funded in WS7). Quarterly board reporting on completion, competency and awareness metrics. Target 15 Apr 2025. £12,000.</w:t>
            </w:r>
          </w:p>
        </w:tc>
        <w:tc>
          <w:tcPr>
            <w:tcW w:type="dxa" w:w="3288"/>
          </w:tcPr>
          <w:p>
            <w:r/>
            <w:r>
              <w:rPr>
                <w:sz w:val="15"/>
              </w:rPr>
              <w:t>(1) No standing DPO agenda item at every board meeting. (2) Remedial actions are not covered. (3) The board is not identified as the BHS UK board (see C38). The early target date is acceptable.</w:t>
            </w:r>
          </w:p>
        </w:tc>
        <w:tc>
          <w:tcPr>
            <w:tcW w:type="dxa" w:w="907"/>
            <w:shd w:val="clear" w:color="auto" w:fill="FFF2B3"/>
          </w:tcPr>
          <w:p>
            <w:r/>
            <w:r>
              <w:rPr>
                <w:b/>
                <w:sz w:val="15"/>
              </w:rPr>
              <w:t>Medium</w:t>
            </w:r>
          </w:p>
        </w:tc>
        <w:tc>
          <w:tcPr>
            <w:tcW w:type="dxa" w:w="3061"/>
          </w:tcPr>
          <w:p>
            <w:r/>
            <w:r>
              <w:rPr>
                <w:sz w:val="15"/>
              </w:rPr>
              <w:t>Make DPO training metrics a standing item at every BHS UK Ltd board meeting and add remedial-action reporting.</w:t>
            </w:r>
          </w:p>
        </w:tc>
      </w:tr>
      <w:tr>
        <w:tc>
          <w:tcPr>
            <w:tcW w:type="dxa" w:w="1474"/>
          </w:tcPr>
          <w:p>
            <w:r/>
            <w:r>
              <w:rPr>
                <w:sz w:val="15"/>
              </w:rPr>
              <w:t>C26</w:t>
              <w:br/>
              <w:t>DPO Resource Allocation</w:t>
              <w:br/>
              <w:t>P3 – 14 Jul 2025</w:t>
            </w:r>
          </w:p>
        </w:tc>
        <w:tc>
          <w:tcPr>
            <w:tcW w:type="dxa" w:w="2948"/>
          </w:tcPr>
          <w:p>
            <w:r/>
            <w:r>
              <w:rPr>
                <w:sz w:val="15"/>
              </w:rPr>
              <w:t>Dedicated privacy team of at least 4 FTE; no reduction without prior ICO written approval; the DPO’s budget reported to the board quarterly.</w:t>
            </w:r>
          </w:p>
        </w:tc>
        <w:tc>
          <w:tcPr>
            <w:tcW w:type="dxa" w:w="2268"/>
          </w:tcPr>
          <w:p>
            <w:r/>
            <w:r>
              <w:rPr>
                <w:sz w:val="15"/>
              </w:rPr>
              <w:t>Action 23 (WS7). +2 FTE plus training coordination resource. Target 14 Jul 2025. £18,000 (recruitment only; salaries funded outside the budget).</w:t>
            </w:r>
          </w:p>
        </w:tc>
        <w:tc>
          <w:tcPr>
            <w:tcW w:type="dxa" w:w="3288"/>
          </w:tcPr>
          <w:p>
            <w:r/>
            <w:r>
              <w:rPr>
                <w:sz w:val="15"/>
              </w:rPr>
              <w:t>(1) The Plan does not state the current headcount, so it cannot show that the team will reach at least 4 FTE. (2) No non-reduction safeguard. (3) No quarterly reporting of the DPO budget. (4) The salary source is unconfirmed. The matrix misdescribes the commitment as “minimum 2 additional FTEs”.</w:t>
            </w:r>
          </w:p>
        </w:tc>
        <w:tc>
          <w:tcPr>
            <w:tcW w:type="dxa" w:w="907"/>
            <w:shd w:val="clear" w:color="auto" w:fill="F9D9A6"/>
          </w:tcPr>
          <w:p>
            <w:r/>
            <w:r>
              <w:rPr>
                <w:b/>
                <w:sz w:val="15"/>
              </w:rPr>
              <w:t>High</w:t>
            </w:r>
          </w:p>
        </w:tc>
        <w:tc>
          <w:tcPr>
            <w:tcW w:type="dxa" w:w="3061"/>
          </w:tcPr>
          <w:p>
            <w:r/>
            <w:r>
              <w:rPr>
                <w:sz w:val="15"/>
              </w:rPr>
              <w:t>State the baseline and confirm at least 4 dedicated FTE by 14 Jul 2025 (recruit more if the baseline is under 2). Record a board resolution on salary funding and the non-reduction undertaking. Add quarterly DPO budget reporting.</w:t>
            </w:r>
          </w:p>
        </w:tc>
      </w:tr>
    </w:tbl>
    <w:p>
      <w:pPr>
        <w:spacing w:after="40"/>
      </w:pPr>
    </w:p>
    <w:p>
      <w:pPr>
        <w:pStyle w:val="Heading2"/>
      </w:pPr>
      <w:r>
        <w:t>Domain 5 — Data Minimisation &amp; Retention (C27–C31)</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rPr>
          <w:tblHeader w:val="true"/>
        </w:trPr>
        <w:tc>
          <w:tcPr>
            <w:tcW w:type="dxa" w:w="1474"/>
            <w:shd w:val="clear" w:color="auto" w:fill="1F3A5F"/>
          </w:tcPr>
          <w:p>
            <w:r/>
            <w:r>
              <w:rPr>
                <w:b/>
                <w:color w:val="FFFFFF"/>
                <w:sz w:val="15"/>
              </w:rPr>
              <w:t>Commitment / Phase</w:t>
            </w:r>
          </w:p>
        </w:tc>
        <w:tc>
          <w:tcPr>
            <w:tcW w:type="dxa" w:w="2948"/>
            <w:shd w:val="clear" w:color="auto" w:fill="1F3A5F"/>
          </w:tcPr>
          <w:p>
            <w:r/>
            <w:r>
              <w:rPr>
                <w:b/>
                <w:color w:val="FFFFFF"/>
                <w:sz w:val="15"/>
              </w:rPr>
              <w:t>Undertaking requirements</w:t>
            </w:r>
          </w:p>
        </w:tc>
        <w:tc>
          <w:tcPr>
            <w:tcW w:type="dxa" w:w="2268"/>
            <w:shd w:val="clear" w:color="auto" w:fill="1F3A5F"/>
          </w:tcPr>
          <w:p>
            <w:r/>
            <w:r>
              <w:rPr>
                <w:b/>
                <w:color w:val="FFFFFF"/>
                <w:sz w:val="15"/>
              </w:rPr>
              <w:t>Plan coverage</w:t>
            </w:r>
          </w:p>
        </w:tc>
        <w:tc>
          <w:tcPr>
            <w:tcW w:type="dxa" w:w="3288"/>
            <w:shd w:val="clear" w:color="auto" w:fill="1F3A5F"/>
          </w:tcPr>
          <w:p>
            <w:r/>
            <w:r>
              <w:rPr>
                <w:b/>
                <w:color w:val="FFFFFF"/>
                <w:sz w:val="15"/>
              </w:rPr>
              <w:t>Gap(s) identified</w:t>
            </w:r>
          </w:p>
        </w:tc>
        <w:tc>
          <w:tcPr>
            <w:tcW w:type="dxa" w:w="907"/>
            <w:shd w:val="clear" w:color="auto" w:fill="1F3A5F"/>
          </w:tcPr>
          <w:p>
            <w:r/>
            <w:r>
              <w:rPr>
                <w:b/>
                <w:color w:val="FFFFFF"/>
                <w:sz w:val="15"/>
              </w:rPr>
              <w:t>Rating</w:t>
            </w:r>
          </w:p>
        </w:tc>
        <w:tc>
          <w:tcPr>
            <w:tcW w:type="dxa" w:w="3061"/>
            <w:shd w:val="clear" w:color="auto" w:fill="1F3A5F"/>
          </w:tcPr>
          <w:p>
            <w:r/>
            <w:r>
              <w:rPr>
                <w:b/>
                <w:color w:val="FFFFFF"/>
                <w:sz w:val="15"/>
              </w:rPr>
              <w:t>Recommended remediation</w:t>
            </w:r>
          </w:p>
        </w:tc>
      </w:tr>
      <w:tr>
        <w:tc>
          <w:tcPr>
            <w:tcW w:type="dxa" w:w="1474"/>
          </w:tcPr>
          <w:p>
            <w:r/>
            <w:r>
              <w:rPr>
                <w:sz w:val="15"/>
              </w:rPr>
              <w:t>C27</w:t>
              <w:br/>
              <w:t>Retention Schedule Overhaul</w:t>
              <w:br/>
              <w:t>P3 – 14 Jul 2025</w:t>
            </w:r>
          </w:p>
        </w:tc>
        <w:tc>
          <w:tcPr>
            <w:tcW w:type="dxa" w:w="2948"/>
          </w:tcPr>
          <w:p>
            <w:r/>
            <w:r>
              <w:rPr>
                <w:sz w:val="15"/>
              </w:rPr>
              <w:t>Lawful retention periods for all personal data categories with documented justification (legal basis and purpose); DPO approval; at least annual review.</w:t>
            </w:r>
          </w:p>
        </w:tc>
        <w:tc>
          <w:tcPr>
            <w:tcW w:type="dxa" w:w="2268"/>
          </w:tcPr>
          <w:p>
            <w:r/>
            <w:r>
              <w:rPr>
                <w:sz w:val="15"/>
              </w:rPr>
              <w:t>Action 28 (plus Action 33 classification). Periods, legal bases, deletion triggers, NHS Records Management Code alignment; approval records. Target 10 Jul 2025. £75,000.</w:t>
            </w:r>
          </w:p>
        </w:tc>
        <w:tc>
          <w:tcPr>
            <w:tcW w:type="dxa" w:w="3288"/>
          </w:tcPr>
          <w:p>
            <w:r/>
            <w:r>
              <w:rPr>
                <w:sz w:val="15"/>
              </w:rPr>
              <w:t>DPO approval and the annual review are not expressly stated. The schedule lands on 10 Jul, which leaves C28 and C31 (due 14 Jul) almost no time to run against it.</w:t>
            </w:r>
          </w:p>
        </w:tc>
        <w:tc>
          <w:tcPr>
            <w:tcW w:type="dxa" w:w="907"/>
            <w:shd w:val="clear" w:color="auto" w:fill="D9EAD3"/>
          </w:tcPr>
          <w:p>
            <w:r/>
            <w:r>
              <w:rPr>
                <w:b/>
                <w:sz w:val="15"/>
              </w:rPr>
              <w:t>Low</w:t>
            </w:r>
          </w:p>
        </w:tc>
        <w:tc>
          <w:tcPr>
            <w:tcW w:type="dxa" w:w="3061"/>
          </w:tcPr>
          <w:p>
            <w:r/>
            <w:r>
              <w:rPr>
                <w:sz w:val="15"/>
              </w:rPr>
              <w:t>Name the DPO as approver, add an annual review, and bring the target forward (for example to 30 May 2025) so C28 and C31 can run against it.</w:t>
            </w:r>
          </w:p>
        </w:tc>
      </w:tr>
      <w:tr>
        <w:tc>
          <w:tcPr>
            <w:tcW w:type="dxa" w:w="1474"/>
          </w:tcPr>
          <w:p>
            <w:r/>
            <w:r>
              <w:rPr>
                <w:sz w:val="15"/>
              </w:rPr>
              <w:t>C28</w:t>
              <w:br/>
              <w:t>Automated Deletion Workflows</w:t>
              <w:br/>
              <w:t>P3 – 14 Jul 2025</w:t>
            </w:r>
          </w:p>
        </w:tc>
        <w:tc>
          <w:tcPr>
            <w:tcW w:type="dxa" w:w="2948"/>
          </w:tcPr>
          <w:p>
            <w:r/>
            <w:r>
              <w:rPr>
                <w:sz w:val="15"/>
              </w:rPr>
              <w:t>Automated secure deletion on retention expiry; each deletion logged (category, expired retention period, date, method); monthly deletion reports to the DPO.</w:t>
            </w:r>
          </w:p>
        </w:tc>
        <w:tc>
          <w:tcPr>
            <w:tcW w:type="dxa" w:w="2268"/>
          </w:tcPr>
          <w:p>
            <w:r/>
            <w:r>
              <w:rPr>
                <w:sz w:val="15"/>
              </w:rPr>
              <w:t>Action 29. Automated workflows to “securely delete or anonymise”, with audit-trail logging. Target 14 Jul 2025. £85,000.</w:t>
            </w:r>
          </w:p>
        </w:tc>
        <w:tc>
          <w:tcPr>
            <w:tcW w:type="dxa" w:w="3288"/>
          </w:tcPr>
          <w:p>
            <w:r/>
            <w:r>
              <w:rPr>
                <w:sz w:val="15"/>
              </w:rPr>
              <w:t>(1) The deletion-log fields are not specified. (2) No monthly DPO reports. (3) “Anonymise” is an alternative the Undertaking does not provide; it is acceptable only if the data is truly anonymous. (4) The timing depends on C27.</w:t>
            </w:r>
          </w:p>
        </w:tc>
        <w:tc>
          <w:tcPr>
            <w:tcW w:type="dxa" w:w="907"/>
            <w:shd w:val="clear" w:color="auto" w:fill="FFF2B3"/>
          </w:tcPr>
          <w:p>
            <w:r/>
            <w:r>
              <w:rPr>
                <w:b/>
                <w:sz w:val="15"/>
              </w:rPr>
              <w:t>Medium</w:t>
            </w:r>
          </w:p>
        </w:tc>
        <w:tc>
          <w:tcPr>
            <w:tcW w:type="dxa" w:w="3061"/>
          </w:tcPr>
          <w:p>
            <w:r/>
            <w:r>
              <w:rPr>
                <w:sz w:val="15"/>
              </w:rPr>
              <w:t>Specify the log fields and monthly DPO reports, and limit anonymisation to documented, tested irreversible anonymisation, or remove it.</w:t>
            </w:r>
          </w:p>
        </w:tc>
      </w:tr>
      <w:tr>
        <w:tc>
          <w:tcPr>
            <w:tcW w:type="dxa" w:w="1474"/>
          </w:tcPr>
          <w:p>
            <w:r/>
            <w:r>
              <w:rPr>
                <w:sz w:val="15"/>
              </w:rPr>
              <w:t>C29</w:t>
              <w:br/>
              <w:t>Pseudonymisation Roadmap</w:t>
              <w:br/>
              <w:t>P3 – 14 Jul 2025</w:t>
            </w:r>
          </w:p>
        </w:tc>
        <w:tc>
          <w:tcPr>
            <w:tcW w:type="dxa" w:w="2948"/>
          </w:tcPr>
          <w:p>
            <w:r/>
            <w:r>
              <w:rPr>
                <w:sz w:val="15"/>
              </w:rPr>
              <w:t>Defined technical standards (separating identifiers, protecting the re-identification key); milestones at 60, 120 and 180 days (16 Mar, 15 May, 14 Jul 2025); 100% of special category health data pseudonymised in all Non-Production Environments (test, dev, staging, QA, analytics, reporting) by 14 Jul 2025; no un-pseudonymised special category data in any Non-Production Environment after that date.</w:t>
            </w:r>
          </w:p>
        </w:tc>
        <w:tc>
          <w:tcPr>
            <w:tcW w:type="dxa" w:w="2268"/>
          </w:tcPr>
          <w:p>
            <w:r/>
            <w:r>
              <w:rPr>
                <w:sz w:val="15"/>
              </w:rPr>
              <w:t>Action 32. Scope: “test and development environments” only; 85% coverage target; the remaining coverage left to a “subsequent phase”; tokenisation and “irreversible hashing”; central token service with key separation. Target 14 Jul 2025. £95,000.</w:t>
            </w:r>
          </w:p>
        </w:tc>
        <w:tc>
          <w:tcPr>
            <w:tcW w:type="dxa" w:w="3288"/>
          </w:tcPr>
          <w:p>
            <w:r/>
            <w:r>
              <w:rPr>
                <w:sz w:val="15"/>
              </w:rPr>
              <w:t>(1) Coverage is 85%, not 100%. (2) Staging, QA, analytics and reporting are excluded, although Cl. 3.1 and Commitment 29 itself define them as in scope. The DPO’s email (6 Feb) is wrong to say the term is undefined. (3) There are no 60/120/180-day milestones. (4) Deferring to a “subsequent phase” amounts to an unapproved extension. (5) Dr Kassab puts the cost of full compliance at £280,000–£340,000 more, which is not budgeted. (6) “Irreversible hashing” is inconsistent with a re-identification key model, and unsalted hashes of NHS numbers can be reversed by enumeration. (7) The ICO identified 41,203 mental-health records in non-production environments (ICO Finding 10).</w:t>
            </w:r>
          </w:p>
        </w:tc>
        <w:tc>
          <w:tcPr>
            <w:tcW w:type="dxa" w:w="907"/>
            <w:shd w:val="clear" w:color="auto" w:fill="F4B6B6"/>
          </w:tcPr>
          <w:p>
            <w:r/>
            <w:r>
              <w:rPr>
                <w:b/>
                <w:sz w:val="15"/>
              </w:rPr>
              <w:t>Critical</w:t>
            </w:r>
          </w:p>
        </w:tc>
        <w:tc>
          <w:tcPr>
            <w:tcW w:type="dxa" w:w="3061"/>
          </w:tcPr>
          <w:p>
            <w:r/>
            <w:r>
              <w:rPr>
                <w:sz w:val="15"/>
              </w:rPr>
              <w:t>Restate the target as 100% across all Non-Production Environments by 14 Jul 2025, with the 60/120/180-day milestones. If full masking cannot be built in time, reach compliance by removing un-pseudonymised special category data from staging, QA, analytics and reporting (synthetic or masked datasets, or shutting down feeds) rather than accepting a residual 15%. Fund the gap (Recital 2.9 confirms BHS UK has the resources). Specify keyed tokenisation or HMAC with key separation. If any risk to the 14 Jul date remains, notify under Cl. 8.2 and request an extension by 30 Jun 2025.</w:t>
            </w:r>
          </w:p>
        </w:tc>
      </w:tr>
      <w:tr>
        <w:tc>
          <w:tcPr>
            <w:tcW w:type="dxa" w:w="1474"/>
          </w:tcPr>
          <w:p>
            <w:r/>
            <w:r>
              <w:rPr>
                <w:sz w:val="15"/>
              </w:rPr>
              <w:t>C30</w:t>
              <w:br/>
              <w:t>Data Minimisation Review</w:t>
              <w:br/>
              <w:t>P3 – 14 Jul 2025</w:t>
            </w:r>
          </w:p>
        </w:tc>
        <w:tc>
          <w:tcPr>
            <w:tcW w:type="dxa" w:w="2948"/>
          </w:tcPr>
          <w:p>
            <w:r/>
            <w:r>
              <w:rPr>
                <w:sz w:val="15"/>
              </w:rPr>
              <w:t>Comprehensive review of all processing (BellCloud UK and wider operations) to identify and eliminate processing that is not strictly necessary, with focus on special category data; carried out by the DPO’s team; formal report with findings presented to the board.</w:t>
            </w:r>
          </w:p>
        </w:tc>
        <w:tc>
          <w:tcPr>
            <w:tcW w:type="dxa" w:w="2268"/>
          </w:tcPr>
          <w:p>
            <w:r/>
            <w:r>
              <w:rPr>
                <w:sz w:val="15"/>
              </w:rPr>
              <w:t>Action 30. Systematic review of adequacy, relevance and necessity; report and tracker. Target 14 Jul 2025. £50,000.</w:t>
            </w:r>
          </w:p>
        </w:tc>
        <w:tc>
          <w:tcPr>
            <w:tcW w:type="dxa" w:w="3288"/>
          </w:tcPr>
          <w:p>
            <w:r/>
            <w:r>
              <w:rPr>
                <w:sz w:val="15"/>
              </w:rPr>
              <w:t>(1) No obligation to eliminate unnecessary processing. (2) No board presentation. (3) No special category focus. (4) The DPO’s team is not named as the reviewer.</w:t>
            </w:r>
          </w:p>
        </w:tc>
        <w:tc>
          <w:tcPr>
            <w:tcW w:type="dxa" w:w="907"/>
            <w:shd w:val="clear" w:color="auto" w:fill="FFF2B3"/>
          </w:tcPr>
          <w:p>
            <w:r/>
            <w:r>
              <w:rPr>
                <w:b/>
                <w:sz w:val="15"/>
              </w:rPr>
              <w:t>Medium</w:t>
            </w:r>
          </w:p>
        </w:tc>
        <w:tc>
          <w:tcPr>
            <w:tcW w:type="dxa" w:w="3061"/>
          </w:tcPr>
          <w:p>
            <w:r/>
            <w:r>
              <w:rPr>
                <w:sz w:val="15"/>
              </w:rPr>
              <w:t>Add the elimination obligation, special category priority, DPO-team ownership, and board presentation.</w:t>
            </w:r>
          </w:p>
        </w:tc>
      </w:tr>
      <w:tr>
        <w:tc>
          <w:tcPr>
            <w:tcW w:type="dxa" w:w="1474"/>
          </w:tcPr>
          <w:p>
            <w:r/>
            <w:r>
              <w:rPr>
                <w:sz w:val="15"/>
              </w:rPr>
              <w:t>C31</w:t>
              <w:br/>
              <w:t>Storage Limitation Audit</w:t>
              <w:br/>
              <w:t>P3 – 14 Jul 2025</w:t>
            </w:r>
          </w:p>
        </w:tc>
        <w:tc>
          <w:tcPr>
            <w:tcW w:type="dxa" w:w="2948"/>
          </w:tcPr>
          <w:p>
            <w:r/>
            <w:r>
              <w:rPr>
                <w:sz w:val="15"/>
              </w:rPr>
              <w:t>Audit to find data held beyond retention; secure deletion within 60 days of identification; results reported to the DPO and board.</w:t>
            </w:r>
          </w:p>
        </w:tc>
        <w:tc>
          <w:tcPr>
            <w:tcW w:type="dxa" w:w="2268"/>
          </w:tcPr>
          <w:p>
            <w:r/>
            <w:r>
              <w:rPr>
                <w:sz w:val="15"/>
              </w:rPr>
              <w:t>Action 31 (plus Action 34 legacy clean-up). Audit of all stores; identifies over-retained data and “initiates remediation”. Target 14 Jul 2025. £45,000.</w:t>
            </w:r>
          </w:p>
        </w:tc>
        <w:tc>
          <w:tcPr>
            <w:tcW w:type="dxa" w:w="3288"/>
          </w:tcPr>
          <w:p>
            <w:r/>
            <w:r>
              <w:rPr>
                <w:sz w:val="15"/>
              </w:rPr>
              <w:t>(1) No 60-day deletion deadline. (2) No reporting to the DPO and board. (3) The audit is due 4 days after the retention schedule it depends on (C27).</w:t>
            </w:r>
          </w:p>
        </w:tc>
        <w:tc>
          <w:tcPr>
            <w:tcW w:type="dxa" w:w="907"/>
            <w:shd w:val="clear" w:color="auto" w:fill="FFF2B3"/>
          </w:tcPr>
          <w:p>
            <w:r/>
            <w:r>
              <w:rPr>
                <w:b/>
                <w:sz w:val="15"/>
              </w:rPr>
              <w:t>Medium</w:t>
            </w:r>
          </w:p>
        </w:tc>
        <w:tc>
          <w:tcPr>
            <w:tcW w:type="dxa" w:w="3061"/>
          </w:tcPr>
          <w:p>
            <w:r/>
            <w:r>
              <w:rPr>
                <w:sz w:val="15"/>
              </w:rPr>
              <w:t>Add the 60-day deletion SLA with tracking, DPO and board reporting, and re-sequence it after C27.</w:t>
            </w:r>
          </w:p>
        </w:tc>
      </w:tr>
    </w:tbl>
    <w:p>
      <w:pPr>
        <w:spacing w:after="40"/>
      </w:pPr>
    </w:p>
    <w:p>
      <w:pPr>
        <w:pStyle w:val="Heading2"/>
      </w:pPr>
      <w:r>
        <w:t>Domain 6 — Breach Response &amp; Notification (C32–C37)</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rPr>
          <w:tblHeader w:val="true"/>
        </w:trPr>
        <w:tc>
          <w:tcPr>
            <w:tcW w:type="dxa" w:w="1474"/>
            <w:shd w:val="clear" w:color="auto" w:fill="1F3A5F"/>
          </w:tcPr>
          <w:p>
            <w:r/>
            <w:r>
              <w:rPr>
                <w:b/>
                <w:color w:val="FFFFFF"/>
                <w:sz w:val="15"/>
              </w:rPr>
              <w:t>Commitment / Phase</w:t>
            </w:r>
          </w:p>
        </w:tc>
        <w:tc>
          <w:tcPr>
            <w:tcW w:type="dxa" w:w="2948"/>
            <w:shd w:val="clear" w:color="auto" w:fill="1F3A5F"/>
          </w:tcPr>
          <w:p>
            <w:r/>
            <w:r>
              <w:rPr>
                <w:b/>
                <w:color w:val="FFFFFF"/>
                <w:sz w:val="15"/>
              </w:rPr>
              <w:t>Undertaking requirements</w:t>
            </w:r>
          </w:p>
        </w:tc>
        <w:tc>
          <w:tcPr>
            <w:tcW w:type="dxa" w:w="2268"/>
            <w:shd w:val="clear" w:color="auto" w:fill="1F3A5F"/>
          </w:tcPr>
          <w:p>
            <w:r/>
            <w:r>
              <w:rPr>
                <w:b/>
                <w:color w:val="FFFFFF"/>
                <w:sz w:val="15"/>
              </w:rPr>
              <w:t>Plan coverage</w:t>
            </w:r>
          </w:p>
        </w:tc>
        <w:tc>
          <w:tcPr>
            <w:tcW w:type="dxa" w:w="3288"/>
            <w:shd w:val="clear" w:color="auto" w:fill="1F3A5F"/>
          </w:tcPr>
          <w:p>
            <w:r/>
            <w:r>
              <w:rPr>
                <w:b/>
                <w:color w:val="FFFFFF"/>
                <w:sz w:val="15"/>
              </w:rPr>
              <w:t>Gap(s) identified</w:t>
            </w:r>
          </w:p>
        </w:tc>
        <w:tc>
          <w:tcPr>
            <w:tcW w:type="dxa" w:w="907"/>
            <w:shd w:val="clear" w:color="auto" w:fill="1F3A5F"/>
          </w:tcPr>
          <w:p>
            <w:r/>
            <w:r>
              <w:rPr>
                <w:b/>
                <w:color w:val="FFFFFF"/>
                <w:sz w:val="15"/>
              </w:rPr>
              <w:t>Rating</w:t>
            </w:r>
          </w:p>
        </w:tc>
        <w:tc>
          <w:tcPr>
            <w:tcW w:type="dxa" w:w="3061"/>
            <w:shd w:val="clear" w:color="auto" w:fill="1F3A5F"/>
          </w:tcPr>
          <w:p>
            <w:r/>
            <w:r>
              <w:rPr>
                <w:b/>
                <w:color w:val="FFFFFF"/>
                <w:sz w:val="15"/>
              </w:rPr>
              <w:t>Recommended remediation</w:t>
            </w:r>
          </w:p>
        </w:tc>
      </w:tr>
      <w:tr>
        <w:tc>
          <w:tcPr>
            <w:tcW w:type="dxa" w:w="1474"/>
          </w:tcPr>
          <w:p>
            <w:r/>
            <w:r>
              <w:rPr>
                <w:sz w:val="15"/>
              </w:rPr>
              <w:t>C32</w:t>
              <w:br/>
              <w:t>Updated Incident Response Plan</w:t>
              <w:br/>
              <w:t>P1 – 14 Feb 2025</w:t>
            </w:r>
          </w:p>
        </w:tc>
        <w:tc>
          <w:tcPr>
            <w:tcW w:type="dxa" w:w="2948"/>
          </w:tcPr>
          <w:p>
            <w:r/>
            <w:r>
              <w:rPr>
                <w:sz w:val="15"/>
              </w:rPr>
              <w:t>Roles with named individuals and alternates; a dedicated IRT (IT security, legal, communications, clinical operations, DPO’s office); step-by-step procedures for containment, investigation, assessment, notification (ICO and data subjects) and remediation; approval by the DPO and the BHS UK Ltd board; annual review.</w:t>
            </w:r>
          </w:p>
        </w:tc>
        <w:tc>
          <w:tcPr>
            <w:tcW w:type="dxa" w:w="2268"/>
          </w:tcPr>
          <w:p>
            <w:r/>
            <w:r>
              <w:rPr>
                <w:sz w:val="15"/>
              </w:rPr>
              <w:t>Action 35. Roles, classification, escalation, communications, evidence preservation, Art. 33/34 integration; tested through tabletops. Target 14 Feb 2025. £35,000.</w:t>
            </w:r>
          </w:p>
        </w:tc>
        <w:tc>
          <w:tcPr>
            <w:tcW w:type="dxa" w:w="3288"/>
          </w:tcPr>
          <w:p>
            <w:r/>
            <w:r>
              <w:rPr>
                <w:sz w:val="15"/>
              </w:rPr>
              <w:t>(1) No named individuals or alternates. (2) No defined IRT membership; clinical operations is missing. (3) Phase-by-phase procedures are not required. (4) No approval by the DPO and the BHS UK board. (5) No annual review. (6) The IRP must carry the C33 24-hour SLA, but the Plan’s escalation protocol conflicts with it.</w:t>
            </w:r>
          </w:p>
        </w:tc>
        <w:tc>
          <w:tcPr>
            <w:tcW w:type="dxa" w:w="907"/>
            <w:shd w:val="clear" w:color="auto" w:fill="FFF2B3"/>
          </w:tcPr>
          <w:p>
            <w:r/>
            <w:r>
              <w:rPr>
                <w:b/>
                <w:sz w:val="15"/>
              </w:rPr>
              <w:t>Medium</w:t>
            </w:r>
          </w:p>
        </w:tc>
        <w:tc>
          <w:tcPr>
            <w:tcW w:type="dxa" w:w="3061"/>
          </w:tcPr>
          <w:p>
            <w:r/>
            <w:r>
              <w:rPr>
                <w:sz w:val="15"/>
              </w:rPr>
              <w:t>Add named roles and alternates, IRT membership including clinical operations, phase procedures, the C33-compliant escalation, BHS UK board and DPO approval before 14 Feb 2025 (schedule a board meeting), and an annual review.</w:t>
            </w:r>
          </w:p>
        </w:tc>
      </w:tr>
      <w:tr>
        <w:tc>
          <w:tcPr>
            <w:tcW w:type="dxa" w:w="1474"/>
          </w:tcPr>
          <w:p>
            <w:r/>
            <w:r>
              <w:rPr>
                <w:sz w:val="15"/>
              </w:rPr>
              <w:t>C33</w:t>
              <w:br/>
              <w:t>24-Hour Internal Escalation SLA</w:t>
              <w:br/>
              <w:t>P1 – 14 Feb 2025</w:t>
            </w:r>
          </w:p>
        </w:tc>
        <w:tc>
          <w:tcPr>
            <w:tcW w:type="dxa" w:w="2948"/>
          </w:tcPr>
          <w:p>
            <w:r/>
            <w:r>
              <w:rPr>
                <w:sz w:val="15"/>
              </w:rPr>
              <w:t>No more than 24 hours from discovery of a potential breach (any reasonable suspicion or automated alert) to DPO notification. Notification must not depend on triage, assessment or confirmation. Required supporting measures: SIEM auto-alerts to the DPO, a procedure accessible to all staff, a 24/7 reporting hotline or web form, and timestamped logging.</w:t>
            </w:r>
          </w:p>
        </w:tc>
        <w:tc>
          <w:tcPr>
            <w:tcW w:type="dxa" w:w="2268"/>
          </w:tcPr>
          <w:p>
            <w:r/>
            <w:r>
              <w:rPr>
                <w:sz w:val="15"/>
              </w:rPr>
              <w:t>Action 36. Tiered protocol: IT Security tells the Privacy Team within 48 hours; the Privacy Team assesses within 24 hours; the DPO is told only “where the assessment confirms a personal data breach”. The stated aim is to “reduce over-reporting”.</w:t>
            </w:r>
          </w:p>
        </w:tc>
        <w:tc>
          <w:tcPr>
            <w:tcW w:type="dxa" w:w="3288"/>
          </w:tcPr>
          <w:p>
            <w:r/>
            <w:r>
              <w:rPr>
                <w:sz w:val="15"/>
              </w:rPr>
              <w:t>The protocol directly contradicts Commitment 33(a)–(c): the window is 48 hours before the Privacy Team even hears of it, up to 72 hours before assessment ends, and DPO notification depends on confirmation. That is worse than the 38-hour delay that produced Sch. 1 Finding 14. None of the required supporting measures appear. This is a Phase 1 item, due 14 Feb 2025.</w:t>
            </w:r>
          </w:p>
        </w:tc>
        <w:tc>
          <w:tcPr>
            <w:tcW w:type="dxa" w:w="907"/>
            <w:shd w:val="clear" w:color="auto" w:fill="F4B6B6"/>
          </w:tcPr>
          <w:p>
            <w:r/>
            <w:r>
              <w:rPr>
                <w:b/>
                <w:sz w:val="15"/>
              </w:rPr>
              <w:t>Critical</w:t>
            </w:r>
          </w:p>
        </w:tc>
        <w:tc>
          <w:tcPr>
            <w:tcW w:type="dxa" w:w="3061"/>
          </w:tcPr>
          <w:p>
            <w:r/>
            <w:r>
              <w:rPr>
                <w:sz w:val="15"/>
              </w:rPr>
              <w:t>Replace Action 36 before 14 Feb 2025 with a single-step rule: any potential breach is notified to the DPO (and alternate) immediately and in any event within 24 hours, without prior triage or confirmation. Assessment runs in parallel. Add SIEM-to-DPO alerting, a 24/7 hotline or web form, timestamped logging, and SLA reporting. Delete the over-reporting rationale.</w:t>
            </w:r>
          </w:p>
        </w:tc>
      </w:tr>
      <w:tr>
        <w:tc>
          <w:tcPr>
            <w:tcW w:type="dxa" w:w="1474"/>
          </w:tcPr>
          <w:p>
            <w:r/>
            <w:r>
              <w:rPr>
                <w:sz w:val="15"/>
              </w:rPr>
              <w:t>C34</w:t>
              <w:br/>
              <w:t>Tabletop Exercises</w:t>
              <w:br/>
              <w:t>P2 – 15 Apr 2025</w:t>
            </w:r>
          </w:p>
        </w:tc>
        <w:tc>
          <w:tcPr>
            <w:tcW w:type="dxa" w:w="2948"/>
          </w:tcPr>
          <w:p>
            <w:r/>
            <w:r>
              <w:rPr>
                <w:sz w:val="15"/>
              </w:rPr>
              <w:t>At least two exercises a year involving senior management, IT security, legal, communications and the DPO; realistic scenarios including special category data and ICO and data subject notification; post-exercise reports.</w:t>
            </w:r>
          </w:p>
        </w:tc>
        <w:tc>
          <w:tcPr>
            <w:tcW w:type="dxa" w:w="2268"/>
          </w:tcPr>
          <w:p>
            <w:r/>
            <w:r>
              <w:rPr>
                <w:sz w:val="15"/>
              </w:rPr>
              <w:t>Action 37. Quarterly exercises (IT Security, Privacy Team, Legal, Communications, senior management); post-exercise reports. First exercise 15 Apr 2025. £40,000.</w:t>
            </w:r>
          </w:p>
        </w:tc>
        <w:tc>
          <w:tcPr>
            <w:tcW w:type="dxa" w:w="3288"/>
          </w:tcPr>
          <w:p>
            <w:r/>
            <w:r>
              <w:rPr>
                <w:sz w:val="15"/>
              </w:rPr>
              <w:t>Frequency exceeds the requirement. The DPO is not expressly named as a participant, and the required scenario types are not specified.</w:t>
            </w:r>
          </w:p>
        </w:tc>
        <w:tc>
          <w:tcPr>
            <w:tcW w:type="dxa" w:w="907"/>
            <w:shd w:val="clear" w:color="auto" w:fill="D9EAD3"/>
          </w:tcPr>
          <w:p>
            <w:r/>
            <w:r>
              <w:rPr>
                <w:b/>
                <w:sz w:val="15"/>
              </w:rPr>
              <w:t>Low</w:t>
            </w:r>
          </w:p>
        </w:tc>
        <w:tc>
          <w:tcPr>
            <w:tcW w:type="dxa" w:w="3061"/>
          </w:tcPr>
          <w:p>
            <w:r/>
            <w:r>
              <w:rPr>
                <w:sz w:val="15"/>
              </w:rPr>
              <w:t>Name the DPO as a mandatory participant and require special category and notification scenarios.</w:t>
            </w:r>
          </w:p>
        </w:tc>
      </w:tr>
      <w:tr>
        <w:tc>
          <w:tcPr>
            <w:tcW w:type="dxa" w:w="1474"/>
          </w:tcPr>
          <w:p>
            <w:r/>
            <w:r>
              <w:rPr>
                <w:sz w:val="15"/>
              </w:rPr>
              <w:t>C35</w:t>
              <w:br/>
              <w:t>Breach Notification Templates</w:t>
              <w:br/>
              <w:t>P2 – 15 Apr 2025</w:t>
            </w:r>
          </w:p>
        </w:tc>
        <w:tc>
          <w:tcPr>
            <w:tcW w:type="dxa" w:w="2948"/>
          </w:tcPr>
          <w:p>
            <w:r/>
            <w:r>
              <w:rPr>
                <w:sz w:val="15"/>
              </w:rPr>
              <w:t>Pre-approved templates for (a) ICO Art. 33, (b) data subject Art. 34, and (c) processors, partners and other stakeholders; approved by the DPO and legal advisers; reviewed annually and on legal or guidance change.</w:t>
            </w:r>
          </w:p>
        </w:tc>
        <w:tc>
          <w:tcPr>
            <w:tcW w:type="dxa" w:w="2268"/>
          </w:tcPr>
          <w:p>
            <w:r/>
            <w:r>
              <w:rPr>
                <w:sz w:val="15"/>
              </w:rPr>
              <w:t>Action 38. ICO, data subject and processor templates; approval records. Target 15 Apr 2025. £30,000.</w:t>
            </w:r>
          </w:p>
        </w:tc>
        <w:tc>
          <w:tcPr>
            <w:tcW w:type="dxa" w:w="3288"/>
          </w:tcPr>
          <w:p>
            <w:r/>
            <w:r>
              <w:rPr>
                <w:sz w:val="15"/>
              </w:rPr>
              <w:t>(1) No partner or stakeholder templates (NHS trusts, clinics). (2) Approvers are not specified. (3) No review cycle. Note that Recital 2.6(e) and the ICO letter criticised the quality of the original notifications.</w:t>
            </w:r>
          </w:p>
        </w:tc>
        <w:tc>
          <w:tcPr>
            <w:tcW w:type="dxa" w:w="907"/>
            <w:shd w:val="clear" w:color="auto" w:fill="D9EAD3"/>
          </w:tcPr>
          <w:p>
            <w:r/>
            <w:r>
              <w:rPr>
                <w:b/>
                <w:sz w:val="15"/>
              </w:rPr>
              <w:t>Low</w:t>
            </w:r>
          </w:p>
        </w:tc>
        <w:tc>
          <w:tcPr>
            <w:tcW w:type="dxa" w:w="3061"/>
          </w:tcPr>
          <w:p>
            <w:r/>
            <w:r>
              <w:rPr>
                <w:sz w:val="15"/>
              </w:rPr>
              <w:t>Add partner and stakeholder templates, DPO and legal-adviser sign-off, and an annual and change-triggered review. Use the ICO’s criticisms of the 2024 notices to shape the content.</w:t>
            </w:r>
          </w:p>
        </w:tc>
      </w:tr>
      <w:tr>
        <w:tc>
          <w:tcPr>
            <w:tcW w:type="dxa" w:w="1474"/>
          </w:tcPr>
          <w:p>
            <w:r/>
            <w:r>
              <w:rPr>
                <w:sz w:val="15"/>
              </w:rPr>
              <w:t>C36</w:t>
              <w:br/>
              <w:t>Communication Channel with ICO</w:t>
              <w:br/>
              <w:t>P2 – 15 Apr 2025</w:t>
            </w:r>
          </w:p>
        </w:tc>
        <w:tc>
          <w:tcPr>
            <w:tcW w:type="dxa" w:w="2948"/>
          </w:tcPr>
          <w:p>
            <w:r/>
            <w:r>
              <w:rPr>
                <w:sz w:val="15"/>
              </w:rPr>
              <w:t>A dedicated channel for breach reporting and all Undertaking communications; the DPO (Dr Hartwell) and one named alternate, notified in writing, as authorised contacts.</w:t>
            </w:r>
          </w:p>
        </w:tc>
        <w:tc>
          <w:tcPr>
            <w:tcW w:type="dxa" w:w="2268"/>
          </w:tcPr>
          <w:p>
            <w:r/>
            <w:r>
              <w:rPr>
                <w:sz w:val="15"/>
              </w:rPr>
              <w:t>Action 39. Dedicated channel, designated contacts, verbal-then-written process; ICO confirmation. Target 15 Apr 2025. £15,000.</w:t>
            </w:r>
          </w:p>
        </w:tc>
        <w:tc>
          <w:tcPr>
            <w:tcW w:type="dxa" w:w="3288"/>
          </w:tcPr>
          <w:p>
            <w:r/>
            <w:r>
              <w:rPr>
                <w:sz w:val="15"/>
              </w:rPr>
              <w:t>The DPO is not expressly designated, and the named alternate and written notice to the ICO are missing. Cl. 8.5 (DPO and MD as primary contacts, with changes notified within 5 business days) is not reflected.</w:t>
            </w:r>
          </w:p>
        </w:tc>
        <w:tc>
          <w:tcPr>
            <w:tcW w:type="dxa" w:w="907"/>
            <w:shd w:val="clear" w:color="auto" w:fill="D9EAD3"/>
          </w:tcPr>
          <w:p>
            <w:r/>
            <w:r>
              <w:rPr>
                <w:b/>
                <w:sz w:val="15"/>
              </w:rPr>
              <w:t>Low</w:t>
            </w:r>
          </w:p>
        </w:tc>
        <w:tc>
          <w:tcPr>
            <w:tcW w:type="dxa" w:w="3061"/>
          </w:tcPr>
          <w:p>
            <w:r/>
            <w:r>
              <w:rPr>
                <w:sz w:val="15"/>
              </w:rPr>
              <w:t>Name the DPO and an alternate, notify the ICO in writing, and add the Cl. 8.5 change-notification rule.</w:t>
            </w:r>
          </w:p>
        </w:tc>
      </w:tr>
      <w:tr>
        <w:tc>
          <w:tcPr>
            <w:tcW w:type="dxa" w:w="1474"/>
          </w:tcPr>
          <w:p>
            <w:r/>
            <w:r>
              <w:rPr>
                <w:sz w:val="15"/>
              </w:rPr>
              <w:t>C37</w:t>
              <w:br/>
              <w:t>Post-Incident Review Process</w:t>
              <w:br/>
              <w:t>P2 – 15 Apr 2025</w:t>
            </w:r>
          </w:p>
        </w:tc>
        <w:tc>
          <w:tcPr>
            <w:tcW w:type="dxa" w:w="2948"/>
          </w:tcPr>
          <w:p>
            <w:r/>
            <w:r>
              <w:rPr>
                <w:sz w:val="15"/>
              </w:rPr>
              <w:t>Documented review of every breach, including near-misses and events that turned out not to be breaches, within 30 days of closure; root causes, response effectiveness and lessons learned; reported to the board and fed into the IRP, training and policies.</w:t>
            </w:r>
          </w:p>
        </w:tc>
        <w:tc>
          <w:tcPr>
            <w:tcW w:type="dxa" w:w="2268"/>
          </w:tcPr>
          <w:p>
            <w:r/>
            <w:r>
              <w:rPr>
                <w:sz w:val="15"/>
              </w:rPr>
              <w:t>Action 40. Root cause analysis and lessons learned after any breach “or significant near-miss”; reported to the Steering Committee and in quarterly compliance reporting. Target 15 Apr 2025. £45,000.</w:t>
            </w:r>
          </w:p>
        </w:tc>
        <w:tc>
          <w:tcPr>
            <w:tcW w:type="dxa" w:w="3288"/>
          </w:tcPr>
          <w:p>
            <w:r/>
            <w:r>
              <w:rPr>
                <w:sz w:val="15"/>
              </w:rPr>
              <w:t>(1) Limited to “significant” near-misses. (2) No 30-day deadline. (3) Reported to the Steering Committee, not the board. (4) No feedback loop into the IRP and training.</w:t>
            </w:r>
          </w:p>
        </w:tc>
        <w:tc>
          <w:tcPr>
            <w:tcW w:type="dxa" w:w="907"/>
            <w:shd w:val="clear" w:color="auto" w:fill="FFF2B3"/>
          </w:tcPr>
          <w:p>
            <w:r/>
            <w:r>
              <w:rPr>
                <w:b/>
                <w:sz w:val="15"/>
              </w:rPr>
              <w:t>Medium</w:t>
            </w:r>
          </w:p>
        </w:tc>
        <w:tc>
          <w:tcPr>
            <w:tcW w:type="dxa" w:w="3061"/>
          </w:tcPr>
          <w:p>
            <w:r/>
            <w:r>
              <w:rPr>
                <w:sz w:val="15"/>
              </w:rPr>
              <w:t>Cover all near-misses and non-breach events, add the 30-day deadline, board reporting, and an update loop into C32, C21 and C22.</w:t>
            </w:r>
          </w:p>
        </w:tc>
      </w:tr>
    </w:tbl>
    <w:p>
      <w:pPr>
        <w:spacing w:after="40"/>
      </w:pPr>
    </w:p>
    <w:p>
      <w:pPr>
        <w:pStyle w:val="Heading2"/>
      </w:pPr>
      <w:r>
        <w:t>Domain 7 — Governance &amp; Accountability (C38–C43)</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rPr>
          <w:tblHeader w:val="true"/>
        </w:trPr>
        <w:tc>
          <w:tcPr>
            <w:tcW w:type="dxa" w:w="1474"/>
            <w:shd w:val="clear" w:color="auto" w:fill="1F3A5F"/>
          </w:tcPr>
          <w:p>
            <w:r/>
            <w:r>
              <w:rPr>
                <w:b/>
                <w:color w:val="FFFFFF"/>
                <w:sz w:val="15"/>
              </w:rPr>
              <w:t>Commitment / Phase</w:t>
            </w:r>
          </w:p>
        </w:tc>
        <w:tc>
          <w:tcPr>
            <w:tcW w:type="dxa" w:w="2948"/>
            <w:shd w:val="clear" w:color="auto" w:fill="1F3A5F"/>
          </w:tcPr>
          <w:p>
            <w:r/>
            <w:r>
              <w:rPr>
                <w:b/>
                <w:color w:val="FFFFFF"/>
                <w:sz w:val="15"/>
              </w:rPr>
              <w:t>Undertaking requirements</w:t>
            </w:r>
          </w:p>
        </w:tc>
        <w:tc>
          <w:tcPr>
            <w:tcW w:type="dxa" w:w="2268"/>
            <w:shd w:val="clear" w:color="auto" w:fill="1F3A5F"/>
          </w:tcPr>
          <w:p>
            <w:r/>
            <w:r>
              <w:rPr>
                <w:b/>
                <w:color w:val="FFFFFF"/>
                <w:sz w:val="15"/>
              </w:rPr>
              <w:t>Plan coverage</w:t>
            </w:r>
          </w:p>
        </w:tc>
        <w:tc>
          <w:tcPr>
            <w:tcW w:type="dxa" w:w="3288"/>
            <w:shd w:val="clear" w:color="auto" w:fill="1F3A5F"/>
          </w:tcPr>
          <w:p>
            <w:r/>
            <w:r>
              <w:rPr>
                <w:b/>
                <w:color w:val="FFFFFF"/>
                <w:sz w:val="15"/>
              </w:rPr>
              <w:t>Gap(s) identified</w:t>
            </w:r>
          </w:p>
        </w:tc>
        <w:tc>
          <w:tcPr>
            <w:tcW w:type="dxa" w:w="907"/>
            <w:shd w:val="clear" w:color="auto" w:fill="1F3A5F"/>
          </w:tcPr>
          <w:p>
            <w:r/>
            <w:r>
              <w:rPr>
                <w:b/>
                <w:color w:val="FFFFFF"/>
                <w:sz w:val="15"/>
              </w:rPr>
              <w:t>Rating</w:t>
            </w:r>
          </w:p>
        </w:tc>
        <w:tc>
          <w:tcPr>
            <w:tcW w:type="dxa" w:w="3061"/>
            <w:shd w:val="clear" w:color="auto" w:fill="1F3A5F"/>
          </w:tcPr>
          <w:p>
            <w:r/>
            <w:r>
              <w:rPr>
                <w:b/>
                <w:color w:val="FFFFFF"/>
                <w:sz w:val="15"/>
              </w:rPr>
              <w:t>Recommended remediation</w:t>
            </w:r>
          </w:p>
        </w:tc>
      </w:tr>
      <w:tr>
        <w:tc>
          <w:tcPr>
            <w:tcW w:type="dxa" w:w="1474"/>
          </w:tcPr>
          <w:p>
            <w:r/>
            <w:r>
              <w:rPr>
                <w:sz w:val="15"/>
              </w:rPr>
              <w:t>C38</w:t>
              <w:br/>
              <w:t>Enhanced DPO Reporting Line</w:t>
              <w:br/>
              <w:t>P2 – 15 Apr 2025</w:t>
            </w:r>
          </w:p>
        </w:tc>
        <w:tc>
          <w:tcPr>
            <w:tcW w:type="dxa" w:w="2948"/>
          </w:tcPr>
          <w:p>
            <w:r/>
            <w:r>
              <w:rPr>
                <w:sz w:val="15"/>
              </w:rPr>
              <w:t>Direct reporting line from the DPO to the BHS UK Ltd board with unfettered access and no management intermediation; a standing report at every board meeting; the right to escalate at any time without approval. The line must not run through any group function, including BHS Inc.’s General Counsel. Art. 38(3) protection.</w:t>
            </w:r>
          </w:p>
        </w:tc>
        <w:tc>
          <w:tcPr>
            <w:tcW w:type="dxa" w:w="2268"/>
          </w:tcPr>
          <w:p>
            <w:r/>
            <w:r>
              <w:rPr>
                <w:sz w:val="15"/>
              </w:rPr>
              <w:t>Action 41. The DPO reports to Priya Dasgupta (General Counsel, BHS Inc.), who acts as the “primary conduit” to the board; direct access only “where the DPO considers that direct access is necessary”. Owner: MD. £25,000.</w:t>
            </w:r>
          </w:p>
        </w:tc>
        <w:tc>
          <w:tcPr>
            <w:tcW w:type="dxa" w:w="3288"/>
          </w:tcPr>
          <w:p>
            <w:r/>
            <w:r>
              <w:rPr>
                <w:sz w:val="15"/>
              </w:rPr>
              <w:t>This is the structure the Undertaking expressly forbids. It routes the DPO through BHS Inc.’s GC, so a US group function now sits between the DPO and the board, arguably further from the board than before (ICO Finding 12). The direct-access right is conditional. There is no standing board report, and the Plan does not say which board.</w:t>
            </w:r>
          </w:p>
        </w:tc>
        <w:tc>
          <w:tcPr>
            <w:tcW w:type="dxa" w:w="907"/>
            <w:shd w:val="clear" w:color="auto" w:fill="F4B6B6"/>
          </w:tcPr>
          <w:p>
            <w:r/>
            <w:r>
              <w:rPr>
                <w:b/>
                <w:sz w:val="15"/>
              </w:rPr>
              <w:t>Critical</w:t>
            </w:r>
          </w:p>
        </w:tc>
        <w:tc>
          <w:tcPr>
            <w:tcW w:type="dxa" w:w="3061"/>
          </w:tcPr>
          <w:p>
            <w:r/>
            <w:r>
              <w:rPr>
                <w:sz w:val="15"/>
              </w:rPr>
              <w:t>Rewrite Action 41: the DPO reports directly to the BHS UK Ltd board; standing report at every meeting; unconditional right to escalate; no GC or MD intermediation; an updated DPO charter and board resolution (BHS UK Ltd) by 15 Apr 2025. Consider whether Ms Dasgupta’s Steering Committee role needs ring-fencing.</w:t>
            </w:r>
          </w:p>
        </w:tc>
      </w:tr>
      <w:tr>
        <w:tc>
          <w:tcPr>
            <w:tcW w:type="dxa" w:w="1474"/>
          </w:tcPr>
          <w:p>
            <w:r/>
            <w:r>
              <w:rPr>
                <w:sz w:val="15"/>
              </w:rPr>
              <w:t>C39</w:t>
              <w:br/>
              <w:t>Quarterly Compliance Reporting</w:t>
              <w:br/>
              <w:t>P3 – 14 Jul 2025</w:t>
            </w:r>
          </w:p>
        </w:tc>
        <w:tc>
          <w:tcPr>
            <w:tcW w:type="dxa" w:w="2948"/>
          </w:tcPr>
          <w:p>
            <w:r/>
            <w:r>
              <w:rPr>
                <w:sz w:val="15"/>
              </w:rPr>
              <w:t>Quarterly board reports on (a) status of all commitments against milestones; (b) compliance risks with mitigations; (c) metrics (breaches, DSAR times, training, audit findings); (d) DPO recommendations. Presented by the DPO; kept as Cl. 10.2 evidence.</w:t>
            </w:r>
          </w:p>
        </w:tc>
        <w:tc>
          <w:tcPr>
            <w:tcW w:type="dxa" w:w="2268"/>
          </w:tcPr>
          <w:p>
            <w:r/>
            <w:r>
              <w:rPr>
                <w:sz w:val="15"/>
              </w:rPr>
              <w:t>Action 42. Quarterly board reports on training, breaches, DPIA status, processor audits, DSAR performance, KRIs and programme progress. First cycle 15 Apr 2025. £35,000.</w:t>
            </w:r>
          </w:p>
        </w:tc>
        <w:tc>
          <w:tcPr>
            <w:tcW w:type="dxa" w:w="3288"/>
          </w:tcPr>
          <w:p>
            <w:r/>
            <w:r>
              <w:rPr>
                <w:sz w:val="15"/>
              </w:rPr>
              <w:t>(1) No commitment-by-commitment status against milestones. (2) No DPO recommendations. (3) No DPO presentation requirement. (4) No evidence retention. (5) The board is not specified as BHS UK.</w:t>
            </w:r>
          </w:p>
        </w:tc>
        <w:tc>
          <w:tcPr>
            <w:tcW w:type="dxa" w:w="907"/>
            <w:shd w:val="clear" w:color="auto" w:fill="FFF2B3"/>
          </w:tcPr>
          <w:p>
            <w:r/>
            <w:r>
              <w:rPr>
                <w:b/>
                <w:sz w:val="15"/>
              </w:rPr>
              <w:t>Medium</w:t>
            </w:r>
          </w:p>
        </w:tc>
        <w:tc>
          <w:tcPr>
            <w:tcW w:type="dxa" w:w="3061"/>
          </w:tcPr>
          <w:p>
            <w:r/>
            <w:r>
              <w:rPr>
                <w:sz w:val="15"/>
              </w:rPr>
              <w:t>Align the report template to (a)–(d), with the DPO presenting to the BHS UK board, and file the reports as evidence.</w:t>
            </w:r>
          </w:p>
        </w:tc>
      </w:tr>
      <w:tr>
        <w:tc>
          <w:tcPr>
            <w:tcW w:type="dxa" w:w="1474"/>
          </w:tcPr>
          <w:p>
            <w:r/>
            <w:r>
              <w:rPr>
                <w:sz w:val="15"/>
              </w:rPr>
              <w:t>C40</w:t>
              <w:br/>
              <w:t>Article 30 Records Update</w:t>
              <w:br/>
              <w:t>P3 – 14 Jul 2025</w:t>
            </w:r>
          </w:p>
        </w:tc>
        <w:tc>
          <w:tcPr>
            <w:tcW w:type="dxa" w:w="2948"/>
          </w:tcPr>
          <w:p>
            <w:r/>
            <w:r>
              <w:rPr>
                <w:sz w:val="15"/>
              </w:rPr>
              <w:t>Comprehensive, accurate and ongoing ROPA covering processing as controller (Art. 30(1)) and as processor (Art. 30(2)); the DPO responsible; at least quarterly review.</w:t>
            </w:r>
          </w:p>
        </w:tc>
        <w:tc>
          <w:tcPr>
            <w:tcW w:type="dxa" w:w="2268"/>
          </w:tcPr>
          <w:p>
            <w:r/>
            <w:r>
              <w:rPr>
                <w:sz w:val="15"/>
              </w:rPr>
              <w:t>Action 43. ROPA covering processing “by BHS UK (as controller) and on behalf of BHS UK (as processor)”. Target 14 Jul 2025. £45,000.</w:t>
            </w:r>
          </w:p>
        </w:tc>
        <w:tc>
          <w:tcPr>
            <w:tcW w:type="dxa" w:w="3288"/>
          </w:tcPr>
          <w:p>
            <w:r/>
            <w:r>
              <w:rPr>
                <w:sz w:val="15"/>
              </w:rPr>
              <w:t>(1) Art. 30(2) is misdescribed. It covers processing BHS UK carries out as processor (for example for NHS trusts), not processing others do on its behalf. (2) No quarterly DPO review. (3) No ongoing maintenance.</w:t>
            </w:r>
          </w:p>
        </w:tc>
        <w:tc>
          <w:tcPr>
            <w:tcW w:type="dxa" w:w="907"/>
            <w:shd w:val="clear" w:color="auto" w:fill="FFF2B3"/>
          </w:tcPr>
          <w:p>
            <w:r/>
            <w:r>
              <w:rPr>
                <w:b/>
                <w:sz w:val="15"/>
              </w:rPr>
              <w:t>Medium</w:t>
            </w:r>
          </w:p>
        </w:tc>
        <w:tc>
          <w:tcPr>
            <w:tcW w:type="dxa" w:w="3061"/>
          </w:tcPr>
          <w:p>
            <w:r/>
            <w:r>
              <w:rPr>
                <w:sz w:val="15"/>
              </w:rPr>
              <w:t>Correct the Art. 30(2) scope, and add quarterly DPO review and an ongoing maintenance process. Use the work to fix the controller/processor role analysis for the NHS trust relationships.</w:t>
            </w:r>
          </w:p>
        </w:tc>
      </w:tr>
      <w:tr>
        <w:tc>
          <w:tcPr>
            <w:tcW w:type="dxa" w:w="1474"/>
          </w:tcPr>
          <w:p>
            <w:r/>
            <w:r>
              <w:rPr>
                <w:sz w:val="15"/>
              </w:rPr>
              <w:t>C41</w:t>
              <w:br/>
              <w:t>Annual Independent Audit</w:t>
              <w:br/>
              <w:t>P4 – 15 Jan 2026</w:t>
            </w:r>
          </w:p>
        </w:tc>
        <w:tc>
          <w:tcPr>
            <w:tcW w:type="dxa" w:w="2948"/>
          </w:tcPr>
          <w:p>
            <w:r/>
            <w:r>
              <w:rPr>
                <w:sz w:val="15"/>
              </w:rPr>
              <w:t>Annual audit by the ICO-approved Independent Auditor (Pendleton) covering all 47 commitments across all 8 domains without exception; first audit completed by 15 Jan 2026; full report to the ICO within 30 days of completion; remediation plan for any non-compliance within 60 days.</w:t>
            </w:r>
          </w:p>
        </w:tc>
        <w:tc>
          <w:tcPr>
            <w:tcW w:type="dxa" w:w="2268"/>
          </w:tcPr>
          <w:p>
            <w:r/>
            <w:r>
              <w:rPr>
                <w:sz w:val="15"/>
              </w:rPr>
              <w:t>Action 44. Pendleton audit scoped to WS1, WS6 and WS7 only, to “prioritise the areas of highest risk”. Report to be “made available” to the ICO; management response. Target 15 Jan 2026. £95,000.</w:t>
            </w:r>
          </w:p>
        </w:tc>
        <w:tc>
          <w:tcPr>
            <w:tcW w:type="dxa" w:w="3288"/>
          </w:tcPr>
          <w:p>
            <w:r/>
            <w:r>
              <w:rPr>
                <w:sz w:val="15"/>
              </w:rPr>
              <w:t>(1) Scope covers 21 of 47 commitments (C1–9, C32–37, C38–43) and leaves 26 unaudited: DPIA, processors, training, minimisation, transparency. The matrix wrongly says 22 covered and 25 omitted. (2) The 30-day delivery to the ICO and the 60-day remediation plan are not stated. (3) The budget is probably too small for full scope.</w:t>
            </w:r>
          </w:p>
        </w:tc>
        <w:tc>
          <w:tcPr>
            <w:tcW w:type="dxa" w:w="907"/>
            <w:shd w:val="clear" w:color="auto" w:fill="F4B6B6"/>
          </w:tcPr>
          <w:p>
            <w:r/>
            <w:r>
              <w:rPr>
                <w:b/>
                <w:sz w:val="15"/>
              </w:rPr>
              <w:t>Critical</w:t>
            </w:r>
          </w:p>
        </w:tc>
        <w:tc>
          <w:tcPr>
            <w:tcW w:type="dxa" w:w="3061"/>
          </w:tcPr>
          <w:p>
            <w:r/>
            <w:r>
              <w:rPr>
                <w:sz w:val="15"/>
              </w:rPr>
              <w:t>Reset Pendleton’s engagement letter to all 47 commitments, re-budget, add the 30-day report delivery and 60-day remediation plan, and complete fieldwork well before 15 Jan 2026. Keep the ICO’s written approval of Pendleton on file.</w:t>
            </w:r>
          </w:p>
        </w:tc>
      </w:tr>
      <w:tr>
        <w:tc>
          <w:tcPr>
            <w:tcW w:type="dxa" w:w="1474"/>
          </w:tcPr>
          <w:p>
            <w:r/>
            <w:r>
              <w:rPr>
                <w:sz w:val="15"/>
              </w:rPr>
              <w:t>C42</w:t>
              <w:br/>
              <w:t>Privacy-by-Design Framework</w:t>
              <w:br/>
              <w:t>P3 – 14 Jul 2025</w:t>
            </w:r>
          </w:p>
        </w:tc>
        <w:tc>
          <w:tcPr>
            <w:tcW w:type="dxa" w:w="2948"/>
          </w:tcPr>
          <w:p>
            <w:r/>
            <w:r>
              <w:rPr>
                <w:sz w:val="15"/>
              </w:rPr>
              <w:t>Art. 25 framework built into the SDLC for all BellCloud UK products and features; privacy built in at design stage; most privacy-protective defaults; documented, DPO-approved and communicated to all development and product teams.</w:t>
            </w:r>
          </w:p>
        </w:tc>
        <w:tc>
          <w:tcPr>
            <w:tcW w:type="dxa" w:w="2268"/>
          </w:tcPr>
          <w:p>
            <w:r/>
            <w:r>
              <w:rPr>
                <w:sz w:val="15"/>
              </w:rPr>
              <w:t>Action 45. Framework built into the SDLC, with design patterns, engineering guidelines and mandatory checkpoints. Target 14 Jul 2025. £55,000.</w:t>
            </w:r>
          </w:p>
        </w:tc>
        <w:tc>
          <w:tcPr>
            <w:tcW w:type="dxa" w:w="3288"/>
          </w:tcPr>
          <w:p>
            <w:r/>
            <w:r>
              <w:rPr>
                <w:sz w:val="15"/>
              </w:rPr>
              <w:t>Privacy-by-default settings, DPO approval and communication to all teams are not stated.</w:t>
            </w:r>
          </w:p>
        </w:tc>
        <w:tc>
          <w:tcPr>
            <w:tcW w:type="dxa" w:w="907"/>
            <w:shd w:val="clear" w:color="auto" w:fill="D9EAD3"/>
          </w:tcPr>
          <w:p>
            <w:r/>
            <w:r>
              <w:rPr>
                <w:b/>
                <w:sz w:val="15"/>
              </w:rPr>
              <w:t>Low</w:t>
            </w:r>
          </w:p>
        </w:tc>
        <w:tc>
          <w:tcPr>
            <w:tcW w:type="dxa" w:w="3061"/>
          </w:tcPr>
          <w:p>
            <w:r/>
            <w:r>
              <w:rPr>
                <w:sz w:val="15"/>
              </w:rPr>
              <w:t>Add the default-settings requirement, DPO approval and a communication or training record.</w:t>
            </w:r>
          </w:p>
        </w:tc>
      </w:tr>
      <w:tr>
        <w:tc>
          <w:tcPr>
            <w:tcW w:type="dxa" w:w="1474"/>
          </w:tcPr>
          <w:p>
            <w:r/>
            <w:r>
              <w:rPr>
                <w:sz w:val="15"/>
              </w:rPr>
              <w:t>C43</w:t>
              <w:br/>
              <w:t>Board Privacy Champion</w:t>
              <w:br/>
              <w:t>P3 – 14 Jul 2025</w:t>
            </w:r>
          </w:p>
        </w:tc>
        <w:tc>
          <w:tcPr>
            <w:tcW w:type="dxa" w:w="2948"/>
          </w:tcPr>
          <w:p>
            <w:r/>
            <w:r>
              <w:rPr>
                <w:sz w:val="15"/>
              </w:rPr>
              <w:t>A named BHS UK board member as Privacy Champion and DPO liaison. Must be a NED, or, if no NED is available, a board member other than the MD. ICO notified in writing within 5 business days of appointment.</w:t>
            </w:r>
          </w:p>
        </w:tc>
        <w:tc>
          <w:tcPr>
            <w:tcW w:type="dxa" w:w="2268"/>
          </w:tcPr>
          <w:p>
            <w:r/>
            <w:r>
              <w:rPr>
                <w:sz w:val="15"/>
              </w:rPr>
              <w:t>Action 46. Appoint a privacy champion on the BHS UK board. Target 14 Jul 2025. Owner: MD. £10,000.</w:t>
            </w:r>
          </w:p>
        </w:tc>
        <w:tc>
          <w:tcPr>
            <w:tcW w:type="dxa" w:w="3288"/>
          </w:tcPr>
          <w:p>
            <w:r/>
            <w:r>
              <w:rPr>
                <w:sz w:val="15"/>
              </w:rPr>
              <w:t>(1) The eligibility rule (NED, or not the MD) is missing. (2) The 5-business-day ICO notification is missing. (3) The DPO-liaison role is not specified.</w:t>
            </w:r>
          </w:p>
        </w:tc>
        <w:tc>
          <w:tcPr>
            <w:tcW w:type="dxa" w:w="907"/>
            <w:shd w:val="clear" w:color="auto" w:fill="FFF2B3"/>
          </w:tcPr>
          <w:p>
            <w:r/>
            <w:r>
              <w:rPr>
                <w:b/>
                <w:sz w:val="15"/>
              </w:rPr>
              <w:t>Medium</w:t>
            </w:r>
          </w:p>
        </w:tc>
        <w:tc>
          <w:tcPr>
            <w:tcW w:type="dxa" w:w="3061"/>
          </w:tcPr>
          <w:p>
            <w:r/>
            <w:r>
              <w:rPr>
                <w:sz w:val="15"/>
              </w:rPr>
              <w:t>Add the eligibility criteria, the liaison role, and the ICO notification step. If BHS UK has no NED, consider appointing one.</w:t>
            </w:r>
          </w:p>
        </w:tc>
      </w:tr>
    </w:tbl>
    <w:p>
      <w:pPr>
        <w:spacing w:after="40"/>
      </w:pPr>
    </w:p>
    <w:p>
      <w:pPr>
        <w:pStyle w:val="Heading2"/>
      </w:pPr>
      <w:r>
        <w:t>Domain 8 — Transparency &amp; Data Subject Rights (C44–C47)</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rPr>
          <w:tblHeader w:val="true"/>
        </w:trPr>
        <w:tc>
          <w:tcPr>
            <w:tcW w:type="dxa" w:w="1474"/>
            <w:shd w:val="clear" w:color="auto" w:fill="1F3A5F"/>
          </w:tcPr>
          <w:p>
            <w:r/>
            <w:r>
              <w:rPr>
                <w:b/>
                <w:color w:val="FFFFFF"/>
                <w:sz w:val="15"/>
              </w:rPr>
              <w:t>Commitment / Phase</w:t>
            </w:r>
          </w:p>
        </w:tc>
        <w:tc>
          <w:tcPr>
            <w:tcW w:type="dxa" w:w="2948"/>
            <w:shd w:val="clear" w:color="auto" w:fill="1F3A5F"/>
          </w:tcPr>
          <w:p>
            <w:r/>
            <w:r>
              <w:rPr>
                <w:b/>
                <w:color w:val="FFFFFF"/>
                <w:sz w:val="15"/>
              </w:rPr>
              <w:t>Undertaking requirements</w:t>
            </w:r>
          </w:p>
        </w:tc>
        <w:tc>
          <w:tcPr>
            <w:tcW w:type="dxa" w:w="2268"/>
            <w:shd w:val="clear" w:color="auto" w:fill="1F3A5F"/>
          </w:tcPr>
          <w:p>
            <w:r/>
            <w:r>
              <w:rPr>
                <w:b/>
                <w:color w:val="FFFFFF"/>
                <w:sz w:val="15"/>
              </w:rPr>
              <w:t>Plan coverage</w:t>
            </w:r>
          </w:p>
        </w:tc>
        <w:tc>
          <w:tcPr>
            <w:tcW w:type="dxa" w:w="3288"/>
            <w:shd w:val="clear" w:color="auto" w:fill="1F3A5F"/>
          </w:tcPr>
          <w:p>
            <w:r/>
            <w:r>
              <w:rPr>
                <w:b/>
                <w:color w:val="FFFFFF"/>
                <w:sz w:val="15"/>
              </w:rPr>
              <w:t>Gap(s) identified</w:t>
            </w:r>
          </w:p>
        </w:tc>
        <w:tc>
          <w:tcPr>
            <w:tcW w:type="dxa" w:w="907"/>
            <w:shd w:val="clear" w:color="auto" w:fill="1F3A5F"/>
          </w:tcPr>
          <w:p>
            <w:r/>
            <w:r>
              <w:rPr>
                <w:b/>
                <w:color w:val="FFFFFF"/>
                <w:sz w:val="15"/>
              </w:rPr>
              <w:t>Rating</w:t>
            </w:r>
          </w:p>
        </w:tc>
        <w:tc>
          <w:tcPr>
            <w:tcW w:type="dxa" w:w="3061"/>
            <w:shd w:val="clear" w:color="auto" w:fill="1F3A5F"/>
          </w:tcPr>
          <w:p>
            <w:r/>
            <w:r>
              <w:rPr>
                <w:b/>
                <w:color w:val="FFFFFF"/>
                <w:sz w:val="15"/>
              </w:rPr>
              <w:t>Recommended remediation</w:t>
            </w:r>
          </w:p>
        </w:tc>
      </w:tr>
      <w:tr>
        <w:tc>
          <w:tcPr>
            <w:tcW w:type="dxa" w:w="1474"/>
          </w:tcPr>
          <w:p>
            <w:r/>
            <w:r>
              <w:rPr>
                <w:sz w:val="15"/>
              </w:rPr>
              <w:t>C44</w:t>
              <w:br/>
              <w:t>Updated Privacy Notices</w:t>
              <w:br/>
              <w:t>P2 – 15 Apr 2025</w:t>
            </w:r>
          </w:p>
        </w:tc>
        <w:tc>
          <w:tcPr>
            <w:tcW w:type="dxa" w:w="2948"/>
          </w:tcPr>
          <w:p>
            <w:r/>
            <w:r>
              <w:rPr>
                <w:sz w:val="15"/>
              </w:rPr>
              <w:t>All notices (patients, NHS trust personnel, clinic personnel, staff) fully compliant with Arts 13 and 14; plain language and accessible; reviewed at least annually and on material change.</w:t>
            </w:r>
          </w:p>
        </w:tc>
        <w:tc>
          <w:tcPr>
            <w:tcW w:type="dxa" w:w="2268"/>
          </w:tcPr>
          <w:p>
            <w:r/>
            <w:r>
              <w:rPr>
                <w:sz w:val="15"/>
              </w:rPr>
              <w:t>Action 49 (plus Action 52 cookies). Notices for patients, partners, clinics, employees and the website; lists controller identity, purposes, legal bases, categories, recipients, retention, rights and the right to complain. Target 15 Apr 2025. £65,000.</w:t>
            </w:r>
          </w:p>
        </w:tc>
        <w:tc>
          <w:tcPr>
            <w:tcW w:type="dxa" w:w="3288"/>
          </w:tcPr>
          <w:p>
            <w:r/>
            <w:r>
              <w:rPr>
                <w:sz w:val="15"/>
              </w:rPr>
              <w:t>(1) Several Art. 13/14 items are missing: DPO contact details, legitimate interests, international transfers and safeguards, source of data (Art. 14(2)(f)), and automated decision-making. (2) No plain-language or accessibility standard. (3) No annual review. (4) Notices issued on 15 Apr will need re-issue once the C20 transfer safeguards (14 Jul) and the C27 retention schedule (10 Jul) are settled.</w:t>
            </w:r>
          </w:p>
        </w:tc>
        <w:tc>
          <w:tcPr>
            <w:tcW w:type="dxa" w:w="907"/>
            <w:shd w:val="clear" w:color="auto" w:fill="FFF2B3"/>
          </w:tcPr>
          <w:p>
            <w:r/>
            <w:r>
              <w:rPr>
                <w:b/>
                <w:sz w:val="15"/>
              </w:rPr>
              <w:t>Medium</w:t>
            </w:r>
          </w:p>
        </w:tc>
        <w:tc>
          <w:tcPr>
            <w:tcW w:type="dxa" w:w="3061"/>
          </w:tcPr>
          <w:p>
            <w:r/>
            <w:r>
              <w:rPr>
                <w:sz w:val="15"/>
              </w:rPr>
              <w:t>Use a clause-by-clause Art. 13/14 checklist, add the review process, and plan a second iteration in July 2025.</w:t>
            </w:r>
          </w:p>
        </w:tc>
      </w:tr>
      <w:tr>
        <w:tc>
          <w:tcPr>
            <w:tcW w:type="dxa" w:w="1474"/>
          </w:tcPr>
          <w:p>
            <w:r/>
            <w:r>
              <w:rPr>
                <w:sz w:val="15"/>
              </w:rPr>
              <w:t>C45</w:t>
              <w:br/>
              <w:t>DSAR Response Process Overhaul</w:t>
              <w:br/>
              <w:t>P3 – 14 Jul 2025</w:t>
            </w:r>
          </w:p>
        </w:tc>
        <w:tc>
          <w:tcPr>
            <w:tcW w:type="dxa" w:w="2948"/>
          </w:tcPr>
          <w:p>
            <w:r/>
            <w:r>
              <w:rPr>
                <w:sz w:val="15"/>
              </w:rPr>
              <w:t>Process covering Arts 15–22; maximum 28 calendar days (shorter than the statutory month); proportionate identity verification; workflows per right type; QA by the DPO’s office of every response before disclosure, including third-party redactions.</w:t>
            </w:r>
          </w:p>
        </w:tc>
        <w:tc>
          <w:tcPr>
            <w:tcW w:type="dxa" w:w="2268"/>
          </w:tcPr>
          <w:p>
            <w:r/>
            <w:r>
              <w:rPr>
                <w:sz w:val="15"/>
              </w:rPr>
              <w:t>Action 50. Article 15 only, to the “one-month statutory response period”; workflow, roles, QA checkpoints, identity verification, redaction guidance, SLA monitoring. Target 14 Jul 2025. £80,000.</w:t>
            </w:r>
          </w:p>
        </w:tc>
        <w:tc>
          <w:tcPr>
            <w:tcW w:type="dxa" w:w="3288"/>
          </w:tcPr>
          <w:p>
            <w:r/>
            <w:r>
              <w:rPr>
                <w:sz w:val="15"/>
              </w:rPr>
              <w:t>(1) Uses the statutory one-month period instead of the contractual 28-day maximum. (2) Covers Art. 15 only, not Arts 16–22. (3) QA by the DPO’s office before every disclosure is not mandated. The matrix misstates the SLA as 25 days.</w:t>
            </w:r>
          </w:p>
        </w:tc>
        <w:tc>
          <w:tcPr>
            <w:tcW w:type="dxa" w:w="907"/>
            <w:shd w:val="clear" w:color="auto" w:fill="F9D9A6"/>
          </w:tcPr>
          <w:p>
            <w:r/>
            <w:r>
              <w:rPr>
                <w:b/>
                <w:sz w:val="15"/>
              </w:rPr>
              <w:t>High</w:t>
            </w:r>
          </w:p>
        </w:tc>
        <w:tc>
          <w:tcPr>
            <w:tcW w:type="dxa" w:w="3061"/>
          </w:tcPr>
          <w:p>
            <w:r/>
            <w:r>
              <w:rPr>
                <w:sz w:val="15"/>
              </w:rPr>
              <w:t>Adopt the 28-day maximum, extend workflows to all Arts 15–22 rights, and require DPO-office QA before every disclosure.</w:t>
            </w:r>
          </w:p>
        </w:tc>
      </w:tr>
      <w:tr>
        <w:tc>
          <w:tcPr>
            <w:tcW w:type="dxa" w:w="1474"/>
          </w:tcPr>
          <w:p>
            <w:r/>
            <w:r>
              <w:rPr>
                <w:sz w:val="15"/>
              </w:rPr>
              <w:t>C46</w:t>
              <w:br/>
              <w:t>Automated DSAR Portal</w:t>
              <w:br/>
              <w:t>P3 – 14 Jul 2025</w:t>
            </w:r>
          </w:p>
        </w:tc>
        <w:tc>
          <w:tcPr>
            <w:tcW w:type="dxa" w:w="2948"/>
          </w:tcPr>
          <w:p>
            <w:r/>
            <w:r>
              <w:rPr>
                <w:sz w:val="15"/>
              </w:rPr>
              <w:t>Online portal for Arts 15–22 requests; automated acknowledgement within 24 hours; progress tracking; secure delivery; reachable from the BHS UK website; meets accessibility standards.</w:t>
            </w:r>
          </w:p>
        </w:tc>
        <w:tc>
          <w:tcPr>
            <w:tcW w:type="dxa" w:w="2268"/>
          </w:tcPr>
          <w:p>
            <w:r/>
            <w:r>
              <w:rPr>
                <w:sz w:val="15"/>
              </w:rPr>
              <w:t>Action 51. Self-service portal with identity verification, categorisation, automated acknowledgement, tracking, secure delivery; accessibility assessment. Target 14 Jul 2025. £120,000.</w:t>
            </w:r>
          </w:p>
        </w:tc>
        <w:tc>
          <w:tcPr>
            <w:tcW w:type="dxa" w:w="3288"/>
          </w:tcPr>
          <w:p>
            <w:r/>
            <w:r>
              <w:rPr>
                <w:sz w:val="15"/>
              </w:rPr>
              <w:t>(1) No 24-hour acknowledgement SLA. (2) DSARs only, not all Arts 15–22 requests. (3) Website availability is not stated. (4) The vendor is still to be confirmed, a delivery risk.</w:t>
            </w:r>
          </w:p>
        </w:tc>
        <w:tc>
          <w:tcPr>
            <w:tcW w:type="dxa" w:w="907"/>
            <w:shd w:val="clear" w:color="auto" w:fill="FFF2B3"/>
          </w:tcPr>
          <w:p>
            <w:r/>
            <w:r>
              <w:rPr>
                <w:b/>
                <w:sz w:val="15"/>
              </w:rPr>
              <w:t>Medium</w:t>
            </w:r>
          </w:p>
        </w:tc>
        <w:tc>
          <w:tcPr>
            <w:tcW w:type="dxa" w:w="3061"/>
          </w:tcPr>
          <w:p>
            <w:r/>
            <w:r>
              <w:rPr>
                <w:sz w:val="15"/>
              </w:rPr>
              <w:t>Add the 24-hour acknowledgement, all rights types and website access, and procure the vendor now.</w:t>
            </w:r>
          </w:p>
        </w:tc>
      </w:tr>
      <w:tr>
        <w:tc>
          <w:tcPr>
            <w:tcW w:type="dxa" w:w="1474"/>
          </w:tcPr>
          <w:p>
            <w:r/>
            <w:r>
              <w:rPr>
                <w:sz w:val="15"/>
              </w:rPr>
              <w:t>C47</w:t>
              <w:br/>
              <w:t>Children’s Data Assessment</w:t>
              <w:br/>
              <w:t>P4 – 15 Jan 2026</w:t>
            </w:r>
          </w:p>
        </w:tc>
        <w:tc>
          <w:tcPr>
            <w:tcW w:type="dxa" w:w="2948"/>
          </w:tcPr>
          <w:p>
            <w:r/>
            <w:r>
              <w:rPr>
                <w:sz w:val="15"/>
              </w:rPr>
              <w:t>Assessment of the processing of under-18s’ data (EHR and telemedicine): (a) full AADC compliance review; (b) implement required changes; (c) formal report submitted to the ICO; (d) all changes complete by 15 Jan 2026; consider extra safeguards for children’s health data.</w:t>
            </w:r>
          </w:p>
        </w:tc>
        <w:tc>
          <w:tcPr>
            <w:tcW w:type="dxa" w:w="2268"/>
          </w:tcPr>
          <w:p>
            <w:r/>
            <w:r>
              <w:rPr>
                <w:sz w:val="15"/>
              </w:rPr>
              <w:t>No action item, no owner, no budget. Missing from Appendix A and the matrix; the AADC appears only in the glossary. Action 52 (cookie review under PECR) does not cover it.</w:t>
            </w:r>
          </w:p>
        </w:tc>
        <w:tc>
          <w:tcPr>
            <w:tcW w:type="dxa" w:w="3288"/>
          </w:tcPr>
          <w:p>
            <w:r/>
            <w:r>
              <w:rPr>
                <w:sz w:val="15"/>
              </w:rPr>
              <w:t>The commitment is not addressed at all. The ICO estimates about 28,000 under-18 records and called the gap “distinct and material” (ICO Finding 13). The changes must be finished, not just started, by 15 Jan 2026, so the assessment has to be done early in 2025.</w:t>
            </w:r>
          </w:p>
        </w:tc>
        <w:tc>
          <w:tcPr>
            <w:tcW w:type="dxa" w:w="907"/>
            <w:shd w:val="clear" w:color="auto" w:fill="F4B6B6"/>
          </w:tcPr>
          <w:p>
            <w:r/>
            <w:r>
              <w:rPr>
                <w:b/>
                <w:sz w:val="15"/>
              </w:rPr>
              <w:t>Critical</w:t>
            </w:r>
          </w:p>
        </w:tc>
        <w:tc>
          <w:tcPr>
            <w:tcW w:type="dxa" w:w="3061"/>
          </w:tcPr>
          <w:p>
            <w:r/>
            <w:r>
              <w:rPr>
                <w:sz w:val="15"/>
              </w:rPr>
              <w:t>Create a new action item (owner: DPO; assessment by around 30 Jun 2025; changes implemented by around 31 Oct 2025; report to the ICO; audited under C41 before 15 Jan 2026). Fund it, cover telemedicine and any patient-facing apps, and correct Appendix A and the matrix.</w:t>
            </w:r>
          </w:p>
        </w:tc>
      </w:tr>
    </w:tbl>
    <w:p>
      <w:pPr>
        <w:spacing w:after="40"/>
      </w:pPr>
    </w:p>
    <w:p>
      <w:pPr>
        <w:pStyle w:val="Heading2"/>
      </w:pPr>
      <w:r>
        <w:t>4.9 Summary by Phase</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rPr>
          <w:tblHeader w:val="true"/>
        </w:trPr>
        <w:tc>
          <w:tcPr>
            <w:tcW w:type="dxa" w:w="2268"/>
            <w:shd w:val="clear" w:color="auto" w:fill="1F3A5F"/>
          </w:tcPr>
          <w:p>
            <w:r/>
            <w:r>
              <w:rPr>
                <w:b/>
                <w:color w:val="FFFFFF"/>
                <w:sz w:val="17"/>
              </w:rPr>
              <w:t>Phase</w:t>
            </w:r>
          </w:p>
        </w:tc>
        <w:tc>
          <w:tcPr>
            <w:tcW w:type="dxa" w:w="680"/>
            <w:shd w:val="clear" w:color="auto" w:fill="1F3A5F"/>
          </w:tcPr>
          <w:p>
            <w:r/>
            <w:r>
              <w:rPr>
                <w:b/>
                <w:color w:val="FFFFFF"/>
                <w:sz w:val="17"/>
              </w:rPr>
              <w:t>No.</w:t>
            </w:r>
          </w:p>
        </w:tc>
        <w:tc>
          <w:tcPr>
            <w:tcW w:type="dxa" w:w="2835"/>
            <w:shd w:val="clear" w:color="auto" w:fill="1F3A5F"/>
          </w:tcPr>
          <w:p>
            <w:r/>
            <w:r>
              <w:rPr>
                <w:b/>
                <w:color w:val="FFFFFF"/>
                <w:sz w:val="17"/>
              </w:rPr>
              <w:t>Critical</w:t>
            </w:r>
          </w:p>
        </w:tc>
        <w:tc>
          <w:tcPr>
            <w:tcW w:type="dxa" w:w="2835"/>
            <w:shd w:val="clear" w:color="auto" w:fill="1F3A5F"/>
          </w:tcPr>
          <w:p>
            <w:r/>
            <w:r>
              <w:rPr>
                <w:b/>
                <w:color w:val="FFFFFF"/>
                <w:sz w:val="17"/>
              </w:rPr>
              <w:t>High</w:t>
            </w:r>
          </w:p>
        </w:tc>
        <w:tc>
          <w:tcPr>
            <w:tcW w:type="dxa" w:w="3402"/>
            <w:shd w:val="clear" w:color="auto" w:fill="1F3A5F"/>
          </w:tcPr>
          <w:p>
            <w:r/>
            <w:r>
              <w:rPr>
                <w:b/>
                <w:color w:val="FFFFFF"/>
                <w:sz w:val="17"/>
              </w:rPr>
              <w:t>Medium</w:t>
            </w:r>
          </w:p>
        </w:tc>
        <w:tc>
          <w:tcPr>
            <w:tcW w:type="dxa" w:w="2268"/>
            <w:shd w:val="clear" w:color="auto" w:fill="1F3A5F"/>
          </w:tcPr>
          <w:p>
            <w:r/>
            <w:r>
              <w:rPr>
                <w:b/>
                <w:color w:val="FFFFFF"/>
                <w:sz w:val="17"/>
              </w:rPr>
              <w:t>Low</w:t>
            </w:r>
          </w:p>
        </w:tc>
      </w:tr>
      <w:tr>
        <w:tc>
          <w:tcPr>
            <w:tcW w:type="dxa" w:w="2268"/>
          </w:tcPr>
          <w:p>
            <w:r/>
            <w:r>
              <w:rPr>
                <w:sz w:val="17"/>
              </w:rPr>
              <w:t>Phase 1 — 14 Feb 2025</w:t>
            </w:r>
          </w:p>
        </w:tc>
        <w:tc>
          <w:tcPr>
            <w:tcW w:type="dxa" w:w="680"/>
          </w:tcPr>
          <w:p>
            <w:r/>
            <w:r>
              <w:rPr>
                <w:sz w:val="17"/>
              </w:rPr>
              <w:t>5</w:t>
            </w:r>
          </w:p>
        </w:tc>
        <w:tc>
          <w:tcPr>
            <w:tcW w:type="dxa" w:w="2835"/>
          </w:tcPr>
          <w:p>
            <w:r/>
            <w:r>
              <w:rPr>
                <w:sz w:val="17"/>
              </w:rPr>
              <w:t>C1, C2, C33</w:t>
            </w:r>
          </w:p>
        </w:tc>
        <w:tc>
          <w:tcPr>
            <w:tcW w:type="dxa" w:w="2835"/>
          </w:tcPr>
          <w:p>
            <w:r/>
            <w:r>
              <w:rPr>
                <w:sz w:val="17"/>
              </w:rPr>
              <w:t>C3</w:t>
            </w:r>
          </w:p>
        </w:tc>
        <w:tc>
          <w:tcPr>
            <w:tcW w:type="dxa" w:w="3402"/>
          </w:tcPr>
          <w:p>
            <w:r/>
            <w:r>
              <w:rPr>
                <w:sz w:val="17"/>
              </w:rPr>
              <w:t>C32</w:t>
            </w:r>
          </w:p>
        </w:tc>
        <w:tc>
          <w:tcPr>
            <w:tcW w:type="dxa" w:w="2268"/>
          </w:tcPr>
          <w:p>
            <w:r/>
            <w:r>
              <w:rPr>
                <w:sz w:val="17"/>
              </w:rPr>
              <w:t>—</w:t>
            </w:r>
          </w:p>
        </w:tc>
      </w:tr>
      <w:tr>
        <w:tc>
          <w:tcPr>
            <w:tcW w:type="dxa" w:w="2268"/>
          </w:tcPr>
          <w:p>
            <w:r/>
            <w:r>
              <w:rPr>
                <w:sz w:val="17"/>
              </w:rPr>
              <w:t>Phase 2 — 15 Apr 2025</w:t>
            </w:r>
          </w:p>
        </w:tc>
        <w:tc>
          <w:tcPr>
            <w:tcW w:type="dxa" w:w="680"/>
          </w:tcPr>
          <w:p>
            <w:r/>
            <w:r>
              <w:rPr>
                <w:sz w:val="17"/>
              </w:rPr>
              <w:t>15</w:t>
            </w:r>
          </w:p>
        </w:tc>
        <w:tc>
          <w:tcPr>
            <w:tcW w:type="dxa" w:w="2835"/>
          </w:tcPr>
          <w:p>
            <w:r/>
            <w:r>
              <w:rPr>
                <w:sz w:val="17"/>
              </w:rPr>
              <w:t>C6, C38</w:t>
            </w:r>
          </w:p>
        </w:tc>
        <w:tc>
          <w:tcPr>
            <w:tcW w:type="dxa" w:w="2835"/>
          </w:tcPr>
          <w:p>
            <w:r/>
            <w:r>
              <w:rPr>
                <w:sz w:val="17"/>
              </w:rPr>
              <w:t>C4, C8, C9, C21</w:t>
            </w:r>
          </w:p>
        </w:tc>
        <w:tc>
          <w:tcPr>
            <w:tcW w:type="dxa" w:w="3402"/>
          </w:tcPr>
          <w:p>
            <w:r/>
            <w:r>
              <w:rPr>
                <w:sz w:val="17"/>
              </w:rPr>
              <w:t>C5, C7, C10, C15, C37, C44</w:t>
            </w:r>
          </w:p>
        </w:tc>
        <w:tc>
          <w:tcPr>
            <w:tcW w:type="dxa" w:w="2268"/>
          </w:tcPr>
          <w:p>
            <w:r/>
            <w:r>
              <w:rPr>
                <w:sz w:val="17"/>
              </w:rPr>
              <w:t>C34, C35, C36</w:t>
            </w:r>
          </w:p>
        </w:tc>
      </w:tr>
      <w:tr>
        <w:tc>
          <w:tcPr>
            <w:tcW w:type="dxa" w:w="2268"/>
          </w:tcPr>
          <w:p>
            <w:r/>
            <w:r>
              <w:rPr>
                <w:sz w:val="17"/>
              </w:rPr>
              <w:t>Phase 3 — 14 Jul 2025</w:t>
            </w:r>
          </w:p>
        </w:tc>
        <w:tc>
          <w:tcPr>
            <w:tcW w:type="dxa" w:w="680"/>
          </w:tcPr>
          <w:p>
            <w:r/>
            <w:r>
              <w:rPr>
                <w:sz w:val="17"/>
              </w:rPr>
              <w:t>25</w:t>
            </w:r>
          </w:p>
        </w:tc>
        <w:tc>
          <w:tcPr>
            <w:tcW w:type="dxa" w:w="2835"/>
          </w:tcPr>
          <w:p>
            <w:r/>
            <w:r>
              <w:rPr>
                <w:sz w:val="17"/>
              </w:rPr>
              <w:t>C17, C20, C29</w:t>
            </w:r>
          </w:p>
        </w:tc>
        <w:tc>
          <w:tcPr>
            <w:tcW w:type="dxa" w:w="2835"/>
          </w:tcPr>
          <w:p>
            <w:r/>
            <w:r>
              <w:rPr>
                <w:sz w:val="17"/>
              </w:rPr>
              <w:t>C11, C18, C26, C45</w:t>
            </w:r>
          </w:p>
        </w:tc>
        <w:tc>
          <w:tcPr>
            <w:tcW w:type="dxa" w:w="3402"/>
          </w:tcPr>
          <w:p>
            <w:r/>
            <w:r>
              <w:rPr>
                <w:sz w:val="17"/>
              </w:rPr>
              <w:t>C12, C13, C14, C16, C22, C24, C25, C28, C30, C31, C39, C40, C43, C46</w:t>
            </w:r>
          </w:p>
        </w:tc>
        <w:tc>
          <w:tcPr>
            <w:tcW w:type="dxa" w:w="2268"/>
          </w:tcPr>
          <w:p>
            <w:r/>
            <w:r>
              <w:rPr>
                <w:sz w:val="17"/>
              </w:rPr>
              <w:t>C19, C23, C27, C42</w:t>
            </w:r>
          </w:p>
        </w:tc>
      </w:tr>
      <w:tr>
        <w:tc>
          <w:tcPr>
            <w:tcW w:type="dxa" w:w="2268"/>
          </w:tcPr>
          <w:p>
            <w:r/>
            <w:r>
              <w:rPr>
                <w:sz w:val="17"/>
              </w:rPr>
              <w:t>Phase 4 — 15 Jan 2026</w:t>
            </w:r>
          </w:p>
        </w:tc>
        <w:tc>
          <w:tcPr>
            <w:tcW w:type="dxa" w:w="680"/>
          </w:tcPr>
          <w:p>
            <w:r/>
            <w:r>
              <w:rPr>
                <w:sz w:val="17"/>
              </w:rPr>
              <w:t>2</w:t>
            </w:r>
          </w:p>
        </w:tc>
        <w:tc>
          <w:tcPr>
            <w:tcW w:type="dxa" w:w="2835"/>
          </w:tcPr>
          <w:p>
            <w:r/>
            <w:r>
              <w:rPr>
                <w:sz w:val="17"/>
              </w:rPr>
              <w:t>C41, C47</w:t>
            </w:r>
          </w:p>
        </w:tc>
        <w:tc>
          <w:tcPr>
            <w:tcW w:type="dxa" w:w="2835"/>
          </w:tcPr>
          <w:p>
            <w:r/>
            <w:r>
              <w:rPr>
                <w:sz w:val="17"/>
              </w:rPr>
              <w:t>—</w:t>
            </w:r>
          </w:p>
        </w:tc>
        <w:tc>
          <w:tcPr>
            <w:tcW w:type="dxa" w:w="3402"/>
          </w:tcPr>
          <w:p>
            <w:r/>
            <w:r>
              <w:rPr>
                <w:sz w:val="17"/>
              </w:rPr>
              <w:t>—</w:t>
            </w:r>
          </w:p>
        </w:tc>
        <w:tc>
          <w:tcPr>
            <w:tcW w:type="dxa" w:w="2268"/>
          </w:tcPr>
          <w:p>
            <w:r/>
            <w:r>
              <w:rPr>
                <w:sz w:val="17"/>
              </w:rPr>
              <w:t>—</w:t>
            </w:r>
          </w:p>
        </w:tc>
      </w:tr>
    </w:tbl>
    <w:p>
      <w:pPr>
        <w:spacing w:after="40"/>
      </w:pPr>
    </w:p>
    <w:p>
      <w:pPr>
        <w:sectPr>
          <w:pgSz w:w="15840" w:h="12240" w:orient="landscape"/>
          <w:pgMar w:top="850" w:right="850" w:bottom="850" w:left="850" w:header="720" w:footer="720" w:gutter="0"/>
          <w:cols w:space="720"/>
          <w:docGrid w:linePitch="360"/>
        </w:sectPr>
      </w:pPr>
    </w:p>
    <w:p>
      <w:pPr>
        <w:pStyle w:val="Heading1"/>
      </w:pPr>
      <w:r>
        <w:t>5. Cross-Cutting Gaps (Undertaking Sections 7–11)</w:t>
      </w:r>
    </w:p>
    <w:p>
      <w:pPr>
        <w:pStyle w:val="Heading2"/>
      </w:pPr>
      <w:r>
        <w:t>5.1 Timetable changes made without the Undertaking’s procedures</w:t>
      </w:r>
    </w:p>
    <w:p>
      <w:pPr>
        <w:spacing w:after="80"/>
      </w:pPr>
      <w:r>
        <w:rPr>
          <w:b w:val="0"/>
          <w:i w:val="0"/>
        </w:rPr>
        <w:t>The Undertaking allows a deadline or Commitment to change only through (i) an extension request at least 14 calendar days before the phase deadline, approved in advance in writing (Cl. 7.6), or (ii) a written variation signed by both parties (Cl. 11). Both must be backed by prompt notice of any material impediment within 5 business days (Cl. 8.2). The Plan uses none of these routes. Instead it builds known departures into its own targets (C1, C2, C29), which Cl. 7.6 says “may constitute a basis for enforcement action”. Its escalation path (§14) ends with the MD considering “whether it is necessary to engage with the ICO”. That is a discretion the Undertaking does not give. Last dates for extension requests:</w:t>
      </w:r>
    </w:p>
    <w:tbl>
      <w:tblPr>
        <w:tblStyle w:val="TableGrid"/>
        <w:tblW w:type="auto" w:w="0"/>
        <w:jc w:val="center"/>
        <w:tblLook w:firstColumn="1" w:firstRow="1" w:lastColumn="0" w:lastRow="0" w:noHBand="0" w:noVBand="1" w:val="04A0"/>
      </w:tblPr>
      <w:tblGrid>
        <w:gridCol w:w="4449"/>
        <w:gridCol w:w="4449"/>
        <w:gridCol w:w="4449"/>
      </w:tblGrid>
      <w:tr>
        <w:trPr>
          <w:tblHeader w:val="true"/>
        </w:trPr>
        <w:tc>
          <w:tcPr>
            <w:tcW w:type="dxa" w:w="2268"/>
            <w:shd w:val="clear" w:color="auto" w:fill="1F3A5F"/>
          </w:tcPr>
          <w:p>
            <w:r/>
            <w:r>
              <w:rPr>
                <w:b/>
                <w:color w:val="FFFFFF"/>
                <w:sz w:val="17"/>
              </w:rPr>
              <w:t>Phase deadline</w:t>
            </w:r>
          </w:p>
        </w:tc>
        <w:tc>
          <w:tcPr>
            <w:tcW w:type="dxa" w:w="2551"/>
            <w:shd w:val="clear" w:color="auto" w:fill="1F3A5F"/>
          </w:tcPr>
          <w:p>
            <w:r/>
            <w:r>
              <w:rPr>
                <w:b/>
                <w:color w:val="FFFFFF"/>
                <w:sz w:val="17"/>
              </w:rPr>
              <w:t>Last day for Cl. 7.6 request</w:t>
            </w:r>
          </w:p>
        </w:tc>
        <w:tc>
          <w:tcPr>
            <w:tcW w:type="dxa" w:w="4535"/>
            <w:shd w:val="clear" w:color="auto" w:fill="1F3A5F"/>
          </w:tcPr>
          <w:p>
            <w:r/>
            <w:r>
              <w:rPr>
                <w:b/>
                <w:color w:val="FFFFFF"/>
                <w:sz w:val="17"/>
              </w:rPr>
              <w:t>Commitments currently at risk</w:t>
            </w:r>
          </w:p>
        </w:tc>
      </w:tr>
      <w:tr>
        <w:tc>
          <w:tcPr>
            <w:tcW w:type="dxa" w:w="2268"/>
          </w:tcPr>
          <w:p>
            <w:r/>
            <w:r>
              <w:rPr>
                <w:sz w:val="17"/>
              </w:rPr>
              <w:t>14 Feb 2025 (Phase 1)</w:t>
            </w:r>
          </w:p>
        </w:tc>
        <w:tc>
          <w:tcPr>
            <w:tcW w:type="dxa" w:w="2551"/>
          </w:tcPr>
          <w:p>
            <w:r/>
            <w:r>
              <w:rPr>
                <w:sz w:val="17"/>
              </w:rPr>
              <w:t>31 Jan 2025 (passed)</w:t>
            </w:r>
          </w:p>
        </w:tc>
        <w:tc>
          <w:tcPr>
            <w:tcW w:type="dxa" w:w="4535"/>
          </w:tcPr>
          <w:p>
            <w:r/>
            <w:r>
              <w:rPr>
                <w:sz w:val="17"/>
              </w:rPr>
              <w:t>C1 (late), C2 (TLS 1.3 for 11 trusts)</w:t>
            </w:r>
          </w:p>
        </w:tc>
      </w:tr>
      <w:tr>
        <w:tc>
          <w:tcPr>
            <w:tcW w:type="dxa" w:w="2268"/>
          </w:tcPr>
          <w:p>
            <w:r/>
            <w:r>
              <w:rPr>
                <w:sz w:val="17"/>
              </w:rPr>
              <w:t>15 Apr 2025 (Phase 2)</w:t>
            </w:r>
          </w:p>
        </w:tc>
        <w:tc>
          <w:tcPr>
            <w:tcW w:type="dxa" w:w="2551"/>
          </w:tcPr>
          <w:p>
            <w:r/>
            <w:r>
              <w:rPr>
                <w:sz w:val="17"/>
              </w:rPr>
              <w:t>1 Apr 2025</w:t>
            </w:r>
          </w:p>
        </w:tc>
        <w:tc>
          <w:tcPr>
            <w:tcW w:type="dxa" w:w="4535"/>
          </w:tcPr>
          <w:p>
            <w:r/>
            <w:r>
              <w:rPr>
                <w:sz w:val="17"/>
              </w:rPr>
              <w:t>C6 (re-procurement), C8 (24/7 SOC), C21 (external provider), C38 (restructure)</w:t>
            </w:r>
          </w:p>
        </w:tc>
      </w:tr>
      <w:tr>
        <w:tc>
          <w:tcPr>
            <w:tcW w:type="dxa" w:w="2268"/>
          </w:tcPr>
          <w:p>
            <w:r/>
            <w:r>
              <w:rPr>
                <w:sz w:val="17"/>
              </w:rPr>
              <w:t>14 Jul 2025 (Phase 3)</w:t>
            </w:r>
          </w:p>
        </w:tc>
        <w:tc>
          <w:tcPr>
            <w:tcW w:type="dxa" w:w="2551"/>
          </w:tcPr>
          <w:p>
            <w:r/>
            <w:r>
              <w:rPr>
                <w:sz w:val="17"/>
              </w:rPr>
              <w:t>30 Jun 2025</w:t>
            </w:r>
          </w:p>
        </w:tc>
        <w:tc>
          <w:tcPr>
            <w:tcW w:type="dxa" w:w="4535"/>
          </w:tcPr>
          <w:p>
            <w:r/>
            <w:r>
              <w:rPr>
                <w:sz w:val="17"/>
              </w:rPr>
              <w:t>C29 (100% coverage), C16/C17 (processor cooperation), C46 (portal vendor TBD)</w:t>
            </w:r>
          </w:p>
        </w:tc>
      </w:tr>
      <w:tr>
        <w:tc>
          <w:tcPr>
            <w:tcW w:type="dxa" w:w="2268"/>
          </w:tcPr>
          <w:p>
            <w:r/>
            <w:r>
              <w:rPr>
                <w:sz w:val="17"/>
              </w:rPr>
              <w:t>15 Jan 2026 (Phase 4)</w:t>
            </w:r>
          </w:p>
        </w:tc>
        <w:tc>
          <w:tcPr>
            <w:tcW w:type="dxa" w:w="2551"/>
          </w:tcPr>
          <w:p>
            <w:r/>
            <w:r>
              <w:rPr>
                <w:sz w:val="17"/>
              </w:rPr>
              <w:t>1 Jan 2026</w:t>
            </w:r>
          </w:p>
        </w:tc>
        <w:tc>
          <w:tcPr>
            <w:tcW w:type="dxa" w:w="4535"/>
          </w:tcPr>
          <w:p>
            <w:r/>
            <w:r>
              <w:rPr>
                <w:sz w:val="17"/>
              </w:rPr>
              <w:t>C47 (AADC changes), C41 (full-scope audit)</w:t>
            </w:r>
          </w:p>
        </w:tc>
      </w:tr>
    </w:tbl>
    <w:p>
      <w:pPr>
        <w:spacing w:after="40"/>
      </w:pPr>
    </w:p>
    <w:p>
      <w:pPr>
        <w:pStyle w:val="Heading2"/>
      </w:pPr>
      <w:r>
        <w:t>5.2 Quarterly reporting to the ICO (Cl. 8.3)</w:t>
      </w:r>
    </w:p>
    <w:p>
      <w:pPr>
        <w:pStyle w:val="ListBullet"/>
        <w:spacing w:after="40"/>
      </w:pPr>
      <w:r>
        <w:rPr>
          <w:b/>
        </w:rPr>
        <w:t>Timing:</w:t>
      </w:r>
      <w:r>
        <w:t xml:space="preserve"> The Plan bases ICO reports on calendar-quarter internal data (31 Mar, 30 Jun, 30 Sep, 31 Dec) and submits around 7 Apr, 7 Jul, 7 Oct and 7 Jan. Submitting early does not breach the Undertaking. But the Q1 report would be prepared before the 15 Apr Phase 2 deadline (and the Q2 report before 14 Jul), so it could not give evidence of completion for that phase’s items as Cl. 8.3(c) requires. Either align the reporting cut-off to the Cl. 8.3 dates (15 Apr, 15 Jul, 15 Oct 2025, 15 Jan 2026) or file a supplementary completion report.</w:t>
      </w:r>
    </w:p>
    <w:p>
      <w:pPr>
        <w:pStyle w:val="ListBullet"/>
        <w:spacing w:after="40"/>
      </w:pPr>
      <w:r>
        <w:rPr>
          <w:b/>
        </w:rPr>
        <w:t>Content and sign-off:</w:t>
      </w:r>
      <w:r>
        <w:t xml:space="preserve"> Each report must cover all 47 Commitments with percentage completion and narrative (a), at-risk items (b), completion evidence (c) and remedial actions with revised dates (d). It must be signed by both Dr Hartwell and Mr Kierce (e) and sent to Deputy Commissioner Voss at Wycliffe House quoting the case reference. The Plan mentions MD approval only and reports progress against 52 action items. It needs a template keyed to the 47 Commitments, with both signatures.</w:t>
      </w:r>
    </w:p>
    <w:p>
      <w:pPr>
        <w:pStyle w:val="ListBullet"/>
        <w:spacing w:after="40"/>
      </w:pPr>
      <w:r>
        <w:rPr>
          <w:b/>
        </w:rPr>
        <w:t>Other obligations not reflected:</w:t>
      </w:r>
      <w:r>
        <w:t xml:space="preserve"> Cl. 8.4 (respond to ICO requests within 10 business days), Cl. 8.5 (change of contacts within 5 business days), Cl. 10.1 (inspection on 5 business days’ notice) and Cl. 10.2 (evidence kept for the term plus 2 years) are not reflected. The evidence repository (§13.5) should state the Cl. 10.2 retention period and the evidence categories.</w:t>
      </w:r>
    </w:p>
    <w:p>
      <w:pPr>
        <w:pStyle w:val="Heading2"/>
      </w:pPr>
      <w:r>
        <w:t>5.3 Governance, independence and group dependencies</w:t>
      </w:r>
    </w:p>
    <w:p>
      <w:pPr>
        <w:pStyle w:val="ListBullet"/>
        <w:spacing w:after="40"/>
      </w:pPr>
      <w:r>
        <w:rPr>
          <w:b/>
        </w:rPr>
        <w:t>Approval authority:</w:t>
      </w:r>
      <w:r>
        <w:t xml:space="preserve"> The Steering Committee includes BHS Inc.’s GC and Ridgeline’s lead consultant, and approves DPIA frameworks and milestone completions. The Undertaking puts specific approvals with the DPO and the BHS UK Ltd board (C10, C27, C32, C35, C42). The Plan should state which body approves what, so that Steering Committee approval does not take the place of approvals the Undertaking requires.</w:t>
      </w:r>
    </w:p>
    <w:p>
      <w:pPr>
        <w:pStyle w:val="ListBullet"/>
        <w:spacing w:after="40"/>
      </w:pPr>
      <w:r>
        <w:rPr>
          <w:b/>
        </w:rPr>
        <w:t>Single-vendor concentration:</w:t>
      </w:r>
      <w:r>
        <w:t xml:space="preserve"> Ridgeline owns or co-owns about a dozen action items, including the forensic findings, patching, encryption, segmentation, scanning, SIEM, pseudonymisation, IRP and tabletops, and is proposed as penetration tester. Beyond the C6 breach, this concentration weakens independent verification. Separate assurance roles (penetration testing, audit) from delivery roles.</w:t>
      </w:r>
    </w:p>
    <w:p>
      <w:pPr>
        <w:pStyle w:val="ListBullet"/>
        <w:spacing w:after="40"/>
      </w:pPr>
      <w:r>
        <w:rPr>
          <w:b/>
        </w:rPr>
        <w:t>Group dependencies:</w:t>
      </w:r>
      <w:r>
        <w:t xml:space="preserve"> The PatchGuard MSA sits with BHS Inc. procurement. Ms Dasgupta’s team handles it, and it is delayed. Under Cl. 1.3, BHS UK stays liable for any BHS Inc. failure to cooperate. Get a written group commitment to prioritise Undertaking-critical procurement.</w:t>
      </w:r>
    </w:p>
    <w:p>
      <w:pPr>
        <w:pStyle w:val="ListBullet"/>
        <w:spacing w:after="40"/>
      </w:pPr>
      <w:r>
        <w:rPr>
          <w:b/>
        </w:rPr>
        <w:t>Which board:</w:t>
      </w:r>
      <w:r>
        <w:t xml:space="preserve"> Recital 2.9 records approval by the board of Bellhaven Health UK Ltd.; the Plan (§1, §4, App. C) says the “BHS board of directors”. Confirm which body approved the budget, and get the BHS UK Ltd board to approve the revised Plan. Recital 2.9 also dates that approval 28 Jan 2025, after the Undertaking was signed on 15 Jan 2025, and Cl. 10.3 records Pendleton’s appointment on 20 Jan 2025. Confirm that the ICO approved Pendleton in writing as Cl. 3.1 and 10.3 require.</w:t>
      </w:r>
    </w:p>
    <w:p>
      <w:pPr>
        <w:pStyle w:val="Heading2"/>
      </w:pPr>
      <w:r>
        <w:t>5.4 Budget and funding gaps</w:t>
      </w:r>
    </w:p>
    <w:tbl>
      <w:tblPr>
        <w:tblStyle w:val="TableGrid"/>
        <w:tblW w:type="auto" w:w="0"/>
        <w:jc w:val="center"/>
        <w:tblLook w:firstColumn="1" w:firstRow="1" w:lastColumn="0" w:lastRow="0" w:noHBand="0" w:noVBand="1" w:val="04A0"/>
      </w:tblPr>
      <w:tblGrid>
        <w:gridCol w:w="4449"/>
        <w:gridCol w:w="4449"/>
        <w:gridCol w:w="4449"/>
      </w:tblGrid>
      <w:tr>
        <w:trPr>
          <w:tblHeader w:val="true"/>
        </w:trPr>
        <w:tc>
          <w:tcPr>
            <w:tcW w:type="dxa" w:w="2551"/>
            <w:shd w:val="clear" w:color="auto" w:fill="1F3A5F"/>
          </w:tcPr>
          <w:p>
            <w:r/>
            <w:r>
              <w:rPr>
                <w:b/>
                <w:color w:val="FFFFFF"/>
                <w:sz w:val="17"/>
              </w:rPr>
              <w:t>Item</w:t>
            </w:r>
          </w:p>
        </w:tc>
        <w:tc>
          <w:tcPr>
            <w:tcW w:type="dxa" w:w="2551"/>
            <w:shd w:val="clear" w:color="auto" w:fill="1F3A5F"/>
          </w:tcPr>
          <w:p>
            <w:r/>
            <w:r>
              <w:rPr>
                <w:b/>
                <w:color w:val="FFFFFF"/>
                <w:sz w:val="17"/>
              </w:rPr>
              <w:t>Plan position</w:t>
            </w:r>
          </w:p>
        </w:tc>
        <w:tc>
          <w:tcPr>
            <w:tcW w:type="dxa" w:w="4252"/>
            <w:shd w:val="clear" w:color="auto" w:fill="1F3A5F"/>
          </w:tcPr>
          <w:p>
            <w:r/>
            <w:r>
              <w:rPr>
                <w:b/>
                <w:color w:val="FFFFFF"/>
                <w:sz w:val="17"/>
              </w:rPr>
              <w:t>Gap / estimate</w:t>
            </w:r>
          </w:p>
        </w:tc>
      </w:tr>
      <w:tr>
        <w:tc>
          <w:tcPr>
            <w:tcW w:type="dxa" w:w="2551"/>
          </w:tcPr>
          <w:p>
            <w:r/>
            <w:r>
              <w:rPr>
                <w:sz w:val="17"/>
              </w:rPr>
              <w:t>C17 sub-processor due diligence</w:t>
            </w:r>
          </w:p>
        </w:tc>
        <w:tc>
          <w:tcPr>
            <w:tcW w:type="dxa" w:w="2551"/>
          </w:tcPr>
          <w:p>
            <w:r/>
            <w:r>
              <w:rPr>
                <w:sz w:val="17"/>
              </w:rPr>
              <w:t>No budget</w:t>
            </w:r>
          </w:p>
        </w:tc>
        <w:tc>
          <w:tcPr>
            <w:tcW w:type="dxa" w:w="4252"/>
          </w:tcPr>
          <w:p>
            <w:r/>
            <w:r>
              <w:rPr>
                <w:sz w:val="17"/>
              </w:rPr>
              <w:t>Unfunded; needs a census, assessments and an annual audit cycle</w:t>
            </w:r>
          </w:p>
        </w:tc>
      </w:tr>
      <w:tr>
        <w:tc>
          <w:tcPr>
            <w:tcW w:type="dxa" w:w="2551"/>
          </w:tcPr>
          <w:p>
            <w:r/>
            <w:r>
              <w:rPr>
                <w:sz w:val="17"/>
              </w:rPr>
              <w:t>C47 children’s data / AADC</w:t>
            </w:r>
          </w:p>
        </w:tc>
        <w:tc>
          <w:tcPr>
            <w:tcW w:type="dxa" w:w="2551"/>
          </w:tcPr>
          <w:p>
            <w:r/>
            <w:r>
              <w:rPr>
                <w:sz w:val="17"/>
              </w:rPr>
              <w:t>No budget</w:t>
            </w:r>
          </w:p>
        </w:tc>
        <w:tc>
          <w:tcPr>
            <w:tcW w:type="dxa" w:w="4252"/>
          </w:tcPr>
          <w:p>
            <w:r/>
            <w:r>
              <w:rPr>
                <w:sz w:val="17"/>
              </w:rPr>
              <w:t>Unfunded; needs an assessment, changes to the platforms and a report</w:t>
            </w:r>
          </w:p>
        </w:tc>
      </w:tr>
      <w:tr>
        <w:tc>
          <w:tcPr>
            <w:tcW w:type="dxa" w:w="2551"/>
          </w:tcPr>
          <w:p>
            <w:r/>
            <w:r>
              <w:rPr>
                <w:sz w:val="17"/>
              </w:rPr>
              <w:t>C29 pseudonymisation to 100%</w:t>
            </w:r>
          </w:p>
        </w:tc>
        <w:tc>
          <w:tcPr>
            <w:tcW w:type="dxa" w:w="2551"/>
          </w:tcPr>
          <w:p>
            <w:r/>
            <w:r>
              <w:rPr>
                <w:sz w:val="17"/>
              </w:rPr>
              <w:t>£95,000 (85%, test/dev)</w:t>
            </w:r>
          </w:p>
        </w:tc>
        <w:tc>
          <w:tcPr>
            <w:tcW w:type="dxa" w:w="4252"/>
          </w:tcPr>
          <w:p>
            <w:r/>
            <w:r>
              <w:rPr>
                <w:sz w:val="17"/>
              </w:rPr>
              <w:t>+£280,000–£340,000 (Dr Kassab estimate), or the cost of withdrawing data from non-production environments</w:t>
            </w:r>
          </w:p>
        </w:tc>
      </w:tr>
      <w:tr>
        <w:tc>
          <w:tcPr>
            <w:tcW w:type="dxa" w:w="2551"/>
          </w:tcPr>
          <w:p>
            <w:r/>
            <w:r>
              <w:rPr>
                <w:sz w:val="17"/>
              </w:rPr>
              <w:t>C6 four independent penetration tests a year</w:t>
            </w:r>
          </w:p>
        </w:tc>
        <w:tc>
          <w:tcPr>
            <w:tcW w:type="dxa" w:w="2551"/>
          </w:tcPr>
          <w:p>
            <w:r/>
            <w:r>
              <w:rPr>
                <w:sz w:val="17"/>
              </w:rPr>
              <w:t>£160,000 for 2 Ridgeline tests</w:t>
            </w:r>
          </w:p>
        </w:tc>
        <w:tc>
          <w:tcPr>
            <w:tcW w:type="dxa" w:w="4252"/>
          </w:tcPr>
          <w:p>
            <w:r/>
            <w:r>
              <w:rPr>
                <w:sz w:val="17"/>
              </w:rPr>
              <w:t>New provider; roughly double the test volume</w:t>
            </w:r>
          </w:p>
        </w:tc>
      </w:tr>
      <w:tr>
        <w:tc>
          <w:tcPr>
            <w:tcW w:type="dxa" w:w="2551"/>
          </w:tcPr>
          <w:p>
            <w:r/>
            <w:r>
              <w:rPr>
                <w:sz w:val="17"/>
              </w:rPr>
              <w:t>C21 external training provider</w:t>
            </w:r>
          </w:p>
        </w:tc>
        <w:tc>
          <w:tcPr>
            <w:tcW w:type="dxa" w:w="2551"/>
          </w:tcPr>
          <w:p>
            <w:r/>
            <w:r>
              <w:rPr>
                <w:sz w:val="17"/>
              </w:rPr>
              <w:t>£45,000 internal e-learning</w:t>
            </w:r>
          </w:p>
        </w:tc>
        <w:tc>
          <w:tcPr>
            <w:tcW w:type="dxa" w:w="4252"/>
          </w:tcPr>
          <w:p>
            <w:r/>
            <w:r>
              <w:rPr>
                <w:sz w:val="17"/>
              </w:rPr>
              <w:t>External provider fees not budgeted</w:t>
            </w:r>
          </w:p>
        </w:tc>
      </w:tr>
      <w:tr>
        <w:tc>
          <w:tcPr>
            <w:tcW w:type="dxa" w:w="2551"/>
          </w:tcPr>
          <w:p>
            <w:r/>
            <w:r>
              <w:rPr>
                <w:sz w:val="17"/>
              </w:rPr>
              <w:t>C41 full-scope audit</w:t>
            </w:r>
          </w:p>
        </w:tc>
        <w:tc>
          <w:tcPr>
            <w:tcW w:type="dxa" w:w="2551"/>
          </w:tcPr>
          <w:p>
            <w:r/>
            <w:r>
              <w:rPr>
                <w:sz w:val="17"/>
              </w:rPr>
              <w:t>£95,000 (21 Commitments)</w:t>
            </w:r>
          </w:p>
        </w:tc>
        <w:tc>
          <w:tcPr>
            <w:tcW w:type="dxa" w:w="4252"/>
          </w:tcPr>
          <w:p>
            <w:r/>
            <w:r>
              <w:rPr>
                <w:sz w:val="17"/>
              </w:rPr>
              <w:t>Scope more than doubles to 47 Commitments</w:t>
            </w:r>
          </w:p>
        </w:tc>
      </w:tr>
      <w:tr>
        <w:tc>
          <w:tcPr>
            <w:tcW w:type="dxa" w:w="2551"/>
          </w:tcPr>
          <w:p>
            <w:r/>
            <w:r>
              <w:rPr>
                <w:sz w:val="17"/>
              </w:rPr>
              <w:t>C26 DPO team (at least 4 FTE)</w:t>
            </w:r>
          </w:p>
        </w:tc>
        <w:tc>
          <w:tcPr>
            <w:tcW w:type="dxa" w:w="2551"/>
          </w:tcPr>
          <w:p>
            <w:r/>
            <w:r>
              <w:rPr>
                <w:sz w:val="17"/>
              </w:rPr>
              <w:t>£18,000 recruitment; salaries “funded separately”</w:t>
            </w:r>
          </w:p>
        </w:tc>
        <w:tc>
          <w:tcPr>
            <w:tcW w:type="dxa" w:w="4252"/>
          </w:tcPr>
          <w:p>
            <w:r/>
            <w:r>
              <w:rPr>
                <w:sz w:val="17"/>
              </w:rPr>
              <w:t>Salary funding unconfirmed</w:t>
            </w:r>
          </w:p>
        </w:tc>
      </w:tr>
      <w:tr>
        <w:tc>
          <w:tcPr>
            <w:tcW w:type="dxa" w:w="2551"/>
          </w:tcPr>
          <w:p>
            <w:r/>
            <w:r>
              <w:rPr>
                <w:sz w:val="17"/>
              </w:rPr>
              <w:t>C8 24/7 SOC</w:t>
            </w:r>
          </w:p>
        </w:tc>
        <w:tc>
          <w:tcPr>
            <w:tcW w:type="dxa" w:w="2551"/>
          </w:tcPr>
          <w:p>
            <w:r/>
            <w:r>
              <w:rPr>
                <w:sz w:val="17"/>
              </w:rPr>
              <w:t>Not specified within £210,000</w:t>
            </w:r>
          </w:p>
        </w:tc>
        <w:tc>
          <w:tcPr>
            <w:tcW w:type="dxa" w:w="4252"/>
          </w:tcPr>
          <w:p>
            <w:r/>
            <w:r>
              <w:rPr>
                <w:sz w:val="17"/>
              </w:rPr>
              <w:t>Managed SOC cost to be confirmed</w:t>
            </w:r>
          </w:p>
        </w:tc>
      </w:tr>
    </w:tbl>
    <w:p>
      <w:pPr>
        <w:spacing w:after="40"/>
      </w:pPr>
    </w:p>
    <w:p>
      <w:pPr>
        <w:spacing w:after="80"/>
      </w:pPr>
      <w:r>
        <w:rPr>
          <w:b w:val="0"/>
          <w:i w:val="0"/>
        </w:rPr>
        <w:t>Insurance: the Plan treats the Kestrel policy (KUS-CY-2024-0847; £5m per occurrence / £10m aggregate) as a possible offset. That should not be assumed. Remediation and betterment costs are often excluded, and the insurability of regulatory penalties under English law is doubtful. Coverage needs to be confirmed with Kestrel in writing. The matrix records a renewal date of 1 April 2025, which should be checked, along with any change in terms on renewal.</w:t>
      </w:r>
    </w:p>
    <w:p>
      <w:pPr>
        <w:pStyle w:val="Heading2"/>
      </w:pPr>
      <w:r>
        <w:t>5.5 Sequencing and dependency risks</w:t>
      </w:r>
    </w:p>
    <w:p>
      <w:pPr>
        <w:pStyle w:val="ListBullet"/>
        <w:spacing w:after="40"/>
      </w:pPr>
      <w:r>
        <w:t>C27 (retention schedule, due 10 Jul) is a prerequisite for C28 (automated deletion) and C31 (storage limitation audit), both due 14 Jul. Bring C27 forward.</w:t>
      </w:r>
    </w:p>
    <w:p>
      <w:pPr>
        <w:pStyle w:val="ListBullet"/>
        <w:spacing w:after="40"/>
      </w:pPr>
      <w:r>
        <w:t>C44 (privacy notices, 15 Apr) depends on C20 (transfer safeguards, 14 Jul) and C27. Plan a second issue of the notices in July 2025.</w:t>
      </w:r>
    </w:p>
    <w:p>
      <w:pPr>
        <w:pStyle w:val="ListBullet"/>
        <w:spacing w:after="40"/>
      </w:pPr>
      <w:r>
        <w:t>C7 and C1 depend on each other through PatchGuard. C33 depends on C8 SIEM alerting, which is a Phase 2 item, so an interim manual 24/7 route is needed for Phase 1. C41 needs every other Commitment complete in time to be audited before 15 Jan 2026.</w:t>
      </w:r>
    </w:p>
    <w:p>
      <w:pPr>
        <w:pStyle w:val="Heading2"/>
      </w:pPr>
      <w:r>
        <w:t>5.6 Internal and factual inconsistencies in the Plan</w:t>
      </w:r>
    </w:p>
    <w:p>
      <w:pPr>
        <w:pStyle w:val="ListBullet"/>
        <w:spacing w:after="40"/>
      </w:pPr>
      <w:r>
        <w:t>Action counts: §3 says 19 Phase 2 and 24 Phase 3 actions, but Appendix B lists 21 and 25. §8 says Workstream 4 has four action items while Commitments 25 and 26 sit in WS7, so the workstreams do not “mirror” the domains as §1 claims.</w:t>
      </w:r>
    </w:p>
    <w:p>
      <w:pPr>
        <w:pStyle w:val="ListBullet"/>
        <w:spacing w:after="40"/>
      </w:pPr>
      <w:r>
        <w:t>Appendix A says it maps “each Undertaking commitment” but leaves out C17 and C47. It shows C25 and C39 under Phase 2, although the Undertaking puts them in Phase 3. That is harmless as an earlier target but should be described accurately.</w:t>
      </w:r>
    </w:p>
    <w:p>
      <w:pPr>
        <w:pStyle w:val="ListBullet"/>
        <w:spacing w:after="40"/>
      </w:pPr>
      <w:r>
        <w:t>Infringed provisions: §2.2 lists Arts 5(1)(f), 24, 25, 28, 32, 33, 34 and 35. Recital 2.6 lists Arts 5(1)(f), 25, 28, 32, 33, 35 and 36 (Art. 36 prior consultation is missing from the Plan). Chapter V (Sch. 1 Finding 12) and Arts 5(1)(c)/(e) are also missing.</w:t>
      </w:r>
    </w:p>
    <w:p>
      <w:pPr>
        <w:pStyle w:val="ListBullet"/>
        <w:spacing w:after="40"/>
      </w:pPr>
      <w:r>
        <w:t>Breach facts: the Plan gives 02:47 GMT detection by a “Security Operations Centre”; Sch. 1 Finding 14 gives detection at about 02:15 and DPO notification at about 16:00 on 18 Sep (38 hours; the ICO letter says about 36 hours). The Plan says exfiltration ran from 14 to 17 Sep. The Plan should use the Undertaking’s facts.</w:t>
      </w:r>
    </w:p>
    <w:p>
      <w:pPr>
        <w:pStyle w:val="ListBullet"/>
        <w:spacing w:after="40"/>
      </w:pPr>
      <w:r>
        <w:t>The email of 6 Feb refers to a footnote on the NHS interoperability constraint in a “technical notes section”. The Plan has no such section; the explanation sits in the Action 2 narrative.</w:t>
      </w:r>
    </w:p>
    <w:p>
      <w:pPr>
        <w:pStyle w:val="ListBullet"/>
        <w:spacing w:after="40"/>
      </w:pPr>
      <w:r>
        <w:t>The Plan is marked privileged “attorney work product”, but it is meant to be shared with the ICO and the Independent Auditor. Treat it as a document that will be disclosed, and keep privileged advice in separate documents.</w:t>
      </w:r>
    </w:p>
    <w:p>
      <w:pPr>
        <w:pStyle w:val="Heading1"/>
      </w:pPr>
      <w:r>
        <w:t>6. Reliability of the Commitment Mapping Matrix</w:t>
      </w:r>
    </w:p>
    <w:p>
      <w:pPr>
        <w:spacing w:after="80"/>
      </w:pPr>
      <w:r>
        <w:rPr>
          <w:b w:val="0"/>
          <w:i w:val="0"/>
        </w:rPr>
        <w:t>The matrix is the basis of the planned final reconciliation. Checked against the primary documents, it contains the following errors and should be rebuilt before anyone relies on it:</w:t>
      </w:r>
    </w:p>
    <w:tbl>
      <w:tblPr>
        <w:tblStyle w:val="TableGrid"/>
        <w:tblW w:type="auto" w:w="0"/>
        <w:jc w:val="center"/>
        <w:tblLook w:firstColumn="1" w:firstRow="1" w:lastColumn="0" w:lastRow="0" w:noHBand="0" w:noVBand="1" w:val="04A0"/>
      </w:tblPr>
      <w:tblGrid>
        <w:gridCol w:w="4449"/>
        <w:gridCol w:w="4449"/>
        <w:gridCol w:w="4449"/>
      </w:tblGrid>
      <w:tr>
        <w:trPr>
          <w:tblHeader w:val="true"/>
        </w:trPr>
        <w:tc>
          <w:tcPr>
            <w:tcW w:type="dxa" w:w="1871"/>
            <w:shd w:val="clear" w:color="auto" w:fill="1F3A5F"/>
          </w:tcPr>
          <w:p>
            <w:r/>
            <w:r>
              <w:rPr>
                <w:b/>
                <w:color w:val="FFFFFF"/>
                <w:sz w:val="17"/>
              </w:rPr>
              <w:t>Area</w:t>
            </w:r>
          </w:p>
        </w:tc>
        <w:tc>
          <w:tcPr>
            <w:tcW w:type="dxa" w:w="3402"/>
            <w:shd w:val="clear" w:color="auto" w:fill="1F3A5F"/>
          </w:tcPr>
          <w:p>
            <w:r/>
            <w:r>
              <w:rPr>
                <w:b/>
                <w:color w:val="FFFFFF"/>
                <w:sz w:val="17"/>
              </w:rPr>
              <w:t>Matrix</w:t>
            </w:r>
          </w:p>
        </w:tc>
        <w:tc>
          <w:tcPr>
            <w:tcW w:type="dxa" w:w="4082"/>
            <w:shd w:val="clear" w:color="auto" w:fill="1F3A5F"/>
          </w:tcPr>
          <w:p>
            <w:r/>
            <w:r>
              <w:rPr>
                <w:b/>
                <w:color w:val="FFFFFF"/>
                <w:sz w:val="17"/>
              </w:rPr>
              <w:t>Correct position (source)</w:t>
            </w:r>
          </w:p>
        </w:tc>
      </w:tr>
      <w:tr>
        <w:tc>
          <w:tcPr>
            <w:tcW w:type="dxa" w:w="1871"/>
          </w:tcPr>
          <w:p>
            <w:r/>
            <w:r>
              <w:rPr>
                <w:sz w:val="17"/>
              </w:rPr>
              <w:t>Phase 3 deadline</w:t>
            </w:r>
          </w:p>
        </w:tc>
        <w:tc>
          <w:tcPr>
            <w:tcW w:type="dxa" w:w="3402"/>
          </w:tcPr>
          <w:p>
            <w:r/>
            <w:r>
              <w:rPr>
                <w:sz w:val="17"/>
              </w:rPr>
              <w:t>15 July 2025</w:t>
            </w:r>
          </w:p>
        </w:tc>
        <w:tc>
          <w:tcPr>
            <w:tcW w:type="dxa" w:w="4082"/>
          </w:tcPr>
          <w:p>
            <w:r/>
            <w:r>
              <w:rPr>
                <w:sz w:val="17"/>
              </w:rPr>
              <w:t>14 July 2025 (Cl. 7.4; Sch. 2)</w:t>
            </w:r>
          </w:p>
        </w:tc>
      </w:tr>
      <w:tr>
        <w:tc>
          <w:tcPr>
            <w:tcW w:type="dxa" w:w="1871"/>
          </w:tcPr>
          <w:p>
            <w:r/>
            <w:r>
              <w:rPr>
                <w:sz w:val="17"/>
              </w:rPr>
              <w:t>Plan target dates</w:t>
            </w:r>
          </w:p>
        </w:tc>
        <w:tc>
          <w:tcPr>
            <w:tcW w:type="dxa" w:w="3402"/>
          </w:tcPr>
          <w:p>
            <w:r/>
            <w:r>
              <w:rPr>
                <w:sz w:val="17"/>
              </w:rPr>
              <w:t>e.g. C4 31 Mar, C9 31 Mar, C11–13 30 Jun, C16 30 Jun, C36 28 Feb</w:t>
            </w:r>
          </w:p>
        </w:tc>
        <w:tc>
          <w:tcPr>
            <w:tcW w:type="dxa" w:w="4082"/>
          </w:tcPr>
          <w:p>
            <w:r/>
            <w:r>
              <w:rPr>
                <w:sz w:val="17"/>
              </w:rPr>
              <w:t>Plan: C4 10 Apr, C9 14 Apr, C11 10 Jul, C12–13 14 Jul, C16 10 Jul, C36 15 Apr. So the matrix’s “EARLY” statuses are wrong</w:t>
            </w:r>
          </w:p>
        </w:tc>
      </w:tr>
      <w:tr>
        <w:tc>
          <w:tcPr>
            <w:tcW w:type="dxa" w:w="1871"/>
          </w:tcPr>
          <w:p>
            <w:r/>
            <w:r>
              <w:rPr>
                <w:sz w:val="17"/>
              </w:rPr>
              <w:t>Action numbers</w:t>
            </w:r>
          </w:p>
        </w:tc>
        <w:tc>
          <w:tcPr>
            <w:tcW w:type="dxa" w:w="3402"/>
          </w:tcPr>
          <w:p>
            <w:r/>
            <w:r>
              <w:rPr>
                <w:sz w:val="17"/>
              </w:rPr>
              <w:t>C25→28, C26→29, C27→30, C28→31, C30→33, C31→34</w:t>
            </w:r>
          </w:p>
        </w:tc>
        <w:tc>
          <w:tcPr>
            <w:tcW w:type="dxa" w:w="4082"/>
          </w:tcPr>
          <w:p>
            <w:r/>
            <w:r>
              <w:rPr>
                <w:sz w:val="17"/>
              </w:rPr>
              <w:t>Plan: C25→22, C26→23, C27→28, C28→29, C30→30, C31→31 (33 and 34 are sub-actions)</w:t>
            </w:r>
          </w:p>
        </w:tc>
      </w:tr>
      <w:tr>
        <w:tc>
          <w:tcPr>
            <w:tcW w:type="dxa" w:w="1871"/>
          </w:tcPr>
          <w:p>
            <w:r/>
            <w:r>
              <w:rPr>
                <w:sz w:val="17"/>
              </w:rPr>
              <w:t>Commitment descriptions</w:t>
            </w:r>
          </w:p>
        </w:tc>
        <w:tc>
          <w:tcPr>
            <w:tcW w:type="dxa" w:w="3402"/>
          </w:tcPr>
          <w:p>
            <w:r/>
            <w:r>
              <w:rPr>
                <w:sz w:val="17"/>
              </w:rPr>
              <w:t>C24 “95% completion”; C26 “minimum 2 additional FTEs”; C45 “25-day SLA”; C5 “API gateway replacement”; C15 “on-site audits of high-risk processors”; C43 “from among the NEDs”</w:t>
            </w:r>
          </w:p>
        </w:tc>
        <w:tc>
          <w:tcPr>
            <w:tcW w:type="dxa" w:w="4082"/>
          </w:tcPr>
          <w:p>
            <w:r/>
            <w:r>
              <w:rPr>
                <w:sz w:val="17"/>
              </w:rPr>
              <w:t>C24: 100% completion and 95% pass rate; C26: team of at least 4 FTE; C45: 28 days; C5/C15/C43 as in the Undertaking text</w:t>
            </w:r>
          </w:p>
        </w:tc>
      </w:tr>
      <w:tr>
        <w:tc>
          <w:tcPr>
            <w:tcW w:type="dxa" w:w="1871"/>
          </w:tcPr>
          <w:p>
            <w:r/>
            <w:r>
              <w:rPr>
                <w:sz w:val="17"/>
              </w:rPr>
              <w:t>“MAPPED” ratings</w:t>
            </w:r>
          </w:p>
        </w:tc>
        <w:tc>
          <w:tcPr>
            <w:tcW w:type="dxa" w:w="3402"/>
          </w:tcPr>
          <w:p>
            <w:r/>
            <w:r>
              <w:rPr>
                <w:sz w:val="17"/>
              </w:rPr>
              <w:t>C3 “scope appears aligned”; C4, C5, C7–C11, C18, C45 etc. “MAPPED” with no observation</w:t>
            </w:r>
          </w:p>
        </w:tc>
        <w:tc>
          <w:tcPr>
            <w:tcW w:type="dxa" w:w="4082"/>
          </w:tcPr>
          <w:p>
            <w:r/>
            <w:r>
              <w:rPr>
                <w:sz w:val="17"/>
              </w:rPr>
              <w:t>Material gaps exist (Section 4)</w:t>
            </w:r>
          </w:p>
        </w:tc>
      </w:tr>
      <w:tr>
        <w:tc>
          <w:tcPr>
            <w:tcW w:type="dxa" w:w="1871"/>
          </w:tcPr>
          <w:p>
            <w:r/>
            <w:r>
              <w:rPr>
                <w:sz w:val="17"/>
              </w:rPr>
              <w:t>C41 audit scope</w:t>
            </w:r>
          </w:p>
        </w:tc>
        <w:tc>
          <w:tcPr>
            <w:tcW w:type="dxa" w:w="3402"/>
          </w:tcPr>
          <w:p>
            <w:r/>
            <w:r>
              <w:rPr>
                <w:sz w:val="17"/>
              </w:rPr>
              <w:t>≈22 audited / 25 omitted</w:t>
            </w:r>
          </w:p>
        </w:tc>
        <w:tc>
          <w:tcPr>
            <w:tcW w:type="dxa" w:w="4082"/>
          </w:tcPr>
          <w:p>
            <w:r/>
            <w:r>
              <w:rPr>
                <w:sz w:val="17"/>
              </w:rPr>
              <w:t>21 audited (C1–9, C32–43) / 26 omitted</w:t>
            </w:r>
          </w:p>
        </w:tc>
      </w:tr>
      <w:tr>
        <w:tc>
          <w:tcPr>
            <w:tcW w:type="dxa" w:w="1871"/>
          </w:tcPr>
          <w:p>
            <w:r/>
            <w:r>
              <w:rPr>
                <w:sz w:val="17"/>
              </w:rPr>
              <w:t>Budget lines</w:t>
            </w:r>
          </w:p>
        </w:tc>
        <w:tc>
          <w:tcPr>
            <w:tcW w:type="dxa" w:w="3402"/>
          </w:tcPr>
          <w:p>
            <w:r/>
            <w:r>
              <w:rPr>
                <w:sz w:val="17"/>
              </w:rPr>
              <w:t>e.g. WS1 network £380,000, MFA £60,000; WS7 audit £160,000; WS8 portal £140,000</w:t>
            </w:r>
          </w:p>
        </w:tc>
        <w:tc>
          <w:tcPr>
            <w:tcW w:type="dxa" w:w="4082"/>
          </w:tcPr>
          <w:p>
            <w:r/>
            <w:r>
              <w:rPr>
                <w:sz w:val="17"/>
              </w:rPr>
              <w:t>Plan: £275,000; £165,000; £95,000; £120,000</w:t>
            </w:r>
          </w:p>
        </w:tc>
      </w:tr>
      <w:tr>
        <w:tc>
          <w:tcPr>
            <w:tcW w:type="dxa" w:w="1871"/>
          </w:tcPr>
          <w:p>
            <w:r/>
            <w:r>
              <w:rPr>
                <w:sz w:val="17"/>
              </w:rPr>
              <w:t>Penalty basis</w:t>
            </w:r>
          </w:p>
        </w:tc>
        <w:tc>
          <w:tcPr>
            <w:tcW w:type="dxa" w:w="3402"/>
          </w:tcPr>
          <w:p>
            <w:r/>
            <w:r>
              <w:rPr>
                <w:sz w:val="17"/>
              </w:rPr>
              <w:t>“2% of BHS UK qualifying UK turnover (£435M)”; higher maximum “4% / £17.4M”</w:t>
            </w:r>
          </w:p>
        </w:tc>
        <w:tc>
          <w:tcPr>
            <w:tcW w:type="dxa" w:w="4082"/>
          </w:tcPr>
          <w:p>
            <w:r/>
            <w:r>
              <w:rPr>
                <w:sz w:val="17"/>
              </w:rPr>
              <w:t>£8.7m is the ICO’s assessed figure; BHS UK revenue is about £62m; 4% of BHS Inc. turnover is about £15.48m; the statutory ceiling is the higher of £17.5m or 4% (Cl. 9.1(b); ICO letter §6)</w:t>
            </w:r>
          </w:p>
        </w:tc>
      </w:tr>
      <w:tr>
        <w:tc>
          <w:tcPr>
            <w:tcW w:type="dxa" w:w="1871"/>
          </w:tcPr>
          <w:p>
            <w:r/>
            <w:r>
              <w:rPr>
                <w:sz w:val="17"/>
              </w:rPr>
              <w:t>Ridgeline contract value</w:t>
            </w:r>
          </w:p>
        </w:tc>
        <w:tc>
          <w:tcPr>
            <w:tcW w:type="dxa" w:w="3402"/>
          </w:tcPr>
          <w:p>
            <w:r/>
            <w:r>
              <w:rPr>
                <w:sz w:val="17"/>
              </w:rPr>
              <w:t>£2.34m, treating the whole WS1 budget (£1.85m) as Ridgeline spend</w:t>
            </w:r>
          </w:p>
        </w:tc>
        <w:tc>
          <w:tcPr>
            <w:tcW w:type="dxa" w:w="4082"/>
          </w:tcPr>
          <w:p>
            <w:r/>
            <w:r>
              <w:rPr>
                <w:sz w:val="17"/>
              </w:rPr>
              <w:t>Unsupported; WS1 includes PatchGuard, SIEM and other third-party costs</w:t>
            </w:r>
          </w:p>
        </w:tc>
      </w:tr>
      <w:tr>
        <w:tc>
          <w:tcPr>
            <w:tcW w:type="dxa" w:w="1871"/>
          </w:tcPr>
          <w:p>
            <w:r/>
            <w:r>
              <w:rPr>
                <w:sz w:val="17"/>
              </w:rPr>
              <w:t>Personnel</w:t>
            </w:r>
          </w:p>
        </w:tc>
        <w:tc>
          <w:tcPr>
            <w:tcW w:type="dxa" w:w="3402"/>
          </w:tcPr>
          <w:p>
            <w:r/>
            <w:r>
              <w:rPr>
                <w:sz w:val="17"/>
              </w:rPr>
              <w:t>Thornfield partner “James Thornfield”; C3 owner incl. Dr Hartwell</w:t>
            </w:r>
          </w:p>
        </w:tc>
        <w:tc>
          <w:tcPr>
            <w:tcW w:type="dxa" w:w="4082"/>
          </w:tcPr>
          <w:p>
            <w:r/>
            <w:r>
              <w:rPr>
                <w:sz w:val="17"/>
              </w:rPr>
              <w:t>Catherine Thornfield; Plan names the IT Security Lead</w:t>
            </w:r>
          </w:p>
        </w:tc>
      </w:tr>
      <w:tr>
        <w:tc>
          <w:tcPr>
            <w:tcW w:type="dxa" w:w="1871"/>
          </w:tcPr>
          <w:p>
            <w:r/>
            <w:r>
              <w:rPr>
                <w:sz w:val="17"/>
              </w:rPr>
              <w:t>Rows</w:t>
            </w:r>
          </w:p>
        </w:tc>
        <w:tc>
          <w:tcPr>
            <w:tcW w:type="dxa" w:w="3402"/>
          </w:tcPr>
          <w:p>
            <w:r/>
            <w:r>
              <w:rPr>
                <w:sz w:val="17"/>
              </w:rPr>
              <w:t>C17 and C47 absent from the main sheet</w:t>
            </w:r>
          </w:p>
        </w:tc>
        <w:tc>
          <w:tcPr>
            <w:tcW w:type="dxa" w:w="4082"/>
          </w:tcPr>
          <w:p>
            <w:r/>
            <w:r>
              <w:rPr>
                <w:sz w:val="17"/>
              </w:rPr>
              <w:t>All 47 Commitments must be listed</w:t>
            </w:r>
          </w:p>
        </w:tc>
      </w:tr>
    </w:tbl>
    <w:p>
      <w:pPr>
        <w:spacing w:after="40"/>
      </w:pPr>
    </w:p>
    <w:p>
      <w:pPr>
        <w:pStyle w:val="Heading1"/>
      </w:pPr>
      <w:r>
        <w:t>7. Issues Arising from the 5–6 February 2025 Correspondence</w:t>
      </w:r>
    </w:p>
    <w:p>
      <w:pPr>
        <w:pStyle w:val="ListBullet"/>
        <w:spacing w:after="40"/>
      </w:pPr>
      <w:r>
        <w:rPr>
          <w:b/>
        </w:rPr>
        <w:t>Knowledge and candour.</w:t>
      </w:r>
      <w:r>
        <w:t xml:space="preserve"> The chain records that the advisers and the DPO knew the Plan departs from C1, C2 and C29, including Dr Kassab’s statement that manual patching “is not what the Undertaking describes”. The chain is not obviously privileged (the participants include a non-lawyer consultant and the in-house DPO) and could be produced on an ICO inspection (Cl. 10.1) or information request (Cl. 8.4). BHS UK’s position should therefore be full, early disclosure to the ICO through the Cl. 7.6, 8.2 and 11 routes.</w:t>
      </w:r>
    </w:p>
    <w:p>
      <w:pPr>
        <w:pStyle w:val="ListBullet"/>
        <w:spacing w:after="40"/>
      </w:pPr>
      <w:r>
        <w:rPr>
          <w:b/>
        </w:rPr>
        <w:t>Misreading of C29.</w:t>
      </w:r>
      <w:r>
        <w:t xml:space="preserve"> The DPO’s reading of C29 (“non-production environments… without defining what that includes”) is wrong. The decision to keep 85% “for now” for budget and optics reasons should be revisited with the DPO, given her duties under Arts 38–39 and her personal sign-off of Quarterly Reports.</w:t>
      </w:r>
    </w:p>
    <w:p>
      <w:pPr>
        <w:pStyle w:val="ListBullet"/>
        <w:spacing w:after="40"/>
      </w:pPr>
      <w:r>
        <w:rPr>
          <w:b/>
        </w:rPr>
        <w:t>Presentation risk.</w:t>
      </w:r>
      <w:r>
        <w:t xml:space="preserve"> Describing pseudonymisation as a “phased initiative” to allow “flexibility… during the quarterly reviews” risks presenting a known shortfall as compliance. Quarterly Reports must flag C29 as at risk under Cl. 8.3(b).</w:t>
      </w:r>
    </w:p>
    <w:p>
      <w:pPr>
        <w:pStyle w:val="ListBullet"/>
        <w:spacing w:after="40"/>
      </w:pPr>
      <w:r>
        <w:rPr>
          <w:b/>
        </w:rPr>
        <w:t>Reporting alignment.</w:t>
      </w:r>
      <w:r>
        <w:t xml:space="preserve"> Mr Ngata’s question whether the internal cycle feeds the 15 Apr report date is answered in Section 5.2: it does not cleanly align and should be re-based.</w:t>
      </w:r>
    </w:p>
    <w:p>
      <w:pPr>
        <w:pStyle w:val="ListBullet"/>
        <w:spacing w:after="40"/>
      </w:pPr>
      <w:r>
        <w:rPr>
          <w:b/>
        </w:rPr>
        <w:t>Over-confidence in WS6 and WS7.</w:t>
      </w:r>
      <w:r>
        <w:t xml:space="preserve"> The DPO and Mr Ngata both rate the governance restructuring (WS7) and breach response (WS6) as strong. In fact both contain Critical gaps (C38, C33, C41). The final review should test every workstream against the Undertaking text.</w:t>
      </w:r>
    </w:p>
    <w:p>
      <w:pPr>
        <w:pStyle w:val="Heading1"/>
      </w:pPr>
      <w:r>
        <w:t>8. Prioritised Remediation Roadmap</w:t>
      </w:r>
    </w:p>
    <w:tbl>
      <w:tblPr>
        <w:tblStyle w:val="TableGrid"/>
        <w:tblW w:type="auto" w:w="0"/>
        <w:jc w:val="center"/>
        <w:tblLook w:firstColumn="1" w:firstRow="1" w:lastColumn="0" w:lastRow="0" w:noHBand="0" w:noVBand="1" w:val="04A0"/>
      </w:tblPr>
      <w:tblGrid>
        <w:gridCol w:w="2669"/>
        <w:gridCol w:w="2669"/>
        <w:gridCol w:w="2669"/>
        <w:gridCol w:w="2669"/>
        <w:gridCol w:w="2669"/>
      </w:tblGrid>
      <w:tr>
        <w:trPr>
          <w:tblHeader w:val="true"/>
        </w:trPr>
        <w:tc>
          <w:tcPr>
            <w:tcW w:type="dxa" w:w="397"/>
            <w:shd w:val="clear" w:color="auto" w:fill="1F3A5F"/>
          </w:tcPr>
          <w:p>
            <w:r/>
            <w:r>
              <w:rPr>
                <w:b/>
                <w:color w:val="FFFFFF"/>
                <w:sz w:val="16"/>
              </w:rPr>
              <w:t>#</w:t>
            </w:r>
          </w:p>
        </w:tc>
        <w:tc>
          <w:tcPr>
            <w:tcW w:type="dxa" w:w="4139"/>
            <w:shd w:val="clear" w:color="auto" w:fill="1F3A5F"/>
          </w:tcPr>
          <w:p>
            <w:r/>
            <w:r>
              <w:rPr>
                <w:b/>
                <w:color w:val="FFFFFF"/>
                <w:sz w:val="16"/>
              </w:rPr>
              <w:t>Action</w:t>
            </w:r>
          </w:p>
        </w:tc>
        <w:tc>
          <w:tcPr>
            <w:tcW w:type="dxa" w:w="1587"/>
            <w:shd w:val="clear" w:color="auto" w:fill="1F3A5F"/>
          </w:tcPr>
          <w:p>
            <w:r/>
            <w:r>
              <w:rPr>
                <w:b/>
                <w:color w:val="FFFFFF"/>
                <w:sz w:val="16"/>
              </w:rPr>
              <w:t>Commitments / clauses</w:t>
            </w:r>
          </w:p>
        </w:tc>
        <w:tc>
          <w:tcPr>
            <w:tcW w:type="dxa" w:w="1644"/>
            <w:shd w:val="clear" w:color="auto" w:fill="1F3A5F"/>
          </w:tcPr>
          <w:p>
            <w:r/>
            <w:r>
              <w:rPr>
                <w:b/>
                <w:color w:val="FFFFFF"/>
                <w:sz w:val="16"/>
              </w:rPr>
              <w:t>Owner (suggested)</w:t>
            </w:r>
          </w:p>
        </w:tc>
        <w:tc>
          <w:tcPr>
            <w:tcW w:type="dxa" w:w="1587"/>
            <w:shd w:val="clear" w:color="auto" w:fill="1F3A5F"/>
          </w:tcPr>
          <w:p>
            <w:r/>
            <w:r>
              <w:rPr>
                <w:b/>
                <w:color w:val="FFFFFF"/>
                <w:sz w:val="16"/>
              </w:rPr>
              <w:t>By</w:t>
            </w:r>
          </w:p>
        </w:tc>
      </w:tr>
      <w:tr>
        <w:tc>
          <w:tcPr>
            <w:tcW w:type="dxa" w:w="397"/>
          </w:tcPr>
          <w:p>
            <w:r/>
            <w:r>
              <w:rPr>
                <w:sz w:val="16"/>
              </w:rPr>
              <w:t>1</w:t>
            </w:r>
          </w:p>
        </w:tc>
        <w:tc>
          <w:tcPr>
            <w:tcW w:type="dxa" w:w="4139"/>
          </w:tcPr>
          <w:p>
            <w:r/>
            <w:r>
              <w:rPr>
                <w:sz w:val="16"/>
              </w:rPr>
              <w:t>Replace Action 36 with a compliant 24-hour, no-confirmation escalation rule; set up an interim 24/7 reporting line; timestamped log</w:t>
            </w:r>
          </w:p>
        </w:tc>
        <w:tc>
          <w:tcPr>
            <w:tcW w:type="dxa" w:w="1587"/>
          </w:tcPr>
          <w:p>
            <w:r/>
            <w:r>
              <w:rPr>
                <w:sz w:val="16"/>
              </w:rPr>
              <w:t>C33</w:t>
            </w:r>
          </w:p>
        </w:tc>
        <w:tc>
          <w:tcPr>
            <w:tcW w:type="dxa" w:w="1644"/>
          </w:tcPr>
          <w:p>
            <w:r/>
            <w:r>
              <w:rPr>
                <w:sz w:val="16"/>
              </w:rPr>
              <w:t>DPO / IT Security</w:t>
            </w:r>
          </w:p>
        </w:tc>
        <w:tc>
          <w:tcPr>
            <w:tcW w:type="dxa" w:w="1587"/>
          </w:tcPr>
          <w:p>
            <w:r/>
            <w:r>
              <w:rPr>
                <w:sz w:val="16"/>
              </w:rPr>
              <w:t>14 Feb 2025</w:t>
            </w:r>
          </w:p>
        </w:tc>
      </w:tr>
      <w:tr>
        <w:tc>
          <w:tcPr>
            <w:tcW w:type="dxa" w:w="397"/>
          </w:tcPr>
          <w:p>
            <w:r/>
            <w:r>
              <w:rPr>
                <w:sz w:val="16"/>
              </w:rPr>
              <w:t>2</w:t>
            </w:r>
          </w:p>
        </w:tc>
        <w:tc>
          <w:tcPr>
            <w:tcW w:type="dxa" w:w="4139"/>
          </w:tcPr>
          <w:p>
            <w:r/>
            <w:r>
              <w:rPr>
                <w:sz w:val="16"/>
              </w:rPr>
              <w:t>Finalise the IRP with named roles and alternates and the IRT incl. clinical operations; approval by the BHS UK board and DPO</w:t>
            </w:r>
          </w:p>
        </w:tc>
        <w:tc>
          <w:tcPr>
            <w:tcW w:type="dxa" w:w="1587"/>
          </w:tcPr>
          <w:p>
            <w:r/>
            <w:r>
              <w:rPr>
                <w:sz w:val="16"/>
              </w:rPr>
              <w:t>C32</w:t>
            </w:r>
          </w:p>
        </w:tc>
        <w:tc>
          <w:tcPr>
            <w:tcW w:type="dxa" w:w="1644"/>
          </w:tcPr>
          <w:p>
            <w:r/>
            <w:r>
              <w:rPr>
                <w:sz w:val="16"/>
              </w:rPr>
              <w:t>DPO / MD</w:t>
            </w:r>
          </w:p>
        </w:tc>
        <w:tc>
          <w:tcPr>
            <w:tcW w:type="dxa" w:w="1587"/>
          </w:tcPr>
          <w:p>
            <w:r/>
            <w:r>
              <w:rPr>
                <w:sz w:val="16"/>
              </w:rPr>
              <w:t>14 Feb 2025</w:t>
            </w:r>
          </w:p>
        </w:tc>
      </w:tr>
      <w:tr>
        <w:tc>
          <w:tcPr>
            <w:tcW w:type="dxa" w:w="397"/>
          </w:tcPr>
          <w:p>
            <w:r/>
            <w:r>
              <w:rPr>
                <w:sz w:val="16"/>
              </w:rPr>
              <w:t>3</w:t>
            </w:r>
          </w:p>
        </w:tc>
        <w:tc>
          <w:tcPr>
            <w:tcW w:type="dxa" w:w="4139"/>
          </w:tcPr>
          <w:p>
            <w:r/>
            <w:r>
              <w:rPr>
                <w:sz w:val="16"/>
              </w:rPr>
              <w:t>Add 4-hour HR-integrated revocation, quarterly reviews and automated provisioning; disable leaver accounts</w:t>
            </w:r>
          </w:p>
        </w:tc>
        <w:tc>
          <w:tcPr>
            <w:tcW w:type="dxa" w:w="1587"/>
          </w:tcPr>
          <w:p>
            <w:r/>
            <w:r>
              <w:rPr>
                <w:sz w:val="16"/>
              </w:rPr>
              <w:t>C3</w:t>
            </w:r>
          </w:p>
        </w:tc>
        <w:tc>
          <w:tcPr>
            <w:tcW w:type="dxa" w:w="1644"/>
          </w:tcPr>
          <w:p>
            <w:r/>
            <w:r>
              <w:rPr>
                <w:sz w:val="16"/>
              </w:rPr>
              <w:t>IT Security Lead</w:t>
            </w:r>
          </w:p>
        </w:tc>
        <w:tc>
          <w:tcPr>
            <w:tcW w:type="dxa" w:w="1587"/>
          </w:tcPr>
          <w:p>
            <w:r/>
            <w:r>
              <w:rPr>
                <w:sz w:val="16"/>
              </w:rPr>
              <w:t>14 Feb 2025</w:t>
            </w:r>
          </w:p>
        </w:tc>
      </w:tr>
      <w:tr>
        <w:tc>
          <w:tcPr>
            <w:tcW w:type="dxa" w:w="397"/>
          </w:tcPr>
          <w:p>
            <w:r/>
            <w:r>
              <w:rPr>
                <w:sz w:val="16"/>
              </w:rPr>
              <w:t>4</w:t>
            </w:r>
          </w:p>
        </w:tc>
        <w:tc>
          <w:tcPr>
            <w:tcW w:type="dxa" w:w="4139"/>
          </w:tcPr>
          <w:p>
            <w:r/>
            <w:r>
              <w:rPr>
                <w:sz w:val="16"/>
              </w:rPr>
              <w:t>Cl. 8.2 impediment notice and late Cl. 7.6 extension request (C1); Cl. 11.2 variation request with compensating controls (C2); enforce TLS 1.3 where possible</w:t>
            </w:r>
          </w:p>
        </w:tc>
        <w:tc>
          <w:tcPr>
            <w:tcW w:type="dxa" w:w="1587"/>
          </w:tcPr>
          <w:p>
            <w:r/>
            <w:r>
              <w:rPr>
                <w:sz w:val="16"/>
              </w:rPr>
              <w:t>C1, C2; Cl. 7.6, 8.2, 11</w:t>
            </w:r>
          </w:p>
        </w:tc>
        <w:tc>
          <w:tcPr>
            <w:tcW w:type="dxa" w:w="1644"/>
          </w:tcPr>
          <w:p>
            <w:r/>
            <w:r>
              <w:rPr>
                <w:sz w:val="16"/>
              </w:rPr>
              <w:t>Thornfield / MD / DPO</w:t>
            </w:r>
          </w:p>
        </w:tc>
        <w:tc>
          <w:tcPr>
            <w:tcW w:type="dxa" w:w="1587"/>
          </w:tcPr>
          <w:p>
            <w:r/>
            <w:r>
              <w:rPr>
                <w:sz w:val="16"/>
              </w:rPr>
              <w:t>Immediately</w:t>
            </w:r>
          </w:p>
        </w:tc>
      </w:tr>
      <w:tr>
        <w:tc>
          <w:tcPr>
            <w:tcW w:type="dxa" w:w="397"/>
          </w:tcPr>
          <w:p>
            <w:r/>
            <w:r>
              <w:rPr>
                <w:sz w:val="16"/>
              </w:rPr>
              <w:t>5</w:t>
            </w:r>
          </w:p>
        </w:tc>
        <w:tc>
          <w:tcPr>
            <w:tcW w:type="dxa" w:w="4139"/>
          </w:tcPr>
          <w:p>
            <w:r/>
            <w:r>
              <w:rPr>
                <w:sz w:val="16"/>
              </w:rPr>
              <w:t>Rewrite DPO reporting line: direct to the BHS UK Ltd board, standing item, unconditional escalation; DPO charter and board resolution</w:t>
            </w:r>
          </w:p>
        </w:tc>
        <w:tc>
          <w:tcPr>
            <w:tcW w:type="dxa" w:w="1587"/>
          </w:tcPr>
          <w:p>
            <w:r/>
            <w:r>
              <w:rPr>
                <w:sz w:val="16"/>
              </w:rPr>
              <w:t>C38</w:t>
            </w:r>
          </w:p>
        </w:tc>
        <w:tc>
          <w:tcPr>
            <w:tcW w:type="dxa" w:w="1644"/>
          </w:tcPr>
          <w:p>
            <w:r/>
            <w:r>
              <w:rPr>
                <w:sz w:val="16"/>
              </w:rPr>
              <w:t>MD / BHS UK board</w:t>
            </w:r>
          </w:p>
        </w:tc>
        <w:tc>
          <w:tcPr>
            <w:tcW w:type="dxa" w:w="1587"/>
          </w:tcPr>
          <w:p>
            <w:r/>
            <w:r>
              <w:rPr>
                <w:sz w:val="16"/>
              </w:rPr>
              <w:t>Draft now; in force by 15 Apr 2025</w:t>
            </w:r>
          </w:p>
        </w:tc>
      </w:tr>
      <w:tr>
        <w:tc>
          <w:tcPr>
            <w:tcW w:type="dxa" w:w="397"/>
          </w:tcPr>
          <w:p>
            <w:r/>
            <w:r>
              <w:rPr>
                <w:sz w:val="16"/>
              </w:rPr>
              <w:t>6</w:t>
            </w:r>
          </w:p>
        </w:tc>
        <w:tc>
          <w:tcPr>
            <w:tcW w:type="dxa" w:w="4139"/>
          </w:tcPr>
          <w:p>
            <w:r/>
            <w:r>
              <w:rPr>
                <w:sz w:val="16"/>
              </w:rPr>
              <w:t>Procure an independent CREST provider (not Ridgeline); quarterly schedule; 30-day remediation SLA</w:t>
            </w:r>
          </w:p>
        </w:tc>
        <w:tc>
          <w:tcPr>
            <w:tcW w:type="dxa" w:w="1587"/>
          </w:tcPr>
          <w:p>
            <w:r/>
            <w:r>
              <w:rPr>
                <w:sz w:val="16"/>
              </w:rPr>
              <w:t>C6</w:t>
            </w:r>
          </w:p>
        </w:tc>
        <w:tc>
          <w:tcPr>
            <w:tcW w:type="dxa" w:w="1644"/>
          </w:tcPr>
          <w:p>
            <w:r/>
            <w:r>
              <w:rPr>
                <w:sz w:val="16"/>
              </w:rPr>
              <w:t>IT Security / Procurement</w:t>
            </w:r>
          </w:p>
        </w:tc>
        <w:tc>
          <w:tcPr>
            <w:tcW w:type="dxa" w:w="1587"/>
          </w:tcPr>
          <w:p>
            <w:r/>
            <w:r>
              <w:rPr>
                <w:sz w:val="16"/>
              </w:rPr>
              <w:t>Contract by early Mar; test by 15 Apr 2025</w:t>
            </w:r>
          </w:p>
        </w:tc>
      </w:tr>
      <w:tr>
        <w:tc>
          <w:tcPr>
            <w:tcW w:type="dxa" w:w="397"/>
          </w:tcPr>
          <w:p>
            <w:r/>
            <w:r>
              <w:rPr>
                <w:sz w:val="16"/>
              </w:rPr>
              <w:t>7</w:t>
            </w:r>
          </w:p>
        </w:tc>
        <w:tc>
          <w:tcPr>
            <w:tcW w:type="dxa" w:w="4139"/>
          </w:tcPr>
          <w:p>
            <w:r/>
            <w:r>
              <w:rPr>
                <w:sz w:val="16"/>
              </w:rPr>
              <w:t>New action items, owners and budgets for sub-processor due diligence and the children’s data / AADC assessment</w:t>
            </w:r>
          </w:p>
        </w:tc>
        <w:tc>
          <w:tcPr>
            <w:tcW w:type="dxa" w:w="1587"/>
          </w:tcPr>
          <w:p>
            <w:r/>
            <w:r>
              <w:rPr>
                <w:sz w:val="16"/>
              </w:rPr>
              <w:t>C17, C47</w:t>
            </w:r>
          </w:p>
        </w:tc>
        <w:tc>
          <w:tcPr>
            <w:tcW w:type="dxa" w:w="1644"/>
          </w:tcPr>
          <w:p>
            <w:r/>
            <w:r>
              <w:rPr>
                <w:sz w:val="16"/>
              </w:rPr>
              <w:t>DPO</w:t>
            </w:r>
          </w:p>
        </w:tc>
        <w:tc>
          <w:tcPr>
            <w:tcW w:type="dxa" w:w="1587"/>
          </w:tcPr>
          <w:p>
            <w:r/>
            <w:r>
              <w:rPr>
                <w:sz w:val="16"/>
              </w:rPr>
              <w:t>Plan v1.1</w:t>
            </w:r>
          </w:p>
        </w:tc>
      </w:tr>
      <w:tr>
        <w:tc>
          <w:tcPr>
            <w:tcW w:type="dxa" w:w="397"/>
          </w:tcPr>
          <w:p>
            <w:r/>
            <w:r>
              <w:rPr>
                <w:sz w:val="16"/>
              </w:rPr>
              <w:t>8</w:t>
            </w:r>
          </w:p>
        </w:tc>
        <w:tc>
          <w:tcPr>
            <w:tcW w:type="dxa" w:w="4139"/>
          </w:tcPr>
          <w:p>
            <w:r/>
            <w:r>
              <w:rPr>
                <w:sz w:val="16"/>
              </w:rPr>
              <w:t>Expand transfer safeguards to BHS Inc. and all processors; IDTA/Addendum and TRA, or DPF assessment; transfer register</w:t>
            </w:r>
          </w:p>
        </w:tc>
        <w:tc>
          <w:tcPr>
            <w:tcW w:type="dxa" w:w="1587"/>
          </w:tcPr>
          <w:p>
            <w:r/>
            <w:r>
              <w:rPr>
                <w:sz w:val="16"/>
              </w:rPr>
              <w:t>C20</w:t>
            </w:r>
          </w:p>
        </w:tc>
        <w:tc>
          <w:tcPr>
            <w:tcW w:type="dxa" w:w="1644"/>
          </w:tcPr>
          <w:p>
            <w:r/>
            <w:r>
              <w:rPr>
                <w:sz w:val="16"/>
              </w:rPr>
              <w:t>Thornfield / DPO</w:t>
            </w:r>
          </w:p>
        </w:tc>
        <w:tc>
          <w:tcPr>
            <w:tcW w:type="dxa" w:w="1587"/>
          </w:tcPr>
          <w:p>
            <w:r/>
            <w:r>
              <w:rPr>
                <w:sz w:val="16"/>
              </w:rPr>
              <w:t>BHS Inc. before 15 Apr; all by 14 Jul 2025</w:t>
            </w:r>
          </w:p>
        </w:tc>
      </w:tr>
      <w:tr>
        <w:tc>
          <w:tcPr>
            <w:tcW w:type="dxa" w:w="397"/>
          </w:tcPr>
          <w:p>
            <w:r/>
            <w:r>
              <w:rPr>
                <w:sz w:val="16"/>
              </w:rPr>
              <w:t>9</w:t>
            </w:r>
          </w:p>
        </w:tc>
        <w:tc>
          <w:tcPr>
            <w:tcW w:type="dxa" w:w="4139"/>
          </w:tcPr>
          <w:p>
            <w:r/>
            <w:r>
              <w:rPr>
                <w:sz w:val="16"/>
              </w:rPr>
              <w:t>Reset pseudonymisation to 100% of all Non-Production Environments; 60/120/180-day milestones (16 Mar, 15 May, 14 Jul); data-withdrawal fallback; funding</w:t>
            </w:r>
          </w:p>
        </w:tc>
        <w:tc>
          <w:tcPr>
            <w:tcW w:type="dxa" w:w="1587"/>
          </w:tcPr>
          <w:p>
            <w:r/>
            <w:r>
              <w:rPr>
                <w:sz w:val="16"/>
              </w:rPr>
              <w:t>C29</w:t>
            </w:r>
          </w:p>
        </w:tc>
        <w:tc>
          <w:tcPr>
            <w:tcW w:type="dxa" w:w="1644"/>
          </w:tcPr>
          <w:p>
            <w:r/>
            <w:r>
              <w:rPr>
                <w:sz w:val="16"/>
              </w:rPr>
              <w:t>Platform Eng. / DPO</w:t>
            </w:r>
          </w:p>
        </w:tc>
        <w:tc>
          <w:tcPr>
            <w:tcW w:type="dxa" w:w="1587"/>
          </w:tcPr>
          <w:p>
            <w:r/>
            <w:r>
              <w:rPr>
                <w:sz w:val="16"/>
              </w:rPr>
              <w:t>Plan v1.1; milestone 16 Mar 2025</w:t>
            </w:r>
          </w:p>
        </w:tc>
      </w:tr>
      <w:tr>
        <w:tc>
          <w:tcPr>
            <w:tcW w:type="dxa" w:w="397"/>
          </w:tcPr>
          <w:p>
            <w:r/>
            <w:r>
              <w:rPr>
                <w:sz w:val="16"/>
              </w:rPr>
              <w:t>10</w:t>
            </w:r>
          </w:p>
        </w:tc>
        <w:tc>
          <w:tcPr>
            <w:tcW w:type="dxa" w:w="4139"/>
          </w:tcPr>
          <w:p>
            <w:r/>
            <w:r>
              <w:rPr>
                <w:sz w:val="16"/>
              </w:rPr>
              <w:t>Re-scope Pendleton to all 47 Commitments; 30-day report to the ICO; 60-day remediation plan</w:t>
            </w:r>
          </w:p>
        </w:tc>
        <w:tc>
          <w:tcPr>
            <w:tcW w:type="dxa" w:w="1587"/>
          </w:tcPr>
          <w:p>
            <w:r/>
            <w:r>
              <w:rPr>
                <w:sz w:val="16"/>
              </w:rPr>
              <w:t>C41</w:t>
            </w:r>
          </w:p>
        </w:tc>
        <w:tc>
          <w:tcPr>
            <w:tcW w:type="dxa" w:w="1644"/>
          </w:tcPr>
          <w:p>
            <w:r/>
            <w:r>
              <w:rPr>
                <w:sz w:val="16"/>
              </w:rPr>
              <w:t>DPO / MD</w:t>
            </w:r>
          </w:p>
        </w:tc>
        <w:tc>
          <w:tcPr>
            <w:tcW w:type="dxa" w:w="1587"/>
          </w:tcPr>
          <w:p>
            <w:r/>
            <w:r>
              <w:rPr>
                <w:sz w:val="16"/>
              </w:rPr>
              <w:t>Engagement letter by Q1 2025</w:t>
            </w:r>
          </w:p>
        </w:tc>
      </w:tr>
      <w:tr>
        <w:tc>
          <w:tcPr>
            <w:tcW w:type="dxa" w:w="397"/>
          </w:tcPr>
          <w:p>
            <w:r/>
            <w:r>
              <w:rPr>
                <w:sz w:val="16"/>
              </w:rPr>
              <w:t>11</w:t>
            </w:r>
          </w:p>
        </w:tc>
        <w:tc>
          <w:tcPr>
            <w:tcW w:type="dxa" w:w="4139"/>
          </w:tcPr>
          <w:p>
            <w:r/>
            <w:r>
              <w:rPr>
                <w:sz w:val="16"/>
              </w:rPr>
              <w:t>Fix all High and Medium gaps in Section 4 (incl. SIEM 24/7, MFA third-party/SMS, external trainer, 28-day DSAR across Arts 15–22, 4-FTE privacy team, 24-hour processor notice)</w:t>
            </w:r>
          </w:p>
        </w:tc>
        <w:tc>
          <w:tcPr>
            <w:tcW w:type="dxa" w:w="1587"/>
          </w:tcPr>
          <w:p>
            <w:r/>
            <w:r>
              <w:rPr>
                <w:sz w:val="16"/>
              </w:rPr>
              <w:t>Various</w:t>
            </w:r>
          </w:p>
        </w:tc>
        <w:tc>
          <w:tcPr>
            <w:tcW w:type="dxa" w:w="1644"/>
          </w:tcPr>
          <w:p>
            <w:r/>
            <w:r>
              <w:rPr>
                <w:sz w:val="16"/>
              </w:rPr>
              <w:t>Action owners</w:t>
            </w:r>
          </w:p>
        </w:tc>
        <w:tc>
          <w:tcPr>
            <w:tcW w:type="dxa" w:w="1587"/>
          </w:tcPr>
          <w:p>
            <w:r/>
            <w:r>
              <w:rPr>
                <w:sz w:val="16"/>
              </w:rPr>
              <w:t>Plan v1.1</w:t>
            </w:r>
          </w:p>
        </w:tc>
      </w:tr>
      <w:tr>
        <w:tc>
          <w:tcPr>
            <w:tcW w:type="dxa" w:w="397"/>
          </w:tcPr>
          <w:p>
            <w:r/>
            <w:r>
              <w:rPr>
                <w:sz w:val="16"/>
              </w:rPr>
              <w:t>12</w:t>
            </w:r>
          </w:p>
        </w:tc>
        <w:tc>
          <w:tcPr>
            <w:tcW w:type="dxa" w:w="4139"/>
          </w:tcPr>
          <w:p>
            <w:r/>
            <w:r>
              <w:rPr>
                <w:sz w:val="16"/>
              </w:rPr>
              <w:t>Quarterly Report template on 47 Commitments with Cl. 8.3(a)–(e) content and DPO + MD signatures; align cut-off dates</w:t>
            </w:r>
          </w:p>
        </w:tc>
        <w:tc>
          <w:tcPr>
            <w:tcW w:type="dxa" w:w="1587"/>
          </w:tcPr>
          <w:p>
            <w:r/>
            <w:r>
              <w:rPr>
                <w:sz w:val="16"/>
              </w:rPr>
              <w:t>Cl. 8.3</w:t>
            </w:r>
          </w:p>
        </w:tc>
        <w:tc>
          <w:tcPr>
            <w:tcW w:type="dxa" w:w="1644"/>
          </w:tcPr>
          <w:p>
            <w:r/>
            <w:r>
              <w:rPr>
                <w:sz w:val="16"/>
              </w:rPr>
              <w:t>DPO</w:t>
            </w:r>
          </w:p>
        </w:tc>
        <w:tc>
          <w:tcPr>
            <w:tcW w:type="dxa" w:w="1587"/>
          </w:tcPr>
          <w:p>
            <w:r/>
            <w:r>
              <w:rPr>
                <w:sz w:val="16"/>
              </w:rPr>
              <w:t>Before 15 Apr 2025</w:t>
            </w:r>
          </w:p>
        </w:tc>
      </w:tr>
      <w:tr>
        <w:tc>
          <w:tcPr>
            <w:tcW w:type="dxa" w:w="397"/>
          </w:tcPr>
          <w:p>
            <w:r/>
            <w:r>
              <w:rPr>
                <w:sz w:val="16"/>
              </w:rPr>
              <w:t>13</w:t>
            </w:r>
          </w:p>
        </w:tc>
        <w:tc>
          <w:tcPr>
            <w:tcW w:type="dxa" w:w="4139"/>
          </w:tcPr>
          <w:p>
            <w:r/>
            <w:r>
              <w:rPr>
                <w:sz w:val="16"/>
              </w:rPr>
              <w:t>Rebuild Appendix A and the matrix from Schedule 2; correct factual inconsistencies; confirm budget approval by the BHS UK board and extra funding</w:t>
            </w:r>
          </w:p>
        </w:tc>
        <w:tc>
          <w:tcPr>
            <w:tcW w:type="dxa" w:w="1587"/>
          </w:tcPr>
          <w:p>
            <w:r/>
            <w:r>
              <w:rPr>
                <w:sz w:val="16"/>
              </w:rPr>
              <w:t>All; Recital 2.9</w:t>
            </w:r>
          </w:p>
        </w:tc>
        <w:tc>
          <w:tcPr>
            <w:tcW w:type="dxa" w:w="1644"/>
          </w:tcPr>
          <w:p>
            <w:r/>
            <w:r>
              <w:rPr>
                <w:sz w:val="16"/>
              </w:rPr>
              <w:t>Thornfield</w:t>
            </w:r>
          </w:p>
        </w:tc>
        <w:tc>
          <w:tcPr>
            <w:tcW w:type="dxa" w:w="1587"/>
          </w:tcPr>
          <w:p>
            <w:r/>
            <w:r>
              <w:rPr>
                <w:sz w:val="16"/>
              </w:rPr>
              <w:t>Plan v1.1</w:t>
            </w:r>
          </w:p>
        </w:tc>
      </w:tr>
      <w:tr>
        <w:tc>
          <w:tcPr>
            <w:tcW w:type="dxa" w:w="397"/>
          </w:tcPr>
          <w:p>
            <w:r/>
            <w:r>
              <w:rPr>
                <w:sz w:val="16"/>
              </w:rPr>
              <w:t>14</w:t>
            </w:r>
          </w:p>
        </w:tc>
        <w:tc>
          <w:tcPr>
            <w:tcW w:type="dxa" w:w="4139"/>
          </w:tcPr>
          <w:p>
            <w:r/>
            <w:r>
              <w:rPr>
                <w:sz w:val="16"/>
              </w:rPr>
              <w:t>Confirm insurance position with Kestrel in writing (incl. 1 Apr 2025 renewal)</w:t>
            </w:r>
          </w:p>
        </w:tc>
        <w:tc>
          <w:tcPr>
            <w:tcW w:type="dxa" w:w="1587"/>
          </w:tcPr>
          <w:p>
            <w:r/>
            <w:r>
              <w:rPr>
                <w:sz w:val="16"/>
              </w:rPr>
              <w:t>Budget</w:t>
            </w:r>
          </w:p>
        </w:tc>
        <w:tc>
          <w:tcPr>
            <w:tcW w:type="dxa" w:w="1644"/>
          </w:tcPr>
          <w:p>
            <w:r/>
            <w:r>
              <w:rPr>
                <w:sz w:val="16"/>
              </w:rPr>
              <w:t>MD / Finance</w:t>
            </w:r>
          </w:p>
        </w:tc>
        <w:tc>
          <w:tcPr>
            <w:tcW w:type="dxa" w:w="1587"/>
          </w:tcPr>
          <w:p>
            <w:r/>
            <w:r>
              <w:rPr>
                <w:sz w:val="16"/>
              </w:rPr>
              <w:t>Before 1 Apr 2025</w:t>
            </w:r>
          </w:p>
        </w:tc>
      </w:tr>
    </w:tbl>
    <w:p>
      <w:pPr>
        <w:spacing w:after="40"/>
      </w:pPr>
    </w:p>
    <w:p>
      <w:pPr>
        <w:pStyle w:val="Heading2"/>
      </w:pPr>
      <w:r>
        <w:t>Key Dates Calendar</w:t>
      </w:r>
    </w:p>
    <w:tbl>
      <w:tblPr>
        <w:tblStyle w:val="TableGrid"/>
        <w:tblW w:type="auto" w:w="0"/>
        <w:jc w:val="center"/>
        <w:tblLook w:firstColumn="1" w:firstRow="1" w:lastColumn="0" w:lastRow="0" w:noHBand="0" w:noVBand="1" w:val="04A0"/>
      </w:tblPr>
      <w:tblGrid>
        <w:gridCol w:w="6673"/>
        <w:gridCol w:w="6673"/>
      </w:tblGrid>
      <w:tr>
        <w:trPr>
          <w:tblHeader w:val="true"/>
        </w:trPr>
        <w:tc>
          <w:tcPr>
            <w:tcW w:type="dxa" w:w="1984"/>
            <w:shd w:val="clear" w:color="auto" w:fill="1F3A5F"/>
          </w:tcPr>
          <w:p>
            <w:r/>
            <w:r>
              <w:rPr>
                <w:b/>
                <w:color w:val="FFFFFF"/>
                <w:sz w:val="17"/>
              </w:rPr>
              <w:t>Date</w:t>
            </w:r>
          </w:p>
        </w:tc>
        <w:tc>
          <w:tcPr>
            <w:tcW w:type="dxa" w:w="7370"/>
            <w:shd w:val="clear" w:color="auto" w:fill="1F3A5F"/>
          </w:tcPr>
          <w:p>
            <w:r/>
            <w:r>
              <w:rPr>
                <w:b/>
                <w:color w:val="FFFFFF"/>
                <w:sz w:val="17"/>
              </w:rPr>
              <w:t>Event / obligation</w:t>
            </w:r>
          </w:p>
        </w:tc>
      </w:tr>
      <w:tr>
        <w:tc>
          <w:tcPr>
            <w:tcW w:type="dxa" w:w="1984"/>
          </w:tcPr>
          <w:p>
            <w:r/>
            <w:r>
              <w:rPr>
                <w:sz w:val="17"/>
              </w:rPr>
              <w:t>31 Jan 2025</w:t>
            </w:r>
          </w:p>
        </w:tc>
        <w:tc>
          <w:tcPr>
            <w:tcW w:type="dxa" w:w="7370"/>
          </w:tcPr>
          <w:p>
            <w:r/>
            <w:r>
              <w:rPr>
                <w:sz w:val="17"/>
              </w:rPr>
              <w:t>Last day for a Cl. 7.6 extension request for Phase 1 (passed)</w:t>
            </w:r>
          </w:p>
        </w:tc>
      </w:tr>
      <w:tr>
        <w:tc>
          <w:tcPr>
            <w:tcW w:type="dxa" w:w="1984"/>
          </w:tcPr>
          <w:p>
            <w:r/>
            <w:r>
              <w:rPr>
                <w:sz w:val="17"/>
              </w:rPr>
              <w:t>14 Feb 2025</w:t>
            </w:r>
          </w:p>
        </w:tc>
        <w:tc>
          <w:tcPr>
            <w:tcW w:type="dxa" w:w="7370"/>
          </w:tcPr>
          <w:p>
            <w:r/>
            <w:r>
              <w:rPr>
                <w:sz w:val="17"/>
              </w:rPr>
              <w:t>Phase 1 deadline: C1, C2, C3, C32, C33</w:t>
            </w:r>
          </w:p>
        </w:tc>
      </w:tr>
      <w:tr>
        <w:tc>
          <w:tcPr>
            <w:tcW w:type="dxa" w:w="1984"/>
          </w:tcPr>
          <w:p>
            <w:r/>
            <w:r>
              <w:rPr>
                <w:sz w:val="17"/>
              </w:rPr>
              <w:t>16 Mar 2025</w:t>
            </w:r>
          </w:p>
        </w:tc>
        <w:tc>
          <w:tcPr>
            <w:tcW w:type="dxa" w:w="7370"/>
          </w:tcPr>
          <w:p>
            <w:r/>
            <w:r>
              <w:rPr>
                <w:sz w:val="17"/>
              </w:rPr>
              <w:t>C29 60-day pseudonymisation milestone</w:t>
            </w:r>
          </w:p>
        </w:tc>
      </w:tr>
      <w:tr>
        <w:tc>
          <w:tcPr>
            <w:tcW w:type="dxa" w:w="1984"/>
          </w:tcPr>
          <w:p>
            <w:r/>
            <w:r>
              <w:rPr>
                <w:sz w:val="17"/>
              </w:rPr>
              <w:t>1 Apr 2025</w:t>
            </w:r>
          </w:p>
        </w:tc>
        <w:tc>
          <w:tcPr>
            <w:tcW w:type="dxa" w:w="7370"/>
          </w:tcPr>
          <w:p>
            <w:r/>
            <w:r>
              <w:rPr>
                <w:sz w:val="17"/>
              </w:rPr>
              <w:t>Last day for a Phase 2 extension request; Kestrel policy renewal (per matrix)</w:t>
            </w:r>
          </w:p>
        </w:tc>
      </w:tr>
      <w:tr>
        <w:tc>
          <w:tcPr>
            <w:tcW w:type="dxa" w:w="1984"/>
          </w:tcPr>
          <w:p>
            <w:r/>
            <w:r>
              <w:rPr>
                <w:sz w:val="17"/>
              </w:rPr>
              <w:t>15 Apr 2025</w:t>
            </w:r>
          </w:p>
        </w:tc>
        <w:tc>
          <w:tcPr>
            <w:tcW w:type="dxa" w:w="7370"/>
          </w:tcPr>
          <w:p>
            <w:r/>
            <w:r>
              <w:rPr>
                <w:sz w:val="17"/>
              </w:rPr>
              <w:t>Phase 2 deadline; first Quarterly Report</w:t>
            </w:r>
          </w:p>
        </w:tc>
      </w:tr>
      <w:tr>
        <w:tc>
          <w:tcPr>
            <w:tcW w:type="dxa" w:w="1984"/>
          </w:tcPr>
          <w:p>
            <w:r/>
            <w:r>
              <w:rPr>
                <w:sz w:val="17"/>
              </w:rPr>
              <w:t>15 May 2025</w:t>
            </w:r>
          </w:p>
        </w:tc>
        <w:tc>
          <w:tcPr>
            <w:tcW w:type="dxa" w:w="7370"/>
          </w:tcPr>
          <w:p>
            <w:r/>
            <w:r>
              <w:rPr>
                <w:sz w:val="17"/>
              </w:rPr>
              <w:t>C29 120-day milestone</w:t>
            </w:r>
          </w:p>
        </w:tc>
      </w:tr>
      <w:tr>
        <w:tc>
          <w:tcPr>
            <w:tcW w:type="dxa" w:w="1984"/>
          </w:tcPr>
          <w:p>
            <w:r/>
            <w:r>
              <w:rPr>
                <w:sz w:val="17"/>
              </w:rPr>
              <w:t>30 Jun 2025</w:t>
            </w:r>
          </w:p>
        </w:tc>
        <w:tc>
          <w:tcPr>
            <w:tcW w:type="dxa" w:w="7370"/>
          </w:tcPr>
          <w:p>
            <w:r/>
            <w:r>
              <w:rPr>
                <w:sz w:val="17"/>
              </w:rPr>
              <w:t>Last day for a Phase 3 extension request</w:t>
            </w:r>
          </w:p>
        </w:tc>
      </w:tr>
      <w:tr>
        <w:tc>
          <w:tcPr>
            <w:tcW w:type="dxa" w:w="1984"/>
          </w:tcPr>
          <w:p>
            <w:r/>
            <w:r>
              <w:rPr>
                <w:sz w:val="17"/>
              </w:rPr>
              <w:t>14 Jul 2025</w:t>
            </w:r>
          </w:p>
        </w:tc>
        <w:tc>
          <w:tcPr>
            <w:tcW w:type="dxa" w:w="7370"/>
          </w:tcPr>
          <w:p>
            <w:r/>
            <w:r>
              <w:rPr>
                <w:sz w:val="17"/>
              </w:rPr>
              <w:t>Phase 3 deadline (25 Commitments); C29 100% coverage; C11 retrospective DPIAs (180 days)</w:t>
            </w:r>
          </w:p>
        </w:tc>
      </w:tr>
      <w:tr>
        <w:tc>
          <w:tcPr>
            <w:tcW w:type="dxa" w:w="1984"/>
          </w:tcPr>
          <w:p>
            <w:r/>
            <w:r>
              <w:rPr>
                <w:sz w:val="17"/>
              </w:rPr>
              <w:t>15 Jul 2025</w:t>
            </w:r>
          </w:p>
        </w:tc>
        <w:tc>
          <w:tcPr>
            <w:tcW w:type="dxa" w:w="7370"/>
          </w:tcPr>
          <w:p>
            <w:r/>
            <w:r>
              <w:rPr>
                <w:sz w:val="17"/>
              </w:rPr>
              <w:t>Second Quarterly Report</w:t>
            </w:r>
          </w:p>
        </w:tc>
      </w:tr>
      <w:tr>
        <w:tc>
          <w:tcPr>
            <w:tcW w:type="dxa" w:w="1984"/>
          </w:tcPr>
          <w:p>
            <w:r/>
            <w:r>
              <w:rPr>
                <w:sz w:val="17"/>
              </w:rPr>
              <w:t>15 Oct 2025</w:t>
            </w:r>
          </w:p>
        </w:tc>
        <w:tc>
          <w:tcPr>
            <w:tcW w:type="dxa" w:w="7370"/>
          </w:tcPr>
          <w:p>
            <w:r/>
            <w:r>
              <w:rPr>
                <w:sz w:val="17"/>
              </w:rPr>
              <w:t>Third Quarterly Report</w:t>
            </w:r>
          </w:p>
        </w:tc>
      </w:tr>
      <w:tr>
        <w:tc>
          <w:tcPr>
            <w:tcW w:type="dxa" w:w="1984"/>
          </w:tcPr>
          <w:p>
            <w:r/>
            <w:r>
              <w:rPr>
                <w:sz w:val="17"/>
              </w:rPr>
              <w:t>1 Jan 2026</w:t>
            </w:r>
          </w:p>
        </w:tc>
        <w:tc>
          <w:tcPr>
            <w:tcW w:type="dxa" w:w="7370"/>
          </w:tcPr>
          <w:p>
            <w:r/>
            <w:r>
              <w:rPr>
                <w:sz w:val="17"/>
              </w:rPr>
              <w:t>Last day for a Phase 4 extension request</w:t>
            </w:r>
          </w:p>
        </w:tc>
      </w:tr>
      <w:tr>
        <w:tc>
          <w:tcPr>
            <w:tcW w:type="dxa" w:w="1984"/>
          </w:tcPr>
          <w:p>
            <w:r/>
            <w:r>
              <w:rPr>
                <w:sz w:val="17"/>
              </w:rPr>
              <w:t>15 Jan 2026</w:t>
            </w:r>
          </w:p>
        </w:tc>
        <w:tc>
          <w:tcPr>
            <w:tcW w:type="dxa" w:w="7370"/>
          </w:tcPr>
          <w:p>
            <w:r/>
            <w:r>
              <w:rPr>
                <w:sz w:val="17"/>
              </w:rPr>
              <w:t>Phase 4 deadline (C41 first audit complete; C47 changes complete); fourth Quarterly Report</w:t>
            </w:r>
          </w:p>
        </w:tc>
      </w:tr>
      <w:tr>
        <w:tc>
          <w:tcPr>
            <w:tcW w:type="dxa" w:w="1984"/>
          </w:tcPr>
          <w:p>
            <w:r/>
            <w:r>
              <w:rPr>
                <w:sz w:val="17"/>
              </w:rPr>
              <w:t>+30 days after audit</w:t>
            </w:r>
          </w:p>
        </w:tc>
        <w:tc>
          <w:tcPr>
            <w:tcW w:type="dxa" w:w="7370"/>
          </w:tcPr>
          <w:p>
            <w:r/>
            <w:r>
              <w:rPr>
                <w:sz w:val="17"/>
              </w:rPr>
              <w:t>Full audit report to the ICO; remediation plan within 60 days of receipt</w:t>
            </w:r>
          </w:p>
        </w:tc>
      </w:tr>
      <w:tr>
        <w:tc>
          <w:tcPr>
            <w:tcW w:type="dxa" w:w="1984"/>
          </w:tcPr>
          <w:p>
            <w:r/>
            <w:r>
              <w:rPr>
                <w:sz w:val="17"/>
              </w:rPr>
              <w:t>15 Jan 2028</w:t>
            </w:r>
          </w:p>
        </w:tc>
        <w:tc>
          <w:tcPr>
            <w:tcW w:type="dxa" w:w="7370"/>
          </w:tcPr>
          <w:p>
            <w:r/>
            <w:r>
              <w:rPr>
                <w:sz w:val="17"/>
              </w:rPr>
              <w:t>Earliest expiry of the Undertaking (Cl. 5.1); evidence retained for 2 years after that (Cl. 10.2)</w:t>
            </w:r>
          </w:p>
        </w:tc>
      </w:tr>
    </w:tbl>
    <w:p>
      <w:pPr>
        <w:spacing w:after="40"/>
      </w:pPr>
    </w:p>
    <w:p>
      <w:pPr>
        <w:spacing w:after="80"/>
      </w:pPr>
    </w:p>
    <w:p>
      <w:pPr>
        <w:spacing w:after="80"/>
      </w:pPr>
      <w:r>
        <w:rPr>
          <w:b w:val="0"/>
          <w:i/>
          <w:sz w:val="18"/>
        </w:rPr>
        <w:t>This report is based only on the documents listed on the cover page. We have not verified the technical state of BellCloud UK or the processor and transfer arrangements. Where we suggest technical alternatives (for example for TLS or pseudonymisation), they should be checked by an independent technical adviser and agreed with the ICO before BHS UK relies on them.</w:t>
      </w:r>
    </w:p>
    <w:sectPr w:rsidR="00FC693F" w:rsidRPr="0006063C" w:rsidSect="00034616">
      <w:pgSz w:w="15840" w:h="12240"/>
      <w:pgMar w:top="850" w:right="1247"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Privileged &amp; Confidential — Gap Analysis: BHS UK Remediation Plan v1.0 vs ICO Undertaking (ICO/INV/2024/09871)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