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18"/>
        </w:rPr>
        <w:t>PRIVILEGED &amp; CONFIDENTIAL – ATTORNEY-CLIENT COMMUNICATION / ATTORNEY WORK PRODUCT</w:t>
      </w:r>
    </w:p>
    <w:p>
      <w:pPr>
        <w:spacing w:after="120"/>
        <w:jc w:val="center"/>
      </w:pPr>
      <w:r>
        <w:rPr>
          <w:b w:val="0"/>
          <w:i/>
          <w:sz w:val="17"/>
        </w:rPr>
        <w:t>Prepared at the direction of the Deputy General Counsel to obtain and act on legal advice. Limited distribution – do not forward, excerpt, or paste into the S-1 or any external material without Legal sign-off.</w:t>
      </w:r>
    </w:p>
    <w:p>
      <w:pPr>
        <w:jc w:val="center"/>
      </w:pPr>
      <w:r>
        <w:rPr>
          <w:b/>
          <w:color w:val="1F3A5F"/>
          <w:sz w:val="36"/>
        </w:rPr>
        <w:t>EXECUTIVE REGULATORY BRIEF</w:t>
      </w:r>
    </w:p>
    <w:p>
      <w:pPr>
        <w:jc w:val="center"/>
      </w:pPr>
      <w:r>
        <w:rPr>
          <w:b/>
          <w:sz w:val="24"/>
        </w:rPr>
        <w:t>New EU Rules on Workforce Analytics: What EDPB Guidelines 03/2024 and the Dutch TalentScope Fine Mean for PulseView</w:t>
      </w:r>
    </w:p>
    <w:tbl>
      <w:tblPr>
        <w:tblStyle w:val="TableGrid"/>
        <w:tblW w:type="auto" w:w="0"/>
        <w:jc w:val="center"/>
        <w:tblLook w:firstColumn="1" w:firstRow="1" w:lastColumn="0" w:lastRow="0" w:noHBand="0" w:noVBand="1" w:val="04A0"/>
      </w:tblPr>
      <w:tblGrid>
        <w:gridCol w:w="4824"/>
        <w:gridCol w:w="4824"/>
      </w:tblGrid>
      <w:tr>
        <w:tc>
          <w:tcPr>
            <w:tcW w:type="dxa" w:w="1584"/>
          </w:tcPr>
          <w:p>
            <w:r>
              <w:rPr>
                <w:sz w:val="18"/>
              </w:rPr>
            </w:r>
            <w:r>
              <w:rPr>
                <w:b/>
                <w:sz w:val="18"/>
              </w:rPr>
              <w:t>To</w:t>
            </w:r>
          </w:p>
        </w:tc>
        <w:tc>
          <w:tcPr>
            <w:tcW w:type="dxa" w:w="8064"/>
          </w:tcPr>
          <w:p>
            <w:r>
              <w:rPr>
                <w:sz w:val="18"/>
              </w:rPr>
            </w:r>
            <w:r>
              <w:rPr>
                <w:b w:val="0"/>
                <w:sz w:val="18"/>
              </w:rPr>
              <w:t>NovaBridge cross-functional leadership – Executive team; Legal (Aisling Brennan, Deputy GC); Privacy (Tomás Herrera-Vidal, CPO/DPO, NovaBridge EU B.V.); Engineering (Raina Chaudhary, VP Engineering); Product; Finance / IPO working group; Customer Success and Sales leadership</w:t>
            </w:r>
          </w:p>
        </w:tc>
      </w:tr>
      <w:tr>
        <w:tc>
          <w:tcPr>
            <w:tcW w:type="dxa" w:w="1584"/>
          </w:tcPr>
          <w:p>
            <w:r>
              <w:rPr>
                <w:sz w:val="18"/>
              </w:rPr>
            </w:r>
            <w:r>
              <w:rPr>
                <w:b/>
                <w:sz w:val="18"/>
              </w:rPr>
              <w:t>From</w:t>
            </w:r>
          </w:p>
        </w:tc>
        <w:tc>
          <w:tcPr>
            <w:tcW w:type="dxa" w:w="8064"/>
          </w:tcPr>
          <w:p>
            <w:r>
              <w:rPr>
                <w:sz w:val="18"/>
              </w:rPr>
            </w:r>
            <w:r>
              <w:rPr>
                <w:b w:val="0"/>
                <w:sz w:val="18"/>
              </w:rPr>
              <w:t>Legal &amp; Privacy (prepared for the Deputy General Counsel)</w:t>
            </w:r>
          </w:p>
        </w:tc>
      </w:tr>
      <w:tr>
        <w:tc>
          <w:tcPr>
            <w:tcW w:type="dxa" w:w="1584"/>
          </w:tcPr>
          <w:p>
            <w:r>
              <w:rPr>
                <w:sz w:val="18"/>
              </w:rPr>
            </w:r>
            <w:r>
              <w:rPr>
                <w:b/>
                <w:sz w:val="18"/>
              </w:rPr>
              <w:t>Date</w:t>
            </w:r>
          </w:p>
        </w:tc>
        <w:tc>
          <w:tcPr>
            <w:tcW w:type="dxa" w:w="8064"/>
          </w:tcPr>
          <w:p>
            <w:r>
              <w:rPr>
                <w:sz w:val="18"/>
              </w:rPr>
            </w:r>
            <w:r>
              <w:rPr>
                <w:b w:val="0"/>
                <w:sz w:val="18"/>
              </w:rPr>
              <w:t>January 2025 (reflects documents dated 10–20 January 2025)</w:t>
            </w:r>
          </w:p>
        </w:tc>
      </w:tr>
      <w:tr>
        <w:tc>
          <w:tcPr>
            <w:tcW w:type="dxa" w:w="1584"/>
          </w:tcPr>
          <w:p>
            <w:r>
              <w:rPr>
                <w:sz w:val="18"/>
              </w:rPr>
            </w:r>
            <w:r>
              <w:rPr>
                <w:b/>
                <w:sz w:val="18"/>
              </w:rPr>
              <w:t>Sources</w:t>
            </w:r>
          </w:p>
        </w:tc>
        <w:tc>
          <w:tcPr>
            <w:tcW w:type="dxa" w:w="8064"/>
          </w:tcPr>
          <w:p>
            <w:r>
              <w:rPr>
                <w:sz w:val="18"/>
              </w:rPr>
            </w:r>
            <w:r>
              <w:rPr>
                <w:b w:val="0"/>
                <w:sz w:val="18"/>
              </w:rPr>
              <w:t>(1) Valcourt Deschênes LLP memo on EDPB Guidelines 03/2024 (20 Jan 2025); (2) Valcourt Deschênes summary of Dutch AP Decision AP-2025-0042, TalentScope B.V. (20 Jan 2025); (3) Valcourt Deschênes cover email (20 Jan 2025); (4) NovaBridge EU PulseView Data Processing Overview v3.1 (10 Jan 2025); (5) NovaBridge GDPR Compliance Tracker (last full review 10 Jan 2025)</w:t>
            </w:r>
          </w:p>
        </w:tc>
      </w:tr>
      <w:tr>
        <w:tc>
          <w:tcPr>
            <w:tcW w:type="dxa" w:w="1584"/>
          </w:tcPr>
          <w:p>
            <w:r>
              <w:rPr>
                <w:sz w:val="18"/>
              </w:rPr>
            </w:r>
            <w:r>
              <w:rPr>
                <w:b/>
                <w:sz w:val="18"/>
              </w:rPr>
              <w:t>Purpose</w:t>
            </w:r>
          </w:p>
        </w:tc>
        <w:tc>
          <w:tcPr>
            <w:tcW w:type="dxa" w:w="8064"/>
          </w:tcPr>
          <w:p>
            <w:r>
              <w:rPr>
                <w:sz w:val="18"/>
              </w:rPr>
            </w:r>
            <w:r>
              <w:rPr>
                <w:b w:val="0"/>
                <w:sz w:val="18"/>
              </w:rPr>
              <w:t>A plain-language summary of the new regulatory position, how closely PulseView matches the conduct just fined, our realistic exposure, and the decisions and resources needed from leadership now.</w:t>
            </w:r>
          </w:p>
        </w:tc>
      </w:tr>
    </w:tbl>
    <w:p>
      <w:pPr>
        <w:spacing w:after="40"/>
      </w:pPr>
    </w:p>
    <w:p>
      <w:pPr>
        <w:pStyle w:val="Heading1"/>
      </w:pPr>
      <w:r>
        <w:t>1. The bottom line</w:t>
      </w:r>
    </w:p>
    <w:tbl>
      <w:tblPr>
        <w:tblStyle w:val="TableGrid"/>
        <w:tblW w:type="auto" w:w="0"/>
        <w:tblLook w:firstColumn="1" w:firstRow="1" w:lastColumn="0" w:lastRow="0" w:noHBand="0" w:noVBand="1" w:val="04A0"/>
      </w:tblPr>
      <w:tblGrid>
        <w:gridCol w:w="9648"/>
      </w:tblGrid>
      <w:tr>
        <w:tc>
          <w:tcPr>
            <w:tcW w:type="dxa" w:w="9648"/>
            <w:shd w:val="clear" w:color="auto" w:fill="E8EEF7"/>
          </w:tcPr>
          <w:p>
            <w:pPr>
              <w:spacing w:after="80"/>
            </w:pPr>
            <w:r>
              <w:rPr>
                <w:sz w:val="20"/>
              </w:rPr>
            </w:r>
            <w:r>
              <w:rPr>
                <w:b/>
                <w:sz w:val="20"/>
              </w:rPr>
              <w:t>In one sentence:</w:t>
            </w:r>
            <w:r>
              <w:rPr>
                <w:b w:val="0"/>
                <w:sz w:val="20"/>
              </w:rPr>
              <w:t xml:space="preserve"> EU regulators have just said – in guidance (December 2024) and in a €8.5 million fine against a near-identical competitor (January 2025) – that the way PulseView currently collects, scores, keeps and moves employee data is not lawful, and our own lead regulator, the Dutch AP, is the one that issued the fine.</w:t>
            </w:r>
          </w:p>
          <w:p>
            <w:pPr>
              <w:spacing w:after="80"/>
            </w:pPr>
            <w:r>
              <w:rPr>
                <w:b/>
                <w:sz w:val="20"/>
              </w:rPr>
              <w:t>1. This is current law, not a future rule.</w:t>
            </w:r>
            <w:r>
              <w:rPr>
                <w:b w:val="0"/>
                <w:sz w:val="20"/>
              </w:rPr>
              <w:t xml:space="preserve"> The Dutch AP applied the EDPB guidance to conduct that pre-dated it and said companies cannot claim a grace period. Every gap below is a present-day exposure.</w:t>
            </w:r>
          </w:p>
          <w:p>
            <w:pPr>
              <w:spacing w:after="80"/>
            </w:pPr>
            <w:r>
              <w:rPr>
                <w:b/>
                <w:sz w:val="20"/>
              </w:rPr>
              <w:t>2. PulseView matches all four grounds of the TalentScope fine</w:t>
            </w:r>
            <w:r>
              <w:rPr>
                <w:b w:val="0"/>
                <w:sz w:val="20"/>
              </w:rPr>
              <w:t xml:space="preserve"> – legal basis for productivity tracking, DPIA not covering per-employee scoring, over-long retention, and no purpose-specific transfer assessment for US model training – and has further gaps TalentScope was not fined for (our consent flow fails every element of the new consent test).</w:t>
            </w:r>
          </w:p>
          <w:p>
            <w:pPr>
              <w:spacing w:after="80"/>
            </w:pPr>
            <w:r>
              <w:rPr>
                <w:b/>
                <w:sz w:val="20"/>
              </w:rPr>
              <w:t>3. Our compliance tracker is materially out of date.</w:t>
            </w:r>
            <w:r>
              <w:rPr>
                <w:b w:val="0"/>
                <w:sz w:val="20"/>
              </w:rPr>
              <w:t xml:space="preserve"> It rates every item Green / Compliant. On the facts in our own documents, at least a dozen items should be Red or Amber today. The current tracker should not be given to S-1 counsel, auditors or investors as a status report.</w:t>
            </w:r>
          </w:p>
          <w:p>
            <w:pPr>
              <w:spacing w:after="80"/>
            </w:pPr>
            <w:r>
              <w:rPr>
                <w:b/>
                <w:sz w:val="20"/>
              </w:rPr>
              <w:t>4. Realistic fine exposure is about €8 million; the legal ceiling is €20 million – not the €11.6 million in our tracker and in counsel’s memos.</w:t>
            </w:r>
            <w:r>
              <w:rPr>
                <w:b w:val="0"/>
                <w:sz w:val="20"/>
              </w:rPr>
              <w:t xml:space="preserve"> Our €5 million insurance sub-limit may not pay at all if GDPR fines are not insurable in the Netherlands.</w:t>
            </w:r>
          </w:p>
          <w:p>
            <w:pPr>
              <w:spacing w:after="80"/>
            </w:pPr>
            <w:r>
              <w:rPr>
                <w:b/>
                <w:sz w:val="20"/>
              </w:rPr>
              <w:t>5. The Q3 2025 IPO is the forcing deadline.</w:t>
            </w:r>
            <w:r>
              <w:rPr>
                <w:b w:val="0"/>
                <w:sz w:val="20"/>
              </w:rPr>
              <w:t xml:space="preserve"> We have roughly six months to show a credible, documented remediation programme that can be described in the S-1 risk factors. Several fixes need engineering work and contract changes across 740+ client DPAs, so they must start now.</w:t>
            </w:r>
          </w:p>
        </w:tc>
      </w:tr>
    </w:tbl>
    <w:p>
      <w:pPr>
        <w:spacing w:after="40"/>
      </w:pPr>
    </w:p>
    <w:p>
      <w:pPr>
        <w:spacing w:after="60"/>
      </w:pPr>
      <w:r>
        <w:rPr>
          <w:b/>
        </w:rPr>
        <w:t>What we are asking leadership to do now</w:t>
      </w:r>
      <w:r>
        <w:rPr>
          <w:b w:val="0"/>
        </w:rPr>
        <w:t xml:space="preserve"> (detail in Sections 7 and 8):</w:t>
      </w:r>
    </w:p>
    <w:p>
      <w:pPr>
        <w:pStyle w:val="ListNumber"/>
        <w:spacing w:after="60"/>
      </w:pPr>
      <w:r>
        <w:rPr>
          <w:b w:val="0"/>
        </w:rPr>
        <w:t>Approve a funded GDPR remediation programme with an accountable executive sponsor and weekly status reporting through the IPO.</w:t>
      </w:r>
    </w:p>
    <w:p>
      <w:pPr>
        <w:pStyle w:val="ListNumber"/>
        <w:spacing w:after="60"/>
      </w:pPr>
      <w:r>
        <w:rPr>
          <w:b w:val="0"/>
        </w:rPr>
        <w:t>Decide on interim risk-reduction steps for PulseView, including whether to pause or limit EU per-employee scoring and US model-training transfers until they are remediated.</w:t>
      </w:r>
    </w:p>
    <w:p>
      <w:pPr>
        <w:pStyle w:val="ListNumber"/>
        <w:spacing w:after="60"/>
      </w:pPr>
      <w:r>
        <w:rPr>
          <w:b w:val="0"/>
        </w:rPr>
        <w:t>Authorise Legal to brief the Board audit committee and Kessler Whitmore (S-1 counsel) on a corrected risk picture, and to engage Albion Specialty on insurance coverage.</w:t>
      </w:r>
    </w:p>
    <w:p>
      <w:pPr>
        <w:pStyle w:val="Heading1"/>
      </w:pPr>
      <w:r>
        <w:t>2. What changed – in plain language</w:t>
      </w:r>
    </w:p>
    <w:p>
      <w:pPr>
        <w:pStyle w:val="Heading2"/>
      </w:pPr>
      <w:r>
        <w:t>2.1 EDPB Guidelines 03/2024 (adopted 12 December 2024)</w:t>
      </w:r>
    </w:p>
    <w:p>
      <w:pPr>
        <w:spacing w:after="120"/>
      </w:pPr>
      <w:r>
        <w:rPr>
          <w:b w:val="0"/>
        </w:rPr>
        <w:t>The EDPB is the body of all EU data protection regulators. Its guidelines are not legislation, but regulators use them to decide cases, and departing from them requires strong justification. These are the first EU-wide guidelines aimed squarely at AI-driven workforce analytics. They apply to vendors like us, not only to employers. Five positions matter:</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val="clear" w:color="auto" w:fill="1F3A5F"/>
          </w:tcPr>
          <w:p>
            <w:r/>
            <w:r>
              <w:rPr>
                <w:b/>
                <w:color w:val="FFFFFF"/>
                <w:sz w:val="17"/>
              </w:rPr>
              <w:t>Topic</w:t>
            </w:r>
          </w:p>
        </w:tc>
        <w:tc>
          <w:tcPr>
            <w:tcW w:type="dxa" w:w="6912"/>
            <w:shd w:val="clear" w:color="auto" w:fill="1F3A5F"/>
          </w:tcPr>
          <w:p>
            <w:r/>
            <w:r>
              <w:rPr>
                <w:b/>
                <w:color w:val="FFFFFF"/>
                <w:sz w:val="17"/>
              </w:rPr>
              <w:t>What the guidelines now say</w:t>
            </w:r>
          </w:p>
        </w:tc>
        <w:tc>
          <w:tcPr>
            <w:tcW w:type="dxa" w:w="1008"/>
            <w:shd w:val="clear" w:color="auto" w:fill="1F3A5F"/>
          </w:tcPr>
          <w:p>
            <w:r/>
            <w:r>
              <w:rPr>
                <w:b/>
                <w:color w:val="FFFFFF"/>
                <w:sz w:val="17"/>
              </w:rPr>
              <w:t>Ref.</w:t>
            </w:r>
          </w:p>
        </w:tc>
      </w:tr>
      <w:tr>
        <w:tc>
          <w:tcPr>
            <w:tcW w:type="dxa" w:w="1728"/>
          </w:tcPr>
          <w:p>
            <w:r>
              <w:rPr>
                <w:sz w:val="17"/>
              </w:rPr>
            </w:r>
            <w:r>
              <w:rPr>
                <w:b w:val="0"/>
                <w:sz w:val="17"/>
              </w:rPr>
              <w:t>Tracking productivity</w:t>
            </w:r>
          </w:p>
        </w:tc>
        <w:tc>
          <w:tcPr>
            <w:tcW w:type="dxa" w:w="6912"/>
          </w:tcPr>
          <w:p>
            <w:r>
              <w:rPr>
                <w:sz w:val="17"/>
              </w:rPr>
            </w:r>
            <w:r>
              <w:rPr>
                <w:b w:val="0"/>
                <w:sz w:val="17"/>
              </w:rPr>
              <w:t xml:space="preserve">“Legitimate interest” – the legal basis our DPAs use – is generally </w:t>
            </w:r>
            <w:r>
              <w:rPr>
                <w:b/>
                <w:sz w:val="17"/>
              </w:rPr>
              <w:t>not</w:t>
            </w:r>
            <w:r>
              <w:rPr>
                <w:b w:val="0"/>
                <w:sz w:val="17"/>
              </w:rPr>
              <w:t xml:space="preserve"> valid for continuous or daily collection of individual productivity data (app usage, meetings, email volume). Employers need a stronger basis: a works-council / collective agreement, specific national employment law, or genuinely free consent. Vendors whose standard DPA pre-selects legitimate interest may themselves be liable and should tell clients when guidance changes.</w:t>
            </w:r>
          </w:p>
        </w:tc>
        <w:tc>
          <w:tcPr>
            <w:tcW w:type="dxa" w:w="1008"/>
          </w:tcPr>
          <w:p>
            <w:r>
              <w:rPr>
                <w:sz w:val="17"/>
              </w:rPr>
            </w:r>
            <w:r>
              <w:rPr>
                <w:b w:val="0"/>
                <w:sz w:val="17"/>
              </w:rPr>
              <w:t>Para. 34</w:t>
            </w:r>
          </w:p>
        </w:tc>
      </w:tr>
      <w:tr>
        <w:tc>
          <w:tcPr>
            <w:tcW w:type="dxa" w:w="1728"/>
          </w:tcPr>
          <w:p>
            <w:r>
              <w:rPr>
                <w:sz w:val="17"/>
              </w:rPr>
            </w:r>
            <w:r>
              <w:rPr>
                <w:b w:val="0"/>
                <w:sz w:val="17"/>
              </w:rPr>
              <w:t>Employee consent</w:t>
            </w:r>
          </w:p>
        </w:tc>
        <w:tc>
          <w:tcPr>
            <w:tcW w:type="dxa" w:w="6912"/>
          </w:tcPr>
          <w:p>
            <w:r>
              <w:rPr>
                <w:sz w:val="17"/>
              </w:rPr>
            </w:r>
            <w:r>
              <w:rPr>
                <w:b w:val="0"/>
                <w:sz w:val="17"/>
              </w:rPr>
              <w:t xml:space="preserve">Consent at work is presumed </w:t>
            </w:r>
            <w:r>
              <w:rPr>
                <w:b/>
                <w:sz w:val="17"/>
              </w:rPr>
              <w:t>not</w:t>
            </w:r>
            <w:r>
              <w:rPr>
                <w:b w:val="0"/>
                <w:sz w:val="17"/>
              </w:rPr>
              <w:t xml:space="preserve"> freely given unless the company proves all four of: (a) no penalty or loss of access for saying no; (b) separate choices for separate purposes – no single “I Agree”; (c) a real alternative way to do the task; (d) withdrawal as easy as giving consent. Acceptance rates above 90–95% are a red flag.</w:t>
            </w:r>
          </w:p>
        </w:tc>
        <w:tc>
          <w:tcPr>
            <w:tcW w:type="dxa" w:w="1008"/>
          </w:tcPr>
          <w:p>
            <w:r>
              <w:rPr>
                <w:sz w:val="17"/>
              </w:rPr>
            </w:r>
            <w:r>
              <w:rPr>
                <w:b w:val="0"/>
                <w:sz w:val="17"/>
              </w:rPr>
              <w:t>Para. 47</w:t>
            </w:r>
          </w:p>
        </w:tc>
      </w:tr>
      <w:tr>
        <w:tc>
          <w:tcPr>
            <w:tcW w:type="dxa" w:w="1728"/>
          </w:tcPr>
          <w:p>
            <w:r>
              <w:rPr>
                <w:sz w:val="17"/>
              </w:rPr>
            </w:r>
            <w:r>
              <w:rPr>
                <w:b w:val="0"/>
                <w:sz w:val="17"/>
              </w:rPr>
              <w:t>Predictive scores</w:t>
            </w:r>
          </w:p>
        </w:tc>
        <w:tc>
          <w:tcPr>
            <w:tcW w:type="dxa" w:w="6912"/>
          </w:tcPr>
          <w:p>
            <w:r>
              <w:rPr>
                <w:sz w:val="17"/>
              </w:rPr>
            </w:r>
            <w:r>
              <w:rPr>
                <w:b w:val="0"/>
                <w:sz w:val="17"/>
              </w:rPr>
              <w:t xml:space="preserve">Sentiment, burnout and flight-risk scores about individual employees are “profiling”. The automated decision-making protections (Art. 22) apply </w:t>
            </w:r>
            <w:r>
              <w:rPr>
                <w:b/>
                <w:sz w:val="17"/>
              </w:rPr>
              <w:t>when the per-employee score is created and stored</w:t>
            </w:r>
            <w:r>
              <w:rPr>
                <w:b w:val="0"/>
                <w:sz w:val="17"/>
              </w:rPr>
              <w:t>, even if clients only see aggregated team reports. Required: meaningful explanation of the logic, a way to get human review and contest a score, and bias/accuracy testing. Regulators prefer designs that never create individual scores.</w:t>
            </w:r>
          </w:p>
        </w:tc>
        <w:tc>
          <w:tcPr>
            <w:tcW w:type="dxa" w:w="1008"/>
          </w:tcPr>
          <w:p>
            <w:r>
              <w:rPr>
                <w:sz w:val="17"/>
              </w:rPr>
            </w:r>
            <w:r>
              <w:rPr>
                <w:b w:val="0"/>
                <w:sz w:val="17"/>
              </w:rPr>
              <w:t>Para. 58</w:t>
            </w:r>
          </w:p>
        </w:tc>
      </w:tr>
      <w:tr>
        <w:tc>
          <w:tcPr>
            <w:tcW w:type="dxa" w:w="1728"/>
          </w:tcPr>
          <w:p>
            <w:r>
              <w:rPr>
                <w:sz w:val="17"/>
              </w:rPr>
            </w:r>
            <w:r>
              <w:rPr>
                <w:b w:val="0"/>
                <w:sz w:val="17"/>
              </w:rPr>
              <w:t>Training our AI models</w:t>
            </w:r>
          </w:p>
        </w:tc>
        <w:tc>
          <w:tcPr>
            <w:tcW w:type="dxa" w:w="6912"/>
          </w:tcPr>
          <w:p>
            <w:r>
              <w:rPr>
                <w:sz w:val="17"/>
              </w:rPr>
            </w:r>
            <w:r>
              <w:rPr>
                <w:b w:val="0"/>
                <w:sz w:val="17"/>
              </w:rPr>
              <w:t xml:space="preserve">Using client data to train our own models is a </w:t>
            </w:r>
            <w:r>
              <w:rPr>
                <w:b/>
                <w:sz w:val="17"/>
              </w:rPr>
              <w:t>separate purpose</w:t>
            </w:r>
            <w:r>
              <w:rPr>
                <w:b w:val="0"/>
                <w:sz w:val="17"/>
              </w:rPr>
              <w:t xml:space="preserve"> needing its own legal basis, its own description in DPAs and privacy notices, and its own retention rule. Pseudonymised data is still personal data. A vendor training its own product models may be a </w:t>
            </w:r>
            <w:r>
              <w:rPr>
                <w:b/>
                <w:sz w:val="17"/>
              </w:rPr>
              <w:t>controller</w:t>
            </w:r>
            <w:r>
              <w:rPr>
                <w:b w:val="0"/>
                <w:sz w:val="17"/>
              </w:rPr>
              <w:t xml:space="preserve"> (not just a processor) for that activity.</w:t>
            </w:r>
          </w:p>
        </w:tc>
        <w:tc>
          <w:tcPr>
            <w:tcW w:type="dxa" w:w="1008"/>
          </w:tcPr>
          <w:p>
            <w:r>
              <w:rPr>
                <w:sz w:val="17"/>
              </w:rPr>
            </w:r>
            <w:r>
              <w:rPr>
                <w:b w:val="0"/>
                <w:sz w:val="17"/>
              </w:rPr>
              <w:t>Para. 71</w:t>
            </w:r>
          </w:p>
        </w:tc>
      </w:tr>
      <w:tr>
        <w:tc>
          <w:tcPr>
            <w:tcW w:type="dxa" w:w="1728"/>
          </w:tcPr>
          <w:p>
            <w:r>
              <w:rPr>
                <w:sz w:val="17"/>
              </w:rPr>
            </w:r>
            <w:r>
              <w:rPr>
                <w:b w:val="0"/>
                <w:sz w:val="17"/>
              </w:rPr>
              <w:t>Sending data to the US for training</w:t>
            </w:r>
          </w:p>
        </w:tc>
        <w:tc>
          <w:tcPr>
            <w:tcW w:type="dxa" w:w="6912"/>
          </w:tcPr>
          <w:p>
            <w:r>
              <w:rPr>
                <w:sz w:val="17"/>
              </w:rPr>
            </w:r>
            <w:r>
              <w:rPr>
                <w:b w:val="0"/>
                <w:sz w:val="17"/>
              </w:rPr>
              <w:t>A general Transfer Impact Assessment (TIA) does not cover model-training transfers; a standalone, model-training-specific TIA is required. The SCC contract “module” must match the parties’ real roles for each purpose; the wrong module makes the SCCs ineffective.</w:t>
            </w:r>
          </w:p>
        </w:tc>
        <w:tc>
          <w:tcPr>
            <w:tcW w:type="dxa" w:w="1008"/>
          </w:tcPr>
          <w:p>
            <w:r>
              <w:rPr>
                <w:sz w:val="17"/>
              </w:rPr>
            </w:r>
            <w:r>
              <w:rPr>
                <w:b w:val="0"/>
                <w:sz w:val="17"/>
              </w:rPr>
              <w:t>Para. 83</w:t>
            </w:r>
          </w:p>
        </w:tc>
      </w:tr>
    </w:tbl>
    <w:p>
      <w:pPr>
        <w:spacing w:after="40"/>
      </w:pPr>
    </w:p>
    <w:p>
      <w:pPr>
        <w:pStyle w:val="Heading2"/>
      </w:pPr>
      <w:r>
        <w:t>2.2 The Dutch AP’s TalentScope fine (Decision AP-2025-0042, published 15 January 2025)</w:t>
      </w:r>
    </w:p>
    <w:p>
      <w:pPr>
        <w:spacing w:after="120"/>
      </w:pPr>
      <w:r>
        <w:rPr>
          <w:b w:val="0"/>
        </w:rPr>
        <w:t xml:space="preserve">TalentScope B.V. is an Amsterdam-based workforce analytics SaaS vendor acting as processor for employer clients – the same model as PulseView. The investigation began in April 2024 after complaints from </w:t>
      </w:r>
      <w:r>
        <w:rPr>
          <w:b/>
        </w:rPr>
        <w:t>works councils</w:t>
      </w:r>
      <w:r>
        <w:rPr>
          <w:b w:val="0"/>
        </w:rPr>
        <w:t xml:space="preserve"> at two Dutch clients. The AP fined TalentScope </w:t>
      </w:r>
      <w:r>
        <w:rPr>
          <w:b/>
        </w:rPr>
        <w:t>€8.5 million (about 2.8% of its €303.6 million worldwide turnover)</w:t>
      </w:r>
      <w:r>
        <w:rPr>
          <w:b w:val="0"/>
        </w:rPr>
        <w:t xml:space="preserve"> for four violations, assessed together:</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432"/>
            <w:shd w:val="clear" w:color="auto" w:fill="1F3A5F"/>
          </w:tcPr>
          <w:p>
            <w:r/>
            <w:r>
              <w:rPr>
                <w:b/>
                <w:color w:val="FFFFFF"/>
                <w:sz w:val="17"/>
              </w:rPr>
              <w:t>#</w:t>
            </w:r>
          </w:p>
        </w:tc>
        <w:tc>
          <w:tcPr>
            <w:tcW w:type="dxa" w:w="3744"/>
            <w:shd w:val="clear" w:color="auto" w:fill="1F3A5F"/>
          </w:tcPr>
          <w:p>
            <w:r/>
            <w:r>
              <w:rPr>
                <w:b/>
                <w:color w:val="FFFFFF"/>
                <w:sz w:val="17"/>
              </w:rPr>
              <w:t>Violation found</w:t>
            </w:r>
          </w:p>
        </w:tc>
        <w:tc>
          <w:tcPr>
            <w:tcW w:type="dxa" w:w="5472"/>
            <w:shd w:val="clear" w:color="auto" w:fill="1F3A5F"/>
          </w:tcPr>
          <w:p>
            <w:r/>
            <w:r>
              <w:rPr>
                <w:b/>
                <w:color w:val="FFFFFF"/>
                <w:sz w:val="17"/>
              </w:rPr>
              <w:t>Key point for us</w:t>
            </w:r>
          </w:p>
        </w:tc>
      </w:tr>
      <w:tr>
        <w:tc>
          <w:tcPr>
            <w:tcW w:type="dxa" w:w="432"/>
          </w:tcPr>
          <w:p>
            <w:r>
              <w:rPr>
                <w:sz w:val="17"/>
              </w:rPr>
            </w:r>
            <w:r>
              <w:rPr>
                <w:b w:val="0"/>
                <w:sz w:val="17"/>
              </w:rPr>
              <w:t>1</w:t>
            </w:r>
          </w:p>
        </w:tc>
        <w:tc>
          <w:tcPr>
            <w:tcW w:type="dxa" w:w="3744"/>
          </w:tcPr>
          <w:p>
            <w:r>
              <w:rPr>
                <w:sz w:val="17"/>
              </w:rPr>
            </w:r>
            <w:r>
              <w:rPr>
                <w:b w:val="0"/>
                <w:sz w:val="17"/>
              </w:rPr>
              <w:t>Wrong legal basis – legitimate interest for continuous productivity tracking (Art. 6(1))</w:t>
            </w:r>
          </w:p>
        </w:tc>
        <w:tc>
          <w:tcPr>
            <w:tcW w:type="dxa" w:w="5472"/>
          </w:tcPr>
          <w:p>
            <w:r>
              <w:rPr>
                <w:sz w:val="17"/>
              </w:rPr>
            </w:r>
            <w:r>
              <w:rPr>
                <w:b w:val="0"/>
                <w:sz w:val="17"/>
              </w:rPr>
              <w:t>The processor was held responsible because its own DPA template and system design built in the invalid basis. It could not hide behind its clients.</w:t>
            </w:r>
          </w:p>
        </w:tc>
      </w:tr>
      <w:tr>
        <w:tc>
          <w:tcPr>
            <w:tcW w:type="dxa" w:w="432"/>
          </w:tcPr>
          <w:p>
            <w:r>
              <w:rPr>
                <w:sz w:val="17"/>
              </w:rPr>
            </w:r>
            <w:r>
              <w:rPr>
                <w:b w:val="0"/>
                <w:sz w:val="17"/>
              </w:rPr>
              <w:t>2</w:t>
            </w:r>
          </w:p>
        </w:tc>
        <w:tc>
          <w:tcPr>
            <w:tcW w:type="dxa" w:w="3744"/>
          </w:tcPr>
          <w:p>
            <w:r>
              <w:rPr>
                <w:sz w:val="17"/>
              </w:rPr>
            </w:r>
            <w:r>
              <w:rPr>
                <w:b w:val="0"/>
                <w:sz w:val="17"/>
              </w:rPr>
              <w:t>No DPIA specifically covering predictive scoring (Art. 35)</w:t>
            </w:r>
          </w:p>
        </w:tc>
        <w:tc>
          <w:tcPr>
            <w:tcW w:type="dxa" w:w="5472"/>
          </w:tcPr>
          <w:p>
            <w:r>
              <w:rPr>
                <w:sz w:val="17"/>
              </w:rPr>
            </w:r>
            <w:r>
              <w:rPr>
                <w:b w:val="0"/>
                <w:sz w:val="17"/>
              </w:rPr>
              <w:t>A general platform DPIA was not enough; each high-risk feature needs its own analysis, including per-employee scoring and Art. 22.</w:t>
            </w:r>
          </w:p>
        </w:tc>
      </w:tr>
      <w:tr>
        <w:tc>
          <w:tcPr>
            <w:tcW w:type="dxa" w:w="432"/>
          </w:tcPr>
          <w:p>
            <w:r>
              <w:rPr>
                <w:sz w:val="17"/>
              </w:rPr>
            </w:r>
            <w:r>
              <w:rPr>
                <w:b w:val="0"/>
                <w:sz w:val="17"/>
              </w:rPr>
              <w:t>3</w:t>
            </w:r>
          </w:p>
        </w:tc>
        <w:tc>
          <w:tcPr>
            <w:tcW w:type="dxa" w:w="3744"/>
          </w:tcPr>
          <w:p>
            <w:r>
              <w:rPr>
                <w:sz w:val="17"/>
              </w:rPr>
            </w:r>
            <w:r>
              <w:rPr>
                <w:b w:val="0"/>
                <w:sz w:val="17"/>
              </w:rPr>
              <w:t>Raw survey and productivity data kept for 30 months (Art. 5(1)(e))</w:t>
            </w:r>
          </w:p>
        </w:tc>
        <w:tc>
          <w:tcPr>
            <w:tcW w:type="dxa" w:w="5472"/>
          </w:tcPr>
          <w:p>
            <w:r>
              <w:rPr>
                <w:sz w:val="17"/>
              </w:rPr>
            </w:r>
            <w:r>
              <w:rPr>
                <w:b w:val="0"/>
                <w:sz w:val="17"/>
              </w:rPr>
              <w:t>The AP said 12 months is enough for analytics; “more data improves analytics” is no justification; model training cannot justify retention without its own legal basis. Truly anonymised reports may be kept indefinitely.</w:t>
            </w:r>
          </w:p>
        </w:tc>
      </w:tr>
      <w:tr>
        <w:tc>
          <w:tcPr>
            <w:tcW w:type="dxa" w:w="432"/>
          </w:tcPr>
          <w:p>
            <w:r>
              <w:rPr>
                <w:sz w:val="17"/>
              </w:rPr>
            </w:r>
            <w:r>
              <w:rPr>
                <w:b w:val="0"/>
                <w:sz w:val="17"/>
              </w:rPr>
              <w:t>4</w:t>
            </w:r>
          </w:p>
        </w:tc>
        <w:tc>
          <w:tcPr>
            <w:tcW w:type="dxa" w:w="3744"/>
          </w:tcPr>
          <w:p>
            <w:r>
              <w:rPr>
                <w:sz w:val="17"/>
              </w:rPr>
            </w:r>
            <w:r>
              <w:rPr>
                <w:b w:val="0"/>
                <w:sz w:val="17"/>
              </w:rPr>
              <w:t>No purpose-specific TIA for US model-training transfers (Art. 46(1))</w:t>
            </w:r>
          </w:p>
        </w:tc>
        <w:tc>
          <w:tcPr>
            <w:tcW w:type="dxa" w:w="5472"/>
          </w:tcPr>
          <w:p>
            <w:r>
              <w:rPr>
                <w:sz w:val="17"/>
              </w:rPr>
            </w:r>
            <w:r>
              <w:rPr>
                <w:b w:val="0"/>
                <w:sz w:val="17"/>
              </w:rPr>
              <w:t>Pseudonymisation alone did not cure it; the general TIA was ~18 months old and never reviewed. The AP also flagged that the SCC module should match the parties’ real roles.</w:t>
            </w:r>
          </w:p>
        </w:tc>
      </w:tr>
    </w:tbl>
    <w:p>
      <w:pPr>
        <w:spacing w:after="40"/>
      </w:pPr>
    </w:p>
    <w:p>
      <w:pPr>
        <w:spacing w:after="120"/>
      </w:pPr>
      <w:r>
        <w:rPr>
          <w:b/>
        </w:rPr>
        <w:t>Aggravating factors:</w:t>
      </w:r>
      <w:r>
        <w:rPr>
          <w:b w:val="0"/>
        </w:rPr>
        <w:t xml:space="preserve"> several hundred thousand employees affected; violations still unremedied at decision date; earlier works-council warnings ignored; vulnerable data subjects. </w:t>
      </w:r>
      <w:r>
        <w:rPr>
          <w:b/>
        </w:rPr>
        <w:t>Mitigating factors:</w:t>
      </w:r>
      <w:r>
        <w:rPr>
          <w:b w:val="0"/>
        </w:rPr>
        <w:t xml:space="preserve"> cooperation; pseudonymisation and minimum cohort sizes; no proven individual harm. </w:t>
      </w:r>
      <w:r>
        <w:rPr>
          <w:b/>
        </w:rPr>
        <w:t>Lesson:</w:t>
      </w:r>
      <w:r>
        <w:rPr>
          <w:b w:val="0"/>
        </w:rPr>
        <w:t xml:space="preserve"> speed of remediation and responsiveness to warnings directly affect the size of a fine. TalentScope may appeal; that would not change the guidance or the AP’s stated approach. The AP also signalled it will pursue US-headquartered groups through their EU subsidiaries.</w:t>
      </w:r>
    </w:p>
    <w:p>
      <w:pPr>
        <w:pStyle w:val="Heading1"/>
      </w:pPr>
      <w:r>
        <w:t>3. Why this lands on us: TalentScope vs. PulseView</w:t>
      </w:r>
    </w:p>
    <w:p>
      <w:pPr>
        <w:spacing w:after="120"/>
      </w:pPr>
      <w:r>
        <w:rPr>
          <w:b w:val="0"/>
        </w:rPr>
        <w:t xml:space="preserve">NovaBridge Technologies EU B.V. is registered in Amsterdam, so the </w:t>
      </w:r>
      <w:r>
        <w:rPr>
          <w:b/>
        </w:rPr>
        <w:t>Dutch AP is our lead supervisory authority</w:t>
      </w:r>
      <w:r>
        <w:rPr>
          <w:b w:val="0"/>
        </w:rPr>
        <w:t xml:space="preserve"> – the same regulator that fined TalentScope. PulseView processes data on about </w:t>
      </w:r>
      <w:r>
        <w:rPr>
          <w:b/>
        </w:rPr>
        <w:t>3.2 million EU employees</w:t>
      </w:r>
      <w:r>
        <w:rPr>
          <w:b w:val="0"/>
        </w:rPr>
        <w:t xml:space="preserve"> for </w:t>
      </w:r>
      <w:r>
        <w:rPr>
          <w:b/>
        </w:rPr>
        <w:t>740+ enterprise clients</w:t>
      </w:r>
      <w:r>
        <w:rPr>
          <w:b w:val="0"/>
        </w:rPr>
        <w:t xml:space="preserve"> (FY2024 EU/EEA revenue ≈ $94 million, 30.1% of the global total) – many times the “several hundred thousand” in TalentScope – and is the source of substantially all of our recurring revenue.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800"/>
            <w:shd w:val="clear" w:color="auto" w:fill="1F3A5F"/>
          </w:tcPr>
          <w:p>
            <w:r/>
            <w:r>
              <w:rPr>
                <w:b/>
                <w:color w:val="FFFFFF"/>
                <w:sz w:val="17"/>
              </w:rPr>
              <w:t>Issue</w:t>
            </w:r>
          </w:p>
        </w:tc>
        <w:tc>
          <w:tcPr>
            <w:tcW w:type="dxa" w:w="2088"/>
            <w:shd w:val="clear" w:color="auto" w:fill="1F3A5F"/>
          </w:tcPr>
          <w:p>
            <w:r/>
            <w:r>
              <w:rPr>
                <w:b/>
                <w:color w:val="FFFFFF"/>
                <w:sz w:val="17"/>
              </w:rPr>
              <w:t>TalentScope (fined)</w:t>
            </w:r>
          </w:p>
        </w:tc>
        <w:tc>
          <w:tcPr>
            <w:tcW w:type="dxa" w:w="4464"/>
            <w:shd w:val="clear" w:color="auto" w:fill="1F3A5F"/>
          </w:tcPr>
          <w:p>
            <w:r/>
            <w:r>
              <w:rPr>
                <w:b/>
                <w:color w:val="FFFFFF"/>
                <w:sz w:val="17"/>
              </w:rPr>
              <w:t>PulseView today (per our internal documents)</w:t>
            </w:r>
          </w:p>
        </w:tc>
        <w:tc>
          <w:tcPr>
            <w:tcW w:type="dxa" w:w="1296"/>
            <w:shd w:val="clear" w:color="auto" w:fill="1F3A5F"/>
          </w:tcPr>
          <w:p>
            <w:r/>
            <w:r>
              <w:rPr>
                <w:b/>
                <w:color w:val="FFFFFF"/>
                <w:sz w:val="17"/>
              </w:rPr>
              <w:t>Match</w:t>
            </w:r>
          </w:p>
        </w:tc>
      </w:tr>
      <w:tr>
        <w:tc>
          <w:tcPr>
            <w:tcW w:type="dxa" w:w="1800"/>
          </w:tcPr>
          <w:p>
            <w:r>
              <w:rPr>
                <w:sz w:val="17"/>
              </w:rPr>
            </w:r>
            <w:r>
              <w:rPr>
                <w:b w:val="0"/>
                <w:sz w:val="17"/>
              </w:rPr>
              <w:t>Legal basis – productivity data</w:t>
            </w:r>
          </w:p>
        </w:tc>
        <w:tc>
          <w:tcPr>
            <w:tcW w:type="dxa" w:w="2088"/>
          </w:tcPr>
          <w:p>
            <w:r>
              <w:rPr>
                <w:sz w:val="17"/>
              </w:rPr>
            </w:r>
            <w:r>
              <w:rPr>
                <w:b w:val="0"/>
                <w:sz w:val="17"/>
              </w:rPr>
              <w:t>Legitimate interest in standard DPA; no proper balancing test</w:t>
            </w:r>
          </w:p>
        </w:tc>
        <w:tc>
          <w:tcPr>
            <w:tcW w:type="dxa" w:w="4464"/>
          </w:tcPr>
          <w:p>
            <w:r>
              <w:rPr>
                <w:sz w:val="17"/>
              </w:rPr>
            </w:r>
            <w:r>
              <w:rPr>
                <w:b w:val="0"/>
                <w:sz w:val="17"/>
              </w:rPr>
              <w:t>Legitimate interest pre-selected in the standard DPA for all 740+ clients; collection is daily and automatic; balancing-test text dates from EU launch and has never been revisited</w:t>
            </w:r>
          </w:p>
        </w:tc>
        <w:tc>
          <w:tcPr>
            <w:tcW w:type="dxa" w:w="1296"/>
            <w:shd w:val="clear" w:color="auto" w:fill="F4CCCC"/>
          </w:tcPr>
          <w:p>
            <w:r>
              <w:rPr>
                <w:sz w:val="17"/>
              </w:rPr>
            </w:r>
            <w:r>
              <w:rPr>
                <w:b w:val="0"/>
                <w:sz w:val="17"/>
              </w:rPr>
              <w:t>RED – same</w:t>
            </w:r>
          </w:p>
        </w:tc>
      </w:tr>
      <w:tr>
        <w:tc>
          <w:tcPr>
            <w:tcW w:type="dxa" w:w="1800"/>
          </w:tcPr>
          <w:p>
            <w:r>
              <w:rPr>
                <w:sz w:val="17"/>
              </w:rPr>
            </w:r>
            <w:r>
              <w:rPr>
                <w:b w:val="0"/>
                <w:sz w:val="17"/>
              </w:rPr>
              <w:t>Legal basis – survey data</w:t>
            </w:r>
          </w:p>
        </w:tc>
        <w:tc>
          <w:tcPr>
            <w:tcW w:type="dxa" w:w="2088"/>
          </w:tcPr>
          <w:p>
            <w:r>
              <w:rPr>
                <w:sz w:val="17"/>
              </w:rPr>
            </w:r>
            <w:r>
              <w:rPr>
                <w:b w:val="0"/>
                <w:sz w:val="17"/>
              </w:rPr>
              <w:t>Not separately addressed</w:t>
            </w:r>
          </w:p>
        </w:tc>
        <w:tc>
          <w:tcPr>
            <w:tcW w:type="dxa" w:w="4464"/>
          </w:tcPr>
          <w:p>
            <w:r>
              <w:rPr>
                <w:sz w:val="17"/>
              </w:rPr>
            </w:r>
            <w:r>
              <w:rPr>
                <w:b w:val="0"/>
                <w:sz w:val="17"/>
              </w:rPr>
              <w:t>DPA says legitimate interest, yet employees are asked to “consent” to surveys in the same pop-up – two inconsistent bases for the same data</w:t>
            </w:r>
          </w:p>
        </w:tc>
        <w:tc>
          <w:tcPr>
            <w:tcW w:type="dxa" w:w="1296"/>
            <w:shd w:val="clear" w:color="auto" w:fill="FCE5CD"/>
          </w:tcPr>
          <w:p>
            <w:r>
              <w:rPr>
                <w:sz w:val="17"/>
              </w:rPr>
            </w:r>
            <w:r>
              <w:rPr>
                <w:b w:val="0"/>
                <w:sz w:val="17"/>
              </w:rPr>
              <w:t>AMBER – new issue</w:t>
            </w:r>
          </w:p>
        </w:tc>
      </w:tr>
      <w:tr>
        <w:tc>
          <w:tcPr>
            <w:tcW w:type="dxa" w:w="1800"/>
          </w:tcPr>
          <w:p>
            <w:r>
              <w:rPr>
                <w:sz w:val="17"/>
              </w:rPr>
            </w:r>
            <w:r>
              <w:rPr>
                <w:b w:val="0"/>
                <w:sz w:val="17"/>
              </w:rPr>
              <w:t>DPIA for predictive scoring</w:t>
            </w:r>
          </w:p>
        </w:tc>
        <w:tc>
          <w:tcPr>
            <w:tcW w:type="dxa" w:w="2088"/>
          </w:tcPr>
          <w:p>
            <w:r>
              <w:rPr>
                <w:sz w:val="17"/>
              </w:rPr>
            </w:r>
            <w:r>
              <w:rPr>
                <w:b w:val="0"/>
                <w:sz w:val="17"/>
              </w:rPr>
              <w:t>Only a general platform DPIA</w:t>
            </w:r>
          </w:p>
        </w:tc>
        <w:tc>
          <w:tcPr>
            <w:tcW w:type="dxa" w:w="4464"/>
          </w:tcPr>
          <w:p>
            <w:r>
              <w:rPr>
                <w:sz w:val="17"/>
              </w:rPr>
            </w:r>
            <w:r>
              <w:rPr>
                <w:b w:val="0"/>
                <w:sz w:val="17"/>
              </w:rPr>
              <w:t>DPIA last updated Sept 2023; by its own terms it did not analyse per-employee scoring as profiling / Art. 22 or model training as a separate purpose, and pre-dates the new guidance</w:t>
            </w:r>
          </w:p>
        </w:tc>
        <w:tc>
          <w:tcPr>
            <w:tcW w:type="dxa" w:w="1296"/>
            <w:shd w:val="clear" w:color="auto" w:fill="F4CCCC"/>
          </w:tcPr>
          <w:p>
            <w:r>
              <w:rPr>
                <w:sz w:val="17"/>
              </w:rPr>
            </w:r>
            <w:r>
              <w:rPr>
                <w:b w:val="0"/>
                <w:sz w:val="17"/>
              </w:rPr>
              <w:t>RED – same</w:t>
            </w:r>
          </w:p>
        </w:tc>
      </w:tr>
      <w:tr>
        <w:tc>
          <w:tcPr>
            <w:tcW w:type="dxa" w:w="1800"/>
          </w:tcPr>
          <w:p>
            <w:r>
              <w:rPr>
                <w:sz w:val="17"/>
              </w:rPr>
            </w:r>
            <w:r>
              <w:rPr>
                <w:b w:val="0"/>
                <w:sz w:val="17"/>
              </w:rPr>
              <w:t>Per-employee scores</w:t>
            </w:r>
          </w:p>
        </w:tc>
        <w:tc>
          <w:tcPr>
            <w:tcW w:type="dxa" w:w="2088"/>
          </w:tcPr>
          <w:p>
            <w:r>
              <w:rPr>
                <w:sz w:val="17"/>
              </w:rPr>
            </w:r>
            <w:r>
              <w:rPr>
                <w:b w:val="0"/>
                <w:sz w:val="17"/>
              </w:rPr>
              <w:t>Generated per employee; aggregated delivery</w:t>
            </w:r>
          </w:p>
        </w:tc>
        <w:tc>
          <w:tcPr>
            <w:tcW w:type="dxa" w:w="4464"/>
          </w:tcPr>
          <w:p>
            <w:r>
              <w:rPr>
                <w:sz w:val="17"/>
              </w:rPr>
            </w:r>
            <w:r>
              <w:rPr>
                <w:b w:val="0"/>
                <w:sz w:val="17"/>
              </w:rPr>
              <w:t>Generated per employee, stored 18 months, reused for trends, validation and QA; clients see cohorts of 5+ only. Tracker marks Art. 22 “Not Applicable” on exactly the reasoning the EDPB and AP rejected</w:t>
            </w:r>
          </w:p>
        </w:tc>
        <w:tc>
          <w:tcPr>
            <w:tcW w:type="dxa" w:w="1296"/>
            <w:shd w:val="clear" w:color="auto" w:fill="F4CCCC"/>
          </w:tcPr>
          <w:p>
            <w:r>
              <w:rPr>
                <w:sz w:val="17"/>
              </w:rPr>
            </w:r>
            <w:r>
              <w:rPr>
                <w:b w:val="0"/>
                <w:sz w:val="17"/>
              </w:rPr>
              <w:t>RED – same</w:t>
            </w:r>
          </w:p>
        </w:tc>
      </w:tr>
      <w:tr>
        <w:tc>
          <w:tcPr>
            <w:tcW w:type="dxa" w:w="1800"/>
          </w:tcPr>
          <w:p>
            <w:r>
              <w:rPr>
                <w:sz w:val="17"/>
              </w:rPr>
            </w:r>
            <w:r>
              <w:rPr>
                <w:b w:val="0"/>
                <w:sz w:val="17"/>
              </w:rPr>
              <w:t>Raw data retention</w:t>
            </w:r>
          </w:p>
        </w:tc>
        <w:tc>
          <w:tcPr>
            <w:tcW w:type="dxa" w:w="2088"/>
          </w:tcPr>
          <w:p>
            <w:r>
              <w:rPr>
                <w:sz w:val="17"/>
              </w:rPr>
            </w:r>
            <w:r>
              <w:rPr>
                <w:b w:val="0"/>
                <w:sz w:val="17"/>
              </w:rPr>
              <w:t>30 months (fined); 12-month benchmark</w:t>
            </w:r>
          </w:p>
        </w:tc>
        <w:tc>
          <w:tcPr>
            <w:tcW w:type="dxa" w:w="4464"/>
          </w:tcPr>
          <w:p>
            <w:r>
              <w:rPr>
                <w:sz w:val="17"/>
              </w:rPr>
            </w:r>
            <w:r>
              <w:rPr>
                <w:b w:val="0"/>
                <w:sz w:val="17"/>
              </w:rPr>
              <w:t xml:space="preserve">Surveys </w:t>
            </w:r>
            <w:r>
              <w:rPr>
                <w:b/>
                <w:sz w:val="17"/>
              </w:rPr>
              <w:t>36 months</w:t>
            </w:r>
            <w:r>
              <w:rPr>
                <w:b w:val="0"/>
                <w:sz w:val="17"/>
              </w:rPr>
              <w:t xml:space="preserve"> (longer than TalentScope); productivity </w:t>
            </w:r>
            <w:r>
              <w:rPr>
                <w:b/>
                <w:sz w:val="17"/>
              </w:rPr>
              <w:t>24 months</w:t>
            </w:r>
            <w:r>
              <w:rPr>
                <w:b w:val="0"/>
                <w:sz w:val="17"/>
              </w:rPr>
              <w:t xml:space="preserve"> (shorter than TalentScope, double the benchmark); scores 18 months. Never tested under Art. 5(1)(e); partly justified by model training</w:t>
            </w:r>
          </w:p>
        </w:tc>
        <w:tc>
          <w:tcPr>
            <w:tcW w:type="dxa" w:w="1296"/>
            <w:shd w:val="clear" w:color="auto" w:fill="F4CCCC"/>
          </w:tcPr>
          <w:p>
            <w:r>
              <w:rPr>
                <w:sz w:val="17"/>
              </w:rPr>
            </w:r>
            <w:r>
              <w:rPr>
                <w:b w:val="0"/>
                <w:sz w:val="17"/>
              </w:rPr>
              <w:t>RED</w:t>
            </w:r>
          </w:p>
        </w:tc>
      </w:tr>
      <w:tr>
        <w:tc>
          <w:tcPr>
            <w:tcW w:type="dxa" w:w="1800"/>
          </w:tcPr>
          <w:p>
            <w:r>
              <w:rPr>
                <w:sz w:val="17"/>
              </w:rPr>
            </w:r>
            <w:r>
              <w:rPr>
                <w:b w:val="0"/>
                <w:sz w:val="17"/>
              </w:rPr>
              <w:t>US model-training transfer</w:t>
            </w:r>
          </w:p>
        </w:tc>
        <w:tc>
          <w:tcPr>
            <w:tcW w:type="dxa" w:w="2088"/>
          </w:tcPr>
          <w:p>
            <w:r>
              <w:rPr>
                <w:sz w:val="17"/>
              </w:rPr>
            </w:r>
            <w:r>
              <w:rPr>
                <w:b w:val="0"/>
                <w:sz w:val="17"/>
              </w:rPr>
              <w:t>Pseudonymised data to US under SCCs; general TIA only</w:t>
            </w:r>
          </w:p>
        </w:tc>
        <w:tc>
          <w:tcPr>
            <w:tcW w:type="dxa" w:w="4464"/>
          </w:tcPr>
          <w:p>
            <w:r>
              <w:rPr>
                <w:sz w:val="17"/>
              </w:rPr>
            </w:r>
            <w:r>
              <w:rPr>
                <w:b w:val="0"/>
                <w:sz w:val="17"/>
              </w:rPr>
              <w:t>Reversibly pseudonymised data Frankfurt → Austin under SCC Module 3; general TIA from March 2023, never updated (~22 months); no model-training analysis</w:t>
            </w:r>
          </w:p>
        </w:tc>
        <w:tc>
          <w:tcPr>
            <w:tcW w:type="dxa" w:w="1296"/>
            <w:shd w:val="clear" w:color="auto" w:fill="F4CCCC"/>
          </w:tcPr>
          <w:p>
            <w:r>
              <w:rPr>
                <w:sz w:val="17"/>
              </w:rPr>
            </w:r>
            <w:r>
              <w:rPr>
                <w:b w:val="0"/>
                <w:sz w:val="17"/>
              </w:rPr>
              <w:t>RED – same</w:t>
            </w:r>
          </w:p>
        </w:tc>
      </w:tr>
      <w:tr>
        <w:tc>
          <w:tcPr>
            <w:tcW w:type="dxa" w:w="1800"/>
          </w:tcPr>
          <w:p>
            <w:r>
              <w:rPr>
                <w:sz w:val="17"/>
              </w:rPr>
            </w:r>
            <w:r>
              <w:rPr>
                <w:b w:val="0"/>
                <w:sz w:val="17"/>
              </w:rPr>
              <w:t>Model training as separate purpose</w:t>
            </w:r>
          </w:p>
        </w:tc>
        <w:tc>
          <w:tcPr>
            <w:tcW w:type="dxa" w:w="2088"/>
          </w:tcPr>
          <w:p>
            <w:r>
              <w:rPr>
                <w:sz w:val="17"/>
              </w:rPr>
            </w:r>
            <w:r>
              <w:rPr>
                <w:b w:val="0"/>
                <w:sz w:val="17"/>
              </w:rPr>
              <w:t>Not separately justified</w:t>
            </w:r>
          </w:p>
        </w:tc>
        <w:tc>
          <w:tcPr>
            <w:tcW w:type="dxa" w:w="4464"/>
          </w:tcPr>
          <w:p>
            <w:r>
              <w:rPr>
                <w:sz w:val="17"/>
              </w:rPr>
            </w:r>
            <w:r>
              <w:rPr>
                <w:b w:val="0"/>
                <w:sz w:val="17"/>
              </w:rPr>
              <w:t>Treated as “ancillary”; not in DPAs; notice says only “service improvement” outside the EU; NovaBridge, Inc. not named as recipient</w:t>
            </w:r>
          </w:p>
        </w:tc>
        <w:tc>
          <w:tcPr>
            <w:tcW w:type="dxa" w:w="1296"/>
            <w:shd w:val="clear" w:color="auto" w:fill="F4CCCC"/>
          </w:tcPr>
          <w:p>
            <w:r>
              <w:rPr>
                <w:sz w:val="17"/>
              </w:rPr>
            </w:r>
            <w:r>
              <w:rPr>
                <w:b w:val="0"/>
                <w:sz w:val="17"/>
              </w:rPr>
              <w:t>RED – same</w:t>
            </w:r>
          </w:p>
        </w:tc>
      </w:tr>
      <w:tr>
        <w:tc>
          <w:tcPr>
            <w:tcW w:type="dxa" w:w="1800"/>
          </w:tcPr>
          <w:p>
            <w:r>
              <w:rPr>
                <w:sz w:val="17"/>
              </w:rPr>
            </w:r>
            <w:r>
              <w:rPr>
                <w:b w:val="0"/>
                <w:sz w:val="17"/>
              </w:rPr>
              <w:t>Employee consent (sentiment analysis)</w:t>
            </w:r>
          </w:p>
        </w:tc>
        <w:tc>
          <w:tcPr>
            <w:tcW w:type="dxa" w:w="2088"/>
          </w:tcPr>
          <w:p>
            <w:r>
              <w:rPr>
                <w:sz w:val="17"/>
              </w:rPr>
            </w:r>
            <w:r>
              <w:rPr>
                <w:b w:val="0"/>
                <w:sz w:val="17"/>
              </w:rPr>
              <w:t>Not a ground of the fine</w:t>
            </w:r>
          </w:p>
        </w:tc>
        <w:tc>
          <w:tcPr>
            <w:tcW w:type="dxa" w:w="4464"/>
          </w:tcPr>
          <w:p>
            <w:r>
              <w:rPr>
                <w:sz w:val="17"/>
              </w:rPr>
            </w:r>
            <w:r>
              <w:rPr>
                <w:b w:val="0"/>
                <w:sz w:val="17"/>
              </w:rPr>
              <w:t>Single bundled “I Agree”; refusing locks the employee out of PulseView; no withdrawal mechanism; 97.3% acceptance</w:t>
            </w:r>
          </w:p>
        </w:tc>
        <w:tc>
          <w:tcPr>
            <w:tcW w:type="dxa" w:w="1296"/>
            <w:shd w:val="clear" w:color="auto" w:fill="F4CCCC"/>
          </w:tcPr>
          <w:p>
            <w:r>
              <w:rPr>
                <w:sz w:val="17"/>
              </w:rPr>
            </w:r>
            <w:r>
              <w:rPr>
                <w:b w:val="0"/>
                <w:sz w:val="17"/>
              </w:rPr>
              <w:t>RED – beyond TalentScope</w:t>
            </w:r>
          </w:p>
        </w:tc>
      </w:tr>
      <w:tr>
        <w:tc>
          <w:tcPr>
            <w:tcW w:type="dxa" w:w="1800"/>
          </w:tcPr>
          <w:p>
            <w:r>
              <w:rPr>
                <w:sz w:val="17"/>
              </w:rPr>
            </w:r>
            <w:r>
              <w:rPr>
                <w:b w:val="0"/>
                <w:sz w:val="17"/>
              </w:rPr>
              <w:t>Prior warnings</w:t>
            </w:r>
          </w:p>
        </w:tc>
        <w:tc>
          <w:tcPr>
            <w:tcW w:type="dxa" w:w="2088"/>
          </w:tcPr>
          <w:p>
            <w:r>
              <w:rPr>
                <w:sz w:val="17"/>
              </w:rPr>
            </w:r>
            <w:r>
              <w:rPr>
                <w:b w:val="0"/>
                <w:sz w:val="17"/>
              </w:rPr>
              <w:t>Works-council complaints triggered the case and aggravated the fine</w:t>
            </w:r>
          </w:p>
        </w:tc>
        <w:tc>
          <w:tcPr>
            <w:tcW w:type="dxa" w:w="4464"/>
          </w:tcPr>
          <w:p>
            <w:r>
              <w:rPr>
                <w:sz w:val="17"/>
              </w:rPr>
            </w:r>
            <w:r>
              <w:rPr>
                <w:b w:val="0"/>
                <w:sz w:val="17"/>
              </w:rPr>
              <w:t>We are now on notice via public guidance, a public decision and counsel’s advice. Delay would look like TalentScope’s ignored warnings</w:t>
            </w:r>
          </w:p>
        </w:tc>
        <w:tc>
          <w:tcPr>
            <w:tcW w:type="dxa" w:w="1296"/>
            <w:shd w:val="clear" w:color="auto" w:fill="F4CCCC"/>
          </w:tcPr>
          <w:p>
            <w:r>
              <w:rPr>
                <w:sz w:val="17"/>
              </w:rPr>
            </w:r>
            <w:r>
              <w:rPr>
                <w:b w:val="0"/>
                <w:sz w:val="17"/>
              </w:rPr>
              <w:t>RED – risk factor</w:t>
            </w:r>
          </w:p>
        </w:tc>
      </w:tr>
    </w:tbl>
    <w:p>
      <w:pPr>
        <w:spacing w:after="40"/>
      </w:pPr>
    </w:p>
    <w:p>
      <w:pPr>
        <w:pStyle w:val="Heading1"/>
      </w:pPr>
      <w:r>
        <w:t>4. The issues, one by one</w:t>
      </w:r>
    </w:p>
    <w:p>
      <w:pPr>
        <w:spacing w:after="120"/>
      </w:pPr>
      <w:r>
        <w:rPr>
          <w:b w:val="0"/>
        </w:rPr>
        <w:t>Each item states the problem plainly, why it matters, and what fixing it involves. Ratings are Legal/Privacy’s current view based on the documents reviewed and replace the Green ratings in the tracker.</w:t>
      </w:r>
    </w:p>
    <w:p>
      <w:pPr>
        <w:pStyle w:val="Heading2"/>
      </w:pPr>
      <w:r>
        <w:t>4.1 Productivity tracking rests on the wrong legal basis – RED</w:t>
      </w:r>
    </w:p>
    <w:p>
      <w:pPr>
        <w:spacing w:after="120"/>
      </w:pPr>
      <w:r>
        <w:rPr>
          <w:b/>
        </w:rPr>
        <w:t>What is wrong:</w:t>
      </w:r>
      <w:r>
        <w:rPr>
          <w:b w:val="0"/>
        </w:rPr>
        <w:t xml:space="preserve"> Our standard DPA tells all 740+ clients that daily collection of app-usage, meeting and email-volume data is justified by the employer’s “legitimate interest”. The EDPB now says that basis generally does not work for continuous monitoring, and the AP fined TalentScope – the processor – for building it into its template. Our balancing-test language dates from the original EU launch and has never been updated. This touches PulseView’s core data collection.</w:t>
      </w:r>
    </w:p>
    <w:p>
      <w:pPr>
        <w:spacing w:after="40"/>
      </w:pPr>
      <w:r>
        <w:rPr>
          <w:b/>
        </w:rPr>
        <w:t>What fixing it involves:</w:t>
      </w:r>
    </w:p>
    <w:p>
      <w:pPr>
        <w:pStyle w:val="ListBullet"/>
        <w:spacing w:after="60"/>
      </w:pPr>
      <w:r>
        <w:rPr>
          <w:b w:val="0"/>
        </w:rPr>
        <w:t>Remove the pre-selected legitimate-interest basis from the DPA template; offer alternatives (works-council / collective agreements, national employment law under Art. 88, or redesigned consent) and require clients to document their choice.</w:t>
      </w:r>
    </w:p>
    <w:p>
      <w:pPr>
        <w:pStyle w:val="ListBullet"/>
        <w:spacing w:after="60"/>
      </w:pPr>
      <w:r>
        <w:rPr>
          <w:b w:val="0"/>
        </w:rPr>
        <w:t>Notify clients of the change (the guidelines expect processors to) and run a re-papering programme, prioritising Dutch clients, clients with works councils and clients in countries with active regulators.</w:t>
      </w:r>
    </w:p>
    <w:p>
      <w:pPr>
        <w:pStyle w:val="ListBullet"/>
        <w:spacing w:after="60"/>
      </w:pPr>
      <w:r>
        <w:rPr>
          <w:b w:val="0"/>
        </w:rPr>
        <w:t>Engineering: assess whether productivity metrics can be collected less often, at team level only, or switched off by default until a client confirms a valid basis.</w:t>
      </w:r>
    </w:p>
    <w:p>
      <w:pPr>
        <w:pStyle w:val="Heading2"/>
      </w:pPr>
      <w:r>
        <w:t>4.2 The consent flow for sentiment analysis fails the new test on every element – RED</w:t>
      </w:r>
    </w:p>
    <w:p>
      <w:pPr>
        <w:spacing w:after="120"/>
      </w:pPr>
      <w:r>
        <w:rPr>
          <w:b/>
        </w:rPr>
        <w:t>What is wrong:</w:t>
      </w:r>
      <w:r>
        <w:rPr>
          <w:b w:val="0"/>
        </w:rPr>
        <w:t xml:space="preserve"> Employees see one pop-up with a single “I Agree” covering both surveys and sentiment / burnout / flight-risk scoring. If they decline, they cannot use PulseView at all and are told to contact IT. There is no way to withdraw later. 97.3% accept. This fails (a) no penalty for refusing, (b) separate choices, (c) a real alternative and (d) easy withdrawal – and 97.3% is itself a red flag. The missing withdrawal route also breaches the basic GDPR rule that consent can be withdrawn as easily as given (Art. 7(3)). If consent is invalid, sentiment scoring currently has no legal basis.</w:t>
      </w:r>
    </w:p>
    <w:p>
      <w:pPr>
        <w:spacing w:after="40"/>
      </w:pPr>
      <w:r>
        <w:rPr>
          <w:b/>
        </w:rPr>
        <w:t>What fixing it involves:</w:t>
      </w:r>
    </w:p>
    <w:p>
      <w:pPr>
        <w:pStyle w:val="ListBullet"/>
        <w:spacing w:after="60"/>
      </w:pPr>
      <w:r>
        <w:rPr>
          <w:b w:val="0"/>
        </w:rPr>
        <w:t>Redesign: separate, unticked choices for surveys and for each kind of scoring; full survey access for anyone who declines scoring; an in-app withdrawal switch that stops processing and deletes scores; managers never see who declined.</w:t>
      </w:r>
    </w:p>
    <w:p>
      <w:pPr>
        <w:pStyle w:val="ListBullet"/>
        <w:spacing w:after="60"/>
      </w:pPr>
      <w:r>
        <w:rPr>
          <w:b w:val="0"/>
        </w:rPr>
        <w:t>Decide whether consent is the right basis at all, or whether scoring should run only where a works-council agreement or national law supports it.</w:t>
      </w:r>
    </w:p>
    <w:p>
      <w:pPr>
        <w:pStyle w:val="ListBullet"/>
        <w:spacing w:after="60"/>
      </w:pPr>
      <w:r>
        <w:rPr>
          <w:b w:val="0"/>
        </w:rPr>
        <w:t>Decide whether consents gathered under the current flow must be re-collected and scores generated under them deleted.</w:t>
      </w:r>
    </w:p>
    <w:p>
      <w:pPr>
        <w:pStyle w:val="ListBullet"/>
        <w:spacing w:after="60"/>
      </w:pPr>
      <w:r>
        <w:rPr>
          <w:b w:val="0"/>
        </w:rPr>
        <w:t>Legal to assess whether burnout-risk indicators are health-related data (special category, Art. 9), which would raise the bar further – this is not addressed in counsel’s memos and should be added to their scope.</w:t>
      </w:r>
    </w:p>
    <w:p>
      <w:pPr>
        <w:pStyle w:val="Heading2"/>
      </w:pPr>
      <w:r>
        <w:t>4.3 Per-employee scores trigger automated decision-making rules we have not implemented – RED</w:t>
      </w:r>
    </w:p>
    <w:p>
      <w:pPr>
        <w:spacing w:after="120"/>
      </w:pPr>
      <w:r>
        <w:rPr>
          <w:b/>
        </w:rPr>
        <w:t>What is wrong:</w:t>
      </w:r>
      <w:r>
        <w:rPr>
          <w:b w:val="0"/>
        </w:rPr>
        <w:t xml:space="preserve"> PulseView creates an individual sentiment score, burnout indicator and flight-risk prediction for each enrolled employee and keeps them for 18 months. Our DPIA and tracker concluded Art. 22 does not apply because clients only see cohorts of 5 or more. The EDPB and AP have rejected exactly that reasoning: the rules bite when the individual score is created and stored.</w:t>
      </w:r>
    </w:p>
    <w:p>
      <w:pPr>
        <w:spacing w:after="40"/>
      </w:pPr>
      <w:r>
        <w:rPr>
          <w:b/>
        </w:rPr>
        <w:t>What fixing it involves:</w:t>
      </w:r>
    </w:p>
    <w:p>
      <w:pPr>
        <w:pStyle w:val="ListBullet"/>
        <w:spacing w:after="60"/>
      </w:pPr>
      <w:r>
        <w:rPr>
          <w:b w:val="0"/>
        </w:rPr>
        <w:t>Evaluate the preferred fix: rebuild the pipeline so it never creates or retains individual scores (group-level modelling, differential privacy) – the approach the EDPB encourages.</w:t>
      </w:r>
    </w:p>
    <w:p>
      <w:pPr>
        <w:pStyle w:val="ListBullet"/>
        <w:spacing w:after="60"/>
      </w:pPr>
      <w:r>
        <w:rPr>
          <w:b w:val="0"/>
        </w:rPr>
        <w:t>If individual scores stay: meaningful explanations of the scoring logic, a route to request human review and contest a score, and regular bias and accuracy audits; cut score retention sharply or delete immediately after aggregation.</w:t>
      </w:r>
    </w:p>
    <w:p>
      <w:pPr>
        <w:pStyle w:val="ListBullet"/>
        <w:spacing w:after="60"/>
      </w:pPr>
      <w:r>
        <w:rPr>
          <w:b w:val="0"/>
        </w:rPr>
        <w:t>Check whether a minimum cohort of 5 genuinely prevents individuals being singled out in small teams.</w:t>
      </w:r>
    </w:p>
    <w:p>
      <w:pPr>
        <w:pStyle w:val="Heading2"/>
      </w:pPr>
      <w:r>
        <w:t>4.4 The DPIA is out of date and needs a comprehensive refresh – RED</w:t>
      </w:r>
    </w:p>
    <w:p>
      <w:pPr>
        <w:spacing w:after="120"/>
      </w:pPr>
      <w:r>
        <w:rPr>
          <w:b/>
        </w:rPr>
        <w:t>What is wrong:</w:t>
      </w:r>
      <w:r>
        <w:rPr>
          <w:b w:val="0"/>
        </w:rPr>
        <w:t xml:space="preserve"> The PulseView DPIA dates from June 2022, updated September 2023. By its own terms it did not analyse per-employee scoring as profiling, did not treat model training as a separate purpose, and pre-dates the guidance. The AP treated an equivalent gap as a stand-alone violation. Counsel considers the guidance plus the fine a “material change in risk” requiring review now (Art. 35(11)); our tracker still schedules the next review for September 2025 – after the IPO.</w:t>
      </w:r>
    </w:p>
    <w:p>
      <w:pPr>
        <w:spacing w:after="40"/>
      </w:pPr>
      <w:r>
        <w:rPr>
          <w:b/>
        </w:rPr>
        <w:t>What fixing it involves:</w:t>
      </w:r>
    </w:p>
    <w:p>
      <w:pPr>
        <w:pStyle w:val="ListBullet"/>
        <w:spacing w:after="60"/>
      </w:pPr>
      <w:r>
        <w:rPr>
          <w:b w:val="0"/>
        </w:rPr>
        <w:t>Start a full DPIA refresh now covering surveys, productivity metrics, scoring, model training and the US transfer. DPIAs are primarily the client’s (controller’s) duty, but we design the system, must assist clients (Art. 28(3)(f)) and may be a controller ourselves for model training.</w:t>
      </w:r>
    </w:p>
    <w:p>
      <w:pPr>
        <w:pStyle w:val="ListBullet"/>
        <w:spacing w:after="60"/>
      </w:pPr>
      <w:r>
        <w:rPr>
          <w:b w:val="0"/>
        </w:rPr>
        <w:t>Give clients a DPIA support pack they can rely on.</w:t>
      </w:r>
    </w:p>
    <w:p>
      <w:pPr>
        <w:pStyle w:val="ListBullet"/>
        <w:spacing w:after="60"/>
      </w:pPr>
      <w:r>
        <w:rPr>
          <w:b w:val="0"/>
        </w:rPr>
        <w:t>If high residual risk cannot be mitigated, prior consultation with the AP (Art. 36) would be required – plan for that scenario given the IPO.</w:t>
      </w:r>
    </w:p>
    <w:p>
      <w:pPr>
        <w:pStyle w:val="Heading2"/>
      </w:pPr>
      <w:r>
        <w:t>4.5 We keep raw data far longer than the regulator now accepts – RED</w:t>
      </w:r>
    </w:p>
    <w:p>
      <w:pPr>
        <w:spacing w:after="120"/>
      </w:pPr>
      <w:r>
        <w:rPr>
          <w:b/>
        </w:rPr>
        <w:t>What is wrong:</w:t>
      </w:r>
      <w:r>
        <w:rPr>
          <w:b w:val="0"/>
        </w:rPr>
        <w:t xml:space="preserve"> Raw survey answers: 36 months (longer than the 30 months TalentScope was fined for). Raw productivity data: 24 months. Individual scores: 18 months. The AP said 12 months of raw data suffices for workforce analytics and that model training cannot justify longer retention without its own legal basis. Our periods were set by the product team and never tested against the storage-limitation rule; no client has asked for shorter periods because the DPA defaults to our schedule. Keeping genuinely anonymised cohort reports indefinitely is acceptable.</w:t>
      </w:r>
    </w:p>
    <w:p>
      <w:pPr>
        <w:spacing w:after="40"/>
      </w:pPr>
      <w:r>
        <w:rPr>
          <w:b/>
        </w:rPr>
        <w:t>What fixing it involves:</w:t>
      </w:r>
    </w:p>
    <w:p>
      <w:pPr>
        <w:pStyle w:val="ListBullet"/>
        <w:spacing w:after="60"/>
      </w:pPr>
      <w:r>
        <w:rPr>
          <w:b w:val="0"/>
        </w:rPr>
        <w:t>Adopt a 12-month default for raw survey and productivity data unless a documented necessity analysis justifies more for a specific purpose; reduce score retention.</w:t>
      </w:r>
    </w:p>
    <w:p>
      <w:pPr>
        <w:pStyle w:val="ListBullet"/>
        <w:spacing w:after="60"/>
      </w:pPr>
      <w:r>
        <w:rPr>
          <w:b w:val="0"/>
        </w:rPr>
        <w:t>Implement through the existing weekly purge jobs; confirm cohort reports are truly anonymous before relying on indefinite retention.</w:t>
      </w:r>
    </w:p>
    <w:p>
      <w:pPr>
        <w:pStyle w:val="ListBullet"/>
        <w:spacing w:after="60"/>
      </w:pPr>
      <w:r>
        <w:rPr>
          <w:b w:val="0"/>
        </w:rPr>
        <w:t>Rebuild year-over-year trend features on aggregated or anonymised data, as the AP suggested.</w:t>
      </w:r>
    </w:p>
    <w:p>
      <w:pPr>
        <w:pStyle w:val="Heading2"/>
      </w:pPr>
      <w:r>
        <w:t>4.6 Training our models on client data – unstated purpose, possibly the wrong role – RED</w:t>
      </w:r>
    </w:p>
    <w:p>
      <w:pPr>
        <w:spacing w:after="120"/>
      </w:pPr>
      <w:r>
        <w:rPr>
          <w:b/>
        </w:rPr>
        <w:t>What is wrong:</w:t>
      </w:r>
      <w:r>
        <w:rPr>
          <w:b w:val="0"/>
        </w:rPr>
        <w:t xml:space="preserve"> We copy pseudonymised EU data to Austin, combine it with other regions’ data and train the global PulseView models. DPAs and notices do not describe this as a separate purpose; the notice says only that data may be processed outside the EU “for service improvement”. The pseudonymisation is reversible (NovaBridge EU holds the key), so the data remains personal data. Because we train our own product for our own benefit, NovaBridge may be a </w:t>
      </w:r>
      <w:r>
        <w:rPr>
          <w:b/>
        </w:rPr>
        <w:t>controller</w:t>
      </w:r>
      <w:r>
        <w:rPr>
          <w:b w:val="0"/>
        </w:rPr>
        <w:t xml:space="preserve"> for this activity – which our DPAs do not contemplate and which a processor cannot do without client authority.</w:t>
      </w:r>
    </w:p>
    <w:p>
      <w:pPr>
        <w:spacing w:after="40"/>
      </w:pPr>
      <w:r>
        <w:rPr>
          <w:b/>
        </w:rPr>
        <w:t>What fixing it involves:</w:t>
      </w:r>
    </w:p>
    <w:p>
      <w:pPr>
        <w:pStyle w:val="ListBullet"/>
        <w:spacing w:after="60"/>
      </w:pPr>
      <w:r>
        <w:rPr>
          <w:b w:val="0"/>
        </w:rPr>
        <w:t>Decide the role and legal basis for model training (e.g., NovaBridge as independent controller with a documented legitimate-interest assessment and strong safeguards, client opt-in, or both).</w:t>
      </w:r>
    </w:p>
    <w:p>
      <w:pPr>
        <w:pStyle w:val="ListBullet"/>
        <w:spacing w:after="60"/>
      </w:pPr>
      <w:r>
        <w:rPr>
          <w:b w:val="0"/>
        </w:rPr>
        <w:t>Add model training as a distinct purpose, with its own retention period, in the DPA template, client privacy-notice templates and our own notices, naming NovaBridge Technologies, Inc. as recipient.</w:t>
      </w:r>
    </w:p>
    <w:p>
      <w:pPr>
        <w:pStyle w:val="ListBullet"/>
        <w:spacing w:after="60"/>
      </w:pPr>
      <w:r>
        <w:rPr>
          <w:b w:val="0"/>
        </w:rPr>
        <w:t>Consider training on aggregated, synthetic or properly anonymised data, or training inside the EU, which would remove much of the transfer risk.</w:t>
      </w:r>
    </w:p>
    <w:p>
      <w:pPr>
        <w:pStyle w:val="ListBullet"/>
        <w:spacing w:after="60"/>
      </w:pPr>
      <w:r>
        <w:rPr>
          <w:b w:val="0"/>
        </w:rPr>
        <w:t>Re-paper the transfer to match the role conclusion (4.7).</w:t>
      </w:r>
    </w:p>
    <w:p>
      <w:pPr>
        <w:pStyle w:val="Heading2"/>
      </w:pPr>
      <w:r>
        <w:t>4.7 The US transfer paperwork does not cover model training – RED</w:t>
      </w:r>
    </w:p>
    <w:p>
      <w:pPr>
        <w:spacing w:after="120"/>
      </w:pPr>
      <w:r>
        <w:rPr>
          <w:b/>
        </w:rPr>
        <w:t>What is wrong:</w:t>
      </w:r>
      <w:r>
        <w:rPr>
          <w:b w:val="0"/>
        </w:rPr>
        <w:t xml:space="preserve"> Transfers to Austin run on the 2021 Standard Contractual Clauses, Module 3 (processor-to-processor), backed by one general TIA from March 2023 that has never been updated and does not separately assess model training – the gap the AP fined. If NovaBridge is a controller for training, Module 3 is likely wrong; depending on how roles are allocated, Module 1, 2 or 4 may be needed – counsel has not yet reached a view. NovaBridge, Inc. has not self-certified to the EU-U.S. Data Privacy Framework.</w:t>
      </w:r>
    </w:p>
    <w:p>
      <w:pPr>
        <w:spacing w:after="40"/>
      </w:pPr>
      <w:r>
        <w:rPr>
          <w:b/>
        </w:rPr>
        <w:t>What fixing it involves:</w:t>
      </w:r>
    </w:p>
    <w:p>
      <w:pPr>
        <w:pStyle w:val="ListBullet"/>
        <w:spacing w:after="60"/>
      </w:pPr>
      <w:r>
        <w:rPr>
          <w:b w:val="0"/>
        </w:rPr>
        <w:t>Commission a standalone model-training TIA (data volumes and sensitivity, de-pseudonymisation and memorisation risk, US government-access law incl. FISA s.702 and EO 12333, supplementary measures, monitoring) and refresh the general TIA at the same time.</w:t>
      </w:r>
    </w:p>
    <w:p>
      <w:pPr>
        <w:pStyle w:val="ListBullet"/>
        <w:spacing w:after="60"/>
      </w:pPr>
      <w:r>
        <w:rPr>
          <w:b w:val="0"/>
        </w:rPr>
        <w:t>Complete the role analysis and re-execute SCCs under the correct module(s) for each purpose.</w:t>
      </w:r>
    </w:p>
    <w:p>
      <w:pPr>
        <w:pStyle w:val="ListBullet"/>
        <w:spacing w:after="60"/>
      </w:pPr>
      <w:r>
        <w:rPr>
          <w:b w:val="0"/>
        </w:rPr>
        <w:t>Evaluate Data Privacy Framework self-certification by NovaBridge, Inc. as an additional transfer mechanism (it would not cure the purpose and legal-basis problems).</w:t>
      </w:r>
    </w:p>
    <w:p>
      <w:pPr>
        <w:pStyle w:val="ListBullet"/>
        <w:spacing w:after="60"/>
      </w:pPr>
      <w:r>
        <w:rPr>
          <w:b w:val="0"/>
        </w:rPr>
        <w:t>The tracker’s review date for the TIA and SCCs is 20 March 2025 – this work is already due.</w:t>
      </w:r>
    </w:p>
    <w:p>
      <w:pPr>
        <w:pStyle w:val="Heading1"/>
      </w:pPr>
      <w:r>
        <w:t>5. Financial exposure – corrected figures</w:t>
      </w:r>
    </w:p>
    <w:p>
      <w:pPr>
        <w:spacing w:after="120"/>
      </w:pPr>
      <w:r>
        <w:rPr>
          <w:b w:val="0"/>
        </w:rPr>
        <w:t xml:space="preserve">Fines are set case by case; these are planning ranges, not predictions. They use NovaBridge’s group worldwide turnover (FY2024 $312 million × 0.928 = </w:t>
      </w:r>
      <w:r>
        <w:rPr>
          <w:b/>
        </w:rPr>
        <w:t>€289.5 million</w:t>
      </w:r>
      <w:r>
        <w:rPr>
          <w:b w:val="0"/>
        </w:rPr>
        <w:t>), because GDPR fines are based on the turnover of the whole “undertaking”, not just the EU subsidiary.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val="clear" w:color="auto" w:fill="1F3A5F"/>
          </w:tcPr>
          <w:p>
            <w:r/>
            <w:r>
              <w:rPr>
                <w:b/>
                <w:color w:val="FFFFFF"/>
                <w:sz w:val="17"/>
              </w:rPr>
              <w:t>Scenario</w:t>
            </w:r>
          </w:p>
        </w:tc>
        <w:tc>
          <w:tcPr>
            <w:tcW w:type="dxa" w:w="1872"/>
            <w:shd w:val="clear" w:color="auto" w:fill="1F3A5F"/>
          </w:tcPr>
          <w:p>
            <w:r/>
            <w:r>
              <w:rPr>
                <w:b/>
                <w:color w:val="FFFFFF"/>
                <w:sz w:val="17"/>
              </w:rPr>
              <w:t>Amount</w:t>
            </w:r>
          </w:p>
        </w:tc>
        <w:tc>
          <w:tcPr>
            <w:tcW w:type="dxa" w:w="4896"/>
            <w:shd w:val="clear" w:color="auto" w:fill="1F3A5F"/>
          </w:tcPr>
          <w:p>
            <w:r/>
            <w:r>
              <w:rPr>
                <w:b/>
                <w:color w:val="FFFFFF"/>
                <w:sz w:val="17"/>
              </w:rPr>
              <w:t>Basis / comment</w:t>
            </w:r>
          </w:p>
        </w:tc>
      </w:tr>
      <w:tr>
        <w:tc>
          <w:tcPr>
            <w:tcW w:type="dxa" w:w="2880"/>
          </w:tcPr>
          <w:p>
            <w:r>
              <w:rPr>
                <w:sz w:val="17"/>
              </w:rPr>
            </w:r>
            <w:r>
              <w:rPr>
                <w:b w:val="0"/>
                <w:sz w:val="17"/>
              </w:rPr>
              <w:t>TalentScope-equivalent fine (2.8% of turnover)</w:t>
            </w:r>
          </w:p>
        </w:tc>
        <w:tc>
          <w:tcPr>
            <w:tcW w:type="dxa" w:w="1872"/>
          </w:tcPr>
          <w:p>
            <w:r>
              <w:rPr>
                <w:sz w:val="17"/>
              </w:rPr>
            </w:r>
            <w:r>
              <w:rPr>
                <w:b w:val="0"/>
                <w:sz w:val="17"/>
              </w:rPr>
              <w:t xml:space="preserve">≈ </w:t>
            </w:r>
            <w:r>
              <w:rPr>
                <w:b/>
                <w:sz w:val="17"/>
              </w:rPr>
              <w:t>€8.1 million</w:t>
            </w:r>
          </w:p>
        </w:tc>
        <w:tc>
          <w:tcPr>
            <w:tcW w:type="dxa" w:w="4896"/>
          </w:tcPr>
          <w:p>
            <w:r>
              <w:rPr>
                <w:sz w:val="17"/>
              </w:rPr>
            </w:r>
            <w:r>
              <w:rPr>
                <w:b w:val="0"/>
                <w:sz w:val="17"/>
              </w:rPr>
              <w:t>€289.5M × 2.8% ≈ €8.11M. The most realistic benchmark if the facts are seen as comparable. Our much larger data-subject population, or failure to act now, would push it up; prompt remediation and cooperation would push it down.</w:t>
            </w:r>
          </w:p>
        </w:tc>
      </w:tr>
      <w:tr>
        <w:tc>
          <w:tcPr>
            <w:tcW w:type="dxa" w:w="2880"/>
          </w:tcPr>
          <w:p>
            <w:r>
              <w:rPr>
                <w:sz w:val="17"/>
              </w:rPr>
            </w:r>
            <w:r>
              <w:rPr>
                <w:b w:val="0"/>
                <w:sz w:val="17"/>
              </w:rPr>
              <w:t>Legal maximum for the violations at issue (Art. 83(5))</w:t>
            </w:r>
          </w:p>
        </w:tc>
        <w:tc>
          <w:tcPr>
            <w:tcW w:type="dxa" w:w="1872"/>
          </w:tcPr>
          <w:p>
            <w:r>
              <w:rPr>
                <w:sz w:val="17"/>
              </w:rPr>
            </w:r>
            <w:r>
              <w:rPr>
                <w:b/>
                <w:sz w:val="17"/>
              </w:rPr>
              <w:t>€20 million</w:t>
            </w:r>
          </w:p>
        </w:tc>
        <w:tc>
          <w:tcPr>
            <w:tcW w:type="dxa" w:w="4896"/>
          </w:tcPr>
          <w:p>
            <w:r>
              <w:rPr>
                <w:sz w:val="17"/>
              </w:rPr>
            </w:r>
            <w:r>
              <w:rPr>
                <w:b w:val="0"/>
                <w:sz w:val="17"/>
              </w:rPr>
              <w:t xml:space="preserve">The cap is the </w:t>
            </w:r>
            <w:r>
              <w:rPr>
                <w:b/>
                <w:sz w:val="17"/>
              </w:rPr>
              <w:t>higher</w:t>
            </w:r>
            <w:r>
              <w:rPr>
                <w:b w:val="0"/>
                <w:sz w:val="17"/>
              </w:rPr>
              <w:t xml:space="preserve"> of €20M or 4% of turnover. 4% of our turnover is only €11.58M, so €20M applies. (DPIA failures alone fall under Art. 83(4): higher of €10M or 2%.)</w:t>
            </w:r>
          </w:p>
        </w:tc>
      </w:tr>
      <w:tr>
        <w:tc>
          <w:tcPr>
            <w:tcW w:type="dxa" w:w="2880"/>
          </w:tcPr>
          <w:p>
            <w:r>
              <w:rPr>
                <w:sz w:val="17"/>
              </w:rPr>
            </w:r>
            <w:r>
              <w:rPr>
                <w:b w:val="0"/>
                <w:sz w:val="17"/>
              </w:rPr>
              <w:t>Insurance GDPR fine sub-limit (Albion Specialty)</w:t>
            </w:r>
          </w:p>
        </w:tc>
        <w:tc>
          <w:tcPr>
            <w:tcW w:type="dxa" w:w="1872"/>
          </w:tcPr>
          <w:p>
            <w:r>
              <w:rPr>
                <w:sz w:val="17"/>
              </w:rPr>
            </w:r>
            <w:r>
              <w:rPr>
                <w:b w:val="0"/>
                <w:sz w:val="17"/>
              </w:rPr>
              <w:t>€5 million</w:t>
            </w:r>
          </w:p>
        </w:tc>
        <w:tc>
          <w:tcPr>
            <w:tcW w:type="dxa" w:w="4896"/>
          </w:tcPr>
          <w:p>
            <w:r>
              <w:rPr>
                <w:sz w:val="17"/>
              </w:rPr>
            </w:r>
            <w:r>
              <w:rPr>
                <w:b w:val="0"/>
                <w:sz w:val="17"/>
              </w:rPr>
              <w:t>Pays only “where legally insurable”. Whether Dutch AP fines are insurable is doubtful and must be confirmed; if not, the sub-limit may pay nothing toward a fine (defence costs may still be covered within the €15M overall policy limit).</w:t>
            </w:r>
          </w:p>
        </w:tc>
      </w:tr>
      <w:tr>
        <w:tc>
          <w:tcPr>
            <w:tcW w:type="dxa" w:w="2880"/>
          </w:tcPr>
          <w:p>
            <w:r>
              <w:rPr>
                <w:sz w:val="17"/>
              </w:rPr>
            </w:r>
            <w:r>
              <w:rPr>
                <w:b w:val="0"/>
                <w:sz w:val="17"/>
              </w:rPr>
              <w:t>Uninsured gap – realistic case</w:t>
            </w:r>
          </w:p>
        </w:tc>
        <w:tc>
          <w:tcPr>
            <w:tcW w:type="dxa" w:w="1872"/>
          </w:tcPr>
          <w:p>
            <w:r>
              <w:rPr>
                <w:sz w:val="17"/>
              </w:rPr>
            </w:r>
            <w:r>
              <w:rPr>
                <w:b w:val="0"/>
                <w:sz w:val="17"/>
              </w:rPr>
              <w:t xml:space="preserve">≈ </w:t>
            </w:r>
            <w:r>
              <w:rPr>
                <w:b/>
                <w:sz w:val="17"/>
              </w:rPr>
              <w:t>€3.1M to €8.1M</w:t>
            </w:r>
          </w:p>
        </w:tc>
        <w:tc>
          <w:tcPr>
            <w:tcW w:type="dxa" w:w="4896"/>
          </w:tcPr>
          <w:p>
            <w:r>
              <w:rPr>
                <w:sz w:val="17"/>
              </w:rPr>
            </w:r>
            <w:r>
              <w:rPr>
                <w:b w:val="0"/>
                <w:sz w:val="17"/>
              </w:rPr>
              <w:t>€8.1M less €5M if fines are insurable; the full €8.1M if not.</w:t>
            </w:r>
          </w:p>
        </w:tc>
      </w:tr>
      <w:tr>
        <w:tc>
          <w:tcPr>
            <w:tcW w:type="dxa" w:w="2880"/>
          </w:tcPr>
          <w:p>
            <w:r>
              <w:rPr>
                <w:sz w:val="17"/>
              </w:rPr>
            </w:r>
            <w:r>
              <w:rPr>
                <w:b w:val="0"/>
                <w:sz w:val="17"/>
              </w:rPr>
              <w:t>Uninsured gap – legal maximum</w:t>
            </w:r>
          </w:p>
        </w:tc>
        <w:tc>
          <w:tcPr>
            <w:tcW w:type="dxa" w:w="1872"/>
          </w:tcPr>
          <w:p>
            <w:r>
              <w:rPr>
                <w:sz w:val="17"/>
              </w:rPr>
            </w:r>
            <w:r>
              <w:rPr>
                <w:b/>
                <w:sz w:val="17"/>
              </w:rPr>
              <w:t>€15M to €20M</w:t>
            </w:r>
          </w:p>
        </w:tc>
        <w:tc>
          <w:tcPr>
            <w:tcW w:type="dxa" w:w="4896"/>
          </w:tcPr>
          <w:p>
            <w:r>
              <w:rPr>
                <w:sz w:val="17"/>
              </w:rPr>
            </w:r>
            <w:r>
              <w:rPr>
                <w:b w:val="0"/>
                <w:sz w:val="17"/>
              </w:rPr>
              <w:t>Same logic applied to the €20M cap.</w:t>
            </w:r>
          </w:p>
        </w:tc>
      </w:tr>
      <w:tr>
        <w:tc>
          <w:tcPr>
            <w:tcW w:type="dxa" w:w="2880"/>
          </w:tcPr>
          <w:p>
            <w:r>
              <w:rPr>
                <w:sz w:val="17"/>
              </w:rPr>
            </w:r>
            <w:r>
              <w:rPr>
                <w:b w:val="0"/>
                <w:sz w:val="17"/>
              </w:rPr>
              <w:t>Costs beyond the fine</w:t>
            </w:r>
          </w:p>
        </w:tc>
        <w:tc>
          <w:tcPr>
            <w:tcW w:type="dxa" w:w="1872"/>
          </w:tcPr>
          <w:p>
            <w:r>
              <w:rPr>
                <w:sz w:val="17"/>
              </w:rPr>
            </w:r>
            <w:r>
              <w:rPr>
                <w:b w:val="0"/>
                <w:sz w:val="17"/>
              </w:rPr>
              <w:t>Not quantified</w:t>
            </w:r>
          </w:p>
        </w:tc>
        <w:tc>
          <w:tcPr>
            <w:tcW w:type="dxa" w:w="4896"/>
          </w:tcPr>
          <w:p>
            <w:r>
              <w:rPr>
                <w:sz w:val="17"/>
              </w:rPr>
            </w:r>
            <w:r>
              <w:rPr>
                <w:b w:val="0"/>
                <w:sz w:val="17"/>
              </w:rPr>
              <w:t>Defence costs (TalentScope’s reported legal fees exceeded €2M before the decision); remediation engineering; re-papering 740+ DPAs; possible orders to stop processing or delete data – potentially more damaging than the fine for a product that drives substantially all recurring revenue; client claims and churn; employee compensation claims (Art. 82); IPO delay.</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CE5CD"/>
          </w:tcPr>
          <w:p>
            <w:pPr>
              <w:spacing w:after="80"/>
            </w:pPr>
            <w:r>
              <w:rPr>
                <w:sz w:val="20"/>
              </w:rPr>
            </w:r>
            <w:r>
              <w:rPr>
                <w:b/>
                <w:sz w:val="20"/>
              </w:rPr>
              <w:t>Correction notice – please do not reuse the earlier numbers.</w:t>
            </w:r>
            <w:r>
              <w:rPr>
                <w:b w:val="0"/>
                <w:sz w:val="20"/>
              </w:rPr>
              <w:t xml:space="preserve"> The tracker (Dashboard and Risk Register RR-002) and both counsel documents state the GDPR maximum as €11.576 million (“4% of turnover”). That understates the ceiling: Art. 83(5) sets the maximum at the higher of €20 million or 4%, so it is €20 million for both NovaBridge and TalentScope (the TalentScope fine is therefore about 42.5% of its maximum, not the ~70% stated in counsel’s summary). The dollar-to-euro conversion was also rounded down ($312M × 0.928 = €289.54M, not €289.4M), so the comparable fine is ≈ €8.107M and the realistic gap ≈ €3.107M – small differences, but the S-1 must use one verified set of figures. The tracker’s “uninsured exposure gap” line is still marked Green.</w:t>
            </w:r>
          </w:p>
        </w:tc>
      </w:tr>
    </w:tbl>
    <w:p>
      <w:pPr>
        <w:spacing w:after="40"/>
      </w:pPr>
    </w:p>
    <w:p>
      <w:pPr>
        <w:pStyle w:val="Heading1"/>
      </w:pPr>
      <w:r>
        <w:t>6. Our compliance tracker no longer reflects reality</w:t>
      </w:r>
    </w:p>
    <w:p>
      <w:pPr>
        <w:spacing w:after="120"/>
      </w:pPr>
      <w:r>
        <w:rPr>
          <w:b w:val="0"/>
        </w:rPr>
        <w:t>Every item in the tracker is rated Green / Compliant, but most ratings pre-date the guidance, and in several cases the tracker’s own notes describe the gap (e.g., “no documented withdrawal mechanism”, “does not contain purpose-specific analysis for ML model training”). Several reviews are overdue: legal basis, consent, retention, DPA and privacy-notice items were due 15 September 2024; the ROPA on 1 January 2025; the DPO item on 15 January 2025. Proposed re-ratings: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736"/>
            <w:shd w:val="clear" w:color="auto" w:fill="1F3A5F"/>
          </w:tcPr>
          <w:p>
            <w:r/>
            <w:r>
              <w:rPr>
                <w:b/>
                <w:color w:val="FFFFFF"/>
                <w:sz w:val="17"/>
              </w:rPr>
              <w:t>Tracker item</w:t>
            </w:r>
          </w:p>
        </w:tc>
        <w:tc>
          <w:tcPr>
            <w:tcW w:type="dxa" w:w="1728"/>
            <w:shd w:val="clear" w:color="auto" w:fill="1F3A5F"/>
          </w:tcPr>
          <w:p>
            <w:r/>
            <w:r>
              <w:rPr>
                <w:b/>
                <w:color w:val="FFFFFF"/>
                <w:sz w:val="17"/>
              </w:rPr>
              <w:t>Tracker says</w:t>
            </w:r>
          </w:p>
        </w:tc>
        <w:tc>
          <w:tcPr>
            <w:tcW w:type="dxa" w:w="1368"/>
            <w:shd w:val="clear" w:color="auto" w:fill="1F3A5F"/>
          </w:tcPr>
          <w:p>
            <w:r/>
            <w:r>
              <w:rPr>
                <w:b/>
                <w:color w:val="FFFFFF"/>
                <w:sz w:val="17"/>
              </w:rPr>
              <w:t>Proposed</w:t>
            </w:r>
          </w:p>
        </w:tc>
        <w:tc>
          <w:tcPr>
            <w:tcW w:type="dxa" w:w="3816"/>
            <w:shd w:val="clear" w:color="auto" w:fill="1F3A5F"/>
          </w:tcPr>
          <w:p>
            <w:r/>
            <w:r>
              <w:rPr>
                <w:b/>
                <w:color w:val="FFFFFF"/>
                <w:sz w:val="17"/>
              </w:rPr>
              <w:t>Why</w:t>
            </w:r>
          </w:p>
        </w:tc>
      </w:tr>
      <w:tr>
        <w:tc>
          <w:tcPr>
            <w:tcW w:type="dxa" w:w="2736"/>
          </w:tcPr>
          <w:p>
            <w:r>
              <w:rPr>
                <w:sz w:val="17"/>
              </w:rPr>
            </w:r>
            <w:r>
              <w:rPr>
                <w:b w:val="0"/>
                <w:sz w:val="17"/>
              </w:rPr>
              <w:t>CI-002 / RR-003 Legal basis – productivity</w:t>
            </w:r>
          </w:p>
        </w:tc>
        <w:tc>
          <w:tcPr>
            <w:tcW w:type="dxa" w:w="1728"/>
          </w:tcPr>
          <w:p>
            <w:r>
              <w:rPr>
                <w:sz w:val="17"/>
              </w:rPr>
            </w:r>
            <w:r>
              <w:rPr>
                <w:b w:val="0"/>
                <w:sz w:val="17"/>
              </w:rPr>
              <w:t>Green (risk 2×4)</w:t>
            </w:r>
          </w:p>
        </w:tc>
        <w:tc>
          <w:tcPr>
            <w:tcW w:type="dxa" w:w="1368"/>
            <w:shd w:val="clear" w:color="auto" w:fill="F4CCCC"/>
          </w:tcPr>
          <w:p>
            <w:r>
              <w:rPr>
                <w:sz w:val="17"/>
              </w:rPr>
            </w:r>
            <w:r>
              <w:rPr>
                <w:b w:val="0"/>
                <w:sz w:val="17"/>
              </w:rPr>
              <w:t>RED</w:t>
            </w:r>
          </w:p>
        </w:tc>
        <w:tc>
          <w:tcPr>
            <w:tcW w:type="dxa" w:w="3816"/>
          </w:tcPr>
          <w:p>
            <w:r>
              <w:rPr>
                <w:sz w:val="17"/>
              </w:rPr>
            </w:r>
            <w:r>
              <w:rPr>
                <w:b w:val="0"/>
                <w:sz w:val="17"/>
              </w:rPr>
              <w:t>Para. 34; TalentScope violation 1; processor liability for template</w:t>
            </w:r>
          </w:p>
        </w:tc>
      </w:tr>
      <w:tr>
        <w:tc>
          <w:tcPr>
            <w:tcW w:type="dxa" w:w="2736"/>
          </w:tcPr>
          <w:p>
            <w:r>
              <w:rPr>
                <w:sz w:val="17"/>
              </w:rPr>
            </w:r>
            <w:r>
              <w:rPr>
                <w:b w:val="0"/>
                <w:sz w:val="17"/>
              </w:rPr>
              <w:t>CI-003 Legal basis – surveys</w:t>
            </w:r>
          </w:p>
        </w:tc>
        <w:tc>
          <w:tcPr>
            <w:tcW w:type="dxa" w:w="1728"/>
          </w:tcPr>
          <w:p>
            <w:r>
              <w:rPr>
                <w:sz w:val="17"/>
              </w:rPr>
            </w:r>
            <w:r>
              <w:rPr>
                <w:b w:val="0"/>
                <w:sz w:val="17"/>
              </w:rPr>
              <w:t>Green</w:t>
            </w:r>
          </w:p>
        </w:tc>
        <w:tc>
          <w:tcPr>
            <w:tcW w:type="dxa" w:w="1368"/>
            <w:shd w:val="clear" w:color="auto" w:fill="FCE5CD"/>
          </w:tcPr>
          <w:p>
            <w:r>
              <w:rPr>
                <w:sz w:val="17"/>
              </w:rPr>
            </w:r>
            <w:r>
              <w:rPr>
                <w:b w:val="0"/>
                <w:sz w:val="17"/>
              </w:rPr>
              <w:t>AMBER</w:t>
            </w:r>
          </w:p>
        </w:tc>
        <w:tc>
          <w:tcPr>
            <w:tcW w:type="dxa" w:w="3816"/>
          </w:tcPr>
          <w:p>
            <w:r>
              <w:rPr>
                <w:sz w:val="17"/>
              </w:rPr>
            </w:r>
            <w:r>
              <w:rPr>
                <w:b w:val="0"/>
                <w:sz w:val="17"/>
              </w:rPr>
              <w:t>Legitimate interest in DPA but “consent” collected in same pop-up; basis inconsistent and untested</w:t>
            </w:r>
          </w:p>
        </w:tc>
      </w:tr>
      <w:tr>
        <w:tc>
          <w:tcPr>
            <w:tcW w:type="dxa" w:w="2736"/>
          </w:tcPr>
          <w:p>
            <w:r>
              <w:rPr>
                <w:sz w:val="17"/>
              </w:rPr>
            </w:r>
            <w:r>
              <w:rPr>
                <w:b w:val="0"/>
                <w:sz w:val="17"/>
              </w:rPr>
              <w:t>CI-004 / RR-004 Consent – sentiment analysis</w:t>
            </w:r>
          </w:p>
        </w:tc>
        <w:tc>
          <w:tcPr>
            <w:tcW w:type="dxa" w:w="1728"/>
          </w:tcPr>
          <w:p>
            <w:r>
              <w:rPr>
                <w:sz w:val="17"/>
              </w:rPr>
            </w:r>
            <w:r>
              <w:rPr>
                <w:b w:val="0"/>
                <w:sz w:val="17"/>
              </w:rPr>
              <w:t>Green (risk 2×4)</w:t>
            </w:r>
          </w:p>
        </w:tc>
        <w:tc>
          <w:tcPr>
            <w:tcW w:type="dxa" w:w="1368"/>
            <w:shd w:val="clear" w:color="auto" w:fill="F4CCCC"/>
          </w:tcPr>
          <w:p>
            <w:r>
              <w:rPr>
                <w:sz w:val="17"/>
              </w:rPr>
            </w:r>
            <w:r>
              <w:rPr>
                <w:b w:val="0"/>
                <w:sz w:val="17"/>
              </w:rPr>
              <w:t>RED</w:t>
            </w:r>
          </w:p>
        </w:tc>
        <w:tc>
          <w:tcPr>
            <w:tcW w:type="dxa" w:w="3816"/>
          </w:tcPr>
          <w:p>
            <w:r>
              <w:rPr>
                <w:sz w:val="17"/>
              </w:rPr>
            </w:r>
            <w:r>
              <w:rPr>
                <w:b w:val="0"/>
                <w:sz w:val="17"/>
              </w:rPr>
              <w:t>Fails all four Para. 47 conditions; no withdrawal (Art. 7(3)); 97.3% acceptance</w:t>
            </w:r>
          </w:p>
        </w:tc>
      </w:tr>
      <w:tr>
        <w:tc>
          <w:tcPr>
            <w:tcW w:type="dxa" w:w="2736"/>
          </w:tcPr>
          <w:p>
            <w:r>
              <w:rPr>
                <w:sz w:val="17"/>
              </w:rPr>
            </w:r>
            <w:r>
              <w:rPr>
                <w:b w:val="0"/>
                <w:sz w:val="17"/>
              </w:rPr>
              <w:t>CI-005 / RR-007 DPIA</w:t>
            </w:r>
          </w:p>
        </w:tc>
        <w:tc>
          <w:tcPr>
            <w:tcW w:type="dxa" w:w="1728"/>
          </w:tcPr>
          <w:p>
            <w:r>
              <w:rPr>
                <w:sz w:val="17"/>
              </w:rPr>
            </w:r>
            <w:r>
              <w:rPr>
                <w:b w:val="0"/>
                <w:sz w:val="17"/>
              </w:rPr>
              <w:t>Green; next review Sept 2025</w:t>
            </w:r>
          </w:p>
        </w:tc>
        <w:tc>
          <w:tcPr>
            <w:tcW w:type="dxa" w:w="1368"/>
            <w:shd w:val="clear" w:color="auto" w:fill="F4CCCC"/>
          </w:tcPr>
          <w:p>
            <w:r>
              <w:rPr>
                <w:sz w:val="17"/>
              </w:rPr>
            </w:r>
            <w:r>
              <w:rPr>
                <w:b w:val="0"/>
                <w:sz w:val="17"/>
              </w:rPr>
              <w:t>RED</w:t>
            </w:r>
          </w:p>
        </w:tc>
        <w:tc>
          <w:tcPr>
            <w:tcW w:type="dxa" w:w="3816"/>
          </w:tcPr>
          <w:p>
            <w:r>
              <w:rPr>
                <w:sz w:val="17"/>
              </w:rPr>
            </w:r>
            <w:r>
              <w:rPr>
                <w:b w:val="0"/>
                <w:sz w:val="17"/>
              </w:rPr>
              <w:t>Gaps acknowledged in tracker; TalentScope violation 2; review needed now, not after IPO</w:t>
            </w:r>
          </w:p>
        </w:tc>
      </w:tr>
      <w:tr>
        <w:tc>
          <w:tcPr>
            <w:tcW w:type="dxa" w:w="2736"/>
          </w:tcPr>
          <w:p>
            <w:r>
              <w:rPr>
                <w:sz w:val="17"/>
              </w:rPr>
            </w:r>
            <w:r>
              <w:rPr>
                <w:b w:val="0"/>
                <w:sz w:val="17"/>
              </w:rPr>
              <w:t>CI-006 / RR-008 Art. 22 profiling</w:t>
            </w:r>
          </w:p>
        </w:tc>
        <w:tc>
          <w:tcPr>
            <w:tcW w:type="dxa" w:w="1728"/>
          </w:tcPr>
          <w:p>
            <w:r>
              <w:rPr>
                <w:sz w:val="17"/>
              </w:rPr>
            </w:r>
            <w:r>
              <w:rPr>
                <w:b w:val="0"/>
                <w:sz w:val="17"/>
              </w:rPr>
              <w:t>Not Applicable / Green</w:t>
            </w:r>
          </w:p>
        </w:tc>
        <w:tc>
          <w:tcPr>
            <w:tcW w:type="dxa" w:w="1368"/>
            <w:shd w:val="clear" w:color="auto" w:fill="F4CCCC"/>
          </w:tcPr>
          <w:p>
            <w:r>
              <w:rPr>
                <w:sz w:val="17"/>
              </w:rPr>
            </w:r>
            <w:r>
              <w:rPr>
                <w:b w:val="0"/>
                <w:sz w:val="17"/>
              </w:rPr>
              <w:t>RED</w:t>
            </w:r>
          </w:p>
        </w:tc>
        <w:tc>
          <w:tcPr>
            <w:tcW w:type="dxa" w:w="3816"/>
          </w:tcPr>
          <w:p>
            <w:r>
              <w:rPr>
                <w:sz w:val="17"/>
              </w:rPr>
            </w:r>
            <w:r>
              <w:rPr>
                <w:b w:val="0"/>
                <w:sz w:val="17"/>
              </w:rPr>
              <w:t>Aggregated-delivery rationale expressly rejected by Para. 58 and the AP</w:t>
            </w:r>
          </w:p>
        </w:tc>
      </w:tr>
      <w:tr>
        <w:tc>
          <w:tcPr>
            <w:tcW w:type="dxa" w:w="2736"/>
          </w:tcPr>
          <w:p>
            <w:r>
              <w:rPr>
                <w:sz w:val="17"/>
              </w:rPr>
            </w:r>
            <w:r>
              <w:rPr>
                <w:b w:val="0"/>
                <w:sz w:val="17"/>
              </w:rPr>
              <w:t>CI-007–009 / RR-005 Retention</w:t>
            </w:r>
          </w:p>
        </w:tc>
        <w:tc>
          <w:tcPr>
            <w:tcW w:type="dxa" w:w="1728"/>
          </w:tcPr>
          <w:p>
            <w:r>
              <w:rPr>
                <w:sz w:val="17"/>
              </w:rPr>
            </w:r>
            <w:r>
              <w:rPr>
                <w:b w:val="0"/>
                <w:sz w:val="17"/>
              </w:rPr>
              <w:t>Green (risk 1×3)</w:t>
            </w:r>
          </w:p>
        </w:tc>
        <w:tc>
          <w:tcPr>
            <w:tcW w:type="dxa" w:w="1368"/>
            <w:shd w:val="clear" w:color="auto" w:fill="F4CCCC"/>
          </w:tcPr>
          <w:p>
            <w:r>
              <w:rPr>
                <w:sz w:val="17"/>
              </w:rPr>
            </w:r>
            <w:r>
              <w:rPr>
                <w:b w:val="0"/>
                <w:sz w:val="17"/>
              </w:rPr>
              <w:t>RED</w:t>
            </w:r>
          </w:p>
        </w:tc>
        <w:tc>
          <w:tcPr>
            <w:tcW w:type="dxa" w:w="3816"/>
          </w:tcPr>
          <w:p>
            <w:r>
              <w:rPr>
                <w:sz w:val="17"/>
              </w:rPr>
            </w:r>
            <w:r>
              <w:rPr>
                <w:b w:val="0"/>
                <w:sz w:val="17"/>
              </w:rPr>
              <w:t>36 / 24 / 18 months vs. 12-month benchmark; no Art. 5(1)(e) analysis; model-training justification rejected by AP</w:t>
            </w:r>
          </w:p>
        </w:tc>
      </w:tr>
      <w:tr>
        <w:tc>
          <w:tcPr>
            <w:tcW w:type="dxa" w:w="2736"/>
          </w:tcPr>
          <w:p>
            <w:r>
              <w:rPr>
                <w:sz w:val="17"/>
              </w:rPr>
            </w:r>
            <w:r>
              <w:rPr>
                <w:b w:val="0"/>
                <w:sz w:val="17"/>
              </w:rPr>
              <w:t>CI-010 Aggregated reports</w:t>
            </w:r>
          </w:p>
        </w:tc>
        <w:tc>
          <w:tcPr>
            <w:tcW w:type="dxa" w:w="1728"/>
          </w:tcPr>
          <w:p>
            <w:r>
              <w:rPr>
                <w:sz w:val="17"/>
              </w:rPr>
            </w:r>
            <w:r>
              <w:rPr>
                <w:b w:val="0"/>
                <w:sz w:val="17"/>
              </w:rPr>
              <w:t>Green</w:t>
            </w:r>
          </w:p>
        </w:tc>
        <w:tc>
          <w:tcPr>
            <w:tcW w:type="dxa" w:w="1368"/>
            <w:shd w:val="clear" w:color="auto" w:fill="D9EAD3"/>
          </w:tcPr>
          <w:p>
            <w:r>
              <w:rPr>
                <w:sz w:val="17"/>
              </w:rPr>
            </w:r>
            <w:r>
              <w:rPr>
                <w:b w:val="0"/>
                <w:sz w:val="17"/>
              </w:rPr>
              <w:t>GREEN (verify)</w:t>
            </w:r>
          </w:p>
        </w:tc>
        <w:tc>
          <w:tcPr>
            <w:tcW w:type="dxa" w:w="3816"/>
          </w:tcPr>
          <w:p>
            <w:r>
              <w:rPr>
                <w:sz w:val="17"/>
              </w:rPr>
            </w:r>
            <w:r>
              <w:rPr>
                <w:b w:val="0"/>
                <w:sz w:val="17"/>
              </w:rPr>
              <w:t>Acceptable if truly anonymous; confirm re-identification risk</w:t>
            </w:r>
          </w:p>
        </w:tc>
      </w:tr>
      <w:tr>
        <w:tc>
          <w:tcPr>
            <w:tcW w:type="dxa" w:w="2736"/>
          </w:tcPr>
          <w:p>
            <w:r>
              <w:rPr>
                <w:sz w:val="17"/>
              </w:rPr>
            </w:r>
            <w:r>
              <w:rPr>
                <w:b w:val="0"/>
                <w:sz w:val="17"/>
              </w:rPr>
              <w:t>CI-011 / RR-006 SCCs</w:t>
            </w:r>
          </w:p>
        </w:tc>
        <w:tc>
          <w:tcPr>
            <w:tcW w:type="dxa" w:w="1728"/>
          </w:tcPr>
          <w:p>
            <w:r>
              <w:rPr>
                <w:sz w:val="17"/>
              </w:rPr>
            </w:r>
            <w:r>
              <w:rPr>
                <w:b w:val="0"/>
                <w:sz w:val="17"/>
              </w:rPr>
              <w:t>Green</w:t>
            </w:r>
          </w:p>
        </w:tc>
        <w:tc>
          <w:tcPr>
            <w:tcW w:type="dxa" w:w="1368"/>
            <w:shd w:val="clear" w:color="auto" w:fill="F8D3C0"/>
          </w:tcPr>
          <w:p>
            <w:r>
              <w:rPr>
                <w:sz w:val="17"/>
              </w:rPr>
            </w:r>
            <w:r>
              <w:rPr>
                <w:b w:val="0"/>
                <w:sz w:val="17"/>
              </w:rPr>
              <w:t>AMBER-RED</w:t>
            </w:r>
          </w:p>
        </w:tc>
        <w:tc>
          <w:tcPr>
            <w:tcW w:type="dxa" w:w="3816"/>
          </w:tcPr>
          <w:p>
            <w:r>
              <w:rPr>
                <w:sz w:val="17"/>
              </w:rPr>
            </w:r>
            <w:r>
              <w:rPr>
                <w:b w:val="0"/>
                <w:sz w:val="17"/>
              </w:rPr>
              <w:t>Module 3 may not match roles for model training; review due 20 Mar 2025</w:t>
            </w:r>
          </w:p>
        </w:tc>
      </w:tr>
      <w:tr>
        <w:tc>
          <w:tcPr>
            <w:tcW w:type="dxa" w:w="2736"/>
          </w:tcPr>
          <w:p>
            <w:r>
              <w:rPr>
                <w:sz w:val="17"/>
              </w:rPr>
            </w:r>
            <w:r>
              <w:rPr>
                <w:b w:val="0"/>
                <w:sz w:val="17"/>
              </w:rPr>
              <w:t>CI-012 TIA</w:t>
            </w:r>
          </w:p>
        </w:tc>
        <w:tc>
          <w:tcPr>
            <w:tcW w:type="dxa" w:w="1728"/>
          </w:tcPr>
          <w:p>
            <w:r>
              <w:rPr>
                <w:sz w:val="17"/>
              </w:rPr>
            </w:r>
            <w:r>
              <w:rPr>
                <w:b w:val="0"/>
                <w:sz w:val="17"/>
              </w:rPr>
              <w:t>Green</w:t>
            </w:r>
          </w:p>
        </w:tc>
        <w:tc>
          <w:tcPr>
            <w:tcW w:type="dxa" w:w="1368"/>
            <w:shd w:val="clear" w:color="auto" w:fill="F4CCCC"/>
          </w:tcPr>
          <w:p>
            <w:r>
              <w:rPr>
                <w:sz w:val="17"/>
              </w:rPr>
            </w:r>
            <w:r>
              <w:rPr>
                <w:b w:val="0"/>
                <w:sz w:val="17"/>
              </w:rPr>
              <w:t>RED</w:t>
            </w:r>
          </w:p>
        </w:tc>
        <w:tc>
          <w:tcPr>
            <w:tcW w:type="dxa" w:w="3816"/>
          </w:tcPr>
          <w:p>
            <w:r>
              <w:rPr>
                <w:sz w:val="17"/>
              </w:rPr>
            </w:r>
            <w:r>
              <w:rPr>
                <w:b w:val="0"/>
                <w:sz w:val="17"/>
              </w:rPr>
              <w:t>No model-training TIA (Para. 83; TalentScope violation 4); 22 months without review</w:t>
            </w:r>
          </w:p>
        </w:tc>
      </w:tr>
      <w:tr>
        <w:tc>
          <w:tcPr>
            <w:tcW w:type="dxa" w:w="2736"/>
          </w:tcPr>
          <w:p>
            <w:r>
              <w:rPr>
                <w:sz w:val="17"/>
              </w:rPr>
            </w:r>
            <w:r>
              <w:rPr>
                <w:b w:val="0"/>
                <w:sz w:val="17"/>
              </w:rPr>
              <w:t>CI-013 DPAs</w:t>
            </w:r>
          </w:p>
        </w:tc>
        <w:tc>
          <w:tcPr>
            <w:tcW w:type="dxa" w:w="1728"/>
          </w:tcPr>
          <w:p>
            <w:r>
              <w:rPr>
                <w:sz w:val="17"/>
              </w:rPr>
            </w:r>
            <w:r>
              <w:rPr>
                <w:b w:val="0"/>
                <w:sz w:val="17"/>
              </w:rPr>
              <w:t>Green</w:t>
            </w:r>
          </w:p>
        </w:tc>
        <w:tc>
          <w:tcPr>
            <w:tcW w:type="dxa" w:w="1368"/>
            <w:shd w:val="clear" w:color="auto" w:fill="F4CCCC"/>
          </w:tcPr>
          <w:p>
            <w:r>
              <w:rPr>
                <w:sz w:val="17"/>
              </w:rPr>
            </w:r>
            <w:r>
              <w:rPr>
                <w:b w:val="0"/>
                <w:sz w:val="17"/>
              </w:rPr>
              <w:t>RED</w:t>
            </w:r>
          </w:p>
        </w:tc>
        <w:tc>
          <w:tcPr>
            <w:tcW w:type="dxa" w:w="3816"/>
          </w:tcPr>
          <w:p>
            <w:r>
              <w:rPr>
                <w:sz w:val="17"/>
              </w:rPr>
            </w:r>
            <w:r>
              <w:rPr>
                <w:b w:val="0"/>
                <w:sz w:val="17"/>
              </w:rPr>
              <w:t>Pre-selected legitimate interest; model training not described; roles not split by purpose</w:t>
            </w:r>
          </w:p>
        </w:tc>
      </w:tr>
      <w:tr>
        <w:tc>
          <w:tcPr>
            <w:tcW w:type="dxa" w:w="2736"/>
          </w:tcPr>
          <w:p>
            <w:r>
              <w:rPr>
                <w:sz w:val="17"/>
              </w:rPr>
            </w:r>
            <w:r>
              <w:rPr>
                <w:b w:val="0"/>
                <w:sz w:val="17"/>
              </w:rPr>
              <w:t>CI-017 Privacy notices</w:t>
            </w:r>
          </w:p>
        </w:tc>
        <w:tc>
          <w:tcPr>
            <w:tcW w:type="dxa" w:w="1728"/>
          </w:tcPr>
          <w:p>
            <w:r>
              <w:rPr>
                <w:sz w:val="17"/>
              </w:rPr>
            </w:r>
            <w:r>
              <w:rPr>
                <w:b w:val="0"/>
                <w:sz w:val="17"/>
              </w:rPr>
              <w:t>Green</w:t>
            </w:r>
          </w:p>
        </w:tc>
        <w:tc>
          <w:tcPr>
            <w:tcW w:type="dxa" w:w="1368"/>
            <w:shd w:val="clear" w:color="auto" w:fill="F4CCCC"/>
          </w:tcPr>
          <w:p>
            <w:r>
              <w:rPr>
                <w:sz w:val="17"/>
              </w:rPr>
            </w:r>
            <w:r>
              <w:rPr>
                <w:b w:val="0"/>
                <w:sz w:val="17"/>
              </w:rPr>
              <w:t>RED</w:t>
            </w:r>
          </w:p>
        </w:tc>
        <w:tc>
          <w:tcPr>
            <w:tcW w:type="dxa" w:w="3816"/>
          </w:tcPr>
          <w:p>
            <w:r>
              <w:rPr>
                <w:sz w:val="17"/>
              </w:rPr>
            </w:r>
            <w:r>
              <w:rPr>
                <w:b w:val="0"/>
                <w:sz w:val="17"/>
              </w:rPr>
              <w:t>Model training and NovaBridge, Inc. as recipient not disclosed; no Art. 22 logic information</w:t>
            </w:r>
          </w:p>
        </w:tc>
      </w:tr>
      <w:tr>
        <w:tc>
          <w:tcPr>
            <w:tcW w:type="dxa" w:w="2736"/>
          </w:tcPr>
          <w:p>
            <w:r>
              <w:rPr>
                <w:sz w:val="17"/>
              </w:rPr>
            </w:r>
            <w:r>
              <w:rPr>
                <w:b w:val="0"/>
                <w:sz w:val="17"/>
              </w:rPr>
              <w:t>RR-010 Model training – purpose limitation</w:t>
            </w:r>
          </w:p>
        </w:tc>
        <w:tc>
          <w:tcPr>
            <w:tcW w:type="dxa" w:w="1728"/>
          </w:tcPr>
          <w:p>
            <w:r>
              <w:rPr>
                <w:sz w:val="17"/>
              </w:rPr>
            </w:r>
            <w:r>
              <w:rPr>
                <w:b w:val="0"/>
                <w:sz w:val="17"/>
              </w:rPr>
              <w:t>Green (2×3)</w:t>
            </w:r>
          </w:p>
        </w:tc>
        <w:tc>
          <w:tcPr>
            <w:tcW w:type="dxa" w:w="1368"/>
            <w:shd w:val="clear" w:color="auto" w:fill="F4CCCC"/>
          </w:tcPr>
          <w:p>
            <w:r>
              <w:rPr>
                <w:sz w:val="17"/>
              </w:rPr>
            </w:r>
            <w:r>
              <w:rPr>
                <w:b w:val="0"/>
                <w:sz w:val="17"/>
              </w:rPr>
              <w:t>RED</w:t>
            </w:r>
          </w:p>
        </w:tc>
        <w:tc>
          <w:tcPr>
            <w:tcW w:type="dxa" w:w="3816"/>
          </w:tcPr>
          <w:p>
            <w:r>
              <w:rPr>
                <w:sz w:val="17"/>
              </w:rPr>
            </w:r>
            <w:r>
              <w:rPr>
                <w:b w:val="0"/>
                <w:sz w:val="17"/>
              </w:rPr>
              <w:t>Para. 71; possible controller role</w:t>
            </w:r>
          </w:p>
        </w:tc>
      </w:tr>
      <w:tr>
        <w:tc>
          <w:tcPr>
            <w:tcW w:type="dxa" w:w="2736"/>
          </w:tcPr>
          <w:p>
            <w:r>
              <w:rPr>
                <w:sz w:val="17"/>
              </w:rPr>
            </w:r>
            <w:r>
              <w:rPr>
                <w:b w:val="0"/>
                <w:sz w:val="17"/>
              </w:rPr>
              <w:t>RR-001 / RR-009 Enforcement and IPO risk</w:t>
            </w:r>
          </w:p>
        </w:tc>
        <w:tc>
          <w:tcPr>
            <w:tcW w:type="dxa" w:w="1728"/>
          </w:tcPr>
          <w:p>
            <w:r>
              <w:rPr>
                <w:sz w:val="17"/>
              </w:rPr>
            </w:r>
            <w:r>
              <w:rPr>
                <w:b w:val="0"/>
                <w:sz w:val="17"/>
              </w:rPr>
              <w:t>Amber (2×5)</w:t>
            </w:r>
          </w:p>
        </w:tc>
        <w:tc>
          <w:tcPr>
            <w:tcW w:type="dxa" w:w="1368"/>
            <w:shd w:val="clear" w:color="auto" w:fill="F4CCCC"/>
          </w:tcPr>
          <w:p>
            <w:r>
              <w:rPr>
                <w:sz w:val="17"/>
              </w:rPr>
            </w:r>
            <w:r>
              <w:rPr>
                <w:b w:val="0"/>
                <w:sz w:val="17"/>
              </w:rPr>
              <w:t>RED</w:t>
            </w:r>
          </w:p>
        </w:tc>
        <w:tc>
          <w:tcPr>
            <w:tcW w:type="dxa" w:w="3816"/>
          </w:tcPr>
          <w:p>
            <w:r>
              <w:rPr>
                <w:sz w:val="17"/>
              </w:rPr>
            </w:r>
            <w:r>
              <w:rPr>
                <w:b w:val="0"/>
                <w:sz w:val="17"/>
              </w:rPr>
              <w:t>Lead regulator has just fined a near-identical business; likelihood 2/5 no longer credible</w:t>
            </w:r>
          </w:p>
        </w:tc>
      </w:tr>
      <w:tr>
        <w:tc>
          <w:tcPr>
            <w:tcW w:type="dxa" w:w="2736"/>
          </w:tcPr>
          <w:p>
            <w:r>
              <w:rPr>
                <w:sz w:val="17"/>
              </w:rPr>
            </w:r>
            <w:r>
              <w:rPr>
                <w:b w:val="0"/>
                <w:sz w:val="17"/>
              </w:rPr>
              <w:t>CI-019 / RR-002 Insurance and fine exposure</w:t>
            </w:r>
          </w:p>
        </w:tc>
        <w:tc>
          <w:tcPr>
            <w:tcW w:type="dxa" w:w="1728"/>
          </w:tcPr>
          <w:p>
            <w:r>
              <w:rPr>
                <w:sz w:val="17"/>
              </w:rPr>
            </w:r>
            <w:r>
              <w:rPr>
                <w:b w:val="0"/>
                <w:sz w:val="17"/>
              </w:rPr>
              <w:t>Green / Amber</w:t>
            </w:r>
          </w:p>
        </w:tc>
        <w:tc>
          <w:tcPr>
            <w:tcW w:type="dxa" w:w="1368"/>
            <w:shd w:val="clear" w:color="auto" w:fill="F4CCCC"/>
          </w:tcPr>
          <w:p>
            <w:r>
              <w:rPr>
                <w:sz w:val="17"/>
              </w:rPr>
            </w:r>
            <w:r>
              <w:rPr>
                <w:b w:val="0"/>
                <w:sz w:val="17"/>
              </w:rPr>
              <w:t>RED</w:t>
            </w:r>
          </w:p>
        </w:tc>
        <w:tc>
          <w:tcPr>
            <w:tcW w:type="dxa" w:w="3816"/>
          </w:tcPr>
          <w:p>
            <w:r>
              <w:rPr>
                <w:sz w:val="17"/>
              </w:rPr>
            </w:r>
            <w:r>
              <w:rPr>
                <w:b w:val="0"/>
                <w:sz w:val="17"/>
              </w:rPr>
              <w:t>Wrong maximum used; insurability unconfirmed; gap marked Green</w:t>
            </w:r>
          </w:p>
        </w:tc>
      </w:tr>
    </w:tbl>
    <w:p>
      <w:pPr>
        <w:spacing w:after="40"/>
      </w:pPr>
    </w:p>
    <w:p>
      <w:pPr>
        <w:spacing w:after="120"/>
      </w:pPr>
      <w:r>
        <w:rPr>
          <w:b/>
        </w:rPr>
        <w:t>Data-quality points to fix before anything goes to S-1 counsel or auditors:</w:t>
      </w:r>
      <w:r>
        <w:rPr>
          <w:b w:val="0"/>
        </w:rPr>
        <w:t xml:space="preserve"> (i) the Processing Overview and the tracker give different “last assessed” dates for several items (e.g., DPAs Nov 2024 vs. Sept 2023; retention Aug 2023 vs. Sept 2023; DPO Jan 2025 vs. Jan 2024); (ii) the Processing Overview says the March 2023 TIA considered the EU-U.S. Data Privacy Framework adequacy decision, which was not adopted until July 2023 – we must confirm what the TIA actually covers; (iii) Processing Overview v3.1 is dated 10 January 2025 but refers to the AP decision published 15 January 2025, so its version history needs correcting; (iv) counsel’s TalentScope summary says both our raw-data retention periods exceed TalentScope’s 30 months – true for surveys (36 months) but not productivity metrics (24 months), although both exceed the 12-month benchmark.</w:t>
      </w:r>
    </w:p>
    <w:p>
      <w:pPr>
        <w:pStyle w:val="Heading1"/>
      </w:pPr>
      <w:r>
        <w:t>7. Recommended remediation plan and timeline</w:t>
      </w:r>
    </w:p>
    <w:p>
      <w:pPr>
        <w:spacing w:after="120"/>
      </w:pPr>
      <w:r>
        <w:rPr>
          <w:b w:val="0"/>
        </w:rPr>
        <w:t>Goal: a documented, visibly progressing programme before the S-1 is filed, with the highest-risk processing fixed or contained. Owners are proposed; timing assumes kick-off in late January 2025.</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16"/>
            <w:shd w:val="clear" w:color="auto" w:fill="1F3A5F"/>
          </w:tcPr>
          <w:p>
            <w:r/>
            <w:r>
              <w:rPr>
                <w:b/>
                <w:color w:val="FFFFFF"/>
                <w:sz w:val="17"/>
              </w:rPr>
              <w:t>Phase</w:t>
            </w:r>
          </w:p>
        </w:tc>
        <w:tc>
          <w:tcPr>
            <w:tcW w:type="dxa" w:w="5616"/>
            <w:shd w:val="clear" w:color="auto" w:fill="1F3A5F"/>
          </w:tcPr>
          <w:p>
            <w:r/>
            <w:r>
              <w:rPr>
                <w:b/>
                <w:color w:val="FFFFFF"/>
                <w:sz w:val="17"/>
              </w:rPr>
              <w:t>Action</w:t>
            </w:r>
          </w:p>
        </w:tc>
        <w:tc>
          <w:tcPr>
            <w:tcW w:type="dxa" w:w="2016"/>
            <w:shd w:val="clear" w:color="auto" w:fill="1F3A5F"/>
          </w:tcPr>
          <w:p>
            <w:r/>
            <w:r>
              <w:rPr>
                <w:b/>
                <w:color w:val="FFFFFF"/>
                <w:sz w:val="17"/>
              </w:rPr>
              <w:t>Proposed owner</w:t>
            </w:r>
          </w:p>
        </w:tc>
      </w:tr>
      <w:tr>
        <w:tc>
          <w:tcPr>
            <w:tcW w:type="dxa" w:w="2016"/>
          </w:tcPr>
          <w:p>
            <w:r>
              <w:rPr>
                <w:sz w:val="17"/>
              </w:rPr>
            </w:r>
            <w:r>
              <w:rPr>
                <w:b w:val="0"/>
                <w:sz w:val="17"/>
              </w:rPr>
              <w:t>First 30 days (by end Feb 2025)</w:t>
            </w:r>
          </w:p>
        </w:tc>
        <w:tc>
          <w:tcPr>
            <w:tcW w:type="dxa" w:w="5616"/>
          </w:tcPr>
          <w:p>
            <w:r>
              <w:rPr>
                <w:sz w:val="17"/>
              </w:rPr>
            </w:r>
            <w:r>
              <w:rPr>
                <w:b w:val="0"/>
                <w:sz w:val="17"/>
              </w:rPr>
              <w:t>Programme governance: executive sponsor, steering group (Legal, Privacy, Engineering, Product, Finance, Customer Success), weekly status.</w:t>
            </w:r>
          </w:p>
        </w:tc>
        <w:tc>
          <w:tcPr>
            <w:tcW w:type="dxa" w:w="2016"/>
          </w:tcPr>
          <w:p>
            <w:r>
              <w:rPr>
                <w:sz w:val="17"/>
              </w:rPr>
            </w:r>
            <w:r>
              <w:rPr>
                <w:b w:val="0"/>
                <w:sz w:val="17"/>
              </w:rPr>
              <w:t>Deputy GC (sponsor to be named by CEO)</w:t>
            </w:r>
          </w:p>
        </w:tc>
      </w:tr>
      <w:tr>
        <w:tc>
          <w:tcPr>
            <w:tcW w:type="dxa" w:w="2016"/>
          </w:tcPr>
          <w:p>
            <w:r>
              <w:rPr>
                <w:sz w:val="17"/>
              </w:rPr>
            </w:r>
          </w:p>
        </w:tc>
        <w:tc>
          <w:tcPr>
            <w:tcW w:type="dxa" w:w="5616"/>
          </w:tcPr>
          <w:p>
            <w:r>
              <w:rPr>
                <w:sz w:val="17"/>
              </w:rPr>
            </w:r>
            <w:r>
              <w:rPr>
                <w:b w:val="0"/>
                <w:sz w:val="17"/>
              </w:rPr>
              <w:t>Re-rate the tracker and risk register as in Section 6; stop using the old ratings in any external material.</w:t>
            </w:r>
          </w:p>
        </w:tc>
        <w:tc>
          <w:tcPr>
            <w:tcW w:type="dxa" w:w="2016"/>
          </w:tcPr>
          <w:p>
            <w:r>
              <w:rPr>
                <w:sz w:val="17"/>
              </w:rPr>
            </w:r>
            <w:r>
              <w:rPr>
                <w:b w:val="0"/>
                <w:sz w:val="17"/>
              </w:rPr>
              <w:t>CPO/DPO</w:t>
            </w:r>
          </w:p>
        </w:tc>
      </w:tr>
      <w:tr>
        <w:tc>
          <w:tcPr>
            <w:tcW w:type="dxa" w:w="2016"/>
          </w:tcPr>
          <w:p>
            <w:r>
              <w:rPr>
                <w:sz w:val="17"/>
              </w:rPr>
            </w:r>
          </w:p>
        </w:tc>
        <w:tc>
          <w:tcPr>
            <w:tcW w:type="dxa" w:w="5616"/>
          </w:tcPr>
          <w:p>
            <w:r>
              <w:rPr>
                <w:sz w:val="17"/>
              </w:rPr>
            </w:r>
            <w:r>
              <w:rPr>
                <w:b w:val="0"/>
                <w:sz w:val="17"/>
              </w:rPr>
              <w:t>Engage Valcourt Deschênes on DPIA refresh, model-training TIA and SCC/role analysis (scoping call within two weeks); add Art. 9 health-data and works-council strategy to scope.</w:t>
            </w:r>
          </w:p>
        </w:tc>
        <w:tc>
          <w:tcPr>
            <w:tcW w:type="dxa" w:w="2016"/>
          </w:tcPr>
          <w:p>
            <w:r>
              <w:rPr>
                <w:sz w:val="17"/>
              </w:rPr>
            </w:r>
            <w:r>
              <w:rPr>
                <w:b w:val="0"/>
                <w:sz w:val="17"/>
              </w:rPr>
              <w:t>Deputy GC / CPO</w:t>
            </w:r>
          </w:p>
        </w:tc>
      </w:tr>
      <w:tr>
        <w:tc>
          <w:tcPr>
            <w:tcW w:type="dxa" w:w="2016"/>
          </w:tcPr>
          <w:p>
            <w:r>
              <w:rPr>
                <w:sz w:val="17"/>
              </w:rPr>
            </w:r>
          </w:p>
        </w:tc>
        <w:tc>
          <w:tcPr>
            <w:tcW w:type="dxa" w:w="5616"/>
          </w:tcPr>
          <w:p>
            <w:r>
              <w:rPr>
                <w:sz w:val="17"/>
              </w:rPr>
            </w:r>
            <w:r>
              <w:rPr>
                <w:b w:val="0"/>
                <w:sz w:val="17"/>
              </w:rPr>
              <w:t>Interim containment decisions – e.g., stop or restrict new EU data flowing into US model training; pause new EU sentiment-scoring roll-outs; ship an interim consent-withdrawal route.</w:t>
            </w:r>
          </w:p>
        </w:tc>
        <w:tc>
          <w:tcPr>
            <w:tcW w:type="dxa" w:w="2016"/>
          </w:tcPr>
          <w:p>
            <w:r>
              <w:rPr>
                <w:sz w:val="17"/>
              </w:rPr>
            </w:r>
            <w:r>
              <w:rPr>
                <w:b w:val="0"/>
                <w:sz w:val="17"/>
              </w:rPr>
              <w:t>Leadership decision; VP Engineering implements</w:t>
            </w:r>
          </w:p>
        </w:tc>
      </w:tr>
      <w:tr>
        <w:tc>
          <w:tcPr>
            <w:tcW w:type="dxa" w:w="2016"/>
          </w:tcPr>
          <w:p>
            <w:r>
              <w:rPr>
                <w:sz w:val="17"/>
              </w:rPr>
            </w:r>
          </w:p>
        </w:tc>
        <w:tc>
          <w:tcPr>
            <w:tcW w:type="dxa" w:w="5616"/>
          </w:tcPr>
          <w:p>
            <w:r>
              <w:rPr>
                <w:sz w:val="17"/>
              </w:rPr>
            </w:r>
            <w:r>
              <w:rPr>
                <w:b w:val="0"/>
                <w:sz w:val="17"/>
              </w:rPr>
              <w:t>Brief the Board audit committee and Kessler Whitmore with corrected exposure figures; agree how remediation will be described in the S-1.</w:t>
            </w:r>
          </w:p>
        </w:tc>
        <w:tc>
          <w:tcPr>
            <w:tcW w:type="dxa" w:w="2016"/>
          </w:tcPr>
          <w:p>
            <w:r>
              <w:rPr>
                <w:sz w:val="17"/>
              </w:rPr>
            </w:r>
            <w:r>
              <w:rPr>
                <w:b w:val="0"/>
                <w:sz w:val="17"/>
              </w:rPr>
              <w:t>Deputy GC</w:t>
            </w:r>
          </w:p>
        </w:tc>
      </w:tr>
      <w:tr>
        <w:tc>
          <w:tcPr>
            <w:tcW w:type="dxa" w:w="2016"/>
          </w:tcPr>
          <w:p>
            <w:r>
              <w:rPr>
                <w:sz w:val="17"/>
              </w:rPr>
            </w:r>
          </w:p>
        </w:tc>
        <w:tc>
          <w:tcPr>
            <w:tcW w:type="dxa" w:w="5616"/>
          </w:tcPr>
          <w:p>
            <w:r>
              <w:rPr>
                <w:sz w:val="17"/>
              </w:rPr>
            </w:r>
            <w:r>
              <w:rPr>
                <w:b w:val="0"/>
                <w:sz w:val="17"/>
              </w:rPr>
              <w:t>Ask Albion Specialty (via broker / coverage counsel) whether Dutch AP fines are covered; check notice-of-circumstances obligations; open sub-limit discussions ahead of the July 2025 renewal.</w:t>
            </w:r>
          </w:p>
        </w:tc>
        <w:tc>
          <w:tcPr>
            <w:tcW w:type="dxa" w:w="2016"/>
          </w:tcPr>
          <w:p>
            <w:r>
              <w:rPr>
                <w:sz w:val="17"/>
              </w:rPr>
            </w:r>
            <w:r>
              <w:rPr>
                <w:b w:val="0"/>
                <w:sz w:val="17"/>
              </w:rPr>
              <w:t>Deputy GC / Finance</w:t>
            </w:r>
          </w:p>
        </w:tc>
      </w:tr>
      <w:tr>
        <w:tc>
          <w:tcPr>
            <w:tcW w:type="dxa" w:w="2016"/>
          </w:tcPr>
          <w:p>
            <w:r>
              <w:rPr>
                <w:sz w:val="17"/>
              </w:rPr>
            </w:r>
          </w:p>
        </w:tc>
        <w:tc>
          <w:tcPr>
            <w:tcW w:type="dxa" w:w="5616"/>
          </w:tcPr>
          <w:p>
            <w:r>
              <w:rPr>
                <w:sz w:val="17"/>
              </w:rPr>
            </w:r>
            <w:r>
              <w:rPr>
                <w:b w:val="0"/>
                <w:sz w:val="17"/>
              </w:rPr>
              <w:t>Holding statement and Q&amp;A for client, press and investor questions comparing us to TalentScope.</w:t>
            </w:r>
          </w:p>
        </w:tc>
        <w:tc>
          <w:tcPr>
            <w:tcW w:type="dxa" w:w="2016"/>
          </w:tcPr>
          <w:p>
            <w:r>
              <w:rPr>
                <w:sz w:val="17"/>
              </w:rPr>
            </w:r>
            <w:r>
              <w:rPr>
                <w:b w:val="0"/>
                <w:sz w:val="17"/>
              </w:rPr>
              <w:t>Legal / Communications / Customer Success</w:t>
            </w:r>
          </w:p>
        </w:tc>
      </w:tr>
      <w:tr>
        <w:tc>
          <w:tcPr>
            <w:tcW w:type="dxa" w:w="2016"/>
          </w:tcPr>
          <w:p>
            <w:r>
              <w:rPr>
                <w:sz w:val="17"/>
              </w:rPr>
            </w:r>
            <w:r>
              <w:rPr>
                <w:b w:val="0"/>
                <w:sz w:val="17"/>
              </w:rPr>
              <w:t>30–90 days (Mar–Apr 2025)</w:t>
            </w:r>
          </w:p>
        </w:tc>
        <w:tc>
          <w:tcPr>
            <w:tcW w:type="dxa" w:w="5616"/>
          </w:tcPr>
          <w:p>
            <w:r>
              <w:rPr>
                <w:sz w:val="17"/>
              </w:rPr>
            </w:r>
            <w:r>
              <w:rPr>
                <w:b w:val="0"/>
                <w:sz w:val="17"/>
              </w:rPr>
              <w:t>Issue revised DPA template (no pre-selected legitimate interest; model training as separate purpose; client-selectable retention) and client notice; begin re-papering – Dutch and works-council clients first.</w:t>
            </w:r>
          </w:p>
        </w:tc>
        <w:tc>
          <w:tcPr>
            <w:tcW w:type="dxa" w:w="2016"/>
          </w:tcPr>
          <w:p>
            <w:r>
              <w:rPr>
                <w:sz w:val="17"/>
              </w:rPr>
            </w:r>
            <w:r>
              <w:rPr>
                <w:b w:val="0"/>
                <w:sz w:val="17"/>
              </w:rPr>
              <w:t>Deputy GC / Customer Success</w:t>
            </w:r>
          </w:p>
        </w:tc>
      </w:tr>
      <w:tr>
        <w:tc>
          <w:tcPr>
            <w:tcW w:type="dxa" w:w="2016"/>
          </w:tcPr>
          <w:p>
            <w:r>
              <w:rPr>
                <w:sz w:val="17"/>
              </w:rPr>
            </w:r>
          </w:p>
        </w:tc>
        <w:tc>
          <w:tcPr>
            <w:tcW w:type="dxa" w:w="5616"/>
          </w:tcPr>
          <w:p>
            <w:r>
              <w:rPr>
                <w:sz w:val="17"/>
              </w:rPr>
            </w:r>
            <w:r>
              <w:rPr>
                <w:b w:val="0"/>
                <w:sz w:val="17"/>
              </w:rPr>
              <w:t>Release redesigned consent flow (granular, no lock-out, easy withdrawal).</w:t>
            </w:r>
          </w:p>
        </w:tc>
        <w:tc>
          <w:tcPr>
            <w:tcW w:type="dxa" w:w="2016"/>
          </w:tcPr>
          <w:p>
            <w:r>
              <w:rPr>
                <w:sz w:val="17"/>
              </w:rPr>
            </w:r>
            <w:r>
              <w:rPr>
                <w:b w:val="0"/>
                <w:sz w:val="17"/>
              </w:rPr>
              <w:t>VP Engineering / Product</w:t>
            </w:r>
          </w:p>
        </w:tc>
      </w:tr>
      <w:tr>
        <w:tc>
          <w:tcPr>
            <w:tcW w:type="dxa" w:w="2016"/>
          </w:tcPr>
          <w:p>
            <w:r>
              <w:rPr>
                <w:sz w:val="17"/>
              </w:rPr>
            </w:r>
          </w:p>
        </w:tc>
        <w:tc>
          <w:tcPr>
            <w:tcW w:type="dxa" w:w="5616"/>
          </w:tcPr>
          <w:p>
            <w:r>
              <w:rPr>
                <w:sz w:val="17"/>
              </w:rPr>
            </w:r>
            <w:r>
              <w:rPr>
                <w:b w:val="0"/>
                <w:sz w:val="17"/>
              </w:rPr>
              <w:t>Implement new retention schedule (12-month default for raw data) via purge jobs; verify anonymisation of cohort reports.</w:t>
            </w:r>
          </w:p>
        </w:tc>
        <w:tc>
          <w:tcPr>
            <w:tcW w:type="dxa" w:w="2016"/>
          </w:tcPr>
          <w:p>
            <w:r>
              <w:rPr>
                <w:sz w:val="17"/>
              </w:rPr>
            </w:r>
            <w:r>
              <w:rPr>
                <w:b w:val="0"/>
                <w:sz w:val="17"/>
              </w:rPr>
              <w:t>VP Engineering</w:t>
            </w:r>
          </w:p>
        </w:tc>
      </w:tr>
      <w:tr>
        <w:tc>
          <w:tcPr>
            <w:tcW w:type="dxa" w:w="2016"/>
          </w:tcPr>
          <w:p>
            <w:r>
              <w:rPr>
                <w:sz w:val="17"/>
              </w:rPr>
            </w:r>
          </w:p>
        </w:tc>
        <w:tc>
          <w:tcPr>
            <w:tcW w:type="dxa" w:w="5616"/>
          </w:tcPr>
          <w:p>
            <w:r>
              <w:rPr>
                <w:sz w:val="17"/>
              </w:rPr>
            </w:r>
            <w:r>
              <w:rPr>
                <w:b w:val="0"/>
                <w:sz w:val="17"/>
              </w:rPr>
              <w:t>Complete model-training TIA, general TIA refresh, role analysis and re-executed SCCs; decide on DPF self-certification.</w:t>
            </w:r>
          </w:p>
        </w:tc>
        <w:tc>
          <w:tcPr>
            <w:tcW w:type="dxa" w:w="2016"/>
          </w:tcPr>
          <w:p>
            <w:r>
              <w:rPr>
                <w:sz w:val="17"/>
              </w:rPr>
            </w:r>
            <w:r>
              <w:rPr>
                <w:b w:val="0"/>
                <w:sz w:val="17"/>
              </w:rPr>
              <w:t>CPO / outside counsel</w:t>
            </w:r>
          </w:p>
        </w:tc>
      </w:tr>
      <w:tr>
        <w:tc>
          <w:tcPr>
            <w:tcW w:type="dxa" w:w="2016"/>
          </w:tcPr>
          <w:p>
            <w:r>
              <w:rPr>
                <w:sz w:val="17"/>
              </w:rPr>
            </w:r>
          </w:p>
        </w:tc>
        <w:tc>
          <w:tcPr>
            <w:tcW w:type="dxa" w:w="5616"/>
          </w:tcPr>
          <w:p>
            <w:r>
              <w:rPr>
                <w:sz w:val="17"/>
              </w:rPr>
            </w:r>
            <w:r>
              <w:rPr>
                <w:b w:val="0"/>
                <w:sz w:val="17"/>
              </w:rPr>
              <w:t>Update privacy notices and client notice templates (model training, recipients, scoring logic).</w:t>
            </w:r>
          </w:p>
        </w:tc>
        <w:tc>
          <w:tcPr>
            <w:tcW w:type="dxa" w:w="2016"/>
          </w:tcPr>
          <w:p>
            <w:r>
              <w:rPr>
                <w:sz w:val="17"/>
              </w:rPr>
            </w:r>
            <w:r>
              <w:rPr>
                <w:b w:val="0"/>
                <w:sz w:val="17"/>
              </w:rPr>
              <w:t>CPO</w:t>
            </w:r>
          </w:p>
        </w:tc>
      </w:tr>
      <w:tr>
        <w:tc>
          <w:tcPr>
            <w:tcW w:type="dxa" w:w="2016"/>
          </w:tcPr>
          <w:p>
            <w:r>
              <w:rPr>
                <w:sz w:val="17"/>
              </w:rPr>
            </w:r>
            <w:r>
              <w:rPr>
                <w:b w:val="0"/>
                <w:sz w:val="17"/>
              </w:rPr>
              <w:t>90–180 days (May–Jul 2025, pre-IPO)</w:t>
            </w:r>
          </w:p>
        </w:tc>
        <w:tc>
          <w:tcPr>
            <w:tcW w:type="dxa" w:w="5616"/>
          </w:tcPr>
          <w:p>
            <w:r>
              <w:rPr>
                <w:sz w:val="17"/>
              </w:rPr>
            </w:r>
            <w:r>
              <w:rPr>
                <w:b w:val="0"/>
                <w:sz w:val="17"/>
              </w:rPr>
              <w:t>Complete comprehensive DPIA refresh; decide scoring architecture (eliminate individual scores, or add Art. 22 safeguards and bias audits); assess need for Art. 36 prior consultation.</w:t>
            </w:r>
          </w:p>
        </w:tc>
        <w:tc>
          <w:tcPr>
            <w:tcW w:type="dxa" w:w="2016"/>
          </w:tcPr>
          <w:p>
            <w:r>
              <w:rPr>
                <w:sz w:val="17"/>
              </w:rPr>
            </w:r>
            <w:r>
              <w:rPr>
                <w:b w:val="0"/>
                <w:sz w:val="17"/>
              </w:rPr>
              <w:t>CPO / VP Engineering</w:t>
            </w:r>
          </w:p>
        </w:tc>
      </w:tr>
      <w:tr>
        <w:tc>
          <w:tcPr>
            <w:tcW w:type="dxa" w:w="2016"/>
          </w:tcPr>
          <w:p>
            <w:r>
              <w:rPr>
                <w:sz w:val="17"/>
              </w:rPr>
            </w:r>
          </w:p>
        </w:tc>
        <w:tc>
          <w:tcPr>
            <w:tcW w:type="dxa" w:w="5616"/>
          </w:tcPr>
          <w:p>
            <w:r>
              <w:rPr>
                <w:sz w:val="17"/>
              </w:rPr>
            </w:r>
            <w:r>
              <w:rPr>
                <w:b w:val="0"/>
                <w:sz w:val="17"/>
              </w:rPr>
              <w:t>Track DPA re-papering against milestones; report completion rates to the audit committee.</w:t>
            </w:r>
          </w:p>
        </w:tc>
        <w:tc>
          <w:tcPr>
            <w:tcW w:type="dxa" w:w="2016"/>
          </w:tcPr>
          <w:p>
            <w:r>
              <w:rPr>
                <w:sz w:val="17"/>
              </w:rPr>
            </w:r>
            <w:r>
              <w:rPr>
                <w:b w:val="0"/>
                <w:sz w:val="17"/>
              </w:rPr>
              <w:t>Deputy GC</w:t>
            </w:r>
          </w:p>
        </w:tc>
      </w:tr>
      <w:tr>
        <w:tc>
          <w:tcPr>
            <w:tcW w:type="dxa" w:w="2016"/>
          </w:tcPr>
          <w:p>
            <w:r>
              <w:rPr>
                <w:sz w:val="17"/>
              </w:rPr>
            </w:r>
          </w:p>
        </w:tc>
        <w:tc>
          <w:tcPr>
            <w:tcW w:type="dxa" w:w="5616"/>
          </w:tcPr>
          <w:p>
            <w:r>
              <w:rPr>
                <w:sz w:val="17"/>
              </w:rPr>
            </w:r>
            <w:r>
              <w:rPr>
                <w:b w:val="0"/>
                <w:sz w:val="17"/>
              </w:rPr>
              <w:t>Independent check (internal audit or outside counsel) of remediation status before the S-1 goes effective.</w:t>
            </w:r>
          </w:p>
        </w:tc>
        <w:tc>
          <w:tcPr>
            <w:tcW w:type="dxa" w:w="2016"/>
          </w:tcPr>
          <w:p>
            <w:r>
              <w:rPr>
                <w:sz w:val="17"/>
              </w:rPr>
            </w:r>
            <w:r>
              <w:rPr>
                <w:b w:val="0"/>
                <w:sz w:val="17"/>
              </w:rPr>
              <w:t>Deputy GC / Audit committee</w:t>
            </w:r>
          </w:p>
        </w:tc>
      </w:tr>
    </w:tbl>
    <w:p>
      <w:pPr>
        <w:spacing w:after="40"/>
      </w:pPr>
    </w:p>
    <w:p>
      <w:pPr>
        <w:pStyle w:val="Heading1"/>
      </w:pPr>
      <w:r>
        <w:t>8. Decisions needed from leadership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432"/>
            <w:shd w:val="clear" w:color="auto" w:fill="1F3A5F"/>
          </w:tcPr>
          <w:p>
            <w:r/>
            <w:r>
              <w:rPr>
                <w:b/>
                <w:color w:val="FFFFFF"/>
                <w:sz w:val="18"/>
              </w:rPr>
              <w:t>#</w:t>
            </w:r>
          </w:p>
        </w:tc>
        <w:tc>
          <w:tcPr>
            <w:tcW w:type="dxa" w:w="3600"/>
            <w:shd w:val="clear" w:color="auto" w:fill="1F3A5F"/>
          </w:tcPr>
          <w:p>
            <w:r/>
            <w:r>
              <w:rPr>
                <w:b/>
                <w:color w:val="FFFFFF"/>
                <w:sz w:val="18"/>
              </w:rPr>
              <w:t>Decision</w:t>
            </w:r>
          </w:p>
        </w:tc>
        <w:tc>
          <w:tcPr>
            <w:tcW w:type="dxa" w:w="5616"/>
            <w:shd w:val="clear" w:color="auto" w:fill="1F3A5F"/>
          </w:tcPr>
          <w:p>
            <w:r/>
            <w:r>
              <w:rPr>
                <w:b/>
                <w:color w:val="FFFFFF"/>
                <w:sz w:val="18"/>
              </w:rPr>
              <w:t>Considerations</w:t>
            </w:r>
          </w:p>
        </w:tc>
      </w:tr>
      <w:tr>
        <w:tc>
          <w:tcPr>
            <w:tcW w:type="dxa" w:w="432"/>
          </w:tcPr>
          <w:p>
            <w:r>
              <w:rPr>
                <w:sz w:val="18"/>
              </w:rPr>
            </w:r>
            <w:r>
              <w:rPr>
                <w:b w:val="0"/>
                <w:sz w:val="18"/>
              </w:rPr>
              <w:t>1</w:t>
            </w:r>
          </w:p>
        </w:tc>
        <w:tc>
          <w:tcPr>
            <w:tcW w:type="dxa" w:w="3600"/>
          </w:tcPr>
          <w:p>
            <w:r>
              <w:rPr>
                <w:sz w:val="18"/>
              </w:rPr>
            </w:r>
            <w:r>
              <w:rPr>
                <w:b w:val="0"/>
                <w:sz w:val="18"/>
              </w:rPr>
              <w:t>Fund and staff the programme; name an executive sponsor</w:t>
            </w:r>
          </w:p>
        </w:tc>
        <w:tc>
          <w:tcPr>
            <w:tcW w:type="dxa" w:w="5616"/>
          </w:tcPr>
          <w:p>
            <w:r>
              <w:rPr>
                <w:sz w:val="18"/>
              </w:rPr>
            </w:r>
            <w:r>
              <w:rPr>
                <w:b w:val="0"/>
                <w:sz w:val="18"/>
              </w:rPr>
              <w:t>Engineering capacity is the critical path (consent redesign, scoring pipeline, retention, data flows). Expect product-roadmap trade-offs before the IPO.</w:t>
            </w:r>
          </w:p>
        </w:tc>
      </w:tr>
      <w:tr>
        <w:tc>
          <w:tcPr>
            <w:tcW w:type="dxa" w:w="432"/>
          </w:tcPr>
          <w:p>
            <w:r>
              <w:rPr>
                <w:sz w:val="18"/>
              </w:rPr>
            </w:r>
            <w:r>
              <w:rPr>
                <w:b w:val="0"/>
                <w:sz w:val="18"/>
              </w:rPr>
              <w:t>2</w:t>
            </w:r>
          </w:p>
        </w:tc>
        <w:tc>
          <w:tcPr>
            <w:tcW w:type="dxa" w:w="3600"/>
          </w:tcPr>
          <w:p>
            <w:r>
              <w:rPr>
                <w:sz w:val="18"/>
              </w:rPr>
            </w:r>
            <w:r>
              <w:rPr>
                <w:b w:val="0"/>
                <w:sz w:val="18"/>
              </w:rPr>
              <w:t>Interim treatment of EU model-training transfers and per-employee scoring</w:t>
            </w:r>
          </w:p>
        </w:tc>
        <w:tc>
          <w:tcPr>
            <w:tcW w:type="dxa" w:w="5616"/>
          </w:tcPr>
          <w:p>
            <w:r>
              <w:rPr>
                <w:sz w:val="18"/>
              </w:rPr>
            </w:r>
            <w:r>
              <w:rPr>
                <w:b w:val="0"/>
                <w:sz w:val="18"/>
              </w:rPr>
              <w:t>Continuing unchanged adds exposure daily and would count as an aggravating factor; pausing affects model quality and product claims. Legal recommends at least restricting new EU data into training until a basis, TIA and correct SCCs are in place.</w:t>
            </w:r>
          </w:p>
        </w:tc>
      </w:tr>
      <w:tr>
        <w:tc>
          <w:tcPr>
            <w:tcW w:type="dxa" w:w="432"/>
          </w:tcPr>
          <w:p>
            <w:r>
              <w:rPr>
                <w:sz w:val="18"/>
              </w:rPr>
            </w:r>
            <w:r>
              <w:rPr>
                <w:b w:val="0"/>
                <w:sz w:val="18"/>
              </w:rPr>
              <w:t>3</w:t>
            </w:r>
          </w:p>
        </w:tc>
        <w:tc>
          <w:tcPr>
            <w:tcW w:type="dxa" w:w="3600"/>
          </w:tcPr>
          <w:p>
            <w:r>
              <w:rPr>
                <w:sz w:val="18"/>
              </w:rPr>
            </w:r>
            <w:r>
              <w:rPr>
                <w:b w:val="0"/>
                <w:sz w:val="18"/>
              </w:rPr>
              <w:t>Target scoring architecture (aggregate-only vs. individual scores with safeguards)</w:t>
            </w:r>
          </w:p>
        </w:tc>
        <w:tc>
          <w:tcPr>
            <w:tcW w:type="dxa" w:w="5616"/>
          </w:tcPr>
          <w:p>
            <w:r>
              <w:rPr>
                <w:sz w:val="18"/>
              </w:rPr>
            </w:r>
            <w:r>
              <w:rPr>
                <w:b w:val="0"/>
                <w:sz w:val="18"/>
              </w:rPr>
              <w:t>Aggregate-only avoids Art. 22 and is the regulator’s stated preference but changes product capability; individual scores need transparency, contest rights and audits.</w:t>
            </w:r>
          </w:p>
        </w:tc>
      </w:tr>
      <w:tr>
        <w:tc>
          <w:tcPr>
            <w:tcW w:type="dxa" w:w="432"/>
          </w:tcPr>
          <w:p>
            <w:r>
              <w:rPr>
                <w:sz w:val="18"/>
              </w:rPr>
            </w:r>
            <w:r>
              <w:rPr>
                <w:b w:val="0"/>
                <w:sz w:val="18"/>
              </w:rPr>
              <w:t>4</w:t>
            </w:r>
          </w:p>
        </w:tc>
        <w:tc>
          <w:tcPr>
            <w:tcW w:type="dxa" w:w="3600"/>
          </w:tcPr>
          <w:p>
            <w:r>
              <w:rPr>
                <w:sz w:val="18"/>
              </w:rPr>
            </w:r>
            <w:r>
              <w:rPr>
                <w:b w:val="0"/>
                <w:sz w:val="18"/>
              </w:rPr>
              <w:t>Client communication strategy</w:t>
            </w:r>
          </w:p>
        </w:tc>
        <w:tc>
          <w:tcPr>
            <w:tcW w:type="dxa" w:w="5616"/>
          </w:tcPr>
          <w:p>
            <w:r>
              <w:rPr>
                <w:sz w:val="18"/>
              </w:rPr>
            </w:r>
            <w:r>
              <w:rPr>
                <w:b w:val="0"/>
                <w:sz w:val="18"/>
              </w:rPr>
              <w:t>The guidelines expect processors to tell clients about the change. A proactive, managed notice beats clients learning from the press; Sales and Customer Success need scripts.</w:t>
            </w:r>
          </w:p>
        </w:tc>
      </w:tr>
      <w:tr>
        <w:tc>
          <w:tcPr>
            <w:tcW w:type="dxa" w:w="432"/>
          </w:tcPr>
          <w:p>
            <w:r>
              <w:rPr>
                <w:sz w:val="18"/>
              </w:rPr>
            </w:r>
            <w:r>
              <w:rPr>
                <w:b w:val="0"/>
                <w:sz w:val="18"/>
              </w:rPr>
              <w:t>5</w:t>
            </w:r>
          </w:p>
        </w:tc>
        <w:tc>
          <w:tcPr>
            <w:tcW w:type="dxa" w:w="3600"/>
          </w:tcPr>
          <w:p>
            <w:r>
              <w:rPr>
                <w:sz w:val="18"/>
              </w:rPr>
            </w:r>
            <w:r>
              <w:rPr>
                <w:b w:val="0"/>
                <w:sz w:val="18"/>
              </w:rPr>
              <w:t>S-1 disclosure approach and IPO contingencies</w:t>
            </w:r>
          </w:p>
        </w:tc>
        <w:tc>
          <w:tcPr>
            <w:tcW w:type="dxa" w:w="5616"/>
          </w:tcPr>
          <w:p>
            <w:r>
              <w:rPr>
                <w:sz w:val="18"/>
              </w:rPr>
            </w:r>
            <w:r>
              <w:rPr>
                <w:b w:val="0"/>
                <w:sz w:val="18"/>
              </w:rPr>
              <w:t>Kessler Whitmore to advise; risk factors should accurately describe the guidance, the TalentScope precedent, our gaps and the remediation plan. Plan for an AP inquiry during the registration period.</w:t>
            </w:r>
          </w:p>
        </w:tc>
      </w:tr>
      <w:tr>
        <w:tc>
          <w:tcPr>
            <w:tcW w:type="dxa" w:w="432"/>
          </w:tcPr>
          <w:p>
            <w:r>
              <w:rPr>
                <w:sz w:val="18"/>
              </w:rPr>
            </w:r>
            <w:r>
              <w:rPr>
                <w:b w:val="0"/>
                <w:sz w:val="18"/>
              </w:rPr>
              <w:t>6</w:t>
            </w:r>
          </w:p>
        </w:tc>
        <w:tc>
          <w:tcPr>
            <w:tcW w:type="dxa" w:w="3600"/>
          </w:tcPr>
          <w:p>
            <w:r>
              <w:rPr>
                <w:sz w:val="18"/>
              </w:rPr>
            </w:r>
            <w:r>
              <w:rPr>
                <w:b w:val="0"/>
                <w:sz w:val="18"/>
              </w:rPr>
              <w:t>Insurance and reserves</w:t>
            </w:r>
          </w:p>
        </w:tc>
        <w:tc>
          <w:tcPr>
            <w:tcW w:type="dxa" w:w="5616"/>
          </w:tcPr>
          <w:p>
            <w:r>
              <w:rPr>
                <w:sz w:val="18"/>
              </w:rPr>
            </w:r>
            <w:r>
              <w:rPr>
                <w:b w:val="0"/>
                <w:sz w:val="18"/>
              </w:rPr>
              <w:t>Confirm coverage of fines; consider a higher sub-limit; budget for uninsured exposure and discuss reserve treatment with Finance and the auditors.</w:t>
            </w:r>
          </w:p>
        </w:tc>
      </w:tr>
    </w:tbl>
    <w:p>
      <w:pPr>
        <w:spacing w:after="40"/>
      </w:pPr>
    </w:p>
    <w:p>
      <w:pPr>
        <w:pStyle w:val="Heading1"/>
      </w:pPr>
      <w:r>
        <w:t>9. Open questions to resolve</w:t>
      </w:r>
    </w:p>
    <w:p>
      <w:pPr>
        <w:pStyle w:val="ListBullet"/>
        <w:spacing w:after="60"/>
      </w:pPr>
      <w:r>
        <w:rPr>
          <w:b w:val="0"/>
        </w:rPr>
        <w:t>Does the Albion Specialty policy actually pay Dutch AP administrative fines, or only defence costs? Are notice obligations triggered now?</w:t>
      </w:r>
    </w:p>
    <w:p>
      <w:pPr>
        <w:pStyle w:val="ListBullet"/>
        <w:spacing w:after="60"/>
      </w:pPr>
      <w:r>
        <w:rPr>
          <w:b w:val="0"/>
        </w:rPr>
        <w:t>Which of our 740+ clients are in the Netherlands, have works councils, or operate where national employee-monitoring laws apply? (Drives re-papering priority.)</w:t>
      </w:r>
    </w:p>
    <w:p>
      <w:pPr>
        <w:pStyle w:val="ListBullet"/>
        <w:spacing w:after="60"/>
      </w:pPr>
      <w:r>
        <w:rPr>
          <w:b w:val="0"/>
        </w:rPr>
        <w:t>What does the March 2023 TIA actually cover (including the DPF-reference anomaly)?</w:t>
      </w:r>
    </w:p>
    <w:p>
      <w:pPr>
        <w:pStyle w:val="ListBullet"/>
        <w:spacing w:after="60"/>
      </w:pPr>
      <w:r>
        <w:rPr>
          <w:b w:val="0"/>
        </w:rPr>
        <w:t>Is any per-employee score, or any employee’s “declined consent” status, visible to client administrators in any form (exports, APIs, support tickets)?</w:t>
      </w:r>
    </w:p>
    <w:p>
      <w:pPr>
        <w:pStyle w:val="ListBullet"/>
        <w:spacing w:after="60"/>
      </w:pPr>
      <w:r>
        <w:rPr>
          <w:b w:val="0"/>
        </w:rPr>
        <w:t>Are cohort reports genuinely anonymous at a minimum cohort of 5, given indefinite retention?</w:t>
      </w:r>
    </w:p>
    <w:p>
      <w:pPr>
        <w:pStyle w:val="ListBullet"/>
        <w:spacing w:after="60"/>
      </w:pPr>
      <w:r>
        <w:rPr>
          <w:b w:val="0"/>
        </w:rPr>
        <w:t>Do burnout-risk indicators amount to health data (Art. 9)?</w:t>
      </w:r>
    </w:p>
    <w:p>
      <w:pPr>
        <w:pStyle w:val="ListBullet"/>
        <w:spacing w:after="60"/>
      </w:pPr>
      <w:r>
        <w:rPr>
          <w:b w:val="0"/>
        </w:rPr>
        <w:t>Has TalentScope appealed, and are other EU regulators opening similar inquiries?</w:t>
      </w:r>
    </w:p>
    <w:p>
      <w:pPr>
        <w:pStyle w:val="ListBullet"/>
        <w:spacing w:after="60"/>
      </w:pPr>
      <w:r>
        <w:rPr>
          <w:b w:val="0"/>
        </w:rPr>
        <w:t>What effort and timeline do the consent, scoring and retention changes require? (VP Engineering to estimate within two weeks.)</w:t>
      </w:r>
    </w:p>
    <w:p>
      <w:pPr>
        <w:pStyle w:val="Heading1"/>
      </w:pPr>
      <w:r>
        <w:t>10. Quick glossary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016"/>
            <w:shd w:val="clear" w:color="auto" w:fill="1F3A5F"/>
          </w:tcPr>
          <w:p>
            <w:r/>
            <w:r>
              <w:rPr>
                <w:b/>
                <w:color w:val="FFFFFF"/>
                <w:sz w:val="18"/>
              </w:rPr>
              <w:t>Term</w:t>
            </w:r>
          </w:p>
        </w:tc>
        <w:tc>
          <w:tcPr>
            <w:tcW w:type="dxa" w:w="7632"/>
            <w:shd w:val="clear" w:color="auto" w:fill="1F3A5F"/>
          </w:tcPr>
          <w:p>
            <w:r/>
            <w:r>
              <w:rPr>
                <w:b/>
                <w:color w:val="FFFFFF"/>
                <w:sz w:val="18"/>
              </w:rPr>
              <w:t>Meaning</w:t>
            </w:r>
          </w:p>
        </w:tc>
      </w:tr>
      <w:tr>
        <w:tc>
          <w:tcPr>
            <w:tcW w:type="dxa" w:w="2016"/>
          </w:tcPr>
          <w:p>
            <w:r>
              <w:rPr>
                <w:sz w:val="18"/>
              </w:rPr>
            </w:r>
            <w:r>
              <w:rPr>
                <w:b w:val="0"/>
                <w:sz w:val="18"/>
              </w:rPr>
              <w:t>AP</w:t>
            </w:r>
          </w:p>
        </w:tc>
        <w:tc>
          <w:tcPr>
            <w:tcW w:type="dxa" w:w="7632"/>
          </w:tcPr>
          <w:p>
            <w:r>
              <w:rPr>
                <w:sz w:val="18"/>
              </w:rPr>
            </w:r>
            <w:r>
              <w:rPr>
                <w:b w:val="0"/>
                <w:sz w:val="18"/>
              </w:rPr>
              <w:t>Autoriteit Persoonsgegevens – the Dutch data protection regulator and NovaBridge EU’s lead regulator.</w:t>
            </w:r>
          </w:p>
        </w:tc>
      </w:tr>
      <w:tr>
        <w:tc>
          <w:tcPr>
            <w:tcW w:type="dxa" w:w="2016"/>
          </w:tcPr>
          <w:p>
            <w:r>
              <w:rPr>
                <w:sz w:val="18"/>
              </w:rPr>
            </w:r>
            <w:r>
              <w:rPr>
                <w:b w:val="0"/>
                <w:sz w:val="18"/>
              </w:rPr>
              <w:t>EDPB</w:t>
            </w:r>
          </w:p>
        </w:tc>
        <w:tc>
          <w:tcPr>
            <w:tcW w:type="dxa" w:w="7632"/>
          </w:tcPr>
          <w:p>
            <w:r>
              <w:rPr>
                <w:sz w:val="18"/>
              </w:rPr>
            </w:r>
            <w:r>
              <w:rPr>
                <w:b w:val="0"/>
                <w:sz w:val="18"/>
              </w:rPr>
              <w:t>European Data Protection Board – the body of all EU data protection regulators; issues guidelines regulators apply.</w:t>
            </w:r>
          </w:p>
        </w:tc>
      </w:tr>
      <w:tr>
        <w:tc>
          <w:tcPr>
            <w:tcW w:type="dxa" w:w="2016"/>
          </w:tcPr>
          <w:p>
            <w:r>
              <w:rPr>
                <w:sz w:val="18"/>
              </w:rPr>
            </w:r>
            <w:r>
              <w:rPr>
                <w:b w:val="0"/>
                <w:sz w:val="18"/>
              </w:rPr>
              <w:t>Controller / processor</w:t>
            </w:r>
          </w:p>
        </w:tc>
        <w:tc>
          <w:tcPr>
            <w:tcW w:type="dxa" w:w="7632"/>
          </w:tcPr>
          <w:p>
            <w:r>
              <w:rPr>
                <w:sz w:val="18"/>
              </w:rPr>
            </w:r>
            <w:r>
              <w:rPr>
                <w:b w:val="0"/>
                <w:sz w:val="18"/>
              </w:rPr>
              <w:t>The controller decides why and how data is used (our clients, for core PulseView). The processor acts on its instructions (NovaBridge EU). A company can be a controller for one purpose and a processor for another.</w:t>
            </w:r>
          </w:p>
        </w:tc>
      </w:tr>
      <w:tr>
        <w:tc>
          <w:tcPr>
            <w:tcW w:type="dxa" w:w="2016"/>
          </w:tcPr>
          <w:p>
            <w:r>
              <w:rPr>
                <w:sz w:val="18"/>
              </w:rPr>
            </w:r>
            <w:r>
              <w:rPr>
                <w:b w:val="0"/>
                <w:sz w:val="18"/>
              </w:rPr>
              <w:t>Legitimate interest</w:t>
            </w:r>
          </w:p>
        </w:tc>
        <w:tc>
          <w:tcPr>
            <w:tcW w:type="dxa" w:w="7632"/>
          </w:tcPr>
          <w:p>
            <w:r>
              <w:rPr>
                <w:sz w:val="18"/>
              </w:rPr>
            </w:r>
            <w:r>
              <w:rPr>
                <w:b w:val="0"/>
                <w:sz w:val="18"/>
              </w:rPr>
              <w:t>A legal basis allowing processing without consent where the business interest is not outweighed by individuals’ rights; now considered generally unsuitable for continuous employee monitoring.</w:t>
            </w:r>
          </w:p>
        </w:tc>
      </w:tr>
      <w:tr>
        <w:tc>
          <w:tcPr>
            <w:tcW w:type="dxa" w:w="2016"/>
          </w:tcPr>
          <w:p>
            <w:r>
              <w:rPr>
                <w:sz w:val="18"/>
              </w:rPr>
            </w:r>
            <w:r>
              <w:rPr>
                <w:b w:val="0"/>
                <w:sz w:val="18"/>
              </w:rPr>
              <w:t>DPIA</w:t>
            </w:r>
          </w:p>
        </w:tc>
        <w:tc>
          <w:tcPr>
            <w:tcW w:type="dxa" w:w="7632"/>
          </w:tcPr>
          <w:p>
            <w:r>
              <w:rPr>
                <w:sz w:val="18"/>
              </w:rPr>
            </w:r>
            <w:r>
              <w:rPr>
                <w:b w:val="0"/>
                <w:sz w:val="18"/>
              </w:rPr>
              <w:t>Data Protection Impact Assessment – a mandatory written risk assessment for high-risk processing.</w:t>
            </w:r>
          </w:p>
        </w:tc>
      </w:tr>
      <w:tr>
        <w:tc>
          <w:tcPr>
            <w:tcW w:type="dxa" w:w="2016"/>
          </w:tcPr>
          <w:p>
            <w:r>
              <w:rPr>
                <w:sz w:val="18"/>
              </w:rPr>
            </w:r>
            <w:r>
              <w:rPr>
                <w:b w:val="0"/>
                <w:sz w:val="18"/>
              </w:rPr>
              <w:t>Art. 22 / profiling</w:t>
            </w:r>
          </w:p>
        </w:tc>
        <w:tc>
          <w:tcPr>
            <w:tcW w:type="dxa" w:w="7632"/>
          </w:tcPr>
          <w:p>
            <w:r>
              <w:rPr>
                <w:sz w:val="18"/>
              </w:rPr>
            </w:r>
            <w:r>
              <w:rPr>
                <w:b w:val="0"/>
                <w:sz w:val="18"/>
              </w:rPr>
              <w:t>Rules protecting people from automated evaluation of their personal characteristics; require explanation, human review and a right to contest.</w:t>
            </w:r>
          </w:p>
        </w:tc>
      </w:tr>
      <w:tr>
        <w:tc>
          <w:tcPr>
            <w:tcW w:type="dxa" w:w="2016"/>
          </w:tcPr>
          <w:p>
            <w:r>
              <w:rPr>
                <w:sz w:val="18"/>
              </w:rPr>
            </w:r>
            <w:r>
              <w:rPr>
                <w:b w:val="0"/>
                <w:sz w:val="18"/>
              </w:rPr>
              <w:t>SCCs / TIA</w:t>
            </w:r>
          </w:p>
        </w:tc>
        <w:tc>
          <w:tcPr>
            <w:tcW w:type="dxa" w:w="7632"/>
          </w:tcPr>
          <w:p>
            <w:r>
              <w:rPr>
                <w:sz w:val="18"/>
              </w:rPr>
            </w:r>
            <w:r>
              <w:rPr>
                <w:b w:val="0"/>
                <w:sz w:val="18"/>
              </w:rPr>
              <w:t>Standard Contractual Clauses are EU-approved contracts for sending data outside the EU, in four “modules” depending on the parties’ roles; a Transfer Impact Assessment documents whether the destination country’s laws undermine them.</w:t>
            </w:r>
          </w:p>
        </w:tc>
      </w:tr>
      <w:tr>
        <w:tc>
          <w:tcPr>
            <w:tcW w:type="dxa" w:w="2016"/>
          </w:tcPr>
          <w:p>
            <w:r>
              <w:rPr>
                <w:sz w:val="18"/>
              </w:rPr>
            </w:r>
            <w:r>
              <w:rPr>
                <w:b w:val="0"/>
                <w:sz w:val="18"/>
              </w:rPr>
              <w:t>DPF</w:t>
            </w:r>
          </w:p>
        </w:tc>
        <w:tc>
          <w:tcPr>
            <w:tcW w:type="dxa" w:w="7632"/>
          </w:tcPr>
          <w:p>
            <w:r>
              <w:rPr>
                <w:sz w:val="18"/>
              </w:rPr>
            </w:r>
            <w:r>
              <w:rPr>
                <w:b w:val="0"/>
                <w:sz w:val="18"/>
              </w:rPr>
              <w:t>EU-U.S. Data Privacy Framework – an alternative transfer mechanism for US companies that self-certify.</w:t>
            </w:r>
          </w:p>
        </w:tc>
      </w:tr>
    </w:tbl>
    <w:p>
      <w:pPr>
        <w:spacing w:after="40"/>
      </w:pPr>
    </w:p>
    <w:p>
      <w:pPr>
        <w:spacing w:after="120"/>
      </w:pPr>
      <w:r>
        <w:rPr>
          <w:b w:val="0"/>
          <w:i/>
          <w:sz w:val="17"/>
        </w:rPr>
        <w:t>This brief summarises outside counsel’s advice and internal fact documents for leadership decision-making. It is not a substitute for that advice; figures and ratings are preliminary and will be updated as the gap assessment progresses.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&amp; Confidential – Prepared at the direction of counsel – Attorney-Client Communication / Attorney Work Product – Do not forward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