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ind w:left="0" w:firstLine="0"/>
        <w:jc w:val="center"/>
      </w:pPr>
      <w:r>
        <w:rPr>
          <w:b/>
          <w:sz w:val="26"/>
        </w:rPr>
        <w:t>LINDEN &amp; HOWELL LLP</w:t>
      </w:r>
    </w:p>
    <w:p>
      <w:pPr>
        <w:keepNext/>
        <w:spacing w:after="240"/>
        <w:ind w:left="0" w:firstLine="0"/>
        <w:jc w:val="center"/>
      </w:pPr>
      <w:r>
        <w:rPr>
          <w:b/>
          <w:sz w:val="26"/>
        </w:rPr>
        <w:t>MEMORANDUM</w:t>
      </w:r>
    </w:p>
    <w:p>
      <w:pPr>
        <w:spacing w:after="40"/>
        <w:ind w:left="2160" w:hanging="2160"/>
      </w:pPr>
      <w:r>
        <w:rPr>
          <w:b/>
        </w:rPr>
        <w:t>TO:</w:t>
      </w:r>
      <w:r>
        <w:tab/>
        <w:t>David Nakamura, Partner; Elena Vasquez, Senior Associate</w:t>
      </w:r>
    </w:p>
    <w:p>
      <w:pPr>
        <w:spacing w:after="40"/>
        <w:ind w:left="2160" w:hanging="2160"/>
      </w:pPr>
      <w:r>
        <w:rPr>
          <w:b/>
        </w:rPr>
        <w:t>FROM:</w:t>
      </w:r>
      <w:r>
        <w:tab/>
        <w:t>[Associate], Emerging Companies &amp; Venture Capital Group</w:t>
      </w:r>
    </w:p>
    <w:p>
      <w:pPr>
        <w:spacing w:after="40"/>
        <w:ind w:left="2160" w:hanging="2160"/>
      </w:pPr>
      <w:r>
        <w:rPr>
          <w:b/>
        </w:rPr>
        <w:t>DATE:</w:t>
      </w:r>
      <w:r>
        <w:tab/>
        <w:t>October 16, 2026</w:t>
      </w:r>
    </w:p>
    <w:p>
      <w:pPr>
        <w:spacing w:after="40"/>
        <w:ind w:left="2160" w:hanging="2160"/>
      </w:pPr>
      <w:r>
        <w:rPr>
          <w:b/>
        </w:rPr>
        <w:t>CLIENT/MATTER:</w:t>
      </w:r>
      <w:r>
        <w:tab/>
        <w:t>Meridian Robotics LLC / Meridian Robotics, Inc. — Series A Preferred Stock Financing</w:t>
      </w:r>
    </w:p>
    <w:p>
      <w:pPr>
        <w:spacing w:after="40"/>
        <w:ind w:left="2160" w:hanging="2160"/>
      </w:pPr>
      <w:r>
        <w:rPr>
          <w:b/>
        </w:rPr>
        <w:t>RE:</w:t>
      </w:r>
      <w:r>
        <w:tab/>
        <w:t>Draft Amended and Restated Certificate of Incorporation — Source-Document Conflicts, Drafting Decisions and Open Issues</w:t>
      </w:r>
    </w:p>
    <w:p>
      <w:pPr>
        <w:spacing w:after="120"/>
      </w:pPr>
      <w:r>
        <w:t>______________________________________________________________________________</w:t>
      </w:r>
    </w:p>
    <w:p>
      <w:pPr>
        <w:keepNext/>
        <w:spacing w:after="120"/>
        <w:ind w:left="0" w:firstLine="0"/>
        <w:jc w:val="left"/>
      </w:pPr>
      <w:r>
        <w:rPr>
          <w:b/>
          <w:sz w:val="24"/>
        </w:rPr>
        <w:t>I. PURPOSE AND BOTTOM LINE</w:t>
      </w:r>
    </w:p>
    <w:p>
      <w:pPr>
        <w:spacing w:after="160"/>
        <w:ind w:left="0" w:firstLine="0"/>
        <w:jc w:val="both"/>
      </w:pPr>
      <w:r>
        <w:t>This memorandum accompanies the attached draft Amended and Restated Certificate of Incorporation of Meridian Robotics, Inc. (the “</w:t>
      </w:r>
      <w:r>
        <w:rPr>
          <w:b/>
        </w:rPr>
        <w:t>Draft Charter</w:t>
      </w:r>
      <w:r>
        <w:t>”), prepared for the conversion of Meridian Robotics LLC (California) into a Delaware corporation and the $12,000,000 Series A Preferred Stock financing led by Aldersgate Ventures Fund III, L.P. (“</w:t>
      </w:r>
      <w:r>
        <w:rPr>
          <w:b/>
        </w:rPr>
        <w:t>Aldersgate</w:t>
      </w:r>
      <w:r>
        <w:t>”), with Ridgeline Capital Partners, LLC (“</w:t>
      </w:r>
      <w:r>
        <w:rPr>
          <w:b/>
        </w:rPr>
        <w:t>Ridgeline</w:t>
      </w:r>
      <w:r>
        <w:t>”). I reviewed in full the four documents in the file: (1) the Series A Term Sheet dated January 15, 2025 (the “</w:t>
      </w:r>
      <w:r>
        <w:rPr>
          <w:b/>
        </w:rPr>
        <w:t>Term Sheet</w:t>
      </w:r>
      <w:r>
        <w:t>”); (2) the minutes of the February 3, 2025 special meeting of the LLC’s Board of Managers (the “</w:t>
      </w:r>
      <w:r>
        <w:rPr>
          <w:b/>
        </w:rPr>
        <w:t>Minutes</w:t>
      </w:r>
      <w:r>
        <w:t>”); (3) the January 8–14, 2025 email chain between our office and Ashford Gray LLP (the “</w:t>
      </w:r>
      <w:r>
        <w:rPr>
          <w:b/>
        </w:rPr>
        <w:t>Emails</w:t>
      </w:r>
      <w:r>
        <w:t>”); and (4) the Series A capitalization table workbook (the “</w:t>
      </w:r>
      <w:r>
        <w:rPr>
          <w:b/>
        </w:rPr>
        <w:t>Cap Table</w:t>
      </w:r>
      <w:r>
        <w:t>”). The Draft Charter is built on the current NVCA model form, tailored to the Term Sheet. Bracketed bold-italic text and “NTD” notes in the Draft Charter tie back to the numbered issues below.</w:t>
      </w:r>
    </w:p>
    <w:p>
      <w:pPr>
        <w:spacing w:after="160"/>
        <w:ind w:left="0" w:firstLine="0"/>
        <w:jc w:val="both"/>
      </w:pPr>
      <w:r>
        <w:rPr>
          <w:b/>
        </w:rPr>
        <w:t>Key points:</w:t>
      </w:r>
    </w:p>
    <w:p>
      <w:pPr>
        <w:spacing w:after="80"/>
        <w:ind w:left="720" w:hanging="360"/>
        <w:jc w:val="both"/>
      </w:pPr>
      <w:r>
        <w:t>•</w:t>
        <w:tab/>
      </w:r>
      <w:r>
        <w:rPr>
          <w:b/>
        </w:rPr>
        <w:t>The executed Term Sheet controls; the Minutes are out of step with it.</w:t>
      </w:r>
      <w:r>
        <w:t xml:space="preserve"> The Minutes (which postdate the Term Sheet) record approval of several terms that the Emails show were rejected or withdrawn before signing and that the Term Sheet does not contain: a participating liquidation preference capped at 3x (Issue 7), a five-year redemption right (Issue 8), a 1,500,000-share option pool (Issue 6) and a Westbridge debt carve-out (Issue 19). I have drafted to the Term Sheet and treat the Minutes as carrying over earlier draft terms by mistake. This needs to be confirmed, and corrective resolutions are required (Issue 25).</w:t>
      </w:r>
    </w:p>
    <w:p>
      <w:pPr>
        <w:spacing w:after="80"/>
        <w:ind w:left="720" w:hanging="360"/>
        <w:jc w:val="both"/>
      </w:pPr>
      <w:r>
        <w:t>•</w:t>
        <w:tab/>
      </w:r>
      <w:r>
        <w:rPr>
          <w:b/>
        </w:rPr>
        <w:t>The pricing math does not work.</w:t>
      </w:r>
      <w:r>
        <w:t xml:space="preserve"> The Term Sheet says the 2,000,000-share pool is carved out of the $36,000,000 pre-money valuation, but it then prices the round at $3.60 by dividing by 10,000,000 shares, which leaves the pool out. A true carve-out would price the round at $3.00 per share and issue 4,000,000 Series A shares. That is more than the 3,500,000 Series A shares the Term Sheet authorizes (Issue 5). This is the most important economic point to resolve before anyone signs.</w:t>
      </w:r>
    </w:p>
    <w:p>
      <w:pPr>
        <w:spacing w:after="80"/>
        <w:ind w:left="720" w:hanging="360"/>
        <w:jc w:val="both"/>
      </w:pPr>
      <w:r>
        <w:t>•</w:t>
        <w:tab/>
      </w:r>
      <w:r>
        <w:rPr>
          <w:b/>
        </w:rPr>
        <w:t>The Qualified IPO price is still open.</w:t>
      </w:r>
      <w:r>
        <w:t xml:space="preserve"> The Term Sheet says $12.00 and calls it “at least 3x” the $3.60 Original Issue Price. But 3x is $10.80. Our January 14 question on this point has no answer in the file (Issue 12).</w:t>
      </w:r>
    </w:p>
    <w:p>
      <w:pPr>
        <w:spacing w:after="80"/>
        <w:ind w:left="720" w:hanging="360"/>
        <w:jc w:val="both"/>
      </w:pPr>
      <w:r>
        <w:t>•</w:t>
        <w:tab/>
      </w:r>
      <w:r>
        <w:rPr>
          <w:b/>
        </w:rPr>
        <w:t>Every deadline in the documents has passed.</w:t>
      </w:r>
      <w:r>
        <w:t xml:space="preserve"> Closing was to occur on or before March 1, 2025. Exclusivity ran out March 16, 2025, and the Independent Director was to be seated by May 30, 2025. Nothing in the file shows that the conversion or the closing ever happened. We need to confirm the status of the deal before going further, and the numbers may need to be brought down to date (Issue 1).</w:t>
      </w:r>
    </w:p>
    <w:p>
      <w:pPr>
        <w:spacing w:after="80"/>
        <w:ind w:left="720" w:hanging="360"/>
        <w:jc w:val="both"/>
      </w:pPr>
      <w:r>
        <w:t>•</w:t>
        <w:tab/>
      </w:r>
      <w:r>
        <w:rPr>
          <w:b/>
        </w:rPr>
        <w:t>Filing structure.</w:t>
      </w:r>
      <w:r>
        <w:t xml:space="preserve"> You cannot file an “amended and restated” certificate until an original certificate of incorporation exists. Under DGCL § 265, the original is filed together with the Certificate of Conversion. The Draft Charter assumes that two-step approach (Issue 2). One alternative is worth considering: file the full Series A charter as the certificate of incorporation in the conversion itself.</w:t>
      </w:r>
    </w:p>
    <w:p>
      <w:pPr>
        <w:keepNext/>
        <w:spacing w:after="120"/>
        <w:ind w:left="0" w:firstLine="0"/>
        <w:jc w:val="left"/>
      </w:pPr>
      <w:r>
        <w:rPr>
          <w:b/>
          <w:sz w:val="24"/>
        </w:rPr>
        <w:t>II. SOURCE DOCUMENTS AND ORDER OF PRECEDENCE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592"/>
            <w:shd w:val="clear" w:color="auto" w:fill="D9E2F3"/>
          </w:tcPr>
          <w:p>
            <w:r/>
            <w:r>
              <w:rPr>
                <w:b/>
                <w:sz w:val="18"/>
              </w:rPr>
              <w:t>Document</w:t>
            </w:r>
          </w:p>
        </w:tc>
        <w:tc>
          <w:tcPr>
            <w:tcW w:type="dxa" w:w="2736"/>
            <w:shd w:val="clear" w:color="auto" w:fill="D9E2F3"/>
          </w:tcPr>
          <w:p>
            <w:r/>
            <w:r>
              <w:rPr>
                <w:b/>
                <w:sz w:val="18"/>
              </w:rPr>
              <w:t>Date / Status</w:t>
            </w:r>
          </w:p>
        </w:tc>
        <w:tc>
          <w:tcPr>
            <w:tcW w:type="dxa" w:w="4032"/>
            <w:shd w:val="clear" w:color="auto" w:fill="D9E2F3"/>
          </w:tcPr>
          <w:p>
            <w:r/>
            <w:r>
              <w:rPr>
                <w:b/>
                <w:sz w:val="18"/>
              </w:rPr>
              <w:t>Treatment in Draft Charter</w:t>
            </w:r>
          </w:p>
        </w:tc>
      </w:tr>
      <w:tr>
        <w:tc>
          <w:tcPr>
            <w:tcW w:type="dxa" w:w="2592"/>
          </w:tcPr>
          <w:p>
            <w:pPr>
              <w:spacing w:after="40"/>
            </w:pPr>
            <w:r/>
            <w:r>
              <w:rPr>
                <w:sz w:val="18"/>
              </w:rPr>
              <w:t>Emails (6 messages: Nakamura 1/8; Krishnamurthy 1/9; Stein 1/10; Nakamura 1/12; Stein 1/14; Nakamura 1/14)</w:t>
            </w:r>
          </w:p>
        </w:tc>
        <w:tc>
          <w:tcPr>
            <w:tcW w:type="dxa" w:w="2736"/>
          </w:tcPr>
          <w:p>
            <w:pPr>
              <w:spacing w:after="40"/>
            </w:pPr>
            <w:r/>
            <w:r>
              <w:rPr>
                <w:sz w:val="18"/>
              </w:rPr>
              <w:t>Jan. 8–14, 2025; negotiation record before signing</w:t>
            </w:r>
          </w:p>
        </w:tc>
        <w:tc>
          <w:tcPr>
            <w:tcW w:type="dxa" w:w="4032"/>
          </w:tcPr>
          <w:p>
            <w:pPr>
              <w:spacing w:after="40"/>
            </w:pPr>
            <w:r/>
            <w:r>
              <w:rPr>
                <w:sz w:val="18"/>
              </w:rPr>
              <w:t>Used to show what was agreed and to read ambiguous Term Sheet language. Superseded by the Term Sheet where they conflict.</w:t>
            </w:r>
          </w:p>
        </w:tc>
      </w:tr>
      <w:tr>
        <w:tc>
          <w:tcPr>
            <w:tcW w:type="dxa" w:w="2592"/>
          </w:tcPr>
          <w:p>
            <w:pPr>
              <w:spacing w:after="40"/>
            </w:pPr>
            <w:r/>
            <w:r>
              <w:rPr>
                <w:sz w:val="18"/>
              </w:rPr>
              <w:t>Term Sheet</w:t>
            </w:r>
          </w:p>
        </w:tc>
        <w:tc>
          <w:tcPr>
            <w:tcW w:type="dxa" w:w="2736"/>
          </w:tcPr>
          <w:p>
            <w:pPr>
              <w:spacing w:after="40"/>
            </w:pPr>
            <w:r/>
            <w:r>
              <w:rPr>
                <w:sz w:val="18"/>
              </w:rPr>
              <w:t>Jan. 15, 2025; signature blocks dated by Aldersgate, Ridgeline and the LLC. Non-binding except §§ 7.4, 8.1, 8.2</w:t>
            </w:r>
          </w:p>
        </w:tc>
        <w:tc>
          <w:tcPr>
            <w:tcW w:type="dxa" w:w="4032"/>
          </w:tcPr>
          <w:p>
            <w:pPr>
              <w:spacing w:after="40"/>
            </w:pPr>
            <w:r/>
            <w:r>
              <w:rPr>
                <w:sz w:val="18"/>
              </w:rPr>
              <w:t>Primary source for all economic and governance terms.</w:t>
            </w:r>
          </w:p>
        </w:tc>
      </w:tr>
      <w:tr>
        <w:tc>
          <w:tcPr>
            <w:tcW w:type="dxa" w:w="2592"/>
          </w:tcPr>
          <w:p>
            <w:pPr>
              <w:spacing w:after="40"/>
            </w:pPr>
            <w:r/>
            <w:r>
              <w:rPr>
                <w:sz w:val="18"/>
              </w:rPr>
              <w:t>Minutes (LLC Board of Managers)</w:t>
            </w:r>
          </w:p>
        </w:tc>
        <w:tc>
          <w:tcPr>
            <w:tcW w:type="dxa" w:w="2736"/>
          </w:tcPr>
          <w:p>
            <w:pPr>
              <w:spacing w:after="40"/>
            </w:pPr>
            <w:r/>
            <w:r>
              <w:rPr>
                <w:sz w:val="18"/>
              </w:rPr>
              <w:t>Feb. 3, 2025; signed by both Managers and the Secretary</w:t>
            </w:r>
          </w:p>
        </w:tc>
        <w:tc>
          <w:tcPr>
            <w:tcW w:type="dxa" w:w="4032"/>
          </w:tcPr>
          <w:p>
            <w:pPr>
              <w:spacing w:after="40"/>
            </w:pPr>
            <w:r/>
            <w:r>
              <w:rPr>
                <w:sz w:val="18"/>
              </w:rPr>
              <w:t>Source for the conversion mechanics (1:1 unit conversion, registered agent, filings). Where the Minutes depart from the Term Sheet, I did not follow them (see Issue 25).</w:t>
            </w:r>
          </w:p>
        </w:tc>
      </w:tr>
      <w:tr>
        <w:tc>
          <w:tcPr>
            <w:tcW w:type="dxa" w:w="2592"/>
          </w:tcPr>
          <w:p>
            <w:pPr>
              <w:spacing w:after="40"/>
            </w:pPr>
            <w:r/>
            <w:r>
              <w:rPr>
                <w:sz w:val="18"/>
              </w:rPr>
              <w:t>Cap Table (5 tabs)</w:t>
            </w:r>
          </w:p>
        </w:tc>
        <w:tc>
          <w:tcPr>
            <w:tcW w:type="dxa" w:w="2736"/>
          </w:tcPr>
          <w:p>
            <w:pPr>
              <w:spacing w:after="40"/>
            </w:pPr>
            <w:r/>
            <w:r>
              <w:rPr>
                <w:sz w:val="18"/>
              </w:rPr>
              <w:t>Undated; prepared for the Series A; target closing Mar. 1, 2025</w:t>
            </w:r>
          </w:p>
        </w:tc>
        <w:tc>
          <w:tcPr>
            <w:tcW w:type="dxa" w:w="4032"/>
          </w:tcPr>
          <w:p>
            <w:pPr>
              <w:spacing w:after="40"/>
            </w:pPr>
            <w:r/>
            <w:r>
              <w:rPr>
                <w:sz w:val="18"/>
              </w:rPr>
              <w:t>Matches the Term Sheet on share counts, the $3.60 price and the 2,000,000-share pool. Used to check the arithmetic.</w:t>
            </w:r>
          </w:p>
        </w:tc>
      </w:tr>
    </w:tbl>
    <w:p>
      <w:pPr>
        <w:spacing w:after="80"/>
      </w:pPr>
    </w:p>
    <w:p>
      <w:pPr>
        <w:keepNext/>
        <w:spacing w:after="120"/>
        <w:ind w:left="0" w:firstLine="0"/>
        <w:jc w:val="left"/>
      </w:pPr>
      <w:r>
        <w:rPr>
          <w:b/>
          <w:sz w:val="24"/>
        </w:rPr>
        <w:t>III. CONFLICT MATRIX (SUMMARY)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432"/>
            <w:shd w:val="clear" w:color="auto" w:fill="D9E2F3"/>
          </w:tcPr>
          <w:p>
            <w:r/>
            <w:r>
              <w:rPr>
                <w:b/>
                <w:sz w:val="16"/>
              </w:rPr>
              <w:t>#</w:t>
            </w:r>
          </w:p>
        </w:tc>
        <w:tc>
          <w:tcPr>
            <w:tcW w:type="dxa" w:w="1224"/>
            <w:shd w:val="clear" w:color="auto" w:fill="D9E2F3"/>
          </w:tcPr>
          <w:p>
            <w:r/>
            <w:r>
              <w:rPr>
                <w:b/>
                <w:sz w:val="16"/>
              </w:rPr>
              <w:t>Topic</w:t>
            </w:r>
          </w:p>
        </w:tc>
        <w:tc>
          <w:tcPr>
            <w:tcW w:type="dxa" w:w="2016"/>
            <w:shd w:val="clear" w:color="auto" w:fill="D9E2F3"/>
          </w:tcPr>
          <w:p>
            <w:r/>
            <w:r>
              <w:rPr>
                <w:b/>
                <w:sz w:val="16"/>
              </w:rPr>
              <w:t>Term Sheet</w:t>
            </w:r>
          </w:p>
        </w:tc>
        <w:tc>
          <w:tcPr>
            <w:tcW w:type="dxa" w:w="1728"/>
            <w:shd w:val="clear" w:color="auto" w:fill="D9E2F3"/>
          </w:tcPr>
          <w:p>
            <w:r/>
            <w:r>
              <w:rPr>
                <w:b/>
                <w:sz w:val="16"/>
              </w:rPr>
              <w:t>Minutes</w:t>
            </w:r>
          </w:p>
        </w:tc>
        <w:tc>
          <w:tcPr>
            <w:tcW w:type="dxa" w:w="2088"/>
            <w:shd w:val="clear" w:color="auto" w:fill="D9E2F3"/>
          </w:tcPr>
          <w:p>
            <w:r/>
            <w:r>
              <w:rPr>
                <w:b/>
                <w:sz w:val="16"/>
              </w:rPr>
              <w:t>Emails / Cap Table</w:t>
            </w:r>
          </w:p>
        </w:tc>
        <w:tc>
          <w:tcPr>
            <w:tcW w:type="dxa" w:w="1872"/>
            <w:shd w:val="clear" w:color="auto" w:fill="D9E2F3"/>
          </w:tcPr>
          <w:p>
            <w:r/>
            <w:r>
              <w:rPr>
                <w:b/>
                <w:sz w:val="16"/>
              </w:rPr>
              <w:t>Draft Charter</w:t>
            </w:r>
          </w:p>
        </w:tc>
      </w:tr>
      <w:tr>
        <w:tc>
          <w:tcPr>
            <w:tcW w:type="dxa" w:w="432"/>
          </w:tcPr>
          <w:p>
            <w:pPr>
              <w:spacing w:after="40"/>
            </w:pPr>
            <w:r/>
            <w:r>
              <w:rPr>
                <w:sz w:val="16"/>
              </w:rPr>
              <w:t>5</w:t>
            </w:r>
          </w:p>
        </w:tc>
        <w:tc>
          <w:tcPr>
            <w:tcW w:type="dxa" w:w="1224"/>
          </w:tcPr>
          <w:p>
            <w:pPr>
              <w:spacing w:after="40"/>
            </w:pPr>
            <w:r/>
            <w:r>
              <w:rPr>
                <w:sz w:val="16"/>
              </w:rPr>
              <w:t>Price vs. pool</w:t>
            </w:r>
          </w:p>
        </w:tc>
        <w:tc>
          <w:tcPr>
            <w:tcW w:type="dxa" w:w="2016"/>
          </w:tcPr>
          <w:p>
            <w:pPr>
              <w:spacing w:after="40"/>
            </w:pPr>
            <w:r/>
            <w:r>
              <w:rPr>
                <w:sz w:val="16"/>
              </w:rPr>
              <w:t>$36M ÷ 10M = $3.60, but pool “carved out of the pre-money” (§§1.6, 1.9)</w:t>
            </w:r>
          </w:p>
        </w:tc>
        <w:tc>
          <w:tcPr>
            <w:tcW w:type="dxa" w:w="1728"/>
          </w:tcPr>
          <w:p>
            <w:pPr>
              <w:spacing w:after="40"/>
            </w:pPr>
            <w:r/>
            <w:r>
              <w:rPr>
                <w:sz w:val="16"/>
              </w:rPr>
              <w:t>$3.60; does not mention the carve-out</w:t>
            </w:r>
          </w:p>
        </w:tc>
        <w:tc>
          <w:tcPr>
            <w:tcW w:type="dxa" w:w="2088"/>
          </w:tcPr>
          <w:p>
            <w:pPr>
              <w:spacing w:after="40"/>
            </w:pPr>
            <w:r/>
            <w:r>
              <w:rPr>
                <w:sz w:val="16"/>
              </w:rPr>
              <w:t>Stein 1/10 confirms both $3.60 and carve-out; Cap Table implied $3.13/FD share</w:t>
            </w:r>
          </w:p>
        </w:tc>
        <w:tc>
          <w:tcPr>
            <w:tcW w:type="dxa" w:w="1872"/>
          </w:tcPr>
          <w:p>
            <w:pPr>
              <w:spacing w:after="40"/>
            </w:pPr>
            <w:r/>
            <w:r>
              <w:rPr>
                <w:sz w:val="16"/>
              </w:rPr>
              <w:t>$3.60 (bracketed NTD); resolution required</w:t>
            </w:r>
          </w:p>
        </w:tc>
      </w:tr>
      <w:tr>
        <w:tc>
          <w:tcPr>
            <w:tcW w:type="dxa" w:w="432"/>
          </w:tcPr>
          <w:p>
            <w:pPr>
              <w:spacing w:after="40"/>
            </w:pPr>
            <w:r/>
            <w:r>
              <w:rPr>
                <w:sz w:val="16"/>
              </w:rPr>
              <w:t>6</w:t>
            </w:r>
          </w:p>
        </w:tc>
        <w:tc>
          <w:tcPr>
            <w:tcW w:type="dxa" w:w="1224"/>
          </w:tcPr>
          <w:p>
            <w:pPr>
              <w:spacing w:after="40"/>
            </w:pPr>
            <w:r/>
            <w:r>
              <w:rPr>
                <w:sz w:val="16"/>
              </w:rPr>
              <w:t>Pool size</w:t>
            </w:r>
          </w:p>
        </w:tc>
        <w:tc>
          <w:tcPr>
            <w:tcW w:type="dxa" w:w="2016"/>
          </w:tcPr>
          <w:p>
            <w:pPr>
              <w:spacing w:after="40"/>
            </w:pPr>
            <w:r/>
            <w:r>
              <w:rPr>
                <w:sz w:val="16"/>
              </w:rPr>
              <w:t>2,000,000 (“15% of post-money”); closing condition</w:t>
            </w:r>
          </w:p>
        </w:tc>
        <w:tc>
          <w:tcPr>
            <w:tcW w:type="dxa" w:w="1728"/>
          </w:tcPr>
          <w:p>
            <w:pPr>
              <w:spacing w:after="40"/>
            </w:pPr>
            <w:r/>
            <w:r>
              <w:rPr>
                <w:sz w:val="16"/>
              </w:rPr>
              <w:t>1,500,000 (15% of pre-money)</w:t>
            </w:r>
          </w:p>
        </w:tc>
        <w:tc>
          <w:tcPr>
            <w:tcW w:type="dxa" w:w="2088"/>
          </w:tcPr>
          <w:p>
            <w:pPr>
              <w:spacing w:after="40"/>
            </w:pPr>
            <w:r/>
            <w:r>
              <w:rPr>
                <w:sz w:val="16"/>
              </w:rPr>
              <w:t>2,000,000 (Emails, Cap Table); actually 13.04% FD</w:t>
            </w:r>
          </w:p>
        </w:tc>
        <w:tc>
          <w:tcPr>
            <w:tcW w:type="dxa" w:w="1872"/>
          </w:tcPr>
          <w:p>
            <w:pPr>
              <w:spacing w:after="40"/>
            </w:pPr>
            <w:r/>
            <w:r>
              <w:rPr>
                <w:sz w:val="16"/>
              </w:rPr>
              <w:t>No charter text; carve-out refers to the 2025 Plan</w:t>
            </w:r>
          </w:p>
        </w:tc>
      </w:tr>
      <w:tr>
        <w:tc>
          <w:tcPr>
            <w:tcW w:type="dxa" w:w="432"/>
          </w:tcPr>
          <w:p>
            <w:pPr>
              <w:spacing w:after="40"/>
            </w:pPr>
            <w:r/>
            <w:r>
              <w:rPr>
                <w:sz w:val="16"/>
              </w:rPr>
              <w:t>7</w:t>
            </w:r>
          </w:p>
        </w:tc>
        <w:tc>
          <w:tcPr>
            <w:tcW w:type="dxa" w:w="1224"/>
          </w:tcPr>
          <w:p>
            <w:pPr>
              <w:spacing w:after="40"/>
            </w:pPr>
            <w:r/>
            <w:r>
              <w:rPr>
                <w:sz w:val="16"/>
              </w:rPr>
              <w:t>Liquidation preference</w:t>
            </w:r>
          </w:p>
        </w:tc>
        <w:tc>
          <w:tcPr>
            <w:tcW w:type="dxa" w:w="2016"/>
          </w:tcPr>
          <w:p>
            <w:pPr>
              <w:spacing w:after="40"/>
            </w:pPr>
            <w:r/>
            <w:r>
              <w:rPr>
                <w:sz w:val="16"/>
              </w:rPr>
              <w:t>1x non-participating, greater of</w:t>
            </w:r>
          </w:p>
        </w:tc>
        <w:tc>
          <w:tcPr>
            <w:tcW w:type="dxa" w:w="1728"/>
          </w:tcPr>
          <w:p>
            <w:pPr>
              <w:spacing w:after="40"/>
            </w:pPr>
            <w:r/>
            <w:r>
              <w:rPr>
                <w:sz w:val="16"/>
              </w:rPr>
              <w:t>1x participating, 3x cap ($10.80)</w:t>
            </w:r>
          </w:p>
        </w:tc>
        <w:tc>
          <w:tcPr>
            <w:tcW w:type="dxa" w:w="2088"/>
          </w:tcPr>
          <w:p>
            <w:pPr>
              <w:spacing w:after="40"/>
            </w:pPr>
            <w:r/>
            <w:r>
              <w:rPr>
                <w:sz w:val="16"/>
              </w:rPr>
              <w:t>Aldersgate asked for participation 1/10; Company “confirming our agreement” on non-participating 1/12</w:t>
            </w:r>
          </w:p>
        </w:tc>
        <w:tc>
          <w:tcPr>
            <w:tcW w:type="dxa" w:w="1872"/>
          </w:tcPr>
          <w:p>
            <w:pPr>
              <w:spacing w:after="40"/>
            </w:pPr>
            <w:r/>
            <w:r>
              <w:rPr>
                <w:sz w:val="16"/>
              </w:rPr>
              <w:t>Non-participating, greater of</w:t>
            </w:r>
          </w:p>
        </w:tc>
      </w:tr>
      <w:tr>
        <w:tc>
          <w:tcPr>
            <w:tcW w:type="dxa" w:w="432"/>
          </w:tcPr>
          <w:p>
            <w:pPr>
              <w:spacing w:after="40"/>
            </w:pPr>
            <w:r/>
            <w:r>
              <w:rPr>
                <w:sz w:val="16"/>
              </w:rPr>
              <w:t>8</w:t>
            </w:r>
          </w:p>
        </w:tc>
        <w:tc>
          <w:tcPr>
            <w:tcW w:type="dxa" w:w="1224"/>
          </w:tcPr>
          <w:p>
            <w:pPr>
              <w:spacing w:after="40"/>
            </w:pPr>
            <w:r/>
            <w:r>
              <w:rPr>
                <w:sz w:val="16"/>
              </w:rPr>
              <w:t>Redemption</w:t>
            </w:r>
          </w:p>
        </w:tc>
        <w:tc>
          <w:tcPr>
            <w:tcW w:type="dxa" w:w="2016"/>
          </w:tcPr>
          <w:p>
            <w:pPr>
              <w:spacing w:after="40"/>
            </w:pPr>
            <w:r/>
            <w:r>
              <w:rPr>
                <w:sz w:val="16"/>
              </w:rPr>
              <w:t>None</w:t>
            </w:r>
          </w:p>
        </w:tc>
        <w:tc>
          <w:tcPr>
            <w:tcW w:type="dxa" w:w="1728"/>
          </w:tcPr>
          <w:p>
            <w:pPr>
              <w:spacing w:after="40"/>
            </w:pPr>
            <w:r/>
            <w:r>
              <w:rPr>
                <w:sz w:val="16"/>
              </w:rPr>
              <w:t>5th anniversary, 3 installments, accrued dividends “whether or not declared”</w:t>
            </w:r>
          </w:p>
        </w:tc>
        <w:tc>
          <w:tcPr>
            <w:tcW w:type="dxa" w:w="2088"/>
          </w:tcPr>
          <w:p>
            <w:pPr>
              <w:spacing w:after="40"/>
            </w:pPr>
            <w:r/>
            <w:r>
              <w:rPr>
                <w:sz w:val="16"/>
              </w:rPr>
              <w:t>Withdrawn by Aldersgate 1/14: “should not include any redemption rights”</w:t>
            </w:r>
          </w:p>
        </w:tc>
        <w:tc>
          <w:tcPr>
            <w:tcW w:type="dxa" w:w="1872"/>
          </w:tcPr>
          <w:p>
            <w:pPr>
              <w:spacing w:after="40"/>
            </w:pPr>
            <w:r/>
            <w:r>
              <w:rPr>
                <w:sz w:val="16"/>
              </w:rPr>
              <w:t>No optional redemption (§6.1); DLE asset-sale redemption bracketed</w:t>
            </w:r>
          </w:p>
        </w:tc>
      </w:tr>
      <w:tr>
        <w:tc>
          <w:tcPr>
            <w:tcW w:type="dxa" w:w="432"/>
          </w:tcPr>
          <w:p>
            <w:pPr>
              <w:spacing w:after="40"/>
            </w:pPr>
            <w:r/>
            <w:r>
              <w:rPr>
                <w:sz w:val="16"/>
              </w:rPr>
              <w:t>9</w:t>
            </w:r>
          </w:p>
        </w:tc>
        <w:tc>
          <w:tcPr>
            <w:tcW w:type="dxa" w:w="1224"/>
          </w:tcPr>
          <w:p>
            <w:pPr>
              <w:spacing w:after="40"/>
            </w:pPr>
            <w:r/>
            <w:r>
              <w:rPr>
                <w:sz w:val="16"/>
              </w:rPr>
              <w:t>Dividends</w:t>
            </w:r>
          </w:p>
        </w:tc>
        <w:tc>
          <w:tcPr>
            <w:tcW w:type="dxa" w:w="2016"/>
          </w:tcPr>
          <w:p>
            <w:pPr>
              <w:spacing w:after="40"/>
            </w:pPr>
            <w:r/>
            <w:r>
              <w:rPr>
                <w:sz w:val="16"/>
              </w:rPr>
              <w:t>8% non-cumulative, preferential, plus as-converted parity</w:t>
            </w:r>
          </w:p>
        </w:tc>
        <w:tc>
          <w:tcPr>
            <w:tcW w:type="dxa" w:w="1728"/>
          </w:tcPr>
          <w:p>
            <w:pPr>
              <w:spacing w:after="40"/>
            </w:pPr>
            <w:r/>
            <w:r>
              <w:rPr>
                <w:sz w:val="16"/>
              </w:rPr>
              <w:t>Same</w:t>
            </w:r>
          </w:p>
        </w:tc>
        <w:tc>
          <w:tcPr>
            <w:tcW w:type="dxa" w:w="2088"/>
          </w:tcPr>
          <w:p>
            <w:pPr>
              <w:spacing w:after="40"/>
            </w:pPr>
            <w:r/>
            <w:r>
              <w:rPr>
                <w:sz w:val="16"/>
              </w:rPr>
              <w:t>Same (1/8)</w:t>
            </w:r>
          </w:p>
        </w:tc>
        <w:tc>
          <w:tcPr>
            <w:tcW w:type="dxa" w:w="1872"/>
          </w:tcPr>
          <w:p>
            <w:pPr>
              <w:spacing w:after="40"/>
            </w:pPr>
            <w:r/>
            <w:r>
              <w:rPr>
                <w:sz w:val="16"/>
              </w:rPr>
              <w:t>NVCA greater-of construct</w:t>
            </w:r>
          </w:p>
        </w:tc>
      </w:tr>
      <w:tr>
        <w:tc>
          <w:tcPr>
            <w:tcW w:type="dxa" w:w="432"/>
          </w:tcPr>
          <w:p>
            <w:pPr>
              <w:spacing w:after="40"/>
            </w:pPr>
            <w:r/>
            <w:r>
              <w:rPr>
                <w:sz w:val="16"/>
              </w:rPr>
              <w:t>12</w:t>
            </w:r>
          </w:p>
        </w:tc>
        <w:tc>
          <w:tcPr>
            <w:tcW w:type="dxa" w:w="1224"/>
          </w:tcPr>
          <w:p>
            <w:pPr>
              <w:spacing w:after="40"/>
            </w:pPr>
            <w:r/>
            <w:r>
              <w:rPr>
                <w:sz w:val="16"/>
              </w:rPr>
              <w:t>Qualified IPO price</w:t>
            </w:r>
          </w:p>
        </w:tc>
        <w:tc>
          <w:tcPr>
            <w:tcW w:type="dxa" w:w="2016"/>
          </w:tcPr>
          <w:p>
            <w:pPr>
              <w:spacing w:after="40"/>
            </w:pPr>
            <w:r/>
            <w:r>
              <w:rPr>
                <w:sz w:val="16"/>
              </w:rPr>
              <w:t>$12.00 “(at least 3x)”; $40M gross</w:t>
            </w:r>
          </w:p>
        </w:tc>
        <w:tc>
          <w:tcPr>
            <w:tcW w:type="dxa" w:w="1728"/>
          </w:tcPr>
          <w:p>
            <w:pPr>
              <w:spacing w:after="40"/>
            </w:pPr>
            <w:r/>
            <w:r>
              <w:rPr>
                <w:sz w:val="16"/>
              </w:rPr>
              <w:t>3x OIP (= $10.80); $40M</w:t>
            </w:r>
          </w:p>
        </w:tc>
        <w:tc>
          <w:tcPr>
            <w:tcW w:type="dxa" w:w="2088"/>
          </w:tcPr>
          <w:p>
            <w:pPr>
              <w:spacing w:after="40"/>
            </w:pPr>
            <w:r/>
            <w:r>
              <w:rPr>
                <w:sz w:val="16"/>
              </w:rPr>
              <w:t>Stein 1/10: 3x; Nakamura 1/14 query unanswered</w:t>
            </w:r>
          </w:p>
        </w:tc>
        <w:tc>
          <w:tcPr>
            <w:tcW w:type="dxa" w:w="1872"/>
          </w:tcPr>
          <w:p>
            <w:pPr>
              <w:spacing w:after="40"/>
            </w:pPr>
            <w:r/>
            <w:r>
              <w:rPr>
                <w:sz w:val="16"/>
              </w:rPr>
              <w:t>[$12.00] bracketed</w:t>
            </w:r>
          </w:p>
        </w:tc>
      </w:tr>
      <w:tr>
        <w:tc>
          <w:tcPr>
            <w:tcW w:type="dxa" w:w="432"/>
          </w:tcPr>
          <w:p>
            <w:pPr>
              <w:spacing w:after="40"/>
            </w:pPr>
            <w:r/>
            <w:r>
              <w:rPr>
                <w:sz w:val="16"/>
              </w:rPr>
              <w:t>14</w:t>
            </w:r>
          </w:p>
        </w:tc>
        <w:tc>
          <w:tcPr>
            <w:tcW w:type="dxa" w:w="1224"/>
          </w:tcPr>
          <w:p>
            <w:pPr>
              <w:spacing w:after="40"/>
            </w:pPr>
            <w:r/>
            <w:r>
              <w:rPr>
                <w:sz w:val="16"/>
              </w:rPr>
              <w:t>Anti-dilution carve-outs</w:t>
            </w:r>
          </w:p>
        </w:tc>
        <w:tc>
          <w:tcPr>
            <w:tcW w:type="dxa" w:w="2016"/>
          </w:tcPr>
          <w:p>
            <w:pPr>
              <w:spacing w:after="40"/>
            </w:pPr>
            <w:r/>
            <w:r>
              <w:rPr>
                <w:sz w:val="16"/>
              </w:rPr>
              <w:t>Plan; Series A conversion; equipment / bank financing; acquisitions; strategic (all Board-approved)</w:t>
            </w:r>
          </w:p>
        </w:tc>
        <w:tc>
          <w:tcPr>
            <w:tcW w:type="dxa" w:w="1728"/>
          </w:tcPr>
          <w:p>
            <w:pPr>
              <w:spacing w:after="40"/>
            </w:pPr>
            <w:r/>
            <w:r>
              <w:rPr>
                <w:sz w:val="16"/>
              </w:rPr>
              <w:t>Plan; conversion or exercise of preferred “or warrants”; “other customary”</w:t>
            </w:r>
          </w:p>
        </w:tc>
        <w:tc>
          <w:tcPr>
            <w:tcW w:type="dxa" w:w="2088"/>
          </w:tcPr>
          <w:p>
            <w:pPr>
              <w:spacing w:after="40"/>
            </w:pPr>
            <w:r/>
            <w:r>
              <w:rPr>
                <w:sz w:val="16"/>
              </w:rPr>
              <w:t>BBWA agreed; J.T. “separate thoughts” (1/10)</w:t>
            </w:r>
          </w:p>
        </w:tc>
        <w:tc>
          <w:tcPr>
            <w:tcW w:type="dxa" w:w="1872"/>
          </w:tcPr>
          <w:p>
            <w:pPr>
              <w:spacing w:after="40"/>
            </w:pPr>
            <w:r/>
            <w:r>
              <w:rPr>
                <w:sz w:val="16"/>
              </w:rPr>
              <w:t>Term Sheet list plus NVCA technical carve-outs</w:t>
            </w:r>
          </w:p>
        </w:tc>
      </w:tr>
      <w:tr>
        <w:tc>
          <w:tcPr>
            <w:tcW w:type="dxa" w:w="432"/>
          </w:tcPr>
          <w:p>
            <w:pPr>
              <w:spacing w:after="40"/>
            </w:pPr>
            <w:r/>
            <w:r>
              <w:rPr>
                <w:sz w:val="16"/>
              </w:rPr>
              <w:t>18</w:t>
            </w:r>
          </w:p>
        </w:tc>
        <w:tc>
          <w:tcPr>
            <w:tcW w:type="dxa" w:w="1224"/>
          </w:tcPr>
          <w:p>
            <w:pPr>
              <w:spacing w:after="40"/>
            </w:pPr>
            <w:r/>
            <w:r>
              <w:rPr>
                <w:sz w:val="16"/>
              </w:rPr>
              <w:t>Protective provisions (authorized shares; dividends; DLE)</w:t>
            </w:r>
          </w:p>
        </w:tc>
        <w:tc>
          <w:tcPr>
            <w:tcW w:type="dxa" w:w="2016"/>
          </w:tcPr>
          <w:p>
            <w:pPr>
              <w:spacing w:after="40"/>
            </w:pPr>
            <w:r/>
            <w:r>
              <w:rPr>
                <w:sz w:val="16"/>
              </w:rPr>
              <w:t>Common or Preferred; excludes stock dividends; “Deemed Liquidation Event”</w:t>
            </w:r>
          </w:p>
        </w:tc>
        <w:tc>
          <w:tcPr>
            <w:tcW w:type="dxa" w:w="1728"/>
          </w:tcPr>
          <w:p>
            <w:pPr>
              <w:spacing w:after="40"/>
            </w:pPr>
            <w:r/>
            <w:r>
              <w:rPr>
                <w:sz w:val="16"/>
              </w:rPr>
              <w:t>“Any class or series”; no exclusion; “change of control”</w:t>
            </w:r>
          </w:p>
        </w:tc>
        <w:tc>
          <w:tcPr>
            <w:tcW w:type="dxa" w:w="2088"/>
          </w:tcPr>
          <w:p>
            <w:pPr>
              <w:spacing w:after="40"/>
            </w:pPr>
            <w:r/>
            <w:r>
              <w:rPr>
                <w:sz w:val="16"/>
              </w:rPr>
              <w:t>Stein 1/14: “aligned on the list you circulated” (list not in file)</w:t>
            </w:r>
          </w:p>
        </w:tc>
        <w:tc>
          <w:tcPr>
            <w:tcW w:type="dxa" w:w="1872"/>
          </w:tcPr>
          <w:p>
            <w:pPr>
              <w:spacing w:after="40"/>
            </w:pPr>
            <w:r/>
            <w:r>
              <w:rPr>
                <w:sz w:val="16"/>
              </w:rPr>
              <w:t>Term Sheet text</w:t>
            </w:r>
          </w:p>
        </w:tc>
      </w:tr>
      <w:tr>
        <w:tc>
          <w:tcPr>
            <w:tcW w:type="dxa" w:w="432"/>
          </w:tcPr>
          <w:p>
            <w:pPr>
              <w:spacing w:after="40"/>
            </w:pPr>
            <w:r/>
            <w:r>
              <w:rPr>
                <w:sz w:val="16"/>
              </w:rPr>
              <w:t>19</w:t>
            </w:r>
          </w:p>
        </w:tc>
        <w:tc>
          <w:tcPr>
            <w:tcW w:type="dxa" w:w="1224"/>
          </w:tcPr>
          <w:p>
            <w:pPr>
              <w:spacing w:after="40"/>
            </w:pPr>
            <w:r/>
            <w:r>
              <w:rPr>
                <w:sz w:val="16"/>
              </w:rPr>
              <w:t>Debt covenant</w:t>
            </w:r>
          </w:p>
        </w:tc>
        <w:tc>
          <w:tcPr>
            <w:tcW w:type="dxa" w:w="2016"/>
          </w:tcPr>
          <w:p>
            <w:pPr>
              <w:spacing w:after="40"/>
            </w:pPr>
            <w:r/>
            <w:r>
              <w:rPr>
                <w:sz w:val="16"/>
              </w:rPr>
              <w:t>&gt;$500K, excluding trade payables and ordinary-course equipment financing</w:t>
            </w:r>
          </w:p>
        </w:tc>
        <w:tc>
          <w:tcPr>
            <w:tcW w:type="dxa" w:w="1728"/>
          </w:tcPr>
          <w:p>
            <w:pPr>
              <w:spacing w:after="40"/>
            </w:pPr>
            <w:r/>
            <w:r>
              <w:rPr>
                <w:sz w:val="16"/>
              </w:rPr>
              <w:t>&gt;$500K, excluding equipment financing and the $250K Westbridge facility</w:t>
            </w:r>
          </w:p>
        </w:tc>
        <w:tc>
          <w:tcPr>
            <w:tcW w:type="dxa" w:w="2088"/>
          </w:tcPr>
          <w:p>
            <w:pPr>
              <w:spacing w:after="40"/>
            </w:pPr>
            <w:r/>
            <w:r>
              <w:rPr>
                <w:sz w:val="16"/>
              </w:rPr>
              <w:t>Krishnamurthy 1/9 asks for Westbridge carve-out</w:t>
            </w:r>
          </w:p>
        </w:tc>
        <w:tc>
          <w:tcPr>
            <w:tcW w:type="dxa" w:w="1872"/>
          </w:tcPr>
          <w:p>
            <w:pPr>
              <w:spacing w:after="40"/>
            </w:pPr>
            <w:r/>
            <w:r>
              <w:rPr>
                <w:sz w:val="16"/>
              </w:rPr>
              <w:t>Term Sheet carve-outs plus Westbridge carve-out in brackets</w:t>
            </w:r>
          </w:p>
        </w:tc>
      </w:tr>
      <w:tr>
        <w:tc>
          <w:tcPr>
            <w:tcW w:type="dxa" w:w="432"/>
          </w:tcPr>
          <w:p>
            <w:pPr>
              <w:spacing w:after="40"/>
            </w:pPr>
            <w:r/>
            <w:r>
              <w:rPr>
                <w:sz w:val="16"/>
              </w:rPr>
              <w:t>4</w:t>
            </w:r>
          </w:p>
        </w:tc>
        <w:tc>
          <w:tcPr>
            <w:tcW w:type="dxa" w:w="1224"/>
          </w:tcPr>
          <w:p>
            <w:pPr>
              <w:spacing w:after="40"/>
            </w:pPr>
            <w:r/>
            <w:r>
              <w:rPr>
                <w:sz w:val="16"/>
              </w:rPr>
              <w:t>Registered agent address</w:t>
            </w:r>
          </w:p>
        </w:tc>
        <w:tc>
          <w:tcPr>
            <w:tcW w:type="dxa" w:w="2016"/>
          </w:tcPr>
          <w:p>
            <w:pPr>
              <w:spacing w:after="40"/>
            </w:pPr>
            <w:r/>
            <w:r>
              <w:rPr>
                <w:sz w:val="16"/>
              </w:rPr>
              <w:t>1301 Market St.</w:t>
            </w:r>
          </w:p>
        </w:tc>
        <w:tc>
          <w:tcPr>
            <w:tcW w:type="dxa" w:w="1728"/>
          </w:tcPr>
          <w:p>
            <w:pPr>
              <w:spacing w:after="40"/>
            </w:pPr>
            <w:r/>
            <w:r>
              <w:rPr>
                <w:sz w:val="16"/>
              </w:rPr>
              <w:t>1301 Market St.</w:t>
            </w:r>
          </w:p>
        </w:tc>
        <w:tc>
          <w:tcPr>
            <w:tcW w:type="dxa" w:w="2088"/>
          </w:tcPr>
          <w:p>
            <w:pPr>
              <w:spacing w:after="40"/>
            </w:pPr>
            <w:r/>
            <w:r>
              <w:rPr>
                <w:sz w:val="16"/>
              </w:rPr>
              <w:t>1209 Orange St. (Nakamura 1/8)</w:t>
            </w:r>
          </w:p>
        </w:tc>
        <w:tc>
          <w:tcPr>
            <w:tcW w:type="dxa" w:w="1872"/>
          </w:tcPr>
          <w:p>
            <w:pPr>
              <w:spacing w:after="40"/>
            </w:pPr>
            <w:r/>
            <w:r>
              <w:rPr>
                <w:sz w:val="16"/>
              </w:rPr>
              <w:t>1301 Market St. (NTD to confirm)</w:t>
            </w:r>
          </w:p>
        </w:tc>
      </w:tr>
      <w:tr>
        <w:tc>
          <w:tcPr>
            <w:tcW w:type="dxa" w:w="432"/>
          </w:tcPr>
          <w:p>
            <w:pPr>
              <w:spacing w:after="40"/>
            </w:pPr>
            <w:r/>
            <w:r>
              <w:rPr>
                <w:sz w:val="16"/>
              </w:rPr>
              <w:t>16</w:t>
            </w:r>
          </w:p>
        </w:tc>
        <w:tc>
          <w:tcPr>
            <w:tcW w:type="dxa" w:w="1224"/>
          </w:tcPr>
          <w:p>
            <w:pPr>
              <w:spacing w:after="40"/>
            </w:pPr>
            <w:r/>
            <w:r>
              <w:rPr>
                <w:sz w:val="16"/>
              </w:rPr>
              <w:t>Board</w:t>
            </w:r>
          </w:p>
        </w:tc>
        <w:tc>
          <w:tcPr>
            <w:tcW w:type="dxa" w:w="2016"/>
          </w:tcPr>
          <w:p>
            <w:pPr>
              <w:spacing w:after="40"/>
            </w:pPr>
            <w:r/>
            <w:r>
              <w:rPr>
                <w:sz w:val="16"/>
              </w:rPr>
              <w:t>5 seats: 2 Series A / 2 Common / 1 Independent</w:t>
            </w:r>
          </w:p>
        </w:tc>
        <w:tc>
          <w:tcPr>
            <w:tcW w:type="dxa" w:w="1728"/>
          </w:tcPr>
          <w:p>
            <w:pPr>
              <w:spacing w:after="40"/>
            </w:pPr>
            <w:r/>
            <w:r>
              <w:rPr>
                <w:sz w:val="16"/>
              </w:rPr>
              <w:t>Same</w:t>
            </w:r>
          </w:p>
        </w:tc>
        <w:tc>
          <w:tcPr>
            <w:tcW w:type="dxa" w:w="2088"/>
          </w:tcPr>
          <w:p>
            <w:pPr>
              <w:spacing w:after="40"/>
            </w:pPr>
            <w:r/>
            <w:r>
              <w:rPr>
                <w:sz w:val="16"/>
              </w:rPr>
              <w:t>Same (1/8, 1/12)</w:t>
            </w:r>
          </w:p>
        </w:tc>
        <w:tc>
          <w:tcPr>
            <w:tcW w:type="dxa" w:w="1872"/>
          </w:tcPr>
          <w:p>
            <w:pPr>
              <w:spacing w:after="40"/>
            </w:pPr>
            <w:r/>
            <w:r>
              <w:rPr>
                <w:sz w:val="16"/>
              </w:rPr>
              <w:t>Class-vote elections; mutual-approval mechanics go in the Voting Agreement</w:t>
            </w:r>
          </w:p>
        </w:tc>
      </w:tr>
    </w:tbl>
    <w:p>
      <w:pPr>
        <w:spacing w:after="80"/>
      </w:pPr>
    </w:p>
    <w:p>
      <w:pPr>
        <w:keepNext/>
        <w:spacing w:after="120"/>
        <w:ind w:left="0" w:firstLine="0"/>
        <w:jc w:val="left"/>
      </w:pPr>
      <w:r>
        <w:rPr>
          <w:b/>
          <w:sz w:val="24"/>
        </w:rPr>
        <w:t>IV. THRESHOLD STRUCTURAL AND FILING ISSUES</w:t>
      </w:r>
    </w:p>
    <w:p>
      <w:pPr>
        <w:keepNext/>
        <w:spacing w:after="80"/>
        <w:ind w:left="0" w:firstLine="0"/>
        <w:jc w:val="left"/>
      </w:pPr>
      <w:r>
        <w:rPr>
          <w:b/>
          <w:sz w:val="24"/>
        </w:rPr>
        <w:t>Issue 1 — Stale timeline; confirm the status of the transaction.</w:t>
      </w:r>
    </w:p>
    <w:p>
      <w:pPr>
        <w:spacing w:after="160"/>
        <w:ind w:left="0" w:firstLine="0"/>
        <w:jc w:val="both"/>
      </w:pPr>
      <w:r>
        <w:t xml:space="preserve">Every date in the file is from early 2025. The Term Sheet set the Closing “on or before March 1, 2025, or such other date as mutually agreed by the Company and Aldersgate” (§ 1.12). The binding no-shop expired on March 16, 2025 (§ 7.4). The Independent Director was to be selected by May 30, 2025 (§ 3.1; Minutes § 5). The Minutes targeted filing on or before March 1, 2025 and an audit of FY2024. Nothing in the file shows that the conversion was filed, that the Closing occurred, or that the dates were extended. </w:t>
      </w:r>
      <w:r>
        <w:rPr>
          <w:b/>
        </w:rPr>
        <w:t>Recommended action:</w:t>
      </w:r>
      <w:r>
        <w:t xml:space="preserve"> before this draft goes to Ashford Gray, confirm with Dr. Krishnamurthy (a) whether the Certificate of Conversion and original Certificate of Incorporation have been filed, and if so, get certified copies and the filing date for the recital in the Draft Charter, and find out whether any intervening amendments were filed; (b) whether the Series A has closed. If it has, this exercise becomes a restatement of an existing charter and needs a different approval analysis. (c) If the deal has not closed, confirm that the investors are still committed and on the same valuation, and bring the capitalization down to date: option grants, new issuances, transfers by angels, Westbridge draws, and any SAFEs, notes or warrants. Also confirm that the plan name (“2025 Equity Incentive Plan”), the financial-statement deliverables and the no-MAC condition (§ 6.1(8)) still work. If the Delaware name reservation has lapsed, renew it.</w:t>
      </w:r>
    </w:p>
    <w:p>
      <w:pPr>
        <w:keepNext/>
        <w:spacing w:after="80"/>
        <w:ind w:left="0" w:firstLine="0"/>
        <w:jc w:val="left"/>
      </w:pPr>
      <w:r>
        <w:rPr>
          <w:b/>
          <w:sz w:val="24"/>
        </w:rPr>
        <w:t>Issue 2 — Conversion mechanics and why the charter is an “Amended and Restated” certificate.</w:t>
      </w:r>
    </w:p>
    <w:p>
      <w:pPr>
        <w:spacing w:after="160"/>
        <w:ind w:left="0" w:firstLine="0"/>
        <w:jc w:val="both"/>
      </w:pPr>
      <w:r>
        <w:t>The Minutes (§ 3) contemplate a Certificate of Conversion under 8 Del. C. § 265 filed together with a Certificate of Incorporation. Separately, they authorize an “Amended and Restated” certificate (§ 6(1)), and the Term Sheet makes filing of the A&amp;R certificate a closing condition (§ 6.1(1)). An A&amp;R certificate under §§ 242 and 245 has to restate an existing certificate. The certificate of incorporation filed with the conversion is therefore the “original,” and the Draft Charter’s recitals are drafted on that basis (§ 245(c) requires the date the original was filed). There are two ways to proceed:</w:t>
      </w:r>
    </w:p>
    <w:p>
      <w:pPr>
        <w:spacing w:after="80"/>
        <w:ind w:left="720" w:hanging="360"/>
        <w:jc w:val="both"/>
      </w:pPr>
      <w:r>
        <w:t>•</w:t>
        <w:tab/>
      </w:r>
      <w:r>
        <w:rPr>
          <w:b/>
        </w:rPr>
        <w:t>Two-step (as drafted).</w:t>
      </w:r>
      <w:r>
        <w:t xml:space="preserve"> Step 1: file a short-form certificate of incorporation with the Certificate of Conversion, naming the initial directors (presumably the Founders). Step 2: the corporation’s board adopts the Draft Charter and recommends it, and the stockholders approve it under § 242(b). The Founders hold 80% of the post-conversion Common, so they can approve by written consent under § 228. Prompt notice must then go to the non-consenting angel holders under § 228(e), and we will need the angels’ names and addresses for this. File immediately before Closing.</w:t>
      </w:r>
    </w:p>
    <w:p>
      <w:pPr>
        <w:spacing w:after="80"/>
        <w:ind w:left="720" w:hanging="360"/>
        <w:jc w:val="both"/>
      </w:pPr>
      <w:r>
        <w:t>•</w:t>
        <w:tab/>
      </w:r>
      <w:r>
        <w:rPr>
          <w:b/>
        </w:rPr>
        <w:t>One-step (alternative).</w:t>
      </w:r>
      <w:r>
        <w:t xml:space="preserve"> File the full Series A charter as the certificate of incorporation in the conversion. This needs no separate A&amp;R filing and no second round of stockholder approval, but the LLC members must approve the charter as part of the plan of conversion. If we go this way, the title, the recitals and the Term Sheet closing condition (“Amended and Restated”) would be adjusted with Ashford Gray’s agreement.</w:t>
      </w:r>
    </w:p>
    <w:p>
      <w:pPr>
        <w:spacing w:after="160"/>
        <w:ind w:left="0" w:firstLine="0"/>
        <w:jc w:val="both"/>
      </w:pPr>
      <w:r>
        <w:t>Either way, the LLC managers’ February 3 approval does not count as approval by the corporation’s board or stockholders under §§ 242 and 245 (see Issue 25).</w:t>
      </w:r>
    </w:p>
    <w:p>
      <w:pPr>
        <w:keepNext/>
        <w:spacing w:after="80"/>
        <w:ind w:left="0" w:firstLine="0"/>
        <w:jc w:val="left"/>
      </w:pPr>
      <w:r>
        <w:rPr>
          <w:b/>
          <w:sz w:val="24"/>
        </w:rPr>
        <w:t>Issue 3 — California-side approvals and filings.</w:t>
      </w:r>
    </w:p>
    <w:p>
      <w:pPr>
        <w:spacing w:after="160"/>
        <w:ind w:left="0" w:firstLine="0"/>
        <w:jc w:val="both"/>
      </w:pPr>
      <w:r>
        <w:t xml:space="preserve">The Minutes show approval only by the two Managers. Under the California Revised Uniform Limited Liability Company Act, a plan of conversion must also be approved by the members as Cal. Corp. Code § 17710.03 and the operating agreement require. The angels hold 20% of the units. </w:t>
      </w:r>
      <w:r>
        <w:rPr>
          <w:b/>
        </w:rPr>
        <w:t>Recommended action:</w:t>
      </w:r>
      <w:r>
        <w:t xml:space="preserve"> get the LLC operating agreement and check member-approval thresholds, any class or angel consent rights, preemptive or most-favored-nation rights, and whether dissenting-member rights under Cal. Corp. Code Article 13 apply. Get a written consent of members approving the Plan of Conversion, including the form of the certificate of incorporation. The Minutes call for a California Certificate of Cancellation. Confirm the correct California filing for an outbound conversion and the Franchise Tax Board requirements (final return, LLC fee).</w:t>
      </w:r>
    </w:p>
    <w:p>
      <w:pPr>
        <w:keepNext/>
        <w:spacing w:after="80"/>
        <w:ind w:left="0" w:firstLine="0"/>
        <w:jc w:val="left"/>
      </w:pPr>
      <w:r>
        <w:rPr>
          <w:b/>
          <w:sz w:val="24"/>
        </w:rPr>
        <w:t>Issue 4 — Registered agent address.</w:t>
      </w:r>
    </w:p>
    <w:p>
      <w:pPr>
        <w:spacing w:after="160"/>
        <w:ind w:left="0" w:firstLine="0"/>
        <w:jc w:val="both"/>
      </w:pPr>
      <w:r>
        <w:t>The Term Sheet (§ 6.1(1)) and the Minutes (§ 3) both list Continental Corporate Services, Inc. at 1301 Market Street, Wilmington, New Castle County, DE 19801. Mr. Nakamura’s January 8 email lists 1209 Orange Street. The Draft Charter uses the later, consistent 1301 Market Street address. Confirm it with the agent before filing, and make sure the conversion-stage certificate uses the same address.</w:t>
      </w:r>
    </w:p>
    <w:p>
      <w:pPr>
        <w:keepNext/>
        <w:spacing w:after="120"/>
        <w:ind w:left="0" w:firstLine="0"/>
        <w:jc w:val="left"/>
      </w:pPr>
      <w:r>
        <w:rPr>
          <w:b/>
          <w:sz w:val="24"/>
        </w:rPr>
        <w:t>V. ECONOMIC TERMS</w:t>
      </w:r>
    </w:p>
    <w:p>
      <w:pPr>
        <w:keepNext/>
        <w:spacing w:after="80"/>
        <w:ind w:left="0" w:firstLine="0"/>
        <w:jc w:val="left"/>
      </w:pPr>
      <w:r>
        <w:rPr>
          <w:b/>
          <w:sz w:val="24"/>
        </w:rPr>
        <w:t>Issue 5 — Option pool “carve-out” does not match the $3.60 price (critical).</w:t>
      </w:r>
    </w:p>
    <w:p>
      <w:pPr>
        <w:spacing w:after="160"/>
        <w:ind w:left="0" w:firstLine="0"/>
        <w:jc w:val="both"/>
      </w:pPr>
      <w:r>
        <w:t>Term Sheet § 1.9 says the 2,000,000-share pool “shall be carved out of the pre-money valuation for purposes of calculating the price per share.” Ms. Stein’s January 10 email says the same. But § 1.6, the Minutes, the Emails and the Cap Table all compute the price as $36,000,000 ÷ 10,000,000 = $3.60, a figure that does not include the pool. The two approaches give very different results: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024"/>
            <w:shd w:val="clear" w:color="auto" w:fill="D9E2F3"/>
          </w:tcPr>
          <w:p>
            <w:r/>
            <w:r>
              <w:rPr>
                <w:b/>
                <w:sz w:val="18"/>
              </w:rPr>
              <w:t>Metric</w:t>
            </w:r>
          </w:p>
        </w:tc>
        <w:tc>
          <w:tcPr>
            <w:tcW w:type="dxa" w:w="3168"/>
            <w:shd w:val="clear" w:color="auto" w:fill="D9E2F3"/>
          </w:tcPr>
          <w:p>
            <w:r/>
            <w:r>
              <w:rPr>
                <w:b/>
                <w:sz w:val="18"/>
              </w:rPr>
              <w:t>As priced ($3.60; pool added after the money)</w:t>
            </w:r>
          </w:p>
        </w:tc>
        <w:tc>
          <w:tcPr>
            <w:tcW w:type="dxa" w:w="3168"/>
            <w:shd w:val="clear" w:color="auto" w:fill="D9E2F3"/>
          </w:tcPr>
          <w:p>
            <w:r/>
            <w:r>
              <w:rPr>
                <w:b/>
                <w:sz w:val="18"/>
              </w:rPr>
              <w:t>True pre-money carve-out ($3.00)</w:t>
            </w:r>
          </w:p>
        </w:tc>
      </w:tr>
      <w:tr>
        <w:tc>
          <w:tcPr>
            <w:tcW w:type="dxa" w:w="3024"/>
          </w:tcPr>
          <w:p>
            <w:pPr>
              <w:spacing w:after="40"/>
            </w:pPr>
            <w:r/>
            <w:r>
              <w:rPr>
                <w:sz w:val="18"/>
              </w:rPr>
              <w:t>Pre-money fully diluted shares</w:t>
            </w:r>
          </w:p>
        </w:tc>
        <w:tc>
          <w:tcPr>
            <w:tcW w:type="dxa" w:w="3168"/>
          </w:tcPr>
          <w:p>
            <w:pPr>
              <w:spacing w:after="40"/>
            </w:pPr>
            <w:r/>
            <w:r>
              <w:rPr>
                <w:sz w:val="18"/>
              </w:rPr>
              <w:t>10,000,000</w:t>
            </w:r>
          </w:p>
        </w:tc>
        <w:tc>
          <w:tcPr>
            <w:tcW w:type="dxa" w:w="3168"/>
          </w:tcPr>
          <w:p>
            <w:pPr>
              <w:spacing w:after="40"/>
            </w:pPr>
            <w:r/>
            <w:r>
              <w:rPr>
                <w:sz w:val="18"/>
              </w:rPr>
              <w:t>12,000,000 (incl. pool)</w:t>
            </w:r>
          </w:p>
        </w:tc>
      </w:tr>
      <w:tr>
        <w:tc>
          <w:tcPr>
            <w:tcW w:type="dxa" w:w="3024"/>
          </w:tcPr>
          <w:p>
            <w:pPr>
              <w:spacing w:after="40"/>
            </w:pPr>
            <w:r/>
            <w:r>
              <w:rPr>
                <w:sz w:val="18"/>
              </w:rPr>
              <w:t>Series A shares (Aldersgate / Ridgeline)</w:t>
            </w:r>
          </w:p>
        </w:tc>
        <w:tc>
          <w:tcPr>
            <w:tcW w:type="dxa" w:w="3168"/>
          </w:tcPr>
          <w:p>
            <w:pPr>
              <w:spacing w:after="40"/>
            </w:pPr>
            <w:r/>
            <w:r>
              <w:rPr>
                <w:sz w:val="18"/>
              </w:rPr>
              <w:t>3,333,333 (2,222,222 / 1,111,111)</w:t>
            </w:r>
          </w:p>
        </w:tc>
        <w:tc>
          <w:tcPr>
            <w:tcW w:type="dxa" w:w="3168"/>
          </w:tcPr>
          <w:p>
            <w:pPr>
              <w:spacing w:after="40"/>
            </w:pPr>
            <w:r/>
            <w:r>
              <w:rPr>
                <w:sz w:val="18"/>
              </w:rPr>
              <w:t>4,000,000 (2,666,667 / 1,333,333)</w:t>
            </w:r>
          </w:p>
        </w:tc>
      </w:tr>
      <w:tr>
        <w:tc>
          <w:tcPr>
            <w:tcW w:type="dxa" w:w="3024"/>
          </w:tcPr>
          <w:p>
            <w:pPr>
              <w:spacing w:after="40"/>
            </w:pPr>
            <w:r/>
            <w:r>
              <w:rPr>
                <w:sz w:val="18"/>
              </w:rPr>
              <w:t>Total post-closing fully diluted</w:t>
            </w:r>
          </w:p>
        </w:tc>
        <w:tc>
          <w:tcPr>
            <w:tcW w:type="dxa" w:w="3168"/>
          </w:tcPr>
          <w:p>
            <w:pPr>
              <w:spacing w:after="40"/>
            </w:pPr>
            <w:r/>
            <w:r>
              <w:rPr>
                <w:sz w:val="18"/>
              </w:rPr>
              <w:t>15,333,333</w:t>
            </w:r>
          </w:p>
        </w:tc>
        <w:tc>
          <w:tcPr>
            <w:tcW w:type="dxa" w:w="3168"/>
          </w:tcPr>
          <w:p>
            <w:pPr>
              <w:spacing w:after="40"/>
            </w:pPr>
            <w:r/>
            <w:r>
              <w:rPr>
                <w:sz w:val="18"/>
              </w:rPr>
              <w:t>16,000,000</w:t>
            </w:r>
          </w:p>
        </w:tc>
      </w:tr>
      <w:tr>
        <w:tc>
          <w:tcPr>
            <w:tcW w:type="dxa" w:w="3024"/>
          </w:tcPr>
          <w:p>
            <w:pPr>
              <w:spacing w:after="40"/>
            </w:pPr>
            <w:r/>
            <w:r>
              <w:rPr>
                <w:sz w:val="18"/>
              </w:rPr>
              <w:t>Series A % FD</w:t>
            </w:r>
          </w:p>
        </w:tc>
        <w:tc>
          <w:tcPr>
            <w:tcW w:type="dxa" w:w="3168"/>
          </w:tcPr>
          <w:p>
            <w:pPr>
              <w:spacing w:after="40"/>
            </w:pPr>
            <w:r/>
            <w:r>
              <w:rPr>
                <w:sz w:val="18"/>
              </w:rPr>
              <w:t>21.74%</w:t>
            </w:r>
          </w:p>
        </w:tc>
        <w:tc>
          <w:tcPr>
            <w:tcW w:type="dxa" w:w="3168"/>
          </w:tcPr>
          <w:p>
            <w:pPr>
              <w:spacing w:after="40"/>
            </w:pPr>
            <w:r/>
            <w:r>
              <w:rPr>
                <w:sz w:val="18"/>
              </w:rPr>
              <w:t>25.00%</w:t>
            </w:r>
          </w:p>
        </w:tc>
      </w:tr>
      <w:tr>
        <w:tc>
          <w:tcPr>
            <w:tcW w:type="dxa" w:w="3024"/>
          </w:tcPr>
          <w:p>
            <w:pPr>
              <w:spacing w:after="40"/>
            </w:pPr>
            <w:r/>
            <w:r>
              <w:rPr>
                <w:sz w:val="18"/>
              </w:rPr>
              <w:t>Founders + angels % FD</w:t>
            </w:r>
          </w:p>
        </w:tc>
        <w:tc>
          <w:tcPr>
            <w:tcW w:type="dxa" w:w="3168"/>
          </w:tcPr>
          <w:p>
            <w:pPr>
              <w:spacing w:after="40"/>
            </w:pPr>
            <w:r/>
            <w:r>
              <w:rPr>
                <w:sz w:val="18"/>
              </w:rPr>
              <w:t>65.22%</w:t>
            </w:r>
          </w:p>
        </w:tc>
        <w:tc>
          <w:tcPr>
            <w:tcW w:type="dxa" w:w="3168"/>
          </w:tcPr>
          <w:p>
            <w:pPr>
              <w:spacing w:after="40"/>
            </w:pPr>
            <w:r/>
            <w:r>
              <w:rPr>
                <w:sz w:val="18"/>
              </w:rPr>
              <w:t>62.50%</w:t>
            </w:r>
          </w:p>
        </w:tc>
      </w:tr>
      <w:tr>
        <w:tc>
          <w:tcPr>
            <w:tcW w:type="dxa" w:w="3024"/>
          </w:tcPr>
          <w:p>
            <w:pPr>
              <w:spacing w:after="40"/>
            </w:pPr>
            <w:r/>
            <w:r>
              <w:rPr>
                <w:sz w:val="18"/>
              </w:rPr>
              <w:t>Effective post-money at the Series A price</w:t>
            </w:r>
          </w:p>
        </w:tc>
        <w:tc>
          <w:tcPr>
            <w:tcW w:type="dxa" w:w="3168"/>
          </w:tcPr>
          <w:p>
            <w:pPr>
              <w:spacing w:after="40"/>
            </w:pPr>
            <w:r/>
            <w:r>
              <w:rPr>
                <w:sz w:val="18"/>
              </w:rPr>
              <w:t>$55.2M (15,333,333 × $3.60)</w:t>
            </w:r>
          </w:p>
        </w:tc>
        <w:tc>
          <w:tcPr>
            <w:tcW w:type="dxa" w:w="3168"/>
          </w:tcPr>
          <w:p>
            <w:pPr>
              <w:spacing w:after="40"/>
            </w:pPr>
            <w:r/>
            <w:r>
              <w:rPr>
                <w:sz w:val="18"/>
              </w:rPr>
              <w:t>$48.0M (matches Term Sheet §1.5)</w:t>
            </w:r>
          </w:p>
        </w:tc>
      </w:tr>
      <w:tr>
        <w:tc>
          <w:tcPr>
            <w:tcW w:type="dxa" w:w="3024"/>
          </w:tcPr>
          <w:p>
            <w:pPr>
              <w:spacing w:after="40"/>
            </w:pPr>
            <w:r/>
            <w:r>
              <w:rPr>
                <w:sz w:val="18"/>
              </w:rPr>
              <w:t>Series A authorized (3,500,000) sufficient?</w:t>
            </w:r>
          </w:p>
        </w:tc>
        <w:tc>
          <w:tcPr>
            <w:tcW w:type="dxa" w:w="3168"/>
          </w:tcPr>
          <w:p>
            <w:pPr>
              <w:spacing w:after="40"/>
            </w:pPr>
            <w:r/>
            <w:r>
              <w:rPr>
                <w:sz w:val="18"/>
              </w:rPr>
              <w:t>Yes (166,667 spare)</w:t>
            </w:r>
          </w:p>
        </w:tc>
        <w:tc>
          <w:tcPr>
            <w:tcW w:type="dxa" w:w="3168"/>
          </w:tcPr>
          <w:p>
            <w:pPr>
              <w:spacing w:after="40"/>
            </w:pPr>
            <w:r/>
            <w:r>
              <w:rPr>
                <w:sz w:val="18"/>
              </w:rPr>
              <w:t>No — at least 4,000,000 needed</w:t>
            </w:r>
          </w:p>
        </w:tc>
      </w:tr>
    </w:tbl>
    <w:p>
      <w:pPr>
        <w:spacing w:after="80"/>
      </w:pPr>
    </w:p>
    <w:p>
      <w:pPr>
        <w:spacing w:after="160"/>
        <w:ind w:left="0" w:firstLine="0"/>
        <w:jc w:val="both"/>
      </w:pPr>
      <w:r>
        <w:t xml:space="preserve">The Cap Table’s “Implied Price per Fully Diluted Share (Post-Money)” of $3.13 ($48M ÷ 15,333,333) reflects the same gap. If the pool were also sized at 15% of the post-money fully diluted count including the pool, the numbers become a 2,500,000-share pool, 4,166,667 Series A shares at $2.88, and 16,666,667 shares fully diluted. </w:t>
      </w:r>
      <w:r>
        <w:rPr>
          <w:b/>
        </w:rPr>
        <w:t>Draft treatment:</w:t>
      </w:r>
      <w:r>
        <w:t xml:space="preserve"> the Draft Charter uses $3.60 and 3,500,000 Series A shares. That price favors the Company and matches every numerical figure the parties signed. </w:t>
      </w:r>
      <w:r>
        <w:rPr>
          <w:b/>
        </w:rPr>
        <w:t>Recommended action:</w:t>
      </w:r>
      <w:r>
        <w:t xml:space="preserve"> raise this with the client right away. It is better to settle it now, in writing and in the SPA capitalization representation, than to have the investors raise the “carve-out” language late in the deal. If $3.00 is adopted, the Series A Original Issue Price, the Conversion Price, the $0.288 dividend figure, the Qualified IPO price and the authorized Preferred count in the Draft Charter all change.</w:t>
      </w:r>
    </w:p>
    <w:p>
      <w:pPr>
        <w:keepNext/>
        <w:spacing w:after="80"/>
        <w:ind w:left="0" w:firstLine="0"/>
        <w:jc w:val="left"/>
      </w:pPr>
      <w:r>
        <w:rPr>
          <w:b/>
          <w:sz w:val="24"/>
        </w:rPr>
        <w:t>Issue 6 — Option pool size: 2,000,000 vs. 1,500,000; the “15%” label.</w:t>
      </w:r>
    </w:p>
    <w:p>
      <w:pPr>
        <w:spacing w:after="160"/>
        <w:ind w:left="0" w:firstLine="0"/>
        <w:jc w:val="both"/>
      </w:pPr>
      <w:r>
        <w:t xml:space="preserve">The Term Sheet (§§ 1.9, 6.1(2)), the Emails (1/8, 1/10) and the Cap Table all say 2,000,000 shares. Minutes § 4.8 approved 1,500,000 shares (“15% × 10,000,000”). The Term Sheet calls 2,000,000 shares “15% of the post-money capitalization,” but 2,000,000 is 15% of 13,333,333 shares, which excludes the pool. Including the pool, it is 13.04% (the Term Sheet’s own Exhibit A shows 13.0%). The pool is not a charter term, and the 20,000,000 authorized Common covers either figure. However, the Closing condition requires a Plan reserving 2,000,000 shares, so the 1,500,000-share approval does not satisfy it. </w:t>
      </w:r>
      <w:r>
        <w:rPr>
          <w:b/>
        </w:rPr>
        <w:t>Recommended action:</w:t>
      </w:r>
      <w:r>
        <w:t xml:space="preserve"> the corporation’s board should adopt the 2025 Equity Incentive Plan reserving 2,000,000 shares, and the stockholders should approve it within 12 months of board adoption to preserve ISO treatment under IRC § 422. Correct the “15%” description in the SPA.</w:t>
      </w:r>
    </w:p>
    <w:p>
      <w:pPr>
        <w:keepNext/>
        <w:spacing w:after="80"/>
        <w:ind w:left="0" w:firstLine="0"/>
        <w:jc w:val="left"/>
      </w:pPr>
      <w:r>
        <w:rPr>
          <w:b/>
          <w:sz w:val="24"/>
        </w:rPr>
        <w:t>Issue 7 — Liquidation preference: non-participating (drafted) vs. participating with 3x cap (Minutes).</w:t>
      </w:r>
    </w:p>
    <w:p>
      <w:pPr>
        <w:spacing w:after="160"/>
        <w:ind w:left="0" w:firstLine="0"/>
        <w:jc w:val="both"/>
      </w:pPr>
      <w:r>
        <w:t xml:space="preserve">Aldersgate opened with 1x participating, capped at 3x (Stein, 1/10). The Company replied “confirming our agreement on 1x non-participating preferred … No participation” (Nakamura, 1/12). Aldersgate’s 1/14 reply did not reopen the point, and the executed Term Sheet § 2.2 is non-participating: the greater of 1x plus declared but unpaid dividends, or the as-converted amount, with the remainder going to Common. Minutes § 4.2 describes the participating-with-cap structure ($10.80 cap). </w:t>
      </w:r>
      <w:r>
        <w:rPr>
          <w:b/>
        </w:rPr>
        <w:t>Draft treatment:</w:t>
      </w:r>
      <w:r>
        <w:t xml:space="preserve"> Subsections 2.1 and 2.2 are non-participating and include the as-converted alternative in the Series A Liquidation Amount. The Term Sheet’s label of clause (i) alone as the “1x non-participating preferred” is cosmetic and not carried forward. </w:t>
      </w:r>
      <w:r>
        <w:rPr>
          <w:b/>
        </w:rPr>
        <w:t>Recommended action:</w:t>
      </w:r>
      <w:r>
        <w:t xml:space="preserve"> corrective resolutions (Issue 25). Expect Ashford Gray to check this point closely.</w:t>
      </w:r>
    </w:p>
    <w:p>
      <w:pPr>
        <w:keepNext/>
        <w:spacing w:after="80"/>
        <w:ind w:left="0" w:firstLine="0"/>
        <w:jc w:val="left"/>
      </w:pPr>
      <w:r>
        <w:rPr>
          <w:b/>
          <w:sz w:val="24"/>
        </w:rPr>
        <w:t>Issue 8 — Redemption.</w:t>
      </w:r>
    </w:p>
    <w:p>
      <w:pPr>
        <w:spacing w:after="160"/>
        <w:ind w:left="0" w:firstLine="0"/>
        <w:jc w:val="both"/>
      </w:pPr>
      <w:r>
        <w:t xml:space="preserve">The Emails show that the Company opposed redemption (Krishnamurthy 1/9; Nakamura 1/12) and that Aldersgate withdrew it on January 14, 2025: “The term sheet should not include any redemption rights.” The Term Sheet has none. Minutes § 4.7 nonetheless approves redemption after the fifth anniversary, payable in three annual installments at 1x plus “accrued but unpaid dividends … whether or not declared.” That last phrase also conflicts with the agreed non-cumulative dividend. </w:t>
      </w:r>
      <w:r>
        <w:rPr>
          <w:b/>
        </w:rPr>
        <w:t>Draft treatment:</w:t>
      </w:r>
      <w:r>
        <w:t xml:space="preserve"> Subsection 6.1 states expressly that the Series A is not redeemable. Subsection 2.3.2(b) (bracketed) keeps the NVCA mechanic that applies only after a Deemed Liquidation Event structured as an asset sale or subsidiary merger, where the proceeds stay in the Corporation and it does not dissolve within 90 days. That provision protects the Series A preference and is not a put on a timeline. Still, given Ms. Stein’s categorical wording, the Company could omit it and leave it to investor counsel to ask for it. That is a client call.</w:t>
      </w:r>
    </w:p>
    <w:p>
      <w:pPr>
        <w:keepNext/>
        <w:spacing w:after="80"/>
        <w:ind w:left="0" w:firstLine="0"/>
        <w:jc w:val="left"/>
      </w:pPr>
      <w:r>
        <w:rPr>
          <w:b/>
          <w:sz w:val="24"/>
        </w:rPr>
        <w:t>Issue 9 — Dividend construct.</w:t>
      </w:r>
    </w:p>
    <w:p>
      <w:pPr>
        <w:spacing w:after="160"/>
        <w:ind w:left="0" w:firstLine="0"/>
        <w:jc w:val="both"/>
      </w:pPr>
      <w:r>
        <w:t xml:space="preserve">Term Sheet § 2.1 (and Minutes § 4.1) provide an 8% non-cumulative dividend ($0.288 per share) “in preference and priority” to Common dividends. They also bar Common dividends unless “equivalent dividends on a per-share, as-converted basis” are paid on the Series A. Read together, those sentences could mean either (a) the Series A gets the greater of the 8% amount and the as-converted amount (the NVCA approach, which satisfies both sentences), or (b) the Series A gets the 8% preference plus as-converted participation, which favors the investors. </w:t>
      </w:r>
      <w:r>
        <w:rPr>
          <w:b/>
        </w:rPr>
        <w:t>Draft treatment:</w:t>
      </w:r>
      <w:r>
        <w:t xml:space="preserve"> Subsection 1.2 uses the greater-of approach, measured per calendar year, with the non-cumulative feature stated expressly in Subsection 1.1. Ashford Gray may push for reading (b). Note that the Company’s ability to pay any dividend is limited by DGCL §§ 170 and 173.</w:t>
      </w:r>
    </w:p>
    <w:p>
      <w:pPr>
        <w:keepNext/>
        <w:spacing w:after="80"/>
        <w:ind w:left="0" w:firstLine="0"/>
        <w:jc w:val="left"/>
      </w:pPr>
      <w:r>
        <w:rPr>
          <w:b/>
          <w:sz w:val="24"/>
        </w:rPr>
        <w:t>Issue 10 — Authorized capital; the “anti-dilution cushion” rationale; franchise tax.</w:t>
      </w:r>
    </w:p>
    <w:p>
      <w:pPr>
        <w:spacing w:after="160"/>
        <w:ind w:left="0" w:firstLine="0"/>
        <w:jc w:val="both"/>
      </w:pPr>
      <w:r>
        <w:t>The Draft Charter authorizes 20,000,000 Common and 3,500,000 Preferred, all designated Series A (Term Sheet § 1.10), with no undesignated “blank check” preferred. Three points:</w:t>
      </w:r>
    </w:p>
    <w:p>
      <w:pPr>
        <w:spacing w:after="80"/>
        <w:ind w:left="720" w:hanging="360"/>
        <w:jc w:val="both"/>
      </w:pPr>
      <w:r>
        <w:t>•</w:t>
        <w:tab/>
        <w:t xml:space="preserve">The Minutes, the 1/8 Email and Cap Table note 6 all justify the extra 166,667 Series A shares as a cushion for anti-dilution adjustments. That is technically wrong. A broad-based weighted-average adjustment lowers the Conversion Price, which increases the number of </w:t>
      </w:r>
      <w:r>
        <w:rPr>
          <w:b/>
        </w:rPr>
        <w:t>Common</w:t>
      </w:r>
      <w:r>
        <w:t xml:space="preserve"> shares issuable on conversion. It does not require any additional Series A shares. The spare Series A shares would mainly be useful for a later additional closing. Decide whether to keep them (they cannot be issued without board action, and issuing them on different terms would require Series A consent) or to authorize exactly 3,333,333.</w:t>
      </w:r>
    </w:p>
    <w:p>
      <w:pPr>
        <w:spacing w:after="80"/>
        <w:ind w:left="720" w:hanging="360"/>
        <w:jc w:val="both"/>
      </w:pPr>
      <w:r>
        <w:t>•</w:t>
        <w:tab/>
        <w:t>Common is sufficient: 10,000,000 outstanding + 2,000,000 pool + 3,333,333 conversion shares = 15,333,333, which leaves 4,666,667 unreserved. Under Subsection 4.3.2 the Corporation must keep enough Common reserved for conversion. The headroom covers a Conversion Price reduction to roughly $1.50 before more Common would need to be authorized.</w:t>
      </w:r>
    </w:p>
    <w:p>
      <w:pPr>
        <w:spacing w:after="80"/>
        <w:ind w:left="720" w:hanging="360"/>
        <w:jc w:val="both"/>
      </w:pPr>
      <w:r>
        <w:t>•</w:t>
        <w:tab/>
        <w:t>Delaware franchise tax calculated under the default authorized-shares method on 23,500,000 shares comes out near the $200,000 statutory maximum. The Company should file using the assumed par value capital method, and its finance team should be told this now.</w:t>
      </w:r>
    </w:p>
    <w:p>
      <w:pPr>
        <w:keepNext/>
        <w:spacing w:after="80"/>
        <w:ind w:left="0" w:firstLine="0"/>
        <w:jc w:val="left"/>
      </w:pPr>
      <w:r>
        <w:rPr>
          <w:b/>
          <w:sz w:val="24"/>
        </w:rPr>
        <w:t>Issue 11 — Share-count rounding.</w:t>
      </w:r>
    </w:p>
    <w:p>
      <w:pPr>
        <w:spacing w:after="160"/>
        <w:ind w:left="0" w:firstLine="0"/>
        <w:jc w:val="both"/>
      </w:pPr>
      <w:r>
        <w:t>2,222,222 × $3.60 = $7,999,999.20 and 1,111,111 × $3.60 = $3,999,999.60, for a total of $11,999,998.80, not $12,000,000. This is not a charter point. The SPA Schedule of Purchasers should state the actual purchase prices (or fix the treatment of the $1.20 difference) so the cap table and the issued-and-fully-paid representation reconcile.</w:t>
      </w:r>
    </w:p>
    <w:p>
      <w:pPr>
        <w:keepNext/>
        <w:spacing w:after="120"/>
        <w:ind w:left="0" w:firstLine="0"/>
        <w:jc w:val="left"/>
      </w:pPr>
      <w:r>
        <w:rPr>
          <w:b/>
          <w:sz w:val="24"/>
        </w:rPr>
        <w:t>VI. CONVERSION AND ANTI-DILUTION</w:t>
      </w:r>
    </w:p>
    <w:p>
      <w:pPr>
        <w:keepNext/>
        <w:spacing w:after="80"/>
        <w:ind w:left="0" w:firstLine="0"/>
        <w:jc w:val="left"/>
      </w:pPr>
      <w:r>
        <w:rPr>
          <w:b/>
          <w:sz w:val="24"/>
        </w:rPr>
        <w:t>Issue 12 — Qualified IPO price: $12.00 vs. $10.80.</w:t>
      </w:r>
    </w:p>
    <w:p>
      <w:pPr>
        <w:spacing w:after="160"/>
        <w:ind w:left="0" w:firstLine="0"/>
        <w:jc w:val="both"/>
      </w:pPr>
      <w:r>
        <w:t xml:space="preserve">Aldersgate proposed “at least 3x the OIP” (Stein, 1/10). The Company’s 1/8 framework left the figure TBD. On January 14 Mr. Nakamura asked which figure applies; the file contains no response. The executed Term Sheet (§ 2.3.2) says “$12.00 per share (which represents at least 3x the Original Issue Price),” while 3x of $3.60 is $10.80 ($12.00 is about 3.33x). Minutes § 4.3 says “3x.” The “at least” wording keeps the Term Sheet internally consistent, so $12.00 is the better reading of the signed document. However, the lower $10.80 threshold favors the Company (an easier forced conversion at IPO) and matches Aldersgate’s own January 10 proposal. </w:t>
      </w:r>
      <w:r>
        <w:rPr>
          <w:b/>
        </w:rPr>
        <w:t>Draft treatment:</w:t>
      </w:r>
      <w:r>
        <w:t xml:space="preserve"> [$12.00] in brackets with an NTD. </w:t>
      </w:r>
      <w:r>
        <w:rPr>
          <w:b/>
        </w:rPr>
        <w:t>Recommended action:</w:t>
      </w:r>
      <w:r>
        <w:t xml:space="preserve"> get the client’s instructions, then confirm in writing with Ashford Gray. If pricing moves to $3.00 (Issue 5), the threshold has to be re-run. The 60% written-consent conversion trigger, the $40,000,000 gross-proceeds floor and the firm-commitment requirement are consistent across all sources.</w:t>
      </w:r>
    </w:p>
    <w:p>
      <w:pPr>
        <w:keepNext/>
        <w:spacing w:after="80"/>
        <w:ind w:left="0" w:firstLine="0"/>
        <w:jc w:val="left"/>
      </w:pPr>
      <w:r>
        <w:rPr>
          <w:b/>
          <w:sz w:val="24"/>
        </w:rPr>
        <w:t>Issue 13 — Broad-based formula: the definition of “A.”</w:t>
      </w:r>
    </w:p>
    <w:p>
      <w:pPr>
        <w:spacing w:after="160"/>
        <w:ind w:left="0" w:firstLine="0"/>
        <w:jc w:val="both"/>
      </w:pPr>
      <w:r>
        <w:t>Term Sheet § 2.4 defines “A” as Common outstanding “on a fully diluted, as-converted basis.” The Draft Charter uses the NVCA definition: outstanding Common plus Common issuable on outstanding Options and Convertible Securities, including the Series A. The Term Sheet language could also be read to include reserved but ungranted Plan shares. That broader reading would increase “A” and soften any down-round adjustment, which favors the Company. Decide whether to propose it. The formula itself (CP2 = CP1 × (A + B) ÷ (A + C)) is the same as the Term Sheet’s.</w:t>
      </w:r>
    </w:p>
    <w:p>
      <w:pPr>
        <w:keepNext/>
        <w:spacing w:after="80"/>
        <w:ind w:left="0" w:firstLine="0"/>
        <w:jc w:val="left"/>
      </w:pPr>
      <w:r>
        <w:rPr>
          <w:b/>
          <w:sz w:val="24"/>
        </w:rPr>
        <w:t>Issue 14 — Anti-dilution carve-outs (Exempted Securities).</w:t>
      </w:r>
    </w:p>
    <w:p>
      <w:pPr>
        <w:spacing w:after="160"/>
        <w:ind w:left="0" w:firstLine="0"/>
        <w:jc w:val="both"/>
      </w:pPr>
      <w:r>
        <w:t xml:space="preserve">The Term Sheet lists five Board-approved exclusions: (a) Plan; (b) Series A conversion; (c) equipment leasing or bank financing; (d) acquisitions; (e) strategic partnerships. The Minutes describe “conversion or exercise of outstanding preferred stock or warrants, and other customary exclusions.” The Draft Charter carries over (a) through (e) and adds NVCA technical exclusions: (i) dividends on Series A; (ii) splits and dividends adjusted elsewhere; (iv) exercise or conversion of Options and Convertible Securities generally; (viii) Qualified IPO shares (bracketed). It also extends (c) to real-property lessors and broadens (e) to similar commercial agreements. These additions favor the Company and are market, but they go beyond the Term Sheet. The “warrants” reference in the Minutes suggests warrants may exist or be expected (for example, a Westbridge warrant). The Cap Table shows none. </w:t>
      </w:r>
      <w:r>
        <w:rPr>
          <w:b/>
        </w:rPr>
        <w:t>Recommended action:</w:t>
      </w:r>
      <w:r>
        <w:t xml:space="preserve"> confirm that no warrants, SAFEs or convertible notes are outstanding. Expect investors to ask that carve-out approvals require at least one Series A Director. Conform the pro rata right exceptions in the IRA (Term Sheet § 5.1 ties them to these carve-outs).</w:t>
      </w:r>
    </w:p>
    <w:p>
      <w:pPr>
        <w:keepNext/>
        <w:spacing w:after="80"/>
        <w:ind w:left="0" w:firstLine="0"/>
        <w:jc w:val="left"/>
      </w:pPr>
      <w:r>
        <w:rPr>
          <w:b/>
          <w:sz w:val="24"/>
        </w:rPr>
        <w:t>Issue 15 — Aldersgate side letter and “bilateral” anti-dilution discussions.</w:t>
      </w:r>
    </w:p>
    <w:p>
      <w:pPr>
        <w:spacing w:after="160"/>
        <w:ind w:left="0" w:firstLine="0"/>
        <w:jc w:val="both"/>
      </w:pPr>
      <w:r>
        <w:t xml:space="preserve">Ms. Stein said that J.T. “may have some separate thoughts” on anti-dilution to discuss “bilaterally with Anaya” (1/10), and that “additional asks from J.T.” will come “in a side letter format” (1/14). No side letter is in the file. Any economic term that attaches to the stock, such as enhanced anti-dilution, a different conversion price or a preference, has to be in the charter, and it would apply to every Series A share, Ridgeline’s included. A private understanding inconsistent with the charter would be unenforceable as a stock right. It would also create disclosure issues with Ridgeline and the angels, and a conflict issue for Dr. Krishnamurthy as a Founder and director. </w:t>
      </w:r>
      <w:r>
        <w:rPr>
          <w:b/>
        </w:rPr>
        <w:t>Recommended action:</w:t>
      </w:r>
      <w:r>
        <w:t xml:space="preserve"> get the side letter draft before the Draft Charter is finalized, and confirm with Dr. Krishnamurthy that she has reached no separate understanding with Aldersgate.</w:t>
      </w:r>
    </w:p>
    <w:p>
      <w:pPr>
        <w:keepNext/>
        <w:spacing w:after="120"/>
        <w:ind w:left="0" w:firstLine="0"/>
        <w:jc w:val="left"/>
      </w:pPr>
      <w:r>
        <w:rPr>
          <w:b/>
          <w:sz w:val="24"/>
        </w:rPr>
        <w:t>VII. GOVERNANCE AND PROTECTIVE PROVISIONS</w:t>
      </w:r>
    </w:p>
    <w:p>
      <w:pPr>
        <w:keepNext/>
        <w:spacing w:after="80"/>
        <w:ind w:left="0" w:firstLine="0"/>
        <w:jc w:val="left"/>
      </w:pPr>
      <w:r>
        <w:rPr>
          <w:b/>
          <w:sz w:val="24"/>
        </w:rPr>
        <w:t>Issue 16 — Board composition and election mechanics.</w:t>
      </w:r>
    </w:p>
    <w:p>
      <w:pPr>
        <w:spacing w:after="160"/>
        <w:ind w:left="0" w:firstLine="0"/>
        <w:jc w:val="both"/>
      </w:pPr>
      <w:r>
        <w:t>All sources agree on a five-member board: two Series A Directors, two Common Directors and one Independent Director “mutually approved” by the Series A and Common Directors. Subsection 3.2 of the Draft Charter puts this into effect through class votes: the Series A elects two, the Common elects two, and all holders voting together elect the rest. Points to resolve:</w:t>
      </w:r>
    </w:p>
    <w:p>
      <w:pPr>
        <w:spacing w:after="80"/>
        <w:ind w:left="720" w:hanging="360"/>
        <w:jc w:val="both"/>
      </w:pPr>
      <w:r>
        <w:t>•</w:t>
        <w:tab/>
      </w:r>
      <w:r>
        <w:rPr>
          <w:b/>
        </w:rPr>
        <w:t>Ridgeline seat.</w:t>
      </w:r>
      <w:r>
        <w:t xml:space="preserve"> Under a “majority of Series A” designation standard, Aldersgate (66.67% of Series A) controls both Series A seats. Yet the Term Sheet’s initial-board table gives one seat to Sarah Okonkwo as Ridgeline’s designee. Ridgeline’s seat needs a designation right in the Voting Agreement (typically tied to a minimum holding).</w:t>
      </w:r>
    </w:p>
    <w:p>
      <w:pPr>
        <w:spacing w:after="80"/>
        <w:ind w:left="720" w:hanging="360"/>
        <w:jc w:val="both"/>
      </w:pPr>
      <w:r>
        <w:t>•</w:t>
        <w:tab/>
      </w:r>
      <w:r>
        <w:rPr>
          <w:b/>
        </w:rPr>
        <w:t>Independent Director.</w:t>
      </w:r>
      <w:r>
        <w:t xml:space="preserve"> A charter cannot require that directors approve a stockholder-elected director. The mutual-approval mechanic belongs in the Voting Agreement. Until that seat is filled, the four-member board can deadlock 2–2. The May 30, 2025 deadline has passed (Issue 1).</w:t>
      </w:r>
    </w:p>
    <w:p>
      <w:pPr>
        <w:spacing w:after="80"/>
        <w:ind w:left="720" w:hanging="360"/>
        <w:jc w:val="both"/>
      </w:pPr>
      <w:r>
        <w:t>•</w:t>
        <w:tab/>
      </w:r>
      <w:r>
        <w:rPr>
          <w:b/>
        </w:rPr>
        <w:t>Common seats.</w:t>
      </w:r>
      <w:r>
        <w:t xml:space="preserve"> The Founders hold 80% of Common: Dr. Krishnamurthy 45% and Mr. Chen 35%. Neither controls alone. The second Common seat is still unfilled. Consider the NVCA “CEO director” convention for one seat.</w:t>
      </w:r>
    </w:p>
    <w:p>
      <w:pPr>
        <w:spacing w:after="80"/>
        <w:ind w:left="720" w:hanging="360"/>
        <w:jc w:val="both"/>
      </w:pPr>
      <w:r>
        <w:t>•</w:t>
        <w:tab/>
      </w:r>
      <w:r>
        <w:rPr>
          <w:b/>
        </w:rPr>
        <w:t>Board size.</w:t>
      </w:r>
      <w:r>
        <w:t xml:space="preserve"> The charter defers to the Bylaws, and a change requires Series A consent (Subsection 3.3(g); Term Sheet § 2.6(7)). The Bylaws should fix the board at five.</w:t>
      </w:r>
    </w:p>
    <w:p>
      <w:pPr>
        <w:spacing w:after="80"/>
        <w:ind w:left="720" w:hanging="360"/>
        <w:jc w:val="both"/>
      </w:pPr>
      <w:r>
        <w:t>•</w:t>
        <w:tab/>
      </w:r>
      <w:r>
        <w:rPr>
          <w:b/>
        </w:rPr>
        <w:t>Fall-away.</w:t>
      </w:r>
      <w:r>
        <w:t xml:space="preserve"> The Series A class-election right ends when fewer than [500,000] Series A shares remain outstanding. No source sets this figure, so it is bracketed for negotiation. (500,000 is also the Term Sheet’s information-rights threshold.)</w:t>
      </w:r>
    </w:p>
    <w:p>
      <w:pPr>
        <w:keepNext/>
        <w:spacing w:after="80"/>
        <w:ind w:left="0" w:firstLine="0"/>
        <w:jc w:val="left"/>
      </w:pPr>
      <w:r>
        <w:rPr>
          <w:b/>
          <w:sz w:val="24"/>
        </w:rPr>
        <w:t>Issue 17 — Series A vote thresholds; Aldersgate controls every Series A vote.</w:t>
      </w:r>
    </w:p>
    <w:p>
      <w:pPr>
        <w:spacing w:after="160"/>
        <w:ind w:left="0" w:firstLine="0"/>
        <w:jc w:val="both"/>
      </w:pPr>
      <w:r>
        <w:t>The protective provisions, waivers, the DLE opt-out and Series A Director elections all use a simple majority of the Series A (the “Requisite Holders”). Mandatory conversion by vote uses 60% (Term Sheet § 2.3.2; agreed by Stein 1/14). Aldersgate holds 2,222,222 of 3,333,333 shares (66.67%), so it alone meets both thresholds, and Ridgeline has no blocking position. That suits the Company, which has only one counterparty to deal with. However, Ridgeline may ask for a higher threshold or a carve-out for amendments that affect it disproportionately. Confirm that Ashford Gray (identified as “Investor Counsel”) represents Ridgeline as well as Aldersgate. The Emails show Ashford Gray taking instructions only from Aldersgate.</w:t>
      </w:r>
    </w:p>
    <w:p>
      <w:pPr>
        <w:keepNext/>
        <w:spacing w:after="80"/>
        <w:ind w:left="0" w:firstLine="0"/>
        <w:jc w:val="left"/>
      </w:pPr>
      <w:r>
        <w:rPr>
          <w:b/>
          <w:sz w:val="24"/>
        </w:rPr>
        <w:t>Issue 18 — Protective provisions: textual differences.</w:t>
      </w:r>
    </w:p>
    <w:p>
      <w:pPr>
        <w:spacing w:after="80"/>
        <w:ind w:left="720" w:hanging="360"/>
        <w:jc w:val="both"/>
      </w:pPr>
      <w:r>
        <w:t>•</w:t>
        <w:tab/>
      </w:r>
      <w:r>
        <w:rPr>
          <w:b/>
        </w:rPr>
        <w:t>Authorized shares:</w:t>
      </w:r>
      <w:r>
        <w:t xml:space="preserve"> the Term Sheet refers to “Common Stock or Preferred Stock”; the Minutes refer to “any class or series.” With only two classes they mean the same thing, and the draft follows the Term Sheet with “(or any series thereof).”</w:t>
      </w:r>
    </w:p>
    <w:p>
      <w:pPr>
        <w:spacing w:after="80"/>
        <w:ind w:left="720" w:hanging="360"/>
        <w:jc w:val="both"/>
      </w:pPr>
      <w:r>
        <w:t>•</w:t>
        <w:tab/>
      </w:r>
      <w:r>
        <w:rPr>
          <w:b/>
        </w:rPr>
        <w:t>Common dividends:</w:t>
      </w:r>
      <w:r>
        <w:t xml:space="preserve"> the Term Sheet excludes dividends payable solely in Common; the Minutes do not. The draft follows the Term Sheet.</w:t>
      </w:r>
    </w:p>
    <w:p>
      <w:pPr>
        <w:spacing w:after="80"/>
        <w:ind w:left="720" w:hanging="360"/>
        <w:jc w:val="both"/>
      </w:pPr>
      <w:r>
        <w:t>•</w:t>
        <w:tab/>
      </w:r>
      <w:r>
        <w:rPr>
          <w:b/>
        </w:rPr>
        <w:t>Sale transactions:</w:t>
      </w:r>
      <w:r>
        <w:t xml:space="preserve"> the Term Sheet refers to a “Deemed Liquidation Event”; the Minutes use the undefined and broader “change of control transaction.” The draft follows the Term Sheet.</w:t>
      </w:r>
    </w:p>
    <w:p>
      <w:pPr>
        <w:spacing w:after="80"/>
        <w:ind w:left="720" w:hanging="360"/>
        <w:jc w:val="both"/>
      </w:pPr>
      <w:r>
        <w:t>•</w:t>
        <w:tab/>
      </w:r>
      <w:r>
        <w:rPr>
          <w:b/>
        </w:rPr>
        <w:t>Repurchases:</w:t>
      </w:r>
      <w:r>
        <w:t xml:space="preserve"> Term Sheet item 4 covers any “distribution” on Common, which arguably reaches repurchases of unvested or departing-employee shares. A bracketed NVCA carve-out for repurchases at the lower of cost and fair market value has been added; it favors the Company.</w:t>
      </w:r>
    </w:p>
    <w:p>
      <w:pPr>
        <w:spacing w:after="80"/>
        <w:ind w:left="720" w:hanging="360"/>
        <w:jc w:val="both"/>
      </w:pPr>
      <w:r>
        <w:t>•</w:t>
        <w:tab/>
      </w:r>
      <w:r>
        <w:rPr>
          <w:b/>
        </w:rPr>
        <w:t>NVCA language not in the Term Sheet:</w:t>
      </w:r>
      <w:r>
        <w:t xml:space="preserve"> the draft adds the NVCA lead-in (“directly or indirectly by amendment, merger, consolidation …”) and the “null and void ab initio” language. Both are standard, and the Company could try to soften them.</w:t>
      </w:r>
    </w:p>
    <w:p>
      <w:pPr>
        <w:keepNext/>
        <w:spacing w:after="80"/>
        <w:ind w:left="0" w:firstLine="0"/>
        <w:jc w:val="left"/>
      </w:pPr>
      <w:r>
        <w:rPr>
          <w:b/>
          <w:sz w:val="24"/>
        </w:rPr>
        <w:t>Issue 19 — Indebtedness covenant and the Westbridge facility.</w:t>
      </w:r>
    </w:p>
    <w:p>
      <w:pPr>
        <w:spacing w:after="160"/>
        <w:ind w:left="0" w:firstLine="0"/>
        <w:jc w:val="both"/>
      </w:pPr>
      <w:r>
        <w:t xml:space="preserve">Term Sheet § 2.6(6) requires Series A consent for indebtedness over $500,000, “other than trade payables and equipment financing incurred in the ordinary course.” Minutes § 4.6(6) excludes equipment financing and the existing $250,000 Westbridge National Bank revolver, but leaves out trade payables. Minutes § 7 then says the Westbridge balance will stay below the $500,000 threshold, which suggests no carve-out was thought necessary. Dr. Krishnamurthy asked for the carve-out on January 9. Ms. Stein’s January 14 email agrees with “the list you circulated,” but that list is not in the file, and the executed Term Sheet does not include the carve-out. </w:t>
      </w:r>
      <w:r>
        <w:rPr>
          <w:b/>
        </w:rPr>
        <w:t>Draft treatment:</w:t>
      </w:r>
      <w:r>
        <w:t xml:space="preserve"> both Term Sheet exclusions, plus a bracketed Westbridge exclusion capped at $250,000. The test is measured on indebtedness “outstanding at any time,” which resolves the Term Sheet’s ambiguous “individually or in the aggregate.” </w:t>
      </w:r>
      <w:r>
        <w:rPr>
          <w:b/>
        </w:rPr>
        <w:t>Recommended action:</w:t>
      </w:r>
      <w:r>
        <w:t xml:space="preserve"> find the circulated list. Separately, review the Westbridge loan documents. The conversion changes the borrower entity, so the lender’s consent or an amendment is likely needed before filing to avoid a default (Minutes § 3 notes that Westbridge has only been notified).</w:t>
      </w:r>
    </w:p>
    <w:p>
      <w:pPr>
        <w:keepNext/>
        <w:spacing w:after="120"/>
        <w:ind w:left="0" w:firstLine="0"/>
        <w:jc w:val="left"/>
      </w:pPr>
      <w:r>
        <w:rPr>
          <w:b/>
          <w:sz w:val="24"/>
        </w:rPr>
        <w:t>VIII. PROVISIONS ADDED BEYOND THE TERM SHEET</w:t>
      </w:r>
    </w:p>
    <w:p>
      <w:pPr>
        <w:spacing w:after="160"/>
        <w:ind w:left="0" w:firstLine="0"/>
        <w:jc w:val="both"/>
      </w:pPr>
      <w:r>
        <w:t>The provisions below are customary in NVCA-form charters but are not addressed in the source documents. Each is flagged in the Draft Charter so the client can decide whether to include it.</w:t>
      </w:r>
    </w:p>
    <w:p>
      <w:pPr>
        <w:keepNext/>
        <w:spacing w:after="80"/>
        <w:ind w:left="0" w:firstLine="0"/>
        <w:jc w:val="left"/>
      </w:pPr>
      <w:r>
        <w:rPr>
          <w:b/>
          <w:sz w:val="24"/>
        </w:rPr>
        <w:t>Issue 20 — Opt-out of the § 242(b)(2) Common class vote (Part A, § 2).</w:t>
      </w:r>
    </w:p>
    <w:p>
      <w:pPr>
        <w:spacing w:after="160"/>
        <w:ind w:left="0" w:firstLine="0"/>
        <w:jc w:val="both"/>
      </w:pPr>
      <w:r>
        <w:t>This provision lets the authorized Common be increased or decreased by a majority of all voting stock together, without a separate Common class vote. The Series A consent right in Subsection 3.3(b) is unaffected. It removes the angels’ class-vote leverage. That benefits Company flexibility, but it does take a right away from Common holders.</w:t>
      </w:r>
    </w:p>
    <w:p>
      <w:pPr>
        <w:keepNext/>
        <w:spacing w:after="80"/>
        <w:ind w:left="0" w:firstLine="0"/>
        <w:jc w:val="left"/>
      </w:pPr>
      <w:r>
        <w:rPr>
          <w:b/>
          <w:sz w:val="24"/>
        </w:rPr>
        <w:t>Issue 21 — Officer exculpation (Article VII).</w:t>
      </w:r>
    </w:p>
    <w:p>
      <w:pPr>
        <w:spacing w:after="160"/>
        <w:ind w:left="0" w:firstLine="0"/>
        <w:jc w:val="both"/>
      </w:pPr>
      <w:r>
        <w:t>Since August 1, 2022, DGCL § 102(b)(7) has allowed officers to be exculpated, except for claims brought by or in the right of the corporation. The officer language is bracketed. It benefits the Founders as officers, and investors sometimes resist it.</w:t>
      </w:r>
    </w:p>
    <w:p>
      <w:pPr>
        <w:keepNext/>
        <w:spacing w:after="80"/>
        <w:ind w:left="0" w:firstLine="0"/>
        <w:jc w:val="left"/>
      </w:pPr>
      <w:r>
        <w:rPr>
          <w:b/>
          <w:sz w:val="24"/>
        </w:rPr>
        <w:t>Issue 22 — Corporate opportunity renunciation (Article IX).</w:t>
      </w:r>
    </w:p>
    <w:p>
      <w:pPr>
        <w:spacing w:after="160"/>
        <w:ind w:left="0" w:firstLine="0"/>
        <w:jc w:val="both"/>
      </w:pPr>
      <w:r>
        <w:t>This is a DGCL § 122(17) renunciation for non-employee directors and Series A holders. Venture investors routinely ask for it because of their portfolio overlaps. The Company could leave it out of the first turn and offer it as a concession. It is bracketed.</w:t>
      </w:r>
    </w:p>
    <w:p>
      <w:pPr>
        <w:keepNext/>
        <w:spacing w:after="80"/>
        <w:ind w:left="0" w:firstLine="0"/>
        <w:jc w:val="left"/>
      </w:pPr>
      <w:r>
        <w:rPr>
          <w:b/>
          <w:sz w:val="24"/>
        </w:rPr>
        <w:t>Issue 23 — Exclusive forum (Article X).</w:t>
      </w:r>
    </w:p>
    <w:p>
      <w:pPr>
        <w:spacing w:after="160"/>
        <w:ind w:left="0" w:firstLine="0"/>
        <w:jc w:val="both"/>
      </w:pPr>
      <w:r>
        <w:t>This designates the Court of Chancery under DGCL § 115 for internal-affairs claims and excludes federal securities claims. A federal-forum provision for Securities Act claims (upheld in Salzberg v. Sciabacucchi (Del. 2020)) could be added before an IPO.</w:t>
      </w:r>
    </w:p>
    <w:p>
      <w:pPr>
        <w:keepNext/>
        <w:spacing w:after="80"/>
        <w:ind w:left="0" w:firstLine="0"/>
        <w:jc w:val="left"/>
      </w:pPr>
      <w:r>
        <w:rPr>
          <w:b/>
          <w:sz w:val="24"/>
        </w:rPr>
        <w:t>Issue 24 — Deemed Liquidation Event elaborations; conversion triggers.</w:t>
      </w:r>
    </w:p>
    <w:p>
      <w:pPr>
        <w:spacing w:after="160"/>
        <w:ind w:left="0" w:firstLine="0"/>
        <w:jc w:val="both"/>
      </w:pPr>
      <w:r>
        <w:t xml:space="preserve">The Term Sheet’s DLE definition covers (a) any “merger, consolidation, or other transaction” in which pre-transaction holders do not keep a majority of the voting power, and (b) a sale, lease, transfer or exclusive license of all or substantially all assets. The draft follows the NVCA formulation. It adds subsidiary mergers, the parent-of-survivor test, subsidiary sales, a Requisite Holder opt-out, escrow and earn-out allocation (2.3.4) and the bracketed asset-sale redemption mechanic (2.3.2(b)). It does </w:t>
      </w:r>
      <w:r>
        <w:rPr>
          <w:b/>
        </w:rPr>
        <w:t>not</w:t>
      </w:r>
      <w:r>
        <w:t xml:space="preserve"> treat a sale of a majority of stock by stockholders as a DLE, although the Term Sheet’s “other transaction” wording could be read that way. That sits better with the drag-along (Term Sheet § 5.4), but investors may push back. Mandatory conversion is limited to a firm-commitment underwritten IPO (Term Sheet § 2.3.2), so a direct listing or a de-SPAC would not trigger automatic conversion without a 60% vote. Consider whether to raise this now.</w:t>
      </w:r>
    </w:p>
    <w:p>
      <w:pPr>
        <w:keepNext/>
        <w:spacing w:after="120"/>
        <w:ind w:left="0" w:firstLine="0"/>
        <w:jc w:val="left"/>
      </w:pPr>
      <w:r>
        <w:rPr>
          <w:b/>
          <w:sz w:val="24"/>
        </w:rPr>
        <w:t>IX. ANCILLARY AND NON-CHARTER ITEMS</w:t>
      </w:r>
    </w:p>
    <w:p>
      <w:pPr>
        <w:keepNext/>
        <w:spacing w:after="80"/>
        <w:ind w:left="0" w:firstLine="0"/>
        <w:jc w:val="left"/>
      </w:pPr>
      <w:r>
        <w:rPr>
          <w:b/>
          <w:sz w:val="24"/>
        </w:rPr>
        <w:t>Issue 25 — Defects in the February 3, 2025 Minutes; corrective approvals.</w:t>
      </w:r>
    </w:p>
    <w:p>
      <w:pPr>
        <w:spacing w:after="80"/>
        <w:ind w:left="720" w:hanging="360"/>
        <w:jc w:val="both"/>
      </w:pPr>
      <w:r>
        <w:t>•</w:t>
        <w:tab/>
        <w:t>The Minutes approve financing terms that conflict with the executed Term Sheet: participation and the cap, redemption, a 1,500,000-share pool, the Westbridge carve-out, “3x” in place of $12.00, and a Common-dividend protective provision with no stock-dividend exclusion.</w:t>
      </w:r>
    </w:p>
    <w:p>
      <w:pPr>
        <w:spacing w:after="80"/>
        <w:ind w:left="720" w:hanging="360"/>
        <w:jc w:val="both"/>
      </w:pPr>
      <w:r>
        <w:t>•</w:t>
        <w:tab/>
        <w:t>The Minutes describe the Term Sheet as “between the Company and Aldersgate” and omit Ridgeline.</w:t>
      </w:r>
    </w:p>
    <w:p>
      <w:pPr>
        <w:spacing w:after="80"/>
        <w:ind w:left="720" w:hanging="360"/>
        <w:jc w:val="both"/>
      </w:pPr>
      <w:r>
        <w:t>•</w:t>
        <w:tab/>
        <w:t>Only § 6 records a formal motion. The “approvals” in §§ 3–4 are narrative.</w:t>
      </w:r>
    </w:p>
    <w:p>
      <w:pPr>
        <w:spacing w:after="80"/>
        <w:ind w:left="720" w:hanging="360"/>
        <w:jc w:val="both"/>
      </w:pPr>
      <w:r>
        <w:t>•</w:t>
        <w:tab/>
        <w:t>Investor principals and investor counsel attended the whole meeting, including company counsel’s legal presentations. That probably waives privilege over those discussions. Future meetings should use an executive session.</w:t>
      </w:r>
    </w:p>
    <w:p>
      <w:pPr>
        <w:spacing w:after="80"/>
        <w:ind w:left="720" w:hanging="360"/>
        <w:jc w:val="both"/>
      </w:pPr>
      <w:r>
        <w:t>•</w:t>
        <w:tab/>
        <w:t>The tax statement in § 3 should be verified (Issue 27).</w:t>
      </w:r>
    </w:p>
    <w:p>
      <w:pPr>
        <w:spacing w:after="160"/>
        <w:ind w:left="0" w:firstLine="0"/>
        <w:jc w:val="both"/>
      </w:pPr>
      <w:r>
        <w:rPr>
          <w:b/>
        </w:rPr>
        <w:t>Recommended action:</w:t>
      </w:r>
      <w:r>
        <w:t xml:space="preserve"> (i) the LLC Managers and members adopt a written consent approving the Plan of Conversion and the form of the conversion certificate of incorporation, and expressly superseding §§ 4.2, 4.6(6), 4.7 and 4.8 of the Minutes; (ii) after the conversion, the corporation’s board adopts the Draft Charter, the 2,000,000-share Plan and the financing documents, and recommends them; (iii) the stockholders approve by § 228 written consent; (iv) § 228(e) notices go to the non-consenting holders.</w:t>
      </w:r>
    </w:p>
    <w:p>
      <w:pPr>
        <w:keepNext/>
        <w:spacing w:after="80"/>
        <w:ind w:left="0" w:firstLine="0"/>
        <w:jc w:val="left"/>
      </w:pPr>
      <w:r>
        <w:rPr>
          <w:b/>
          <w:sz w:val="24"/>
        </w:rPr>
        <w:t>Issue 26 — Founder vesting is internally inconsistent (Term Sheet § 5.5).</w:t>
      </w:r>
    </w:p>
    <w:p>
      <w:pPr>
        <w:spacing w:after="160"/>
        <w:ind w:left="0" w:firstLine="0"/>
        <w:jc w:val="both"/>
      </w:pPr>
      <w:r>
        <w:t>Section 5.5 first subjects “[e]ach Founder’s shares” to four-year vesting with a one-year cliff and double-trigger acceleration, then says that the existing LLC-derived shares are “fully vested” and that only additional grants vest. Clarify this before the stock restriction agreements are drafted. If any re-vesting applies, IRC § 83(b) elections are due within 30 days of issuance. This also bears on the repurchase carve-out (Issue 18).</w:t>
      </w:r>
    </w:p>
    <w:p>
      <w:pPr>
        <w:keepNext/>
        <w:spacing w:after="80"/>
        <w:ind w:left="0" w:firstLine="0"/>
        <w:jc w:val="left"/>
      </w:pPr>
      <w:r>
        <w:rPr>
          <w:b/>
          <w:sz w:val="24"/>
        </w:rPr>
        <w:t>Issue 27 — Tax characterization and QSBS.</w:t>
      </w:r>
    </w:p>
    <w:p>
      <w:pPr>
        <w:spacing w:after="160"/>
        <w:ind w:left="0" w:firstLine="0"/>
        <w:jc w:val="both"/>
      </w:pPr>
      <w:r>
        <w:t>The Minutes record Pinnacle Auditworks’ view that the conversion is a “tax-free reorganization.” If the LLC is taxed as a partnership, a state-law conversion to a corporation is generally analyzed under Rev. Rul. 2004-59 as a contribution under IRC § 351, not a § 368 reorganization. Section 351 has its own requirements, including the § 357(c) treatment of liabilities in excess of basis. For IRC § 1202, the holding period starts at conversion, and the basis of the shares is the fair market value of the property contributed, so a valuation as of the conversion date is advisable. Because the timing has slipped (Issue 1), Pinnacle should also confirm whether the July 2025 amendments to § 1202 apply to stock issued in the conversion. The new-EIN approach in the Minutes is consistent with IRS practice for a converted partnership. Refer all of this to tax counsel or Pinnacle for written confirmation.</w:t>
      </w:r>
    </w:p>
    <w:p>
      <w:pPr>
        <w:keepNext/>
        <w:spacing w:after="80"/>
        <w:ind w:left="0" w:firstLine="0"/>
        <w:jc w:val="left"/>
      </w:pPr>
      <w:r>
        <w:rPr>
          <w:b/>
          <w:sz w:val="24"/>
        </w:rPr>
        <w:t>Issue 28 — Names, parties and signature formalities.</w:t>
      </w:r>
    </w:p>
    <w:p>
      <w:pPr>
        <w:spacing w:after="80"/>
        <w:ind w:left="720" w:hanging="360"/>
        <w:jc w:val="both"/>
      </w:pPr>
      <w:r>
        <w:t>•</w:t>
        <w:tab/>
        <w:t>Ms. Stein’s 1/10 email refers to “J.T. Archer.” Every other document names the Aldersgate Managing Partner as Jonathan “J.T.” Thackery. Confirm the correct name for the Voting Agreement and the board consents.</w:t>
      </w:r>
    </w:p>
    <w:p>
      <w:pPr>
        <w:spacing w:after="80"/>
        <w:ind w:left="720" w:hanging="360"/>
        <w:jc w:val="both"/>
      </w:pPr>
      <w:r>
        <w:t>•</w:t>
        <w:tab/>
        <w:t>The Term Sheet signature page is headed “MERIDIAN ROBOTICS, INC.,” but the corporation did not exist at signing and the LLC signed. That is harmless for a non-binding term sheet, but the SPA should be signed by the corporation after the conversion.</w:t>
      </w:r>
    </w:p>
    <w:p>
      <w:pPr>
        <w:spacing w:after="80"/>
        <w:ind w:left="720" w:hanging="360"/>
        <w:jc w:val="both"/>
      </w:pPr>
      <w:r>
        <w:t>•</w:t>
        <w:tab/>
        <w:t>The angel investors are described only as “various” (2,000,000 units; $800,000 at $0.40 in 2022). Their identities and addresses are needed for the stock ledger, the § 228(e) notices and the Regulation D analysis. Also confirm that they hold no side rights (pro rata, MFN, information rights) that survive the conversion.</w:t>
      </w:r>
    </w:p>
    <w:p>
      <w:pPr>
        <w:spacing w:after="80"/>
        <w:ind w:left="720" w:hanging="360"/>
        <w:jc w:val="both"/>
      </w:pPr>
      <w:r>
        <w:t>•</w:t>
        <w:tab/>
        <w:t>Drag-along (Term Sheet § 5.4), ROFR and co-sale (§§ 5.2–5.3), information rights (§ 4.1) and registration rights (§ 4.2) belong in the Voting Agreement, the ROFR and Co-Sale Agreement and the IRA, not in the charter. They have deliberately been left out of the Draft Charter.</w:t>
      </w:r>
    </w:p>
    <w:p>
      <w:pPr>
        <w:keepNext/>
        <w:spacing w:after="120"/>
        <w:ind w:left="0" w:firstLine="0"/>
        <w:jc w:val="left"/>
      </w:pPr>
      <w:r>
        <w:rPr>
          <w:b/>
          <w:sz w:val="24"/>
        </w:rPr>
        <w:t>X. ACTION ITEMS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432"/>
            <w:shd w:val="clear" w:color="auto" w:fill="D9E2F3"/>
          </w:tcPr>
          <w:p>
            <w:r/>
            <w:r>
              <w:rPr>
                <w:b/>
                <w:sz w:val="18"/>
              </w:rPr>
              <w:t>#</w:t>
            </w:r>
          </w:p>
        </w:tc>
        <w:tc>
          <w:tcPr>
            <w:tcW w:type="dxa" w:w="5760"/>
            <w:shd w:val="clear" w:color="auto" w:fill="D9E2F3"/>
          </w:tcPr>
          <w:p>
            <w:r/>
            <w:r>
              <w:rPr>
                <w:b/>
                <w:sz w:val="18"/>
              </w:rPr>
              <w:t>Action</w:t>
            </w:r>
          </w:p>
        </w:tc>
        <w:tc>
          <w:tcPr>
            <w:tcW w:type="dxa" w:w="1872"/>
            <w:shd w:val="clear" w:color="auto" w:fill="D9E2F3"/>
          </w:tcPr>
          <w:p>
            <w:r/>
            <w:r>
              <w:rPr>
                <w:b/>
                <w:sz w:val="18"/>
              </w:rPr>
              <w:t>Owner</w:t>
            </w:r>
          </w:p>
        </w:tc>
        <w:tc>
          <w:tcPr>
            <w:tcW w:type="dxa" w:w="1296"/>
            <w:shd w:val="clear" w:color="auto" w:fill="D9E2F3"/>
          </w:tcPr>
          <w:p>
            <w:r/>
            <w:r>
              <w:rPr>
                <w:b/>
                <w:sz w:val="18"/>
              </w:rPr>
              <w:t>Priority</w:t>
            </w:r>
          </w:p>
        </w:tc>
      </w:tr>
      <w:tr>
        <w:tc>
          <w:tcPr>
            <w:tcW w:type="dxa" w:w="432"/>
          </w:tcPr>
          <w:p>
            <w:pPr>
              <w:spacing w:after="40"/>
            </w:pPr>
            <w:r/>
            <w:r>
              <w:rPr>
                <w:sz w:val="18"/>
              </w:rPr>
              <w:t>1</w:t>
            </w:r>
          </w:p>
        </w:tc>
        <w:tc>
          <w:tcPr>
            <w:tcW w:type="dxa" w:w="5760"/>
          </w:tcPr>
          <w:p>
            <w:pPr>
              <w:spacing w:after="40"/>
            </w:pPr>
            <w:r/>
            <w:r>
              <w:rPr>
                <w:sz w:val="18"/>
              </w:rPr>
              <w:t>Confirm the status of the conversion and closing, and whether dates were extended; get certified Delaware filings; bring the cap table down to date (Issue 1)</w:t>
            </w:r>
          </w:p>
        </w:tc>
        <w:tc>
          <w:tcPr>
            <w:tcW w:type="dxa" w:w="1872"/>
          </w:tcPr>
          <w:p>
            <w:pPr>
              <w:spacing w:after="40"/>
            </w:pPr>
            <w:r/>
            <w:r>
              <w:rPr>
                <w:sz w:val="18"/>
              </w:rPr>
              <w:t>L&amp;H / Client</w:t>
            </w:r>
          </w:p>
        </w:tc>
        <w:tc>
          <w:tcPr>
            <w:tcW w:type="dxa" w:w="1296"/>
          </w:tcPr>
          <w:p>
            <w:pPr>
              <w:spacing w:after="40"/>
            </w:pPr>
            <w:r/>
            <w:r>
              <w:rPr>
                <w:sz w:val="18"/>
              </w:rPr>
              <w:t>Immediate</w:t>
            </w:r>
          </w:p>
        </w:tc>
      </w:tr>
      <w:tr>
        <w:tc>
          <w:tcPr>
            <w:tcW w:type="dxa" w:w="432"/>
          </w:tcPr>
          <w:p>
            <w:pPr>
              <w:spacing w:after="40"/>
            </w:pPr>
            <w:r/>
            <w:r>
              <w:rPr>
                <w:sz w:val="18"/>
              </w:rPr>
              <w:t>2</w:t>
            </w:r>
          </w:p>
        </w:tc>
        <w:tc>
          <w:tcPr>
            <w:tcW w:type="dxa" w:w="5760"/>
          </w:tcPr>
          <w:p>
            <w:pPr>
              <w:spacing w:after="40"/>
            </w:pPr>
            <w:r/>
            <w:r>
              <w:rPr>
                <w:sz w:val="18"/>
              </w:rPr>
              <w:t>Decide price vs. pool carve-out ($3.60 vs. $3.00) and confirm in writing with Ashford Gray (Issue 5)</w:t>
            </w:r>
          </w:p>
        </w:tc>
        <w:tc>
          <w:tcPr>
            <w:tcW w:type="dxa" w:w="1872"/>
          </w:tcPr>
          <w:p>
            <w:pPr>
              <w:spacing w:after="40"/>
            </w:pPr>
            <w:r/>
            <w:r>
              <w:rPr>
                <w:sz w:val="18"/>
              </w:rPr>
              <w:t>Client / L&amp;H / Ashford Gray</w:t>
            </w:r>
          </w:p>
        </w:tc>
        <w:tc>
          <w:tcPr>
            <w:tcW w:type="dxa" w:w="1296"/>
          </w:tcPr>
          <w:p>
            <w:pPr>
              <w:spacing w:after="40"/>
            </w:pPr>
            <w:r/>
            <w:r>
              <w:rPr>
                <w:sz w:val="18"/>
              </w:rPr>
              <w:t>Immediate</w:t>
            </w:r>
          </w:p>
        </w:tc>
      </w:tr>
      <w:tr>
        <w:tc>
          <w:tcPr>
            <w:tcW w:type="dxa" w:w="432"/>
          </w:tcPr>
          <w:p>
            <w:pPr>
              <w:spacing w:after="40"/>
            </w:pPr>
            <w:r/>
            <w:r>
              <w:rPr>
                <w:sz w:val="18"/>
              </w:rPr>
              <w:t>3</w:t>
            </w:r>
          </w:p>
        </w:tc>
        <w:tc>
          <w:tcPr>
            <w:tcW w:type="dxa" w:w="5760"/>
          </w:tcPr>
          <w:p>
            <w:pPr>
              <w:spacing w:after="40"/>
            </w:pPr>
            <w:r/>
            <w:r>
              <w:rPr>
                <w:sz w:val="18"/>
              </w:rPr>
              <w:t>Resolve the Qualified IPO price ($12.00 vs. $10.80) (Issue 12)</w:t>
            </w:r>
          </w:p>
        </w:tc>
        <w:tc>
          <w:tcPr>
            <w:tcW w:type="dxa" w:w="1872"/>
          </w:tcPr>
          <w:p>
            <w:pPr>
              <w:spacing w:after="40"/>
            </w:pPr>
            <w:r/>
            <w:r>
              <w:rPr>
                <w:sz w:val="18"/>
              </w:rPr>
              <w:t>Client / Ashford Gray</w:t>
            </w:r>
          </w:p>
        </w:tc>
        <w:tc>
          <w:tcPr>
            <w:tcW w:type="dxa" w:w="1296"/>
          </w:tcPr>
          <w:p>
            <w:pPr>
              <w:spacing w:after="40"/>
            </w:pPr>
            <w:r/>
            <w:r>
              <w:rPr>
                <w:sz w:val="18"/>
              </w:rPr>
              <w:t>High</w:t>
            </w:r>
          </w:p>
        </w:tc>
      </w:tr>
      <w:tr>
        <w:tc>
          <w:tcPr>
            <w:tcW w:type="dxa" w:w="432"/>
          </w:tcPr>
          <w:p>
            <w:pPr>
              <w:spacing w:after="40"/>
            </w:pPr>
            <w:r/>
            <w:r>
              <w:rPr>
                <w:sz w:val="18"/>
              </w:rPr>
              <w:t>4</w:t>
            </w:r>
          </w:p>
        </w:tc>
        <w:tc>
          <w:tcPr>
            <w:tcW w:type="dxa" w:w="5760"/>
          </w:tcPr>
          <w:p>
            <w:pPr>
              <w:spacing w:after="40"/>
            </w:pPr>
            <w:r/>
            <w:r>
              <w:rPr>
                <w:sz w:val="18"/>
              </w:rPr>
              <w:t>Locate the circulated protective-provision list; decide the Westbridge carve-out; get Westbridge consent to the conversion (Issue 19)</w:t>
            </w:r>
          </w:p>
        </w:tc>
        <w:tc>
          <w:tcPr>
            <w:tcW w:type="dxa" w:w="1872"/>
          </w:tcPr>
          <w:p>
            <w:pPr>
              <w:spacing w:after="40"/>
            </w:pPr>
            <w:r/>
            <w:r>
              <w:rPr>
                <w:sz w:val="18"/>
              </w:rPr>
              <w:t>L&amp;H / Client</w:t>
            </w:r>
          </w:p>
        </w:tc>
        <w:tc>
          <w:tcPr>
            <w:tcW w:type="dxa" w:w="1296"/>
          </w:tcPr>
          <w:p>
            <w:pPr>
              <w:spacing w:after="40"/>
            </w:pPr>
            <w:r/>
            <w:r>
              <w:rPr>
                <w:sz w:val="18"/>
              </w:rPr>
              <w:t>High</w:t>
            </w:r>
          </w:p>
        </w:tc>
      </w:tr>
      <w:tr>
        <w:tc>
          <w:tcPr>
            <w:tcW w:type="dxa" w:w="432"/>
          </w:tcPr>
          <w:p>
            <w:pPr>
              <w:spacing w:after="40"/>
            </w:pPr>
            <w:r/>
            <w:r>
              <w:rPr>
                <w:sz w:val="18"/>
              </w:rPr>
              <w:t>5</w:t>
            </w:r>
          </w:p>
        </w:tc>
        <w:tc>
          <w:tcPr>
            <w:tcW w:type="dxa" w:w="5760"/>
          </w:tcPr>
          <w:p>
            <w:pPr>
              <w:spacing w:after="40"/>
            </w:pPr>
            <w:r/>
            <w:r>
              <w:rPr>
                <w:sz w:val="18"/>
              </w:rPr>
              <w:t>Get the Aldersgate side letter; confirm there is no bilateral anti-dilution understanding (Issue 15)</w:t>
            </w:r>
          </w:p>
        </w:tc>
        <w:tc>
          <w:tcPr>
            <w:tcW w:type="dxa" w:w="1872"/>
          </w:tcPr>
          <w:p>
            <w:pPr>
              <w:spacing w:after="40"/>
            </w:pPr>
            <w:r/>
            <w:r>
              <w:rPr>
                <w:sz w:val="18"/>
              </w:rPr>
              <w:t>L&amp;H / Ashford Gray</w:t>
            </w:r>
          </w:p>
        </w:tc>
        <w:tc>
          <w:tcPr>
            <w:tcW w:type="dxa" w:w="1296"/>
          </w:tcPr>
          <w:p>
            <w:pPr>
              <w:spacing w:after="40"/>
            </w:pPr>
            <w:r/>
            <w:r>
              <w:rPr>
                <w:sz w:val="18"/>
              </w:rPr>
              <w:t>High</w:t>
            </w:r>
          </w:p>
        </w:tc>
      </w:tr>
      <w:tr>
        <w:tc>
          <w:tcPr>
            <w:tcW w:type="dxa" w:w="432"/>
          </w:tcPr>
          <w:p>
            <w:pPr>
              <w:spacing w:after="40"/>
            </w:pPr>
            <w:r/>
            <w:r>
              <w:rPr>
                <w:sz w:val="18"/>
              </w:rPr>
              <w:t>6</w:t>
            </w:r>
          </w:p>
        </w:tc>
        <w:tc>
          <w:tcPr>
            <w:tcW w:type="dxa" w:w="5760"/>
          </w:tcPr>
          <w:p>
            <w:pPr>
              <w:spacing w:after="40"/>
            </w:pPr>
            <w:r/>
            <w:r>
              <w:rPr>
                <w:sz w:val="18"/>
              </w:rPr>
              <w:t>Get the LLC operating agreement; member consent to the Plan of Conversion; California filings and FTB (Issue 3)</w:t>
            </w:r>
          </w:p>
        </w:tc>
        <w:tc>
          <w:tcPr>
            <w:tcW w:type="dxa" w:w="1872"/>
          </w:tcPr>
          <w:p>
            <w:pPr>
              <w:spacing w:after="40"/>
            </w:pPr>
            <w:r/>
            <w:r>
              <w:rPr>
                <w:sz w:val="18"/>
              </w:rPr>
              <w:t>L&amp;H</w:t>
            </w:r>
          </w:p>
        </w:tc>
        <w:tc>
          <w:tcPr>
            <w:tcW w:type="dxa" w:w="1296"/>
          </w:tcPr>
          <w:p>
            <w:pPr>
              <w:spacing w:after="40"/>
            </w:pPr>
            <w:r/>
            <w:r>
              <w:rPr>
                <w:sz w:val="18"/>
              </w:rPr>
              <w:t>High</w:t>
            </w:r>
          </w:p>
        </w:tc>
      </w:tr>
      <w:tr>
        <w:tc>
          <w:tcPr>
            <w:tcW w:type="dxa" w:w="432"/>
          </w:tcPr>
          <w:p>
            <w:pPr>
              <w:spacing w:after="40"/>
            </w:pPr>
            <w:r/>
            <w:r>
              <w:rPr>
                <w:sz w:val="18"/>
              </w:rPr>
              <w:t>7</w:t>
            </w:r>
          </w:p>
        </w:tc>
        <w:tc>
          <w:tcPr>
            <w:tcW w:type="dxa" w:w="5760"/>
          </w:tcPr>
          <w:p>
            <w:pPr>
              <w:spacing w:after="40"/>
            </w:pPr>
            <w:r/>
            <w:r>
              <w:rPr>
                <w:sz w:val="18"/>
              </w:rPr>
              <w:t>Choose the one-step or two-step filing structure; prepare the conversion certificate, board and stockholder consents and § 228(e) notices (Issues 2, 25)</w:t>
            </w:r>
          </w:p>
        </w:tc>
        <w:tc>
          <w:tcPr>
            <w:tcW w:type="dxa" w:w="1872"/>
          </w:tcPr>
          <w:p>
            <w:pPr>
              <w:spacing w:after="40"/>
            </w:pPr>
            <w:r/>
            <w:r>
              <w:rPr>
                <w:sz w:val="18"/>
              </w:rPr>
              <w:t>L&amp;H</w:t>
            </w:r>
          </w:p>
        </w:tc>
        <w:tc>
          <w:tcPr>
            <w:tcW w:type="dxa" w:w="1296"/>
          </w:tcPr>
          <w:p>
            <w:pPr>
              <w:spacing w:after="40"/>
            </w:pPr>
            <w:r/>
            <w:r>
              <w:rPr>
                <w:sz w:val="18"/>
              </w:rPr>
              <w:t>High</w:t>
            </w:r>
          </w:p>
        </w:tc>
      </w:tr>
      <w:tr>
        <w:tc>
          <w:tcPr>
            <w:tcW w:type="dxa" w:w="432"/>
          </w:tcPr>
          <w:p>
            <w:pPr>
              <w:spacing w:after="40"/>
            </w:pPr>
            <w:r/>
            <w:r>
              <w:rPr>
                <w:sz w:val="18"/>
              </w:rPr>
              <w:t>8</w:t>
            </w:r>
          </w:p>
        </w:tc>
        <w:tc>
          <w:tcPr>
            <w:tcW w:type="dxa" w:w="5760"/>
          </w:tcPr>
          <w:p>
            <w:pPr>
              <w:spacing w:after="40"/>
            </w:pPr>
            <w:r/>
            <w:r>
              <w:rPr>
                <w:sz w:val="18"/>
              </w:rPr>
              <w:t>Confirm the registered agent address (Issue 4)</w:t>
            </w:r>
          </w:p>
        </w:tc>
        <w:tc>
          <w:tcPr>
            <w:tcW w:type="dxa" w:w="1872"/>
          </w:tcPr>
          <w:p>
            <w:pPr>
              <w:spacing w:after="40"/>
            </w:pPr>
            <w:r/>
            <w:r>
              <w:rPr>
                <w:sz w:val="18"/>
              </w:rPr>
              <w:t>L&amp;H paralegal</w:t>
            </w:r>
          </w:p>
        </w:tc>
        <w:tc>
          <w:tcPr>
            <w:tcW w:type="dxa" w:w="1296"/>
          </w:tcPr>
          <w:p>
            <w:pPr>
              <w:spacing w:after="40"/>
            </w:pPr>
            <w:r/>
            <w:r>
              <w:rPr>
                <w:sz w:val="18"/>
              </w:rPr>
              <w:t>Before filing</w:t>
            </w:r>
          </w:p>
        </w:tc>
      </w:tr>
      <w:tr>
        <w:tc>
          <w:tcPr>
            <w:tcW w:type="dxa" w:w="432"/>
          </w:tcPr>
          <w:p>
            <w:pPr>
              <w:spacing w:after="40"/>
            </w:pPr>
            <w:r/>
            <w:r>
              <w:rPr>
                <w:sz w:val="18"/>
              </w:rPr>
              <w:t>9</w:t>
            </w:r>
          </w:p>
        </w:tc>
        <w:tc>
          <w:tcPr>
            <w:tcW w:type="dxa" w:w="5760"/>
          </w:tcPr>
          <w:p>
            <w:pPr>
              <w:spacing w:after="40"/>
            </w:pPr>
            <w:r/>
            <w:r>
              <w:rPr>
                <w:sz w:val="18"/>
              </w:rPr>
              <w:t>Client decisions on the bracketed provisions: § 2.3.2(b), repurchase carve-out, officer exculpation, Article IX, Exempted Securities (viii), fall-away threshold (Issues 8, 14, 16, 18, 20–24)</w:t>
            </w:r>
          </w:p>
        </w:tc>
        <w:tc>
          <w:tcPr>
            <w:tcW w:type="dxa" w:w="1872"/>
          </w:tcPr>
          <w:p>
            <w:pPr>
              <w:spacing w:after="40"/>
            </w:pPr>
            <w:r/>
            <w:r>
              <w:rPr>
                <w:sz w:val="18"/>
              </w:rPr>
              <w:t>Client / L&amp;H</w:t>
            </w:r>
          </w:p>
        </w:tc>
        <w:tc>
          <w:tcPr>
            <w:tcW w:type="dxa" w:w="1296"/>
          </w:tcPr>
          <w:p>
            <w:pPr>
              <w:spacing w:after="40"/>
            </w:pPr>
            <w:r/>
            <w:r>
              <w:rPr>
                <w:sz w:val="18"/>
              </w:rPr>
              <w:t>Before first turn</w:t>
            </w:r>
          </w:p>
        </w:tc>
      </w:tr>
      <w:tr>
        <w:tc>
          <w:tcPr>
            <w:tcW w:type="dxa" w:w="432"/>
          </w:tcPr>
          <w:p>
            <w:pPr>
              <w:spacing w:after="40"/>
            </w:pPr>
            <w:r/>
            <w:r>
              <w:rPr>
                <w:sz w:val="18"/>
              </w:rPr>
              <w:t>10</w:t>
            </w:r>
          </w:p>
        </w:tc>
        <w:tc>
          <w:tcPr>
            <w:tcW w:type="dxa" w:w="5760"/>
          </w:tcPr>
          <w:p>
            <w:pPr>
              <w:spacing w:after="40"/>
            </w:pPr>
            <w:r/>
            <w:r>
              <w:rPr>
                <w:sz w:val="18"/>
              </w:rPr>
              <w:t>Voting Agreement: Ridgeline designation right; Independent Director mechanics (Issues 16–17)</w:t>
            </w:r>
          </w:p>
        </w:tc>
        <w:tc>
          <w:tcPr>
            <w:tcW w:type="dxa" w:w="1872"/>
          </w:tcPr>
          <w:p>
            <w:pPr>
              <w:spacing w:after="40"/>
            </w:pPr>
            <w:r/>
            <w:r>
              <w:rPr>
                <w:sz w:val="18"/>
              </w:rPr>
              <w:t>L&amp;H / Ashford Gray</w:t>
            </w:r>
          </w:p>
        </w:tc>
        <w:tc>
          <w:tcPr>
            <w:tcW w:type="dxa" w:w="1296"/>
          </w:tcPr>
          <w:p>
            <w:pPr>
              <w:spacing w:after="40"/>
            </w:pPr>
            <w:r/>
            <w:r>
              <w:rPr>
                <w:sz w:val="18"/>
              </w:rPr>
              <w:t>Medium</w:t>
            </w:r>
          </w:p>
        </w:tc>
      </w:tr>
      <w:tr>
        <w:tc>
          <w:tcPr>
            <w:tcW w:type="dxa" w:w="432"/>
          </w:tcPr>
          <w:p>
            <w:pPr>
              <w:spacing w:after="40"/>
            </w:pPr>
            <w:r/>
            <w:r>
              <w:rPr>
                <w:sz w:val="18"/>
              </w:rPr>
              <w:t>11</w:t>
            </w:r>
          </w:p>
        </w:tc>
        <w:tc>
          <w:tcPr>
            <w:tcW w:type="dxa" w:w="5760"/>
          </w:tcPr>
          <w:p>
            <w:pPr>
              <w:spacing w:after="40"/>
            </w:pPr>
            <w:r/>
            <w:r>
              <w:rPr>
                <w:sz w:val="18"/>
              </w:rPr>
              <w:t>Adopt the 2,000,000-share 2025 Plan at the corporation level; correct the “15%” label (Issue 6)</w:t>
            </w:r>
          </w:p>
        </w:tc>
        <w:tc>
          <w:tcPr>
            <w:tcW w:type="dxa" w:w="1872"/>
          </w:tcPr>
          <w:p>
            <w:pPr>
              <w:spacing w:after="40"/>
            </w:pPr>
            <w:r/>
            <w:r>
              <w:rPr>
                <w:sz w:val="18"/>
              </w:rPr>
              <w:t>L&amp;H</w:t>
            </w:r>
          </w:p>
        </w:tc>
        <w:tc>
          <w:tcPr>
            <w:tcW w:type="dxa" w:w="1296"/>
          </w:tcPr>
          <w:p>
            <w:pPr>
              <w:spacing w:after="40"/>
            </w:pPr>
            <w:r/>
            <w:r>
              <w:rPr>
                <w:sz w:val="18"/>
              </w:rPr>
              <w:t>Medium</w:t>
            </w:r>
          </w:p>
        </w:tc>
      </w:tr>
      <w:tr>
        <w:tc>
          <w:tcPr>
            <w:tcW w:type="dxa" w:w="432"/>
          </w:tcPr>
          <w:p>
            <w:pPr>
              <w:spacing w:after="40"/>
            </w:pPr>
            <w:r/>
            <w:r>
              <w:rPr>
                <w:sz w:val="18"/>
              </w:rPr>
              <w:t>12</w:t>
            </w:r>
          </w:p>
        </w:tc>
        <w:tc>
          <w:tcPr>
            <w:tcW w:type="dxa" w:w="5760"/>
          </w:tcPr>
          <w:p>
            <w:pPr>
              <w:spacing w:after="40"/>
            </w:pPr>
            <w:r/>
            <w:r>
              <w:rPr>
                <w:sz w:val="18"/>
              </w:rPr>
              <w:t>Tax / QSBS confirmation and conversion-date valuation (Issue 27)</w:t>
            </w:r>
          </w:p>
        </w:tc>
        <w:tc>
          <w:tcPr>
            <w:tcW w:type="dxa" w:w="1872"/>
          </w:tcPr>
          <w:p>
            <w:pPr>
              <w:spacing w:after="40"/>
            </w:pPr>
            <w:r/>
            <w:r>
              <w:rPr>
                <w:sz w:val="18"/>
              </w:rPr>
              <w:t>Pinnacle / tax counsel</w:t>
            </w:r>
          </w:p>
        </w:tc>
        <w:tc>
          <w:tcPr>
            <w:tcW w:type="dxa" w:w="1296"/>
          </w:tcPr>
          <w:p>
            <w:pPr>
              <w:spacing w:after="40"/>
            </w:pPr>
            <w:r/>
            <w:r>
              <w:rPr>
                <w:sz w:val="18"/>
              </w:rPr>
              <w:t>Medium</w:t>
            </w:r>
          </w:p>
        </w:tc>
      </w:tr>
      <w:tr>
        <w:tc>
          <w:tcPr>
            <w:tcW w:type="dxa" w:w="432"/>
          </w:tcPr>
          <w:p>
            <w:pPr>
              <w:spacing w:after="40"/>
            </w:pPr>
            <w:r/>
            <w:r>
              <w:rPr>
                <w:sz w:val="18"/>
              </w:rPr>
              <w:t>13</w:t>
            </w:r>
          </w:p>
        </w:tc>
        <w:tc>
          <w:tcPr>
            <w:tcW w:type="dxa" w:w="5760"/>
          </w:tcPr>
          <w:p>
            <w:pPr>
              <w:spacing w:after="40"/>
            </w:pPr>
            <w:r/>
            <w:r>
              <w:rPr>
                <w:sz w:val="18"/>
              </w:rPr>
              <w:t>Clarify founder vesting; calendar § 83(b) deadlines (Issue 26)</w:t>
            </w:r>
          </w:p>
        </w:tc>
        <w:tc>
          <w:tcPr>
            <w:tcW w:type="dxa" w:w="1872"/>
          </w:tcPr>
          <w:p>
            <w:pPr>
              <w:spacing w:after="40"/>
            </w:pPr>
            <w:r/>
            <w:r>
              <w:rPr>
                <w:sz w:val="18"/>
              </w:rPr>
              <w:t>Client / Ashford Gray</w:t>
            </w:r>
          </w:p>
        </w:tc>
        <w:tc>
          <w:tcPr>
            <w:tcW w:type="dxa" w:w="1296"/>
          </w:tcPr>
          <w:p>
            <w:pPr>
              <w:spacing w:after="40"/>
            </w:pPr>
            <w:r/>
            <w:r>
              <w:rPr>
                <w:sz w:val="18"/>
              </w:rPr>
              <w:t>Medium</w:t>
            </w:r>
          </w:p>
        </w:tc>
      </w:tr>
      <w:tr>
        <w:tc>
          <w:tcPr>
            <w:tcW w:type="dxa" w:w="432"/>
          </w:tcPr>
          <w:p>
            <w:pPr>
              <w:spacing w:after="40"/>
            </w:pPr>
            <w:r/>
            <w:r>
              <w:rPr>
                <w:sz w:val="18"/>
              </w:rPr>
              <w:t>14</w:t>
            </w:r>
          </w:p>
        </w:tc>
        <w:tc>
          <w:tcPr>
            <w:tcW w:type="dxa" w:w="5760"/>
          </w:tcPr>
          <w:p>
            <w:pPr>
              <w:spacing w:after="40"/>
            </w:pPr>
            <w:r/>
            <w:r>
              <w:rPr>
                <w:sz w:val="18"/>
              </w:rPr>
              <w:t>SPA purchase-price rounding; confirm no warrants, SAFEs or notes; identify the angels (Issues 11, 14, 28)</w:t>
            </w:r>
          </w:p>
        </w:tc>
        <w:tc>
          <w:tcPr>
            <w:tcW w:type="dxa" w:w="1872"/>
          </w:tcPr>
          <w:p>
            <w:pPr>
              <w:spacing w:after="40"/>
            </w:pPr>
            <w:r/>
            <w:r>
              <w:rPr>
                <w:sz w:val="18"/>
              </w:rPr>
              <w:t>L&amp;H</w:t>
            </w:r>
          </w:p>
        </w:tc>
        <w:tc>
          <w:tcPr>
            <w:tcW w:type="dxa" w:w="1296"/>
          </w:tcPr>
          <w:p>
            <w:pPr>
              <w:spacing w:after="40"/>
            </w:pPr>
            <w:r/>
            <w:r>
              <w:rPr>
                <w:sz w:val="18"/>
              </w:rPr>
              <w:t>Medium</w:t>
            </w:r>
          </w:p>
        </w:tc>
      </w:tr>
      <w:tr>
        <w:tc>
          <w:tcPr>
            <w:tcW w:type="dxa" w:w="432"/>
          </w:tcPr>
          <w:p>
            <w:pPr>
              <w:spacing w:after="40"/>
            </w:pPr>
            <w:r/>
            <w:r>
              <w:rPr>
                <w:sz w:val="18"/>
              </w:rPr>
              <w:t>15</w:t>
            </w:r>
          </w:p>
        </w:tc>
        <w:tc>
          <w:tcPr>
            <w:tcW w:type="dxa" w:w="5760"/>
          </w:tcPr>
          <w:p>
            <w:pPr>
              <w:spacing w:after="40"/>
            </w:pPr>
            <w:r/>
            <w:r>
              <w:rPr>
                <w:sz w:val="18"/>
              </w:rPr>
              <w:t>Franchise tax: tell the Company to use the assumed par value capital method (Issue 10)</w:t>
            </w:r>
          </w:p>
        </w:tc>
        <w:tc>
          <w:tcPr>
            <w:tcW w:type="dxa" w:w="1872"/>
          </w:tcPr>
          <w:p>
            <w:pPr>
              <w:spacing w:after="40"/>
            </w:pPr>
            <w:r/>
            <w:r>
              <w:rPr>
                <w:sz w:val="18"/>
              </w:rPr>
              <w:t>L&amp;H</w:t>
            </w:r>
          </w:p>
        </w:tc>
        <w:tc>
          <w:tcPr>
            <w:tcW w:type="dxa" w:w="1296"/>
          </w:tcPr>
          <w:p>
            <w:pPr>
              <w:spacing w:after="40"/>
            </w:pPr>
            <w:r/>
            <w:r>
              <w:rPr>
                <w:sz w:val="18"/>
              </w:rPr>
              <w:t>Post-filing</w:t>
            </w:r>
          </w:p>
        </w:tc>
      </w:tr>
    </w:tbl>
    <w:p>
      <w:pPr>
        <w:spacing w:after="80"/>
      </w:pPr>
    </w:p>
    <w:p>
      <w:pPr>
        <w:spacing w:after="160"/>
        <w:ind w:left="0" w:firstLine="0"/>
        <w:jc w:val="both"/>
      </w:pPr>
      <w:r>
        <w:t>Attachment: Draft Amended and Restated Certificate of Incorporation of Meridian Robotics, Inc. (L&amp;H Draft).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