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i w:val="0"/>
          <w:sz w:val="28"/>
        </w:rPr>
        <w:t>WHITFIELD &amp; CRANE LLP</w:t>
      </w:r>
    </w:p>
    <w:p>
      <w:pPr>
        <w:spacing w:after="200"/>
        <w:jc w:val="center"/>
      </w:pPr>
      <w:r>
        <w:rPr>
          <w:b w:val="0"/>
          <w:i w:val="0"/>
          <w:sz w:val="18"/>
        </w:rPr>
        <w:t>1 International Place, Suite 3500 · Boston, MA 02110</w:t>
      </w:r>
    </w:p>
    <w:p>
      <w:pPr>
        <w:spacing w:after="200"/>
        <w:jc w:val="center"/>
      </w:pPr>
      <w:r>
        <w:rPr>
          <w:b/>
          <w:i w:val="0"/>
          <w:sz w:val="18"/>
        </w:rPr>
        <w:t>PRIVILEGED &amp; CONFIDENTIAL · ATTORNEY-CLIENT COMMUNICATION · ATTORNEY WORK PRODUCT</w:t>
      </w:r>
    </w:p>
    <w:p>
      <w:pPr>
        <w:spacing w:after="200"/>
        <w:jc w:val="center"/>
      </w:pPr>
      <w:r>
        <w:rPr>
          <w:b/>
          <w:i w:val="0"/>
          <w:sz w:val="32"/>
        </w:rPr>
        <w:t>MEMORANDUM</w:t>
      </w:r>
    </w:p>
    <w:tbl>
      <w:tblPr>
        <w:tblStyle w:val="TableGrid"/>
        <w:tblW w:type="auto" w:w="0"/>
        <w:tblLook w:firstColumn="1" w:firstRow="1" w:lastColumn="0" w:lastRow="0" w:noHBand="0" w:noVBand="1" w:val="04A0"/>
      </w:tblPr>
      <w:tblGrid>
        <w:gridCol w:w="4680"/>
        <w:gridCol w:w="4680"/>
      </w:tblGrid>
      <w:tr>
        <w:tc>
          <w:tcPr>
            <w:tcW w:type="dxa" w:w="2160"/>
          </w:tcPr>
          <w:p>
            <w:r/>
            <w:r>
              <w:rPr>
                <w:b/>
              </w:rPr>
              <w:t>TO:</w:t>
            </w:r>
          </w:p>
        </w:tc>
        <w:tc>
          <w:tcPr>
            <w:tcW w:type="dxa" w:w="7200"/>
          </w:tcPr>
          <w:p>
            <w:r>
              <w:t>Diana Forstner, Partner</w:t>
            </w:r>
          </w:p>
        </w:tc>
      </w:tr>
      <w:tr>
        <w:tc>
          <w:tcPr>
            <w:tcW w:type="dxa" w:w="2160"/>
          </w:tcPr>
          <w:p>
            <w:r/>
            <w:r>
              <w:rPr>
                <w:b/>
              </w:rPr>
              <w:t>FROM:</w:t>
            </w:r>
          </w:p>
        </w:tc>
        <w:tc>
          <w:tcPr>
            <w:tcW w:type="dxa" w:w="7200"/>
          </w:tcPr>
          <w:p>
            <w:r>
              <w:t>Jordan Achebe</w:t>
            </w:r>
          </w:p>
        </w:tc>
      </w:tr>
      <w:tr>
        <w:tc>
          <w:tcPr>
            <w:tcW w:type="dxa" w:w="2160"/>
          </w:tcPr>
          <w:p>
            <w:r/>
            <w:r>
              <w:rPr>
                <w:b/>
              </w:rPr>
              <w:t>DATE:</w:t>
            </w:r>
          </w:p>
        </w:tc>
        <w:tc>
          <w:tcPr>
            <w:tcW w:type="dxa" w:w="7200"/>
          </w:tcPr>
          <w:p>
            <w:r>
              <w:t>February 21, 2025</w:t>
            </w:r>
          </w:p>
        </w:tc>
      </w:tr>
      <w:tr>
        <w:tc>
          <w:tcPr>
            <w:tcW w:type="dxa" w:w="2160"/>
          </w:tcPr>
          <w:p>
            <w:r/>
            <w:r>
              <w:rPr>
                <w:b/>
              </w:rPr>
              <w:t>CLIENT/MATTER:</w:t>
            </w:r>
          </w:p>
        </w:tc>
        <w:tc>
          <w:tcPr>
            <w:tcW w:type="dxa" w:w="7200"/>
          </w:tcPr>
          <w:p>
            <w:r>
              <w:t>Luminos Biosciences, Inc. — Series B Preferred Stock Financing</w:t>
            </w:r>
          </w:p>
        </w:tc>
      </w:tr>
      <w:tr>
        <w:tc>
          <w:tcPr>
            <w:tcW w:type="dxa" w:w="2160"/>
          </w:tcPr>
          <w:p>
            <w:r/>
            <w:r>
              <w:rPr>
                <w:b/>
              </w:rPr>
              <w:t>RE:</w:t>
            </w:r>
          </w:p>
        </w:tc>
        <w:tc>
          <w:tcPr>
            <w:tcW w:type="dxa" w:w="7200"/>
          </w:tcPr>
          <w:p>
            <w:r>
              <w:t>Issues Memorandum: Ashworth Doyle LLP Draft Investors’ Rights Agreement (circulated February 10, 2025)</w:t>
            </w:r>
          </w:p>
        </w:tc>
      </w:tr>
    </w:tbl>
    <w:p/>
    <w:p>
      <w:pPr>
        <w:pStyle w:val="Heading1"/>
      </w:pPr>
      <w:r>
        <w:t>I. Executive Summary</w:t>
      </w:r>
    </w:p>
    <w:p>
      <w:pPr>
        <w:spacing w:after="120"/>
      </w:pPr>
      <w:r>
        <w:rPr>
          <w:b w:val="0"/>
          <w:i w:val="0"/>
        </w:rPr>
        <w:t>You asked me to review the draft Series B Investors’ Rights Agreement (the “Draft IRA”) prepared by Ashworth Doyle LLP, counsel to Cascade Meridian Ventures (“CMV”). The review compares the draft against (1) the executed Series B Term Sheet dated January 15, 2025 (the “Term Sheet”), (2) the executed Series A Investors’ Rights Agreement dated March 22, 2023 (the “Series A IRA” or “Prior Agreement”), and (3) the Amended and Restated Certificate of Incorporation filed March 20, 2023 (the “Restated Certificate”). It also benchmarks the draft against NVCA model terms and checks its internal consistency.</w:t>
      </w:r>
    </w:p>
    <w:p>
      <w:pPr>
        <w:spacing w:after="120"/>
      </w:pPr>
      <w:r>
        <w:rPr>
          <w:b w:val="0"/>
          <w:i w:val="0"/>
        </w:rPr>
        <w:t>Bottom line: the Draft IRA departs from the Term Sheet in many places, and in many of them it moves value from the Company, the Founders and the existing Series A investors to CMV. Several provisions also directly contradict terms the Term Sheet expressly resolved. I identified 31 issues: 10 Critical, 13 Significant and 8 Minor. The Critical items should be raised in our initial comments letter as Term Sheet conformity points, not as negotiating positions. They are:</w:t>
      </w:r>
    </w:p>
    <w:p>
      <w:pPr>
        <w:pStyle w:val="ListBullet"/>
        <w:spacing w:after="60"/>
      </w:pPr>
      <w:r>
        <w:rPr>
          <w:b/>
        </w:rPr>
        <w:t xml:space="preserve">C-1 </w:t>
      </w:r>
      <w:r>
        <w:t>Founder non-competition and non-solicitation covenants (§7.4; §§8.1–8.2).</w:t>
      </w:r>
    </w:p>
    <w:p>
      <w:pPr>
        <w:pStyle w:val="ListBullet"/>
        <w:spacing w:after="60"/>
      </w:pPr>
      <w:r>
        <w:rPr>
          <w:b/>
        </w:rPr>
        <w:t xml:space="preserve">C-2 </w:t>
      </w:r>
      <w:r>
        <w:t>Differential 270-day Founder lock-up (§6.2 (§§2.11, 6.1)).</w:t>
      </w:r>
    </w:p>
    <w:p>
      <w:pPr>
        <w:pStyle w:val="ListBullet"/>
        <w:spacing w:after="60"/>
      </w:pPr>
      <w:r>
        <w:rPr>
          <w:b/>
        </w:rPr>
        <w:t xml:space="preserve">C-3 </w:t>
      </w:r>
      <w:r>
        <w:t>Drag-along triggered by Preferred alone (Common approval and Board approval omitted) (§§5.1–5.3).</w:t>
      </w:r>
    </w:p>
    <w:p>
      <w:pPr>
        <w:pStyle w:val="ListBullet"/>
        <w:spacing w:after="60"/>
      </w:pPr>
      <w:r>
        <w:rPr>
          <w:b/>
        </w:rPr>
        <w:t xml:space="preserve">C-4 </w:t>
      </w:r>
      <w:r>
        <w:t>Board composition provisions contradict the Term Sheet and the Certificate (§6.7).</w:t>
      </w:r>
    </w:p>
    <w:p>
      <w:pPr>
        <w:pStyle w:val="ListBullet"/>
        <w:spacing w:after="60"/>
      </w:pPr>
      <w:r>
        <w:rPr>
          <w:b/>
        </w:rPr>
        <w:t xml:space="preserve">C-5 </w:t>
      </w:r>
      <w:r>
        <w:t>Termination provision: wrong triggers, wrong threshold, survival of non-compete, and an internal defect that wipes out registration rights at the IPO (§§8.1–8.2).</w:t>
      </w:r>
    </w:p>
    <w:p>
      <w:pPr>
        <w:pStyle w:val="ListBullet"/>
        <w:spacing w:after="60"/>
      </w:pPr>
      <w:r>
        <w:rPr>
          <w:b/>
        </w:rPr>
        <w:t xml:space="preserve">C-6 </w:t>
      </w:r>
      <w:r>
        <w:t>Major Investor threshold doubled to 1,000,000 shares; second-tier information rights (§§1.12, 3.5).</w:t>
      </w:r>
    </w:p>
    <w:p>
      <w:pPr>
        <w:pStyle w:val="ListBullet"/>
        <w:spacing w:after="60"/>
      </w:pPr>
      <w:r>
        <w:rPr>
          <w:b/>
        </w:rPr>
        <w:t xml:space="preserve">C-7 </w:t>
      </w:r>
      <w:r>
        <w:t>New contractual pay-to-play strips ROFO and information rights (§4.5).</w:t>
      </w:r>
    </w:p>
    <w:p>
      <w:pPr>
        <w:pStyle w:val="ListBullet"/>
        <w:spacing w:after="60"/>
      </w:pPr>
      <w:r>
        <w:rPr>
          <w:b/>
        </w:rPr>
        <w:t xml:space="preserve">C-8 </w:t>
      </w:r>
      <w:r>
        <w:t>Unlimited audit rights at the Company’s expense (§3.3).</w:t>
      </w:r>
    </w:p>
    <w:p>
      <w:pPr>
        <w:pStyle w:val="ListBullet"/>
        <w:spacing w:after="60"/>
      </w:pPr>
      <w:r>
        <w:rPr>
          <w:b/>
        </w:rPr>
        <w:t xml:space="preserve">C-9 </w:t>
      </w:r>
      <w:r>
        <w:t>Litigation, regulatory and IP reporting obligation (privilege and trade-secret risk) (§3.1(f)).</w:t>
      </w:r>
    </w:p>
    <w:p>
      <w:pPr>
        <w:pStyle w:val="ListBullet"/>
        <w:spacing w:after="60"/>
      </w:pPr>
      <w:r>
        <w:rPr>
          <w:b/>
        </w:rPr>
        <w:t xml:space="preserve">C-10 </w:t>
      </w:r>
      <w:r>
        <w:t>CMV Board Observer: no confidentiality, privilege or conflict guardrails (§6.5).</w:t>
      </w:r>
    </w:p>
    <w:p>
      <w:pPr>
        <w:spacing w:after="120"/>
      </w:pPr>
      <w:r>
        <w:rPr>
          <w:b/>
          <w:i w:val="0"/>
        </w:rPr>
        <w:t>Answers to your five specific questions (detail in Part V):</w:t>
      </w:r>
    </w:p>
    <w:p>
      <w:pPr>
        <w:pStyle w:val="ListBullet"/>
        <w:spacing w:after="60"/>
      </w:pPr>
      <w:r>
        <w:rPr>
          <w:b/>
        </w:rPr>
        <w:t xml:space="preserve">(a) Founder covenants: </w:t>
      </w:r>
      <w:r>
        <w:t>The Draft IRA adds a 24-month worldwide non-compete and non-solicit (§7.4), a 270-day Founder-only lock-up (§6.2), a devotion-of-time covenant (§7.3) and key-person insurance (§7.2). None appears in the Term Sheet, which expressly excludes restrictive covenants (§5.3) and requires a uniform 180-day lock-up (§5.2). The non-compete would also be largely unenforceable under M.G.L. c. 149, §24L. All of these should be struck.</w:t>
      </w:r>
    </w:p>
    <w:p>
      <w:pPr>
        <w:pStyle w:val="ListBullet"/>
        <w:spacing w:after="60"/>
      </w:pPr>
      <w:r>
        <w:rPr>
          <w:b/>
        </w:rPr>
        <w:t xml:space="preserve">(b) Northstar / existing investors: </w:t>
      </w:r>
      <w:r>
        <w:t>The Major Investor threshold doubles to 1,000,000 shares (Pinnacle falls out). A new pay-to-play strips ROFO and information rights. A §4.3(g) carve-out could swallow the pro rata right. The drag-along can be triggered by the Preferred alone; CMV and Verdant together hold 4,517,647 of 9,000,000 Preferred shares and could drag Northstar and the Founders. The Term Sheet requires Common approval as well.</w:t>
      </w:r>
    </w:p>
    <w:p>
      <w:pPr>
        <w:pStyle w:val="ListBullet"/>
        <w:spacing w:after="60"/>
      </w:pPr>
      <w:r>
        <w:rPr>
          <w:b/>
        </w:rPr>
        <w:t xml:space="preserve">(c) Company flexibility: </w:t>
      </w:r>
      <w:r>
        <w:t>Company-paid unlimited audit rights (§3.3), litigation/regulatory/IP reporting (§3.1(f)), rolling cap table delivery, a lower $1M S-3 threshold with no deferral right, and a termination clause that drops the Deemed Liquidation Event trigger and requires two-thirds consent.</w:t>
      </w:r>
    </w:p>
    <w:p>
      <w:pPr>
        <w:pStyle w:val="ListBullet"/>
        <w:spacing w:after="60"/>
      </w:pPr>
      <w:r>
        <w:rPr>
          <w:b/>
        </w:rPr>
        <w:t xml:space="preserve">(d) QSBS: </w:t>
      </w:r>
      <w:r>
        <w:t>The Draft IRA (like the Series A IRA) contains no QSBS covenant. We should request one (proposed language in Issue S-12) and confirm the $50M gross-assets test for the Series B issuance.</w:t>
      </w:r>
    </w:p>
    <w:p>
      <w:pPr>
        <w:pStyle w:val="ListBullet"/>
        <w:spacing w:after="60"/>
      </w:pPr>
      <w:r>
        <w:rPr>
          <w:b/>
        </w:rPr>
        <w:t xml:space="preserve">(e) Board observer: </w:t>
      </w:r>
      <w:r>
        <w:t>Section 6.5 has no confidentiality, privilege, conflict or exclusion guardrails at all, even though Term Sheet §4.2 contemplated them. Proposed language is in Issue C-10.</w:t>
      </w:r>
    </w:p>
    <w:p>
      <w:pPr>
        <w:spacing w:after="120"/>
      </w:pPr>
      <w:r>
        <w:rPr>
          <w:b w:val="0"/>
          <w:i w:val="0"/>
        </w:rPr>
        <w:t>Process point: under Series A IRA §7.6, the amendment and restatement requires the consent of a majority of the Registrable Securities, which Northstar (60% of the Series A) alone controls. Separately, the Series A ROFO notice (20 days) or a waiver must be handled now for a March 12 closing. Northstar’s concerns therefore line up closely with the Company’s and give us leverage against several of CMV’s overreaches (see Part VII).</w:t>
      </w:r>
    </w:p>
    <w:p>
      <w:pPr>
        <w:pStyle w:val="Heading1"/>
      </w:pPr>
      <w:r>
        <w:t>II. Background and Key Deal Figures</w:t>
      </w:r>
    </w:p>
    <w:p>
      <w:pPr>
        <w:spacing w:after="120"/>
      </w:pPr>
      <w:r>
        <w:rPr>
          <w:b w:val="0"/>
          <w:i w:val="0"/>
        </w:rPr>
        <w:t>Luminos Biosciences, Inc. (Delaware; Cambridge, MA; about 47 employees; $1.8M monthly burn) is raising up to $30,000,000 of Series B Preferred Stock at $8.50 per share ($85M pre-money). CMV is investing $18,000,000 (2,117,647 shares) and Pinnacle Health Innovation Fund (“Pinnacle”) $7,500,000 (882,353 shares) at an initial closing of $25,500,000, with up to $4,500,000 more in subsequent closings within 60 days. The existing Series A holders are Northstar Seed Partners (“Northstar”; 3,600,000 shares) and Verdant Biotech Angels, LLC (“Verdant”; 2,400,000 shares). The Founders, Dr. Priya Ramanathan and Dr. Marcus Heller, hold 2,400,000 and 1,800,000 shares of Common Stock. Target signing is March 5, 2025, and target closing is March 12, 2025.</w:t>
      </w:r>
    </w:p>
    <w:p>
      <w:pPr>
        <w:spacing w:after="120"/>
      </w:pPr>
      <w:r>
        <w:rPr>
          <w:b w:val="0"/>
          <w:i/>
        </w:rPr>
        <w:t>The following figures (assuming 1:1 conversion, the initial closing only, and excluding the option pool) drive several of the issues below:</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2016"/>
            <w:shd w:val="clear" w:color="auto" w:fill="1F3A5F"/>
          </w:tcPr>
          <w:p>
            <w:r/>
            <w:r>
              <w:rPr>
                <w:b/>
                <w:color w:val="FFFFFF"/>
                <w:sz w:val="18"/>
              </w:rPr>
              <w:t>Holder</w:t>
            </w:r>
          </w:p>
        </w:tc>
        <w:tc>
          <w:tcPr>
            <w:tcW w:type="dxa" w:w="1440"/>
            <w:shd w:val="clear" w:color="auto" w:fill="1F3A5F"/>
          </w:tcPr>
          <w:p>
            <w:r/>
            <w:r>
              <w:rPr>
                <w:b/>
                <w:color w:val="FFFFFF"/>
                <w:sz w:val="18"/>
              </w:rPr>
              <w:t>Shares (as-converted)</w:t>
            </w:r>
          </w:p>
        </w:tc>
        <w:tc>
          <w:tcPr>
            <w:tcW w:type="dxa" w:w="1296"/>
            <w:shd w:val="clear" w:color="auto" w:fill="1F3A5F"/>
          </w:tcPr>
          <w:p>
            <w:r/>
            <w:r>
              <w:rPr>
                <w:b/>
                <w:color w:val="FFFFFF"/>
                <w:sz w:val="18"/>
              </w:rPr>
              <w:t>% of Preferred</w:t>
            </w:r>
          </w:p>
        </w:tc>
        <w:tc>
          <w:tcPr>
            <w:tcW w:type="dxa" w:w="1584"/>
            <w:shd w:val="clear" w:color="auto" w:fill="1F3A5F"/>
          </w:tcPr>
          <w:p>
            <w:r/>
            <w:r>
              <w:rPr>
                <w:b/>
                <w:color w:val="FFFFFF"/>
                <w:sz w:val="18"/>
              </w:rPr>
              <w:t>% of Registrable Securities*</w:t>
            </w:r>
          </w:p>
        </w:tc>
        <w:tc>
          <w:tcPr>
            <w:tcW w:type="dxa" w:w="1440"/>
            <w:shd w:val="clear" w:color="auto" w:fill="1F3A5F"/>
          </w:tcPr>
          <w:p>
            <w:r/>
            <w:r>
              <w:rPr>
                <w:b/>
                <w:color w:val="FFFFFF"/>
                <w:sz w:val="18"/>
              </w:rPr>
              <w:t>Major Investor at 500k (TS)</w:t>
            </w:r>
          </w:p>
        </w:tc>
        <w:tc>
          <w:tcPr>
            <w:tcW w:type="dxa" w:w="1440"/>
            <w:shd w:val="clear" w:color="auto" w:fill="1F3A5F"/>
          </w:tcPr>
          <w:p>
            <w:r/>
            <w:r>
              <w:rPr>
                <w:b/>
                <w:color w:val="FFFFFF"/>
                <w:sz w:val="18"/>
              </w:rPr>
              <w:t>Major Investor at 1M (Draft)</w:t>
            </w:r>
          </w:p>
        </w:tc>
      </w:tr>
      <w:tr>
        <w:tc>
          <w:tcPr>
            <w:tcW w:type="dxa" w:w="2016"/>
          </w:tcPr>
          <w:p>
            <w:r/>
            <w:r>
              <w:rPr>
                <w:b/>
                <w:sz w:val="18"/>
              </w:rPr>
              <w:t>CMV (Series B)</w:t>
            </w:r>
          </w:p>
        </w:tc>
        <w:tc>
          <w:tcPr>
            <w:tcW w:type="dxa" w:w="1440"/>
          </w:tcPr>
          <w:p>
            <w:r/>
            <w:r>
              <w:rPr>
                <w:sz w:val="18"/>
              </w:rPr>
              <w:t>2,117,647</w:t>
            </w:r>
          </w:p>
        </w:tc>
        <w:tc>
          <w:tcPr>
            <w:tcW w:type="dxa" w:w="1296"/>
          </w:tcPr>
          <w:p>
            <w:r/>
            <w:r>
              <w:rPr>
                <w:sz w:val="18"/>
              </w:rPr>
              <w:t>23.5%</w:t>
            </w:r>
          </w:p>
        </w:tc>
        <w:tc>
          <w:tcPr>
            <w:tcW w:type="dxa" w:w="1584"/>
          </w:tcPr>
          <w:p>
            <w:r/>
            <w:r>
              <w:rPr>
                <w:sz w:val="18"/>
              </w:rPr>
              <w:t>16.0%</w:t>
            </w:r>
          </w:p>
        </w:tc>
        <w:tc>
          <w:tcPr>
            <w:tcW w:type="dxa" w:w="1440"/>
          </w:tcPr>
          <w:p>
            <w:r/>
            <w:r>
              <w:rPr>
                <w:sz w:val="18"/>
              </w:rPr>
              <w:t>Yes</w:t>
            </w:r>
          </w:p>
        </w:tc>
        <w:tc>
          <w:tcPr>
            <w:tcW w:type="dxa" w:w="1440"/>
          </w:tcPr>
          <w:p>
            <w:r/>
            <w:r>
              <w:rPr>
                <w:sz w:val="18"/>
              </w:rPr>
              <w:t>Yes</w:t>
            </w:r>
          </w:p>
        </w:tc>
      </w:tr>
      <w:tr>
        <w:tc>
          <w:tcPr>
            <w:tcW w:type="dxa" w:w="2016"/>
          </w:tcPr>
          <w:p>
            <w:r/>
            <w:r>
              <w:rPr>
                <w:b/>
                <w:sz w:val="18"/>
              </w:rPr>
              <w:t>Pinnacle (Series B)</w:t>
            </w:r>
          </w:p>
        </w:tc>
        <w:tc>
          <w:tcPr>
            <w:tcW w:type="dxa" w:w="1440"/>
          </w:tcPr>
          <w:p>
            <w:r/>
            <w:r>
              <w:rPr>
                <w:sz w:val="18"/>
              </w:rPr>
              <w:t>882,353</w:t>
            </w:r>
          </w:p>
        </w:tc>
        <w:tc>
          <w:tcPr>
            <w:tcW w:type="dxa" w:w="1296"/>
          </w:tcPr>
          <w:p>
            <w:r/>
            <w:r>
              <w:rPr>
                <w:sz w:val="18"/>
              </w:rPr>
              <w:t>9.8%</w:t>
            </w:r>
          </w:p>
        </w:tc>
        <w:tc>
          <w:tcPr>
            <w:tcW w:type="dxa" w:w="1584"/>
          </w:tcPr>
          <w:p>
            <w:r/>
            <w:r>
              <w:rPr>
                <w:sz w:val="18"/>
              </w:rPr>
              <w:t>6.7%</w:t>
            </w:r>
          </w:p>
        </w:tc>
        <w:tc>
          <w:tcPr>
            <w:tcW w:type="dxa" w:w="1440"/>
          </w:tcPr>
          <w:p>
            <w:r/>
            <w:r>
              <w:rPr>
                <w:sz w:val="18"/>
              </w:rPr>
              <w:t>Yes</w:t>
            </w:r>
          </w:p>
        </w:tc>
        <w:tc>
          <w:tcPr>
            <w:tcW w:type="dxa" w:w="1440"/>
          </w:tcPr>
          <w:p>
            <w:r/>
            <w:r>
              <w:rPr>
                <w:sz w:val="18"/>
              </w:rPr>
              <w:t>No</w:t>
            </w:r>
          </w:p>
        </w:tc>
      </w:tr>
      <w:tr>
        <w:tc>
          <w:tcPr>
            <w:tcW w:type="dxa" w:w="2016"/>
          </w:tcPr>
          <w:p>
            <w:r/>
            <w:r>
              <w:rPr>
                <w:b/>
                <w:sz w:val="18"/>
              </w:rPr>
              <w:t>Northstar (Series A)</w:t>
            </w:r>
          </w:p>
        </w:tc>
        <w:tc>
          <w:tcPr>
            <w:tcW w:type="dxa" w:w="1440"/>
          </w:tcPr>
          <w:p>
            <w:r/>
            <w:r>
              <w:rPr>
                <w:sz w:val="18"/>
              </w:rPr>
              <w:t>3,600,000</w:t>
            </w:r>
          </w:p>
        </w:tc>
        <w:tc>
          <w:tcPr>
            <w:tcW w:type="dxa" w:w="1296"/>
          </w:tcPr>
          <w:p>
            <w:r/>
            <w:r>
              <w:rPr>
                <w:sz w:val="18"/>
              </w:rPr>
              <w:t>40.0%</w:t>
            </w:r>
          </w:p>
        </w:tc>
        <w:tc>
          <w:tcPr>
            <w:tcW w:type="dxa" w:w="1584"/>
          </w:tcPr>
          <w:p>
            <w:r/>
            <w:r>
              <w:rPr>
                <w:sz w:val="18"/>
              </w:rPr>
              <w:t>27.3%</w:t>
            </w:r>
          </w:p>
        </w:tc>
        <w:tc>
          <w:tcPr>
            <w:tcW w:type="dxa" w:w="1440"/>
          </w:tcPr>
          <w:p>
            <w:r/>
            <w:r>
              <w:rPr>
                <w:sz w:val="18"/>
              </w:rPr>
              <w:t>Yes</w:t>
            </w:r>
          </w:p>
        </w:tc>
        <w:tc>
          <w:tcPr>
            <w:tcW w:type="dxa" w:w="1440"/>
          </w:tcPr>
          <w:p>
            <w:r/>
            <w:r>
              <w:rPr>
                <w:sz w:val="18"/>
              </w:rPr>
              <w:t>Yes</w:t>
            </w:r>
          </w:p>
        </w:tc>
      </w:tr>
      <w:tr>
        <w:tc>
          <w:tcPr>
            <w:tcW w:type="dxa" w:w="2016"/>
          </w:tcPr>
          <w:p>
            <w:r/>
            <w:r>
              <w:rPr>
                <w:b/>
                <w:sz w:val="18"/>
              </w:rPr>
              <w:t>Verdant (Series A)</w:t>
            </w:r>
          </w:p>
        </w:tc>
        <w:tc>
          <w:tcPr>
            <w:tcW w:type="dxa" w:w="1440"/>
          </w:tcPr>
          <w:p>
            <w:r/>
            <w:r>
              <w:rPr>
                <w:sz w:val="18"/>
              </w:rPr>
              <w:t>2,400,000</w:t>
            </w:r>
          </w:p>
        </w:tc>
        <w:tc>
          <w:tcPr>
            <w:tcW w:type="dxa" w:w="1296"/>
          </w:tcPr>
          <w:p>
            <w:r/>
            <w:r>
              <w:rPr>
                <w:sz w:val="18"/>
              </w:rPr>
              <w:t>26.7%</w:t>
            </w:r>
          </w:p>
        </w:tc>
        <w:tc>
          <w:tcPr>
            <w:tcW w:type="dxa" w:w="1584"/>
          </w:tcPr>
          <w:p>
            <w:r/>
            <w:r>
              <w:rPr>
                <w:sz w:val="18"/>
              </w:rPr>
              <w:t>18.2%</w:t>
            </w:r>
          </w:p>
        </w:tc>
        <w:tc>
          <w:tcPr>
            <w:tcW w:type="dxa" w:w="1440"/>
          </w:tcPr>
          <w:p>
            <w:r/>
            <w:r>
              <w:rPr>
                <w:sz w:val="18"/>
              </w:rPr>
              <w:t>Yes</w:t>
            </w:r>
          </w:p>
        </w:tc>
        <w:tc>
          <w:tcPr>
            <w:tcW w:type="dxa" w:w="1440"/>
          </w:tcPr>
          <w:p>
            <w:r/>
            <w:r>
              <w:rPr>
                <w:sz w:val="18"/>
              </w:rPr>
              <w:t>Yes</w:t>
            </w:r>
          </w:p>
        </w:tc>
      </w:tr>
      <w:tr>
        <w:tc>
          <w:tcPr>
            <w:tcW w:type="dxa" w:w="2016"/>
          </w:tcPr>
          <w:p>
            <w:r/>
            <w:r>
              <w:rPr>
                <w:b/>
                <w:sz w:val="18"/>
              </w:rPr>
              <w:t>Founders (Common)</w:t>
            </w:r>
          </w:p>
        </w:tc>
        <w:tc>
          <w:tcPr>
            <w:tcW w:type="dxa" w:w="1440"/>
          </w:tcPr>
          <w:p>
            <w:r/>
            <w:r>
              <w:rPr>
                <w:sz w:val="18"/>
              </w:rPr>
              <w:t>4,200,000</w:t>
            </w:r>
          </w:p>
        </w:tc>
        <w:tc>
          <w:tcPr>
            <w:tcW w:type="dxa" w:w="1296"/>
          </w:tcPr>
          <w:p>
            <w:r/>
            <w:r>
              <w:rPr>
                <w:sz w:val="18"/>
              </w:rPr>
              <w:t>—</w:t>
            </w:r>
          </w:p>
        </w:tc>
        <w:tc>
          <w:tcPr>
            <w:tcW w:type="dxa" w:w="1584"/>
          </w:tcPr>
          <w:p>
            <w:r/>
            <w:r>
              <w:rPr>
                <w:sz w:val="18"/>
              </w:rPr>
              <w:t>31.8%</w:t>
            </w:r>
          </w:p>
        </w:tc>
        <w:tc>
          <w:tcPr>
            <w:tcW w:type="dxa" w:w="1440"/>
          </w:tcPr>
          <w:p>
            <w:r/>
            <w:r>
              <w:rPr>
                <w:sz w:val="18"/>
              </w:rPr>
              <w:t>n/a</w:t>
            </w:r>
          </w:p>
        </w:tc>
        <w:tc>
          <w:tcPr>
            <w:tcW w:type="dxa" w:w="1440"/>
          </w:tcPr>
          <w:p>
            <w:r/>
            <w:r>
              <w:rPr>
                <w:sz w:val="18"/>
              </w:rPr>
              <w:t>n/a</w:t>
            </w:r>
          </w:p>
        </w:tc>
      </w:tr>
      <w:tr>
        <w:tc>
          <w:tcPr>
            <w:tcW w:type="dxa" w:w="2016"/>
          </w:tcPr>
          <w:p>
            <w:r/>
            <w:r>
              <w:rPr>
                <w:b/>
                <w:sz w:val="18"/>
              </w:rPr>
              <w:t>Total</w:t>
            </w:r>
          </w:p>
        </w:tc>
        <w:tc>
          <w:tcPr>
            <w:tcW w:type="dxa" w:w="1440"/>
          </w:tcPr>
          <w:p>
            <w:r/>
            <w:r>
              <w:rPr>
                <w:sz w:val="18"/>
              </w:rPr>
              <w:t>13,200,000</w:t>
            </w:r>
          </w:p>
        </w:tc>
        <w:tc>
          <w:tcPr>
            <w:tcW w:type="dxa" w:w="1296"/>
          </w:tcPr>
          <w:p>
            <w:r/>
            <w:r>
              <w:rPr>
                <w:sz w:val="18"/>
              </w:rPr>
              <w:t>9,000,000 Preferred</w:t>
            </w:r>
          </w:p>
        </w:tc>
        <w:tc>
          <w:tcPr>
            <w:tcW w:type="dxa" w:w="1584"/>
          </w:tcPr>
          <w:p>
            <w:r/>
            <w:r>
              <w:rPr>
                <w:sz w:val="18"/>
              </w:rPr>
              <w:t>100%</w:t>
            </w:r>
          </w:p>
        </w:tc>
        <w:tc>
          <w:tcPr>
            <w:tcW w:type="dxa" w:w="1440"/>
          </w:tcPr>
          <w:p>
            <w:r/>
            <w:r>
              <w:rPr>
                <w:sz w:val="18"/>
              </w:rPr>
            </w:r>
          </w:p>
        </w:tc>
        <w:tc>
          <w:tcPr>
            <w:tcW w:type="dxa" w:w="1440"/>
          </w:tcPr>
          <w:p>
            <w:r/>
            <w:r>
              <w:rPr>
                <w:sz w:val="18"/>
              </w:rPr>
            </w:r>
          </w:p>
        </w:tc>
      </w:tr>
    </w:tbl>
    <w:p>
      <w:pPr>
        <w:spacing w:after="40"/>
      </w:pPr>
    </w:p>
    <w:p>
      <w:pPr>
        <w:spacing w:after="120"/>
      </w:pPr>
      <w:r>
        <w:rPr>
          <w:b w:val="0"/>
          <w:i w:val="0"/>
          <w:sz w:val="18"/>
        </w:rPr>
        <w:t>* The Draft IRA (§1.15(c)) includes the Key Holders’ Common in Registrable Securities, consistent with Term Sheet §3.1. Thresholds: majority of Preferred is more than 4,500,000; 30% / 40% / majority / two-thirds of Registrable Securities is about 3.96M / 5.28M / 6.6M / 8.8M. A maximum subsequent-closing investor ($4.5M) would hold about 529,411 shares. See Part VII regarding a cap table discrepancy in Term Sheet Exhibit A.</w:t>
      </w:r>
    </w:p>
    <w:p>
      <w:pPr>
        <w:pStyle w:val="Heading1"/>
      </w:pPr>
      <w:r>
        <w:t>III. Prioritized Summary of Issues</w:t>
      </w:r>
    </w:p>
    <w:p>
      <w:pPr>
        <w:spacing w:after="120"/>
      </w:pPr>
      <w:r>
        <w:rPr>
          <w:b w:val="0"/>
          <w:i w:val="0"/>
          <w:sz w:val="18"/>
        </w:rPr>
        <w:t>Priority key: Critical means a direct Term Sheet conflict, or a material legal, economic or control risk to the Company or the Founders, to be raised in the first turn. Significant means a material deviation from the Term Sheet, the Series A IRA or market terms that should be fixed but may be traded. Minor means drafting, conforming or low-impact items for the markup.</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648"/>
            <w:shd w:val="clear" w:color="auto" w:fill="1F3A5F"/>
          </w:tcPr>
          <w:p>
            <w:r/>
            <w:r>
              <w:rPr>
                <w:b/>
                <w:color w:val="FFFFFF"/>
                <w:sz w:val="16"/>
              </w:rPr>
              <w:t>No.</w:t>
            </w:r>
          </w:p>
        </w:tc>
        <w:tc>
          <w:tcPr>
            <w:tcW w:type="dxa" w:w="1080"/>
            <w:shd w:val="clear" w:color="auto" w:fill="1F3A5F"/>
          </w:tcPr>
          <w:p>
            <w:r/>
            <w:r>
              <w:rPr>
                <w:b/>
                <w:color w:val="FFFFFF"/>
                <w:sz w:val="16"/>
              </w:rPr>
              <w:t>Priority</w:t>
            </w:r>
          </w:p>
        </w:tc>
        <w:tc>
          <w:tcPr>
            <w:tcW w:type="dxa" w:w="1152"/>
            <w:shd w:val="clear" w:color="auto" w:fill="1F3A5F"/>
          </w:tcPr>
          <w:p>
            <w:r/>
            <w:r>
              <w:rPr>
                <w:b/>
                <w:color w:val="FFFFFF"/>
                <w:sz w:val="16"/>
              </w:rPr>
              <w:t>Draft IRA §</w:t>
            </w:r>
          </w:p>
        </w:tc>
        <w:tc>
          <w:tcPr>
            <w:tcW w:type="dxa" w:w="2304"/>
            <w:shd w:val="clear" w:color="auto" w:fill="1F3A5F"/>
          </w:tcPr>
          <w:p>
            <w:r/>
            <w:r>
              <w:rPr>
                <w:b/>
                <w:color w:val="FFFFFF"/>
                <w:sz w:val="16"/>
              </w:rPr>
              <w:t>Issue</w:t>
            </w:r>
          </w:p>
        </w:tc>
        <w:tc>
          <w:tcPr>
            <w:tcW w:type="dxa" w:w="1728"/>
            <w:shd w:val="clear" w:color="auto" w:fill="1F3A5F"/>
          </w:tcPr>
          <w:p>
            <w:r/>
            <w:r>
              <w:rPr>
                <w:b/>
                <w:color w:val="FFFFFF"/>
                <w:sz w:val="16"/>
              </w:rPr>
              <w:t>Benchmark</w:t>
            </w:r>
          </w:p>
        </w:tc>
        <w:tc>
          <w:tcPr>
            <w:tcW w:type="dxa" w:w="2448"/>
            <w:shd w:val="clear" w:color="auto" w:fill="1F3A5F"/>
          </w:tcPr>
          <w:p>
            <w:r/>
            <w:r>
              <w:rPr>
                <w:b/>
                <w:color w:val="FFFFFF"/>
                <w:sz w:val="16"/>
              </w:rPr>
              <w:t>Recommended Position (summary)</w:t>
            </w:r>
          </w:p>
        </w:tc>
      </w:tr>
      <w:tr>
        <w:tc>
          <w:tcPr>
            <w:tcW w:type="dxa" w:w="648"/>
          </w:tcPr>
          <w:p>
            <w:r/>
            <w:r>
              <w:rPr>
                <w:b/>
                <w:sz w:val="16"/>
              </w:rPr>
              <w:t>C-1</w:t>
            </w:r>
          </w:p>
        </w:tc>
        <w:tc>
          <w:tcPr>
            <w:tcW w:type="dxa" w:w="1080"/>
            <w:shd w:val="clear" w:color="auto" w:fill="F4CCCC"/>
          </w:tcPr>
          <w:p>
            <w:r/>
            <w:r>
              <w:rPr>
                <w:b/>
                <w:sz w:val="16"/>
              </w:rPr>
              <w:t>Critical</w:t>
            </w:r>
          </w:p>
        </w:tc>
        <w:tc>
          <w:tcPr>
            <w:tcW w:type="dxa" w:w="1152"/>
          </w:tcPr>
          <w:p>
            <w:r/>
            <w:r>
              <w:rPr>
                <w:sz w:val="16"/>
              </w:rPr>
              <w:t>§7.4; §§8.1–8.2</w:t>
            </w:r>
          </w:p>
        </w:tc>
        <w:tc>
          <w:tcPr>
            <w:tcW w:type="dxa" w:w="2304"/>
          </w:tcPr>
          <w:p>
            <w:r/>
            <w:r>
              <w:rPr>
                <w:sz w:val="16"/>
              </w:rPr>
              <w:t>Founder non-competition and non-solicitation covenants</w:t>
            </w:r>
          </w:p>
        </w:tc>
        <w:tc>
          <w:tcPr>
            <w:tcW w:type="dxa" w:w="1728"/>
          </w:tcPr>
          <w:p>
            <w:r/>
            <w:r>
              <w:rPr>
                <w:sz w:val="16"/>
              </w:rPr>
              <w:t>Term Sheet §5.3; Series A IRA (Key Holder signature page); Massachusetts law; market</w:t>
            </w:r>
          </w:p>
        </w:tc>
        <w:tc>
          <w:tcPr>
            <w:tcW w:type="dxa" w:w="2448"/>
          </w:tcPr>
          <w:p>
            <w:r/>
            <w:r>
              <w:rPr>
                <w:sz w:val="16"/>
              </w:rPr>
              <w:t>Delete §7.4 and its survival. Restore the Series A “no restrictive covenants” Key Holder acknowledgment. Non-negotiable under Term Sheet §5.3; unenforceable under M.G.L. c. 149, §24L in any event.</w:t>
            </w:r>
          </w:p>
        </w:tc>
      </w:tr>
      <w:tr>
        <w:tc>
          <w:tcPr>
            <w:tcW w:type="dxa" w:w="648"/>
          </w:tcPr>
          <w:p>
            <w:r/>
            <w:r>
              <w:rPr>
                <w:b/>
                <w:sz w:val="16"/>
              </w:rPr>
              <w:t>C-2</w:t>
            </w:r>
          </w:p>
        </w:tc>
        <w:tc>
          <w:tcPr>
            <w:tcW w:type="dxa" w:w="1080"/>
            <w:shd w:val="clear" w:color="auto" w:fill="F4CCCC"/>
          </w:tcPr>
          <w:p>
            <w:r/>
            <w:r>
              <w:rPr>
                <w:b/>
                <w:sz w:val="16"/>
              </w:rPr>
              <w:t>Critical</w:t>
            </w:r>
          </w:p>
        </w:tc>
        <w:tc>
          <w:tcPr>
            <w:tcW w:type="dxa" w:w="1152"/>
          </w:tcPr>
          <w:p>
            <w:r/>
            <w:r>
              <w:rPr>
                <w:sz w:val="16"/>
              </w:rPr>
              <w:t>§6.2 (§§2.11, 6.1)</w:t>
            </w:r>
          </w:p>
        </w:tc>
        <w:tc>
          <w:tcPr>
            <w:tcW w:type="dxa" w:w="2304"/>
          </w:tcPr>
          <w:p>
            <w:r/>
            <w:r>
              <w:rPr>
                <w:sz w:val="16"/>
              </w:rPr>
              <w:t>Differential 270-day Founder lock-up</w:t>
            </w:r>
          </w:p>
        </w:tc>
        <w:tc>
          <w:tcPr>
            <w:tcW w:type="dxa" w:w="1728"/>
          </w:tcPr>
          <w:p>
            <w:r/>
            <w:r>
              <w:rPr>
                <w:sz w:val="16"/>
              </w:rPr>
              <w:t>Term Sheet §5.2; Series A IRA §6.1; market (NVCA)</w:t>
            </w:r>
          </w:p>
        </w:tc>
        <w:tc>
          <w:tcPr>
            <w:tcW w:type="dxa" w:w="2448"/>
          </w:tcPr>
          <w:p>
            <w:r/>
            <w:r>
              <w:rPr>
                <w:sz w:val="16"/>
              </w:rPr>
              <w:t>Delete §§6.1–6.2. A single uniform 180-day stand-off from the effective date (Term Sheet §5.2).</w:t>
            </w:r>
          </w:p>
        </w:tc>
      </w:tr>
      <w:tr>
        <w:tc>
          <w:tcPr>
            <w:tcW w:type="dxa" w:w="648"/>
          </w:tcPr>
          <w:p>
            <w:r/>
            <w:r>
              <w:rPr>
                <w:b/>
                <w:sz w:val="16"/>
              </w:rPr>
              <w:t>C-3</w:t>
            </w:r>
          </w:p>
        </w:tc>
        <w:tc>
          <w:tcPr>
            <w:tcW w:type="dxa" w:w="1080"/>
            <w:shd w:val="clear" w:color="auto" w:fill="F4CCCC"/>
          </w:tcPr>
          <w:p>
            <w:r/>
            <w:r>
              <w:rPr>
                <w:b/>
                <w:sz w:val="16"/>
              </w:rPr>
              <w:t>Critical</w:t>
            </w:r>
          </w:p>
        </w:tc>
        <w:tc>
          <w:tcPr>
            <w:tcW w:type="dxa" w:w="1152"/>
          </w:tcPr>
          <w:p>
            <w:r/>
            <w:r>
              <w:rPr>
                <w:sz w:val="16"/>
              </w:rPr>
              <w:t>§§5.1–5.3</w:t>
            </w:r>
          </w:p>
        </w:tc>
        <w:tc>
          <w:tcPr>
            <w:tcW w:type="dxa" w:w="2304"/>
          </w:tcPr>
          <w:p>
            <w:r/>
            <w:r>
              <w:rPr>
                <w:sz w:val="16"/>
              </w:rPr>
              <w:t>Drag-along triggered by Preferred alone (Common approval and Board approval omitted)</w:t>
            </w:r>
          </w:p>
        </w:tc>
        <w:tc>
          <w:tcPr>
            <w:tcW w:type="dxa" w:w="1728"/>
          </w:tcPr>
          <w:p>
            <w:r/>
            <w:r>
              <w:rPr>
                <w:sz w:val="16"/>
              </w:rPr>
              <w:t>Term Sheet §5.1; Restated Certificate §§4.3.4(c), 4.3.8(v); Series A IRA (no drag-along); market (NVCA Voting Agreement §3)</w:t>
            </w:r>
          </w:p>
        </w:tc>
        <w:tc>
          <w:tcPr>
            <w:tcW w:type="dxa" w:w="2448"/>
          </w:tcPr>
          <w:p>
            <w:r/>
            <w:r>
              <w:rPr>
                <w:sz w:val="16"/>
              </w:rPr>
              <w:t>Require Board approval, a majority of the Preferred and a majority of the Common (Term Sheet Requisite Approval). Move to the Voting Agreement. Keep the §5.2 protections and add allocation per the charter.</w:t>
            </w:r>
          </w:p>
        </w:tc>
      </w:tr>
      <w:tr>
        <w:tc>
          <w:tcPr>
            <w:tcW w:type="dxa" w:w="648"/>
          </w:tcPr>
          <w:p>
            <w:r/>
            <w:r>
              <w:rPr>
                <w:b/>
                <w:sz w:val="16"/>
              </w:rPr>
              <w:t>C-4</w:t>
            </w:r>
          </w:p>
        </w:tc>
        <w:tc>
          <w:tcPr>
            <w:tcW w:type="dxa" w:w="1080"/>
            <w:shd w:val="clear" w:color="auto" w:fill="F4CCCC"/>
          </w:tcPr>
          <w:p>
            <w:r/>
            <w:r>
              <w:rPr>
                <w:b/>
                <w:sz w:val="16"/>
              </w:rPr>
              <w:t>Critical</w:t>
            </w:r>
          </w:p>
        </w:tc>
        <w:tc>
          <w:tcPr>
            <w:tcW w:type="dxa" w:w="1152"/>
          </w:tcPr>
          <w:p>
            <w:r/>
            <w:r>
              <w:rPr>
                <w:sz w:val="16"/>
              </w:rPr>
              <w:t>§6.7</w:t>
            </w:r>
          </w:p>
        </w:tc>
        <w:tc>
          <w:tcPr>
            <w:tcW w:type="dxa" w:w="2304"/>
          </w:tcPr>
          <w:p>
            <w:r/>
            <w:r>
              <w:rPr>
                <w:sz w:val="16"/>
              </w:rPr>
              <w:t>Board composition provisions contradict the Term Sheet and the Certificate</w:t>
            </w:r>
          </w:p>
        </w:tc>
        <w:tc>
          <w:tcPr>
            <w:tcW w:type="dxa" w:w="1728"/>
          </w:tcPr>
          <w:p>
            <w:r/>
            <w:r>
              <w:rPr>
                <w:sz w:val="16"/>
              </w:rPr>
              <w:t>Term Sheet §4.1; Restated Certificate §§4.3.6(b), 4.3.8(vii), 5.1; Series A IRA §5.4</w:t>
            </w:r>
          </w:p>
        </w:tc>
        <w:tc>
          <w:tcPr>
            <w:tcW w:type="dxa" w:w="2448"/>
          </w:tcPr>
          <w:p>
            <w:r/>
            <w:r>
              <w:rPr>
                <w:sz w:val="16"/>
              </w:rPr>
              <w:t>Delete the composition provisions. Implement Term Sheet §4.1 (2 Common, 1 Series A, 1 CMV, 1 independent approved by Common and Preferred) in the Voting Agreement and charter.</w:t>
            </w:r>
          </w:p>
        </w:tc>
      </w:tr>
      <w:tr>
        <w:tc>
          <w:tcPr>
            <w:tcW w:type="dxa" w:w="648"/>
          </w:tcPr>
          <w:p>
            <w:r/>
            <w:r>
              <w:rPr>
                <w:b/>
                <w:sz w:val="16"/>
              </w:rPr>
              <w:t>C-5</w:t>
            </w:r>
          </w:p>
        </w:tc>
        <w:tc>
          <w:tcPr>
            <w:tcW w:type="dxa" w:w="1080"/>
            <w:shd w:val="clear" w:color="auto" w:fill="F4CCCC"/>
          </w:tcPr>
          <w:p>
            <w:r/>
            <w:r>
              <w:rPr>
                <w:b/>
                <w:sz w:val="16"/>
              </w:rPr>
              <w:t>Critical</w:t>
            </w:r>
          </w:p>
        </w:tc>
        <w:tc>
          <w:tcPr>
            <w:tcW w:type="dxa" w:w="1152"/>
          </w:tcPr>
          <w:p>
            <w:r/>
            <w:r>
              <w:rPr>
                <w:sz w:val="16"/>
              </w:rPr>
              <w:t>§§8.1–8.2</w:t>
            </w:r>
          </w:p>
        </w:tc>
        <w:tc>
          <w:tcPr>
            <w:tcW w:type="dxa" w:w="2304"/>
          </w:tcPr>
          <w:p>
            <w:r/>
            <w:r>
              <w:rPr>
                <w:sz w:val="16"/>
              </w:rPr>
              <w:t>Termination provision: wrong triggers, wrong threshold, survival of non-compete, and an internal defect that wipes out registration rights at the IPO</w:t>
            </w:r>
          </w:p>
        </w:tc>
        <w:tc>
          <w:tcPr>
            <w:tcW w:type="dxa" w:w="1728"/>
          </w:tcPr>
          <w:p>
            <w:r/>
            <w:r>
              <w:rPr>
                <w:sz w:val="16"/>
              </w:rPr>
              <w:t>Term Sheet §5.4; Series A IRA §§2.10, 7.11; internal consistency; market (NVCA §§2.13, 6.6)</w:t>
            </w:r>
          </w:p>
        </w:tc>
        <w:tc>
          <w:tcPr>
            <w:tcW w:type="dxa" w:w="2448"/>
          </w:tcPr>
          <w:p>
            <w:r/>
            <w:r>
              <w:rPr>
                <w:sz w:val="16"/>
              </w:rPr>
              <w:t>Add the DLE trigger and a majority-consent threshold. Delete §7.4 survival. Keep registration rights after the IPO with a new §2.13 sunset. Fix §8.2.</w:t>
            </w:r>
          </w:p>
        </w:tc>
      </w:tr>
      <w:tr>
        <w:tc>
          <w:tcPr>
            <w:tcW w:type="dxa" w:w="648"/>
          </w:tcPr>
          <w:p>
            <w:r/>
            <w:r>
              <w:rPr>
                <w:b/>
                <w:sz w:val="16"/>
              </w:rPr>
              <w:t>C-6</w:t>
            </w:r>
          </w:p>
        </w:tc>
        <w:tc>
          <w:tcPr>
            <w:tcW w:type="dxa" w:w="1080"/>
            <w:shd w:val="clear" w:color="auto" w:fill="F4CCCC"/>
          </w:tcPr>
          <w:p>
            <w:r/>
            <w:r>
              <w:rPr>
                <w:b/>
                <w:sz w:val="16"/>
              </w:rPr>
              <w:t>Critical</w:t>
            </w:r>
          </w:p>
        </w:tc>
        <w:tc>
          <w:tcPr>
            <w:tcW w:type="dxa" w:w="1152"/>
          </w:tcPr>
          <w:p>
            <w:r/>
            <w:r>
              <w:rPr>
                <w:sz w:val="16"/>
              </w:rPr>
              <w:t>§§1.12, 3.5</w:t>
            </w:r>
          </w:p>
        </w:tc>
        <w:tc>
          <w:tcPr>
            <w:tcW w:type="dxa" w:w="2304"/>
          </w:tcPr>
          <w:p>
            <w:r/>
            <w:r>
              <w:rPr>
                <w:sz w:val="16"/>
              </w:rPr>
              <w:t>Major Investor threshold doubled to 1,000,000 shares; second-tier information rights</w:t>
            </w:r>
          </w:p>
        </w:tc>
        <w:tc>
          <w:tcPr>
            <w:tcW w:type="dxa" w:w="1728"/>
          </w:tcPr>
          <w:p>
            <w:r/>
            <w:r>
              <w:rPr>
                <w:sz w:val="16"/>
              </w:rPr>
              <w:t>Term Sheet §§3.1 (S-3), 3.2, 3.3, 3.4; Series A IRA §1.15</w:t>
            </w:r>
          </w:p>
        </w:tc>
        <w:tc>
          <w:tcPr>
            <w:tcW w:type="dxa" w:w="2448"/>
          </w:tcPr>
          <w:p>
            <w:r/>
            <w:r>
              <w:rPr>
                <w:sz w:val="16"/>
              </w:rPr>
              <w:t>Restore the 500,000-share threshold. Delete the §3.5 second tier.</w:t>
            </w:r>
          </w:p>
        </w:tc>
      </w:tr>
      <w:tr>
        <w:tc>
          <w:tcPr>
            <w:tcW w:type="dxa" w:w="648"/>
          </w:tcPr>
          <w:p>
            <w:r/>
            <w:r>
              <w:rPr>
                <w:b/>
                <w:sz w:val="16"/>
              </w:rPr>
              <w:t>C-7</w:t>
            </w:r>
          </w:p>
        </w:tc>
        <w:tc>
          <w:tcPr>
            <w:tcW w:type="dxa" w:w="1080"/>
            <w:shd w:val="clear" w:color="auto" w:fill="F4CCCC"/>
          </w:tcPr>
          <w:p>
            <w:r/>
            <w:r>
              <w:rPr>
                <w:b/>
                <w:sz w:val="16"/>
              </w:rPr>
              <w:t>Critical</w:t>
            </w:r>
          </w:p>
        </w:tc>
        <w:tc>
          <w:tcPr>
            <w:tcW w:type="dxa" w:w="1152"/>
          </w:tcPr>
          <w:p>
            <w:r/>
            <w:r>
              <w:rPr>
                <w:sz w:val="16"/>
              </w:rPr>
              <w:t>§4.5</w:t>
            </w:r>
          </w:p>
        </w:tc>
        <w:tc>
          <w:tcPr>
            <w:tcW w:type="dxa" w:w="2304"/>
          </w:tcPr>
          <w:p>
            <w:r/>
            <w:r>
              <w:rPr>
                <w:sz w:val="16"/>
              </w:rPr>
              <w:t>New contractual pay-to-play strips ROFO and information rights</w:t>
            </w:r>
          </w:p>
        </w:tc>
        <w:tc>
          <w:tcPr>
            <w:tcW w:type="dxa" w:w="1728"/>
          </w:tcPr>
          <w:p>
            <w:r/>
            <w:r>
              <w:rPr>
                <w:sz w:val="16"/>
              </w:rPr>
              <w:t>Term Sheet (silent; not agreed); Series A IRA (none); Restated Certificate (none)</w:t>
            </w:r>
          </w:p>
        </w:tc>
        <w:tc>
          <w:tcPr>
            <w:tcW w:type="dxa" w:w="2448"/>
          </w:tcPr>
          <w:p>
            <w:r/>
            <w:r>
              <w:rPr>
                <w:sz w:val="16"/>
              </w:rPr>
              <w:t>Delete the pay-to-play.</w:t>
            </w:r>
          </w:p>
        </w:tc>
      </w:tr>
      <w:tr>
        <w:tc>
          <w:tcPr>
            <w:tcW w:type="dxa" w:w="648"/>
          </w:tcPr>
          <w:p>
            <w:r/>
            <w:r>
              <w:rPr>
                <w:b/>
                <w:sz w:val="16"/>
              </w:rPr>
              <w:t>C-8</w:t>
            </w:r>
          </w:p>
        </w:tc>
        <w:tc>
          <w:tcPr>
            <w:tcW w:type="dxa" w:w="1080"/>
            <w:shd w:val="clear" w:color="auto" w:fill="F4CCCC"/>
          </w:tcPr>
          <w:p>
            <w:r/>
            <w:r>
              <w:rPr>
                <w:b/>
                <w:sz w:val="16"/>
              </w:rPr>
              <w:t>Critical</w:t>
            </w:r>
          </w:p>
        </w:tc>
        <w:tc>
          <w:tcPr>
            <w:tcW w:type="dxa" w:w="1152"/>
          </w:tcPr>
          <w:p>
            <w:r/>
            <w:r>
              <w:rPr>
                <w:sz w:val="16"/>
              </w:rPr>
              <w:t>§3.3</w:t>
            </w:r>
          </w:p>
        </w:tc>
        <w:tc>
          <w:tcPr>
            <w:tcW w:type="dxa" w:w="2304"/>
          </w:tcPr>
          <w:p>
            <w:r/>
            <w:r>
              <w:rPr>
                <w:sz w:val="16"/>
              </w:rPr>
              <w:t>Unlimited audit rights at the Company’s expense</w:t>
            </w:r>
          </w:p>
        </w:tc>
        <w:tc>
          <w:tcPr>
            <w:tcW w:type="dxa" w:w="1728"/>
          </w:tcPr>
          <w:p>
            <w:r/>
            <w:r>
              <w:rPr>
                <w:sz w:val="16"/>
              </w:rPr>
              <w:t>Term Sheet §3.4; Series A IRA §3.2; market (NVCA has no audit right)</w:t>
            </w:r>
          </w:p>
        </w:tc>
        <w:tc>
          <w:tcPr>
            <w:tcW w:type="dxa" w:w="2448"/>
          </w:tcPr>
          <w:p>
            <w:r/>
            <w:r>
              <w:rPr>
                <w:sz w:val="16"/>
              </w:rPr>
              <w:t>Delete the audit right. Rely on a revised inspection right at the investor’s expense.</w:t>
            </w:r>
          </w:p>
        </w:tc>
      </w:tr>
      <w:tr>
        <w:tc>
          <w:tcPr>
            <w:tcW w:type="dxa" w:w="648"/>
          </w:tcPr>
          <w:p>
            <w:r/>
            <w:r>
              <w:rPr>
                <w:b/>
                <w:sz w:val="16"/>
              </w:rPr>
              <w:t>C-9</w:t>
            </w:r>
          </w:p>
        </w:tc>
        <w:tc>
          <w:tcPr>
            <w:tcW w:type="dxa" w:w="1080"/>
            <w:shd w:val="clear" w:color="auto" w:fill="F4CCCC"/>
          </w:tcPr>
          <w:p>
            <w:r/>
            <w:r>
              <w:rPr>
                <w:b/>
                <w:sz w:val="16"/>
              </w:rPr>
              <w:t>Critical</w:t>
            </w:r>
          </w:p>
        </w:tc>
        <w:tc>
          <w:tcPr>
            <w:tcW w:type="dxa" w:w="1152"/>
          </w:tcPr>
          <w:p>
            <w:r/>
            <w:r>
              <w:rPr>
                <w:sz w:val="16"/>
              </w:rPr>
              <w:t>§3.1(f)</w:t>
            </w:r>
          </w:p>
        </w:tc>
        <w:tc>
          <w:tcPr>
            <w:tcW w:type="dxa" w:w="2304"/>
          </w:tcPr>
          <w:p>
            <w:r/>
            <w:r>
              <w:rPr>
                <w:sz w:val="16"/>
              </w:rPr>
              <w:t>Litigation, regulatory and IP reporting obligation (privilege and trade-secret risk)</w:t>
            </w:r>
          </w:p>
        </w:tc>
        <w:tc>
          <w:tcPr>
            <w:tcW w:type="dxa" w:w="1728"/>
          </w:tcPr>
          <w:p>
            <w:r/>
            <w:r>
              <w:rPr>
                <w:sz w:val="16"/>
              </w:rPr>
              <w:t>Term Sheet §3.2 (four enumerated deliverables only); Series A IRA §3.1; market</w:t>
            </w:r>
          </w:p>
        </w:tc>
        <w:tc>
          <w:tcPr>
            <w:tcW w:type="dxa" w:w="2448"/>
          </w:tcPr>
          <w:p>
            <w:r/>
            <w:r>
              <w:rPr>
                <w:sz w:val="16"/>
              </w:rPr>
              <w:t>Delete. At most, a high-level non-privileged litigation summary to the Board.</w:t>
            </w:r>
          </w:p>
        </w:tc>
      </w:tr>
      <w:tr>
        <w:tc>
          <w:tcPr>
            <w:tcW w:type="dxa" w:w="648"/>
          </w:tcPr>
          <w:p>
            <w:r/>
            <w:r>
              <w:rPr>
                <w:b/>
                <w:sz w:val="16"/>
              </w:rPr>
              <w:t>C-10</w:t>
            </w:r>
          </w:p>
        </w:tc>
        <w:tc>
          <w:tcPr>
            <w:tcW w:type="dxa" w:w="1080"/>
            <w:shd w:val="clear" w:color="auto" w:fill="F4CCCC"/>
          </w:tcPr>
          <w:p>
            <w:r/>
            <w:r>
              <w:rPr>
                <w:b/>
                <w:sz w:val="16"/>
              </w:rPr>
              <w:t>Critical</w:t>
            </w:r>
          </w:p>
        </w:tc>
        <w:tc>
          <w:tcPr>
            <w:tcW w:type="dxa" w:w="1152"/>
          </w:tcPr>
          <w:p>
            <w:r/>
            <w:r>
              <w:rPr>
                <w:sz w:val="16"/>
              </w:rPr>
              <w:t>§6.5</w:t>
            </w:r>
          </w:p>
        </w:tc>
        <w:tc>
          <w:tcPr>
            <w:tcW w:type="dxa" w:w="2304"/>
          </w:tcPr>
          <w:p>
            <w:r/>
            <w:r>
              <w:rPr>
                <w:sz w:val="16"/>
              </w:rPr>
              <w:t>CMV Board Observer: no confidentiality, privilege or conflict guardrails</w:t>
            </w:r>
          </w:p>
        </w:tc>
        <w:tc>
          <w:tcPr>
            <w:tcW w:type="dxa" w:w="1728"/>
          </w:tcPr>
          <w:p>
            <w:r/>
            <w:r>
              <w:rPr>
                <w:sz w:val="16"/>
              </w:rPr>
              <w:t>Term Sheet §4.2; market (NVCA observer language); client concern (e)</w:t>
            </w:r>
          </w:p>
        </w:tc>
        <w:tc>
          <w:tcPr>
            <w:tcW w:type="dxa" w:w="2448"/>
          </w:tcPr>
          <w:p>
            <w:r/>
            <w:r>
              <w:rPr>
                <w:sz w:val="16"/>
              </w:rPr>
              <w:t>Add confidentiality, privilege, conflict and trade-secret exclusions, executive sessions, a competitor bar, no committee access, non-assignability and a holding-based sunset.</w:t>
            </w:r>
          </w:p>
        </w:tc>
      </w:tr>
      <w:tr>
        <w:tc>
          <w:tcPr>
            <w:tcW w:type="dxa" w:w="648"/>
          </w:tcPr>
          <w:p>
            <w:r/>
            <w:r>
              <w:rPr>
                <w:b/>
                <w:sz w:val="16"/>
              </w:rPr>
              <w:t>S-1</w:t>
            </w:r>
          </w:p>
        </w:tc>
        <w:tc>
          <w:tcPr>
            <w:tcW w:type="dxa" w:w="1080"/>
            <w:shd w:val="clear" w:color="auto" w:fill="FCE5CD"/>
          </w:tcPr>
          <w:p>
            <w:r/>
            <w:r>
              <w:rPr>
                <w:b/>
                <w:sz w:val="16"/>
              </w:rPr>
              <w:t>Significant</w:t>
            </w:r>
          </w:p>
        </w:tc>
        <w:tc>
          <w:tcPr>
            <w:tcW w:type="dxa" w:w="1152"/>
          </w:tcPr>
          <w:p>
            <w:r/>
            <w:r>
              <w:rPr>
                <w:sz w:val="16"/>
              </w:rPr>
              <w:t>§2.1</w:t>
            </w:r>
          </w:p>
        </w:tc>
        <w:tc>
          <w:tcPr>
            <w:tcW w:type="dxa" w:w="2304"/>
          </w:tcPr>
          <w:p>
            <w:r/>
            <w:r>
              <w:rPr>
                <w:sz w:val="16"/>
              </w:rPr>
              <w:t>Demand registration: threshold, minimum size, timing and withdrawal</w:t>
            </w:r>
          </w:p>
        </w:tc>
        <w:tc>
          <w:tcPr>
            <w:tcW w:type="dxa" w:w="1728"/>
          </w:tcPr>
          <w:p>
            <w:r/>
            <w:r>
              <w:rPr>
                <w:sz w:val="16"/>
              </w:rPr>
              <w:t>Term Sheet §3.1; Series A IRA §§1.11, 2.1</w:t>
            </w:r>
          </w:p>
        </w:tc>
        <w:tc>
          <w:tcPr>
            <w:tcW w:type="dxa" w:w="2448"/>
          </w:tcPr>
          <w:p>
            <w:r/>
            <w:r>
              <w:rPr>
                <w:sz w:val="16"/>
              </w:rPr>
              <w:t>Conform to 30% if pressed. Try to keep the $5M floor and 5-year start. Add NVCA blackout and 12-month spacing protections.</w:t>
            </w:r>
          </w:p>
        </w:tc>
      </w:tr>
      <w:tr>
        <w:tc>
          <w:tcPr>
            <w:tcW w:type="dxa" w:w="648"/>
          </w:tcPr>
          <w:p>
            <w:r/>
            <w:r>
              <w:rPr>
                <w:b/>
                <w:sz w:val="16"/>
              </w:rPr>
              <w:t>S-2</w:t>
            </w:r>
          </w:p>
        </w:tc>
        <w:tc>
          <w:tcPr>
            <w:tcW w:type="dxa" w:w="1080"/>
            <w:shd w:val="clear" w:color="auto" w:fill="FCE5CD"/>
          </w:tcPr>
          <w:p>
            <w:r/>
            <w:r>
              <w:rPr>
                <w:b/>
                <w:sz w:val="16"/>
              </w:rPr>
              <w:t>Significant</w:t>
            </w:r>
          </w:p>
        </w:tc>
        <w:tc>
          <w:tcPr>
            <w:tcW w:type="dxa" w:w="1152"/>
          </w:tcPr>
          <w:p>
            <w:r/>
            <w:r>
              <w:rPr>
                <w:sz w:val="16"/>
              </w:rPr>
              <w:t>§2.4</w:t>
            </w:r>
          </w:p>
        </w:tc>
        <w:tc>
          <w:tcPr>
            <w:tcW w:type="dxa" w:w="2304"/>
          </w:tcPr>
          <w:p>
            <w:r/>
            <w:r>
              <w:rPr>
                <w:sz w:val="16"/>
              </w:rPr>
              <w:t>Form S-3 registration: lower minimum and no deferral right</w:t>
            </w:r>
          </w:p>
        </w:tc>
        <w:tc>
          <w:tcPr>
            <w:tcW w:type="dxa" w:w="1728"/>
          </w:tcPr>
          <w:p>
            <w:r/>
            <w:r>
              <w:rPr>
                <w:sz w:val="16"/>
              </w:rPr>
              <w:t>Term Sheet §3.1 (S-3); Series A IRA §2.3</w:t>
            </w:r>
          </w:p>
        </w:tc>
        <w:tc>
          <w:tcPr>
            <w:tcW w:type="dxa" w:w="2448"/>
          </w:tcPr>
          <w:p>
            <w:r/>
            <w:r>
              <w:rPr>
                <w:sz w:val="16"/>
              </w:rPr>
              <w:t>Raise to $3M. Add the deferral right and a Company-registration blackout.</w:t>
            </w:r>
          </w:p>
        </w:tc>
      </w:tr>
      <w:tr>
        <w:tc>
          <w:tcPr>
            <w:tcW w:type="dxa" w:w="648"/>
          </w:tcPr>
          <w:p>
            <w:r/>
            <w:r>
              <w:rPr>
                <w:b/>
                <w:sz w:val="16"/>
              </w:rPr>
              <w:t>S-3</w:t>
            </w:r>
          </w:p>
        </w:tc>
        <w:tc>
          <w:tcPr>
            <w:tcW w:type="dxa" w:w="1080"/>
            <w:shd w:val="clear" w:color="auto" w:fill="FCE5CD"/>
          </w:tcPr>
          <w:p>
            <w:r/>
            <w:r>
              <w:rPr>
                <w:b/>
                <w:sz w:val="16"/>
              </w:rPr>
              <w:t>Significant</w:t>
            </w:r>
          </w:p>
        </w:tc>
        <w:tc>
          <w:tcPr>
            <w:tcW w:type="dxa" w:w="1152"/>
          </w:tcPr>
          <w:p>
            <w:r/>
            <w:r>
              <w:rPr>
                <w:sz w:val="16"/>
              </w:rPr>
              <w:t>§§2.11, 6.1</w:t>
            </w:r>
          </w:p>
        </w:tc>
        <w:tc>
          <w:tcPr>
            <w:tcW w:type="dxa" w:w="2304"/>
          </w:tcPr>
          <w:p>
            <w:r/>
            <w:r>
              <w:rPr>
                <w:sz w:val="16"/>
              </w:rPr>
              <w:t>Market stand-off: missing NVCA conditions and duplicated provisions</w:t>
            </w:r>
          </w:p>
        </w:tc>
        <w:tc>
          <w:tcPr>
            <w:tcW w:type="dxa" w:w="1728"/>
          </w:tcPr>
          <w:p>
            <w:r/>
            <w:r>
              <w:rPr>
                <w:sz w:val="16"/>
              </w:rPr>
              <w:t>Term Sheet §5.2; Series A IRA §§6.1–6.2; market (NVCA §2.11)</w:t>
            </w:r>
          </w:p>
        </w:tc>
        <w:tc>
          <w:tcPr>
            <w:tcW w:type="dxa" w:w="2448"/>
          </w:tcPr>
          <w:p>
            <w:r/>
            <w:r>
              <w:rPr>
                <w:sz w:val="16"/>
              </w:rPr>
              <w:t>One NVCA clause with the all-insiders condition, pro rata early release, affiliate carve-outs and pre-IPO shares only.</w:t>
            </w:r>
          </w:p>
        </w:tc>
      </w:tr>
      <w:tr>
        <w:tc>
          <w:tcPr>
            <w:tcW w:type="dxa" w:w="648"/>
          </w:tcPr>
          <w:p>
            <w:r/>
            <w:r>
              <w:rPr>
                <w:b/>
                <w:sz w:val="16"/>
              </w:rPr>
              <w:t>S-4</w:t>
            </w:r>
          </w:p>
        </w:tc>
        <w:tc>
          <w:tcPr>
            <w:tcW w:type="dxa" w:w="1080"/>
            <w:shd w:val="clear" w:color="auto" w:fill="FCE5CD"/>
          </w:tcPr>
          <w:p>
            <w:r/>
            <w:r>
              <w:rPr>
                <w:b/>
                <w:sz w:val="16"/>
              </w:rPr>
              <w:t>Significant</w:t>
            </w:r>
          </w:p>
        </w:tc>
        <w:tc>
          <w:tcPr>
            <w:tcW w:type="dxa" w:w="1152"/>
          </w:tcPr>
          <w:p>
            <w:r/>
            <w:r>
              <w:rPr>
                <w:sz w:val="16"/>
              </w:rPr>
              <w:t>§3.1(c)–(e)</w:t>
            </w:r>
          </w:p>
        </w:tc>
        <w:tc>
          <w:tcPr>
            <w:tcW w:type="dxa" w:w="2304"/>
          </w:tcPr>
          <w:p>
            <w:r/>
            <w:r>
              <w:rPr>
                <w:sz w:val="16"/>
              </w:rPr>
              <w:t>Information covenants broader than agreed: budget, capitalization table, “other information”; no withholding proviso</w:t>
            </w:r>
          </w:p>
        </w:tc>
        <w:tc>
          <w:tcPr>
            <w:tcW w:type="dxa" w:w="1728"/>
          </w:tcPr>
          <w:p>
            <w:r/>
            <w:r>
              <w:rPr>
                <w:sz w:val="16"/>
              </w:rPr>
              <w:t>Term Sheet §3.2; Series A IRA §3.1; market (NVCA §3.1 proviso)</w:t>
            </w:r>
          </w:p>
        </w:tc>
        <w:tc>
          <w:tcPr>
            <w:tcW w:type="dxa" w:w="2448"/>
          </w:tcPr>
          <w:p>
            <w:r/>
            <w:r>
              <w:rPr>
                <w:sz w:val="16"/>
              </w:rPr>
              <w:t>Board-approved budget only, quarterly cap table, limited “other information,” and an NVCA trade-secret, privilege and competitor proviso.</w:t>
            </w:r>
          </w:p>
        </w:tc>
      </w:tr>
      <w:tr>
        <w:tc>
          <w:tcPr>
            <w:tcW w:type="dxa" w:w="648"/>
          </w:tcPr>
          <w:p>
            <w:r/>
            <w:r>
              <w:rPr>
                <w:b/>
                <w:sz w:val="16"/>
              </w:rPr>
              <w:t>S-5</w:t>
            </w:r>
          </w:p>
        </w:tc>
        <w:tc>
          <w:tcPr>
            <w:tcW w:type="dxa" w:w="1080"/>
            <w:shd w:val="clear" w:color="auto" w:fill="FCE5CD"/>
          </w:tcPr>
          <w:p>
            <w:r/>
            <w:r>
              <w:rPr>
                <w:b/>
                <w:sz w:val="16"/>
              </w:rPr>
              <w:t>Significant</w:t>
            </w:r>
          </w:p>
        </w:tc>
        <w:tc>
          <w:tcPr>
            <w:tcW w:type="dxa" w:w="1152"/>
          </w:tcPr>
          <w:p>
            <w:r/>
            <w:r>
              <w:rPr>
                <w:sz w:val="16"/>
              </w:rPr>
              <w:t>§3.2(a)</w:t>
            </w:r>
          </w:p>
        </w:tc>
        <w:tc>
          <w:tcPr>
            <w:tcW w:type="dxa" w:w="2304"/>
          </w:tcPr>
          <w:p>
            <w:r/>
            <w:r>
              <w:rPr>
                <w:sz w:val="16"/>
              </w:rPr>
              <w:t>Inspection right lacks the agreed limits</w:t>
            </w:r>
          </w:p>
        </w:tc>
        <w:tc>
          <w:tcPr>
            <w:tcW w:type="dxa" w:w="1728"/>
          </w:tcPr>
          <w:p>
            <w:r/>
            <w:r>
              <w:rPr>
                <w:sz w:val="16"/>
              </w:rPr>
              <w:t>Term Sheet §3.4; Series A IRA §3.2</w:t>
            </w:r>
          </w:p>
        </w:tc>
        <w:tc>
          <w:tcPr>
            <w:tcW w:type="dxa" w:w="2448"/>
          </w:tcPr>
          <w:p>
            <w:r/>
            <w:r>
              <w:rPr>
                <w:sz w:val="16"/>
              </w:rPr>
              <w:t>Investor’s sole expense, 5 business days’ notice, once per year, no interference, subject to confidentiality.</w:t>
            </w:r>
          </w:p>
        </w:tc>
      </w:tr>
      <w:tr>
        <w:tc>
          <w:tcPr>
            <w:tcW w:type="dxa" w:w="648"/>
          </w:tcPr>
          <w:p>
            <w:r/>
            <w:r>
              <w:rPr>
                <w:b/>
                <w:sz w:val="16"/>
              </w:rPr>
              <w:t>S-6</w:t>
            </w:r>
          </w:p>
        </w:tc>
        <w:tc>
          <w:tcPr>
            <w:tcW w:type="dxa" w:w="1080"/>
            <w:shd w:val="clear" w:color="auto" w:fill="FCE5CD"/>
          </w:tcPr>
          <w:p>
            <w:r/>
            <w:r>
              <w:rPr>
                <w:b/>
                <w:sz w:val="16"/>
              </w:rPr>
              <w:t>Significant</w:t>
            </w:r>
          </w:p>
        </w:tc>
        <w:tc>
          <w:tcPr>
            <w:tcW w:type="dxa" w:w="1152"/>
          </w:tcPr>
          <w:p>
            <w:r/>
            <w:r>
              <w:rPr>
                <w:sz w:val="16"/>
              </w:rPr>
              <w:t>§3.2(b)</w:t>
            </w:r>
          </w:p>
        </w:tc>
        <w:tc>
          <w:tcPr>
            <w:tcW w:type="dxa" w:w="2304"/>
          </w:tcPr>
          <w:p>
            <w:r/>
            <w:r>
              <w:rPr>
                <w:sz w:val="16"/>
              </w:rPr>
              <w:t>Confidentiality covenant weaker than Series A; no survival; does not cover the observer</w:t>
            </w:r>
          </w:p>
        </w:tc>
        <w:tc>
          <w:tcPr>
            <w:tcW w:type="dxa" w:w="1728"/>
          </w:tcPr>
          <w:p>
            <w:r/>
            <w:r>
              <w:rPr>
                <w:sz w:val="16"/>
              </w:rPr>
              <w:t>Series A IRA §§3.3, 7.11; Term Sheet §4.2; market</w:t>
            </w:r>
          </w:p>
        </w:tc>
        <w:tc>
          <w:tcPr>
            <w:tcW w:type="dxa" w:w="2448"/>
          </w:tcPr>
          <w:p>
            <w:r/>
            <w:r>
              <w:rPr>
                <w:sz w:val="16"/>
              </w:rPr>
              <w:t>Representatives must be bound. No disclosure to portfolio companies. Cover observer and director information. Two-year survival.</w:t>
            </w:r>
          </w:p>
        </w:tc>
      </w:tr>
      <w:tr>
        <w:tc>
          <w:tcPr>
            <w:tcW w:type="dxa" w:w="648"/>
          </w:tcPr>
          <w:p>
            <w:r/>
            <w:r>
              <w:rPr>
                <w:b/>
                <w:sz w:val="16"/>
              </w:rPr>
              <w:t>S-7</w:t>
            </w:r>
          </w:p>
        </w:tc>
        <w:tc>
          <w:tcPr>
            <w:tcW w:type="dxa" w:w="1080"/>
            <w:shd w:val="clear" w:color="auto" w:fill="FCE5CD"/>
          </w:tcPr>
          <w:p>
            <w:r/>
            <w:r>
              <w:rPr>
                <w:b/>
                <w:sz w:val="16"/>
              </w:rPr>
              <w:t>Significant</w:t>
            </w:r>
          </w:p>
        </w:tc>
        <w:tc>
          <w:tcPr>
            <w:tcW w:type="dxa" w:w="1152"/>
          </w:tcPr>
          <w:p>
            <w:r/>
            <w:r>
              <w:rPr>
                <w:sz w:val="16"/>
              </w:rPr>
              <w:t>§§4.1–4.4</w:t>
            </w:r>
          </w:p>
        </w:tc>
        <w:tc>
          <w:tcPr>
            <w:tcW w:type="dxa" w:w="2304"/>
          </w:tcPr>
          <w:p>
            <w:r/>
            <w:r>
              <w:rPr>
                <w:sz w:val="16"/>
              </w:rPr>
              <w:t>ROFO mechanics: calendar vs. business days, missing purchaser identity, and an impossible timeline</w:t>
            </w:r>
          </w:p>
        </w:tc>
        <w:tc>
          <w:tcPr>
            <w:tcW w:type="dxa" w:w="1728"/>
          </w:tcPr>
          <w:p>
            <w:r/>
            <w:r>
              <w:rPr>
                <w:sz w:val="16"/>
              </w:rPr>
              <w:t>Term Sheet §3.3; Series A IRA §4.2; internal consistency</w:t>
            </w:r>
          </w:p>
        </w:tc>
        <w:tc>
          <w:tcPr>
            <w:tcW w:type="dxa" w:w="2448"/>
          </w:tcPr>
          <w:p>
            <w:r/>
            <w:r>
              <w:rPr>
                <w:sz w:val="16"/>
              </w:rPr>
              <w:t>15 business days, purchaser identity, a workable timeline (or a post-closing catch-up), and a 5-day oversubscription period on the §4.1 basis.</w:t>
            </w:r>
          </w:p>
        </w:tc>
      </w:tr>
      <w:tr>
        <w:tc>
          <w:tcPr>
            <w:tcW w:type="dxa" w:w="648"/>
          </w:tcPr>
          <w:p>
            <w:r/>
            <w:r>
              <w:rPr>
                <w:b/>
                <w:sz w:val="16"/>
              </w:rPr>
              <w:t>S-8</w:t>
            </w:r>
          </w:p>
        </w:tc>
        <w:tc>
          <w:tcPr>
            <w:tcW w:type="dxa" w:w="1080"/>
            <w:shd w:val="clear" w:color="auto" w:fill="FCE5CD"/>
          </w:tcPr>
          <w:p>
            <w:r/>
            <w:r>
              <w:rPr>
                <w:b/>
                <w:sz w:val="16"/>
              </w:rPr>
              <w:t>Significant</w:t>
            </w:r>
          </w:p>
        </w:tc>
        <w:tc>
          <w:tcPr>
            <w:tcW w:type="dxa" w:w="1152"/>
          </w:tcPr>
          <w:p>
            <w:r/>
            <w:r>
              <w:rPr>
                <w:sz w:val="16"/>
              </w:rPr>
              <w:t>§4.3</w:t>
            </w:r>
          </w:p>
        </w:tc>
        <w:tc>
          <w:tcPr>
            <w:tcW w:type="dxa" w:w="2304"/>
          </w:tcPr>
          <w:p>
            <w:r/>
            <w:r>
              <w:rPr>
                <w:sz w:val="16"/>
              </w:rPr>
              <w:t>Exempted Securities: gaps, an overbroad strategic carve-out, and misalignment with the charter</w:t>
            </w:r>
          </w:p>
        </w:tc>
        <w:tc>
          <w:tcPr>
            <w:tcW w:type="dxa" w:w="1728"/>
          </w:tcPr>
          <w:p>
            <w:r/>
            <w:r>
              <w:rPr>
                <w:sz w:val="16"/>
              </w:rPr>
              <w:t>Term Sheet §3.3 (i)–(vi); Series A IRA §4.3; Restated Certificate §4.3.5(c)(ii)</w:t>
            </w:r>
          </w:p>
        </w:tc>
        <w:tc>
          <w:tcPr>
            <w:tcW w:type="dxa" w:w="2448"/>
          </w:tcPr>
          <w:p>
            <w:r/>
            <w:r>
              <w:rPr>
                <w:sz w:val="16"/>
              </w:rPr>
              <w:t>Conform to the Term Sheet exemptions. Add Series B subsequent closings, option and warrant exercises and splits. Delete §4.3(g). Align with the charter.</w:t>
            </w:r>
          </w:p>
        </w:tc>
      </w:tr>
      <w:tr>
        <w:tc>
          <w:tcPr>
            <w:tcW w:type="dxa" w:w="648"/>
          </w:tcPr>
          <w:p>
            <w:r/>
            <w:r>
              <w:rPr>
                <w:b/>
                <w:sz w:val="16"/>
              </w:rPr>
              <w:t>S-9</w:t>
            </w:r>
          </w:p>
        </w:tc>
        <w:tc>
          <w:tcPr>
            <w:tcW w:type="dxa" w:w="1080"/>
            <w:shd w:val="clear" w:color="auto" w:fill="FCE5CD"/>
          </w:tcPr>
          <w:p>
            <w:r/>
            <w:r>
              <w:rPr>
                <w:b/>
                <w:sz w:val="16"/>
              </w:rPr>
              <w:t>Significant</w:t>
            </w:r>
          </w:p>
        </w:tc>
        <w:tc>
          <w:tcPr>
            <w:tcW w:type="dxa" w:w="1152"/>
          </w:tcPr>
          <w:p>
            <w:r/>
            <w:r>
              <w:rPr>
                <w:sz w:val="16"/>
              </w:rPr>
              <w:t>§9.2</w:t>
            </w:r>
          </w:p>
        </w:tc>
        <w:tc>
          <w:tcPr>
            <w:tcW w:type="dxa" w:w="2304"/>
          </w:tcPr>
          <w:p>
            <w:r/>
            <w:r>
              <w:rPr>
                <w:sz w:val="16"/>
              </w:rPr>
              <w:t>Amendment and waiver provision lacks Key Holder and Major Investor protections</w:t>
            </w:r>
          </w:p>
        </w:tc>
        <w:tc>
          <w:tcPr>
            <w:tcW w:type="dxa" w:w="1728"/>
          </w:tcPr>
          <w:p>
            <w:r/>
            <w:r>
              <w:rPr>
                <w:sz w:val="16"/>
              </w:rPr>
              <w:t>Series A IRA §7.6; market (NVCA §6.6)</w:t>
            </w:r>
          </w:p>
        </w:tc>
        <w:tc>
          <w:tcPr>
            <w:tcW w:type="dxa" w:w="2448"/>
          </w:tcPr>
          <w:p>
            <w:r/>
            <w:r>
              <w:rPr>
                <w:sz w:val="16"/>
              </w:rPr>
              <w:t>Require Key Holder consent for new obligations and Major Investor consent for §§3–4. Single threshold.</w:t>
            </w:r>
          </w:p>
        </w:tc>
      </w:tr>
      <w:tr>
        <w:tc>
          <w:tcPr>
            <w:tcW w:type="dxa" w:w="648"/>
          </w:tcPr>
          <w:p>
            <w:r/>
            <w:r>
              <w:rPr>
                <w:b/>
                <w:sz w:val="16"/>
              </w:rPr>
              <w:t>S-10</w:t>
            </w:r>
          </w:p>
        </w:tc>
        <w:tc>
          <w:tcPr>
            <w:tcW w:type="dxa" w:w="1080"/>
            <w:shd w:val="clear" w:color="auto" w:fill="FCE5CD"/>
          </w:tcPr>
          <w:p>
            <w:r/>
            <w:r>
              <w:rPr>
                <w:b/>
                <w:sz w:val="16"/>
              </w:rPr>
              <w:t>Significant</w:t>
            </w:r>
          </w:p>
        </w:tc>
        <w:tc>
          <w:tcPr>
            <w:tcW w:type="dxa" w:w="1152"/>
          </w:tcPr>
          <w:p>
            <w:r/>
            <w:r>
              <w:rPr>
                <w:sz w:val="16"/>
              </w:rPr>
              <w:t>§§2.10, 9.6</w:t>
            </w:r>
          </w:p>
        </w:tc>
        <w:tc>
          <w:tcPr>
            <w:tcW w:type="dxa" w:w="2304"/>
          </w:tcPr>
          <w:p>
            <w:r/>
            <w:r>
              <w:rPr>
                <w:sz w:val="16"/>
              </w:rPr>
              <w:t>Assignment rights narrowed (no affiliate or estate-planning transfers)</w:t>
            </w:r>
          </w:p>
        </w:tc>
        <w:tc>
          <w:tcPr>
            <w:tcW w:type="dxa" w:w="1728"/>
          </w:tcPr>
          <w:p>
            <w:r/>
            <w:r>
              <w:rPr>
                <w:sz w:val="16"/>
              </w:rPr>
              <w:t>Series A IRA §§2.8, 7.1; market (NVCA §2.12)</w:t>
            </w:r>
          </w:p>
        </w:tc>
        <w:tc>
          <w:tcPr>
            <w:tcW w:type="dxa" w:w="2448"/>
          </w:tcPr>
          <w:p>
            <w:r/>
            <w:r>
              <w:rPr>
                <w:sz w:val="16"/>
              </w:rPr>
              <w:t>Restore affiliate and family-trust transfers. Permit affiliate assignment of information and ROFO rights.</w:t>
            </w:r>
          </w:p>
        </w:tc>
      </w:tr>
      <w:tr>
        <w:tc>
          <w:tcPr>
            <w:tcW w:type="dxa" w:w="648"/>
          </w:tcPr>
          <w:p>
            <w:r/>
            <w:r>
              <w:rPr>
                <w:b/>
                <w:sz w:val="16"/>
              </w:rPr>
              <w:t>S-11</w:t>
            </w:r>
          </w:p>
        </w:tc>
        <w:tc>
          <w:tcPr>
            <w:tcW w:type="dxa" w:w="1080"/>
            <w:shd w:val="clear" w:color="auto" w:fill="FCE5CD"/>
          </w:tcPr>
          <w:p>
            <w:r/>
            <w:r>
              <w:rPr>
                <w:b/>
                <w:sz w:val="16"/>
              </w:rPr>
              <w:t>Significant</w:t>
            </w:r>
          </w:p>
        </w:tc>
        <w:tc>
          <w:tcPr>
            <w:tcW w:type="dxa" w:w="1152"/>
          </w:tcPr>
          <w:p>
            <w:r/>
            <w:r>
              <w:rPr>
                <w:sz w:val="16"/>
              </w:rPr>
              <w:t>§§7.2, 7.3, 7.5</w:t>
            </w:r>
          </w:p>
        </w:tc>
        <w:tc>
          <w:tcPr>
            <w:tcW w:type="dxa" w:w="2304"/>
          </w:tcPr>
          <w:p>
            <w:r/>
            <w:r>
              <w:rPr>
                <w:sz w:val="16"/>
              </w:rPr>
              <w:t>New personal Founder covenants: devotion of time and key-person insurance</w:t>
            </w:r>
          </w:p>
        </w:tc>
        <w:tc>
          <w:tcPr>
            <w:tcW w:type="dxa" w:w="1728"/>
          </w:tcPr>
          <w:p>
            <w:r/>
            <w:r>
              <w:rPr>
                <w:sz w:val="16"/>
              </w:rPr>
              <w:t>Term Sheet §5.3 (spirit); Series A IRA (none); market</w:t>
            </w:r>
          </w:p>
        </w:tc>
        <w:tc>
          <w:tcPr>
            <w:tcW w:type="dxa" w:w="2448"/>
          </w:tcPr>
          <w:p>
            <w:r/>
            <w:r>
              <w:rPr>
                <w:sz w:val="16"/>
              </w:rPr>
              <w:t>Delete §7.3 and §7.5. Delete or soften §7.2 to Board-determined, commercially reasonable efforts.</w:t>
            </w:r>
          </w:p>
        </w:tc>
      </w:tr>
      <w:tr>
        <w:tc>
          <w:tcPr>
            <w:tcW w:type="dxa" w:w="648"/>
          </w:tcPr>
          <w:p>
            <w:r/>
            <w:r>
              <w:rPr>
                <w:b/>
                <w:sz w:val="16"/>
              </w:rPr>
              <w:t>S-12</w:t>
            </w:r>
          </w:p>
        </w:tc>
        <w:tc>
          <w:tcPr>
            <w:tcW w:type="dxa" w:w="1080"/>
            <w:shd w:val="clear" w:color="auto" w:fill="FCE5CD"/>
          </w:tcPr>
          <w:p>
            <w:r/>
            <w:r>
              <w:rPr>
                <w:b/>
                <w:sz w:val="16"/>
              </w:rPr>
              <w:t>Significant</w:t>
            </w:r>
          </w:p>
        </w:tc>
        <w:tc>
          <w:tcPr>
            <w:tcW w:type="dxa" w:w="1152"/>
          </w:tcPr>
          <w:p>
            <w:r/>
            <w:r>
              <w:rPr>
                <w:sz w:val="16"/>
              </w:rPr>
              <w:t>New §6.9</w:t>
            </w:r>
          </w:p>
        </w:tc>
        <w:tc>
          <w:tcPr>
            <w:tcW w:type="dxa" w:w="2304"/>
          </w:tcPr>
          <w:p>
            <w:r/>
            <w:r>
              <w:rPr>
                <w:sz w:val="16"/>
              </w:rPr>
              <w:t>No QSBS (Section 1202) covenant</w:t>
            </w:r>
          </w:p>
        </w:tc>
        <w:tc>
          <w:tcPr>
            <w:tcW w:type="dxa" w:w="1728"/>
          </w:tcPr>
          <w:p>
            <w:r/>
            <w:r>
              <w:rPr>
                <w:sz w:val="16"/>
              </w:rPr>
              <w:t>Client request (d); market (NVCA QSBS covenant); Series A IRA (silent)</w:t>
            </w:r>
          </w:p>
        </w:tc>
        <w:tc>
          <w:tcPr>
            <w:tcW w:type="dxa" w:w="2448"/>
          </w:tcPr>
          <w:p>
            <w:r/>
            <w:r>
              <w:rPr>
                <w:sz w:val="16"/>
              </w:rPr>
              <w:t>Add a QSBS covenant (proposed language). Confirm the $50M gross-assets test and redemption windows.</w:t>
            </w:r>
          </w:p>
        </w:tc>
      </w:tr>
      <w:tr>
        <w:tc>
          <w:tcPr>
            <w:tcW w:type="dxa" w:w="648"/>
          </w:tcPr>
          <w:p>
            <w:r/>
            <w:r>
              <w:rPr>
                <w:b/>
                <w:sz w:val="16"/>
              </w:rPr>
              <w:t>S-13</w:t>
            </w:r>
          </w:p>
        </w:tc>
        <w:tc>
          <w:tcPr>
            <w:tcW w:type="dxa" w:w="1080"/>
            <w:shd w:val="clear" w:color="auto" w:fill="FCE5CD"/>
          </w:tcPr>
          <w:p>
            <w:r/>
            <w:r>
              <w:rPr>
                <w:b/>
                <w:sz w:val="16"/>
              </w:rPr>
              <w:t>Significant</w:t>
            </w:r>
          </w:p>
        </w:tc>
        <w:tc>
          <w:tcPr>
            <w:tcW w:type="dxa" w:w="1152"/>
          </w:tcPr>
          <w:p>
            <w:r/>
            <w:r>
              <w:rPr>
                <w:sz w:val="16"/>
              </w:rPr>
              <w:t>§§1.17, 2.7–2.8</w:t>
            </w:r>
          </w:p>
        </w:tc>
        <w:tc>
          <w:tcPr>
            <w:tcW w:type="dxa" w:w="2304"/>
          </w:tcPr>
          <w:p>
            <w:r/>
            <w:r>
              <w:rPr>
                <w:sz w:val="16"/>
              </w:rPr>
              <w:t>Registration indemnity: contribution and settlement protections dropped</w:t>
            </w:r>
          </w:p>
        </w:tc>
        <w:tc>
          <w:tcPr>
            <w:tcW w:type="dxa" w:w="1728"/>
          </w:tcPr>
          <w:p>
            <w:r/>
            <w:r>
              <w:rPr>
                <w:sz w:val="16"/>
              </w:rPr>
              <w:t>Series A IRA §§2.6, 2.7(a), (c), (d); market (NVCA §2.8)</w:t>
            </w:r>
          </w:p>
        </w:tc>
        <w:tc>
          <w:tcPr>
            <w:tcW w:type="dxa" w:w="2448"/>
          </w:tcPr>
          <w:p>
            <w:r/>
            <w:r>
              <w:rPr>
                <w:sz w:val="16"/>
              </w:rPr>
              <w:t>Restore contribution, settlement-consent and procedures provisions. Cap selling-holder counsel fees.</w:t>
            </w:r>
          </w:p>
        </w:tc>
      </w:tr>
      <w:tr>
        <w:tc>
          <w:tcPr>
            <w:tcW w:type="dxa" w:w="648"/>
          </w:tcPr>
          <w:p>
            <w:r/>
            <w:r>
              <w:rPr>
                <w:b/>
                <w:sz w:val="16"/>
              </w:rPr>
              <w:t>M-1</w:t>
            </w:r>
          </w:p>
        </w:tc>
        <w:tc>
          <w:tcPr>
            <w:tcW w:type="dxa" w:w="1080"/>
            <w:shd w:val="clear" w:color="auto" w:fill="D9EAD3"/>
          </w:tcPr>
          <w:p>
            <w:r/>
            <w:r>
              <w:rPr>
                <w:b/>
                <w:sz w:val="16"/>
              </w:rPr>
              <w:t>Minor</w:t>
            </w:r>
          </w:p>
        </w:tc>
        <w:tc>
          <w:tcPr>
            <w:tcW w:type="dxa" w:w="1152"/>
          </w:tcPr>
          <w:p>
            <w:r/>
            <w:r>
              <w:rPr>
                <w:sz w:val="16"/>
              </w:rPr>
              <w:t>§2.2(a)</w:t>
            </w:r>
          </w:p>
        </w:tc>
        <w:tc>
          <w:tcPr>
            <w:tcW w:type="dxa" w:w="2304"/>
          </w:tcPr>
          <w:p>
            <w:r/>
            <w:r>
              <w:rPr>
                <w:sz w:val="16"/>
              </w:rPr>
              <w:t>Piggyback notice and response periods shortened</w:t>
            </w:r>
          </w:p>
        </w:tc>
        <w:tc>
          <w:tcPr>
            <w:tcW w:type="dxa" w:w="1728"/>
          </w:tcPr>
          <w:p>
            <w:r/>
            <w:r>
              <w:rPr>
                <w:sz w:val="16"/>
              </w:rPr>
              <w:t>Term Sheet §3.1; Series A IRA §2.2(a)–(b)</w:t>
            </w:r>
          </w:p>
        </w:tc>
        <w:tc>
          <w:tcPr>
            <w:tcW w:type="dxa" w:w="2448"/>
          </w:tcPr>
          <w:p>
            <w:r/>
            <w:r>
              <w:rPr>
                <w:sz w:val="16"/>
              </w:rPr>
              <w:t>Restore 20 days’ notice and a 15-day response period.</w:t>
            </w:r>
          </w:p>
        </w:tc>
      </w:tr>
      <w:tr>
        <w:tc>
          <w:tcPr>
            <w:tcW w:type="dxa" w:w="648"/>
          </w:tcPr>
          <w:p>
            <w:r/>
            <w:r>
              <w:rPr>
                <w:b/>
                <w:sz w:val="16"/>
              </w:rPr>
              <w:t>M-2</w:t>
            </w:r>
          </w:p>
        </w:tc>
        <w:tc>
          <w:tcPr>
            <w:tcW w:type="dxa" w:w="1080"/>
            <w:shd w:val="clear" w:color="auto" w:fill="D9EAD3"/>
          </w:tcPr>
          <w:p>
            <w:r/>
            <w:r>
              <w:rPr>
                <w:b/>
                <w:sz w:val="16"/>
              </w:rPr>
              <w:t>Minor</w:t>
            </w:r>
          </w:p>
        </w:tc>
        <w:tc>
          <w:tcPr>
            <w:tcW w:type="dxa" w:w="1152"/>
          </w:tcPr>
          <w:p>
            <w:r/>
            <w:r>
              <w:rPr>
                <w:sz w:val="16"/>
              </w:rPr>
              <w:t>§6.3</w:t>
            </w:r>
          </w:p>
        </w:tc>
        <w:tc>
          <w:tcPr>
            <w:tcW w:type="dxa" w:w="2304"/>
          </w:tcPr>
          <w:p>
            <w:r/>
            <w:r>
              <w:rPr>
                <w:sz w:val="16"/>
              </w:rPr>
              <w:t>D&amp;O insurance minimum and form</w:t>
            </w:r>
          </w:p>
        </w:tc>
        <w:tc>
          <w:tcPr>
            <w:tcW w:type="dxa" w:w="1728"/>
          </w:tcPr>
          <w:p>
            <w:r/>
            <w:r>
              <w:rPr>
                <w:sz w:val="16"/>
              </w:rPr>
              <w:t>Series A IRA §§5.1, 5.4; Term Sheet (silent)</w:t>
            </w:r>
          </w:p>
        </w:tc>
        <w:tc>
          <w:tcPr>
            <w:tcW w:type="dxa" w:w="2448"/>
          </w:tcPr>
          <w:p>
            <w:r/>
            <w:r>
              <w:rPr>
                <w:sz w:val="16"/>
              </w:rPr>
              <w:t>Board-determined amount and form; commercially reasonable efforts.</w:t>
            </w:r>
          </w:p>
        </w:tc>
      </w:tr>
      <w:tr>
        <w:tc>
          <w:tcPr>
            <w:tcW w:type="dxa" w:w="648"/>
          </w:tcPr>
          <w:p>
            <w:r/>
            <w:r>
              <w:rPr>
                <w:b/>
                <w:sz w:val="16"/>
              </w:rPr>
              <w:t>M-3</w:t>
            </w:r>
          </w:p>
        </w:tc>
        <w:tc>
          <w:tcPr>
            <w:tcW w:type="dxa" w:w="1080"/>
            <w:shd w:val="clear" w:color="auto" w:fill="D9EAD3"/>
          </w:tcPr>
          <w:p>
            <w:r/>
            <w:r>
              <w:rPr>
                <w:b/>
                <w:sz w:val="16"/>
              </w:rPr>
              <w:t>Minor</w:t>
            </w:r>
          </w:p>
        </w:tc>
        <w:tc>
          <w:tcPr>
            <w:tcW w:type="dxa" w:w="1152"/>
          </w:tcPr>
          <w:p>
            <w:r/>
            <w:r>
              <w:rPr>
                <w:sz w:val="16"/>
              </w:rPr>
              <w:t>§6.6</w:t>
            </w:r>
          </w:p>
        </w:tc>
        <w:tc>
          <w:tcPr>
            <w:tcW w:type="dxa" w:w="2304"/>
          </w:tcPr>
          <w:p>
            <w:r/>
            <w:r>
              <w:rPr>
                <w:sz w:val="16"/>
              </w:rPr>
              <w:t>Successor indemnification weakened</w:t>
            </w:r>
          </w:p>
        </w:tc>
        <w:tc>
          <w:tcPr>
            <w:tcW w:type="dxa" w:w="1728"/>
          </w:tcPr>
          <w:p>
            <w:r/>
            <w:r>
              <w:rPr>
                <w:sz w:val="16"/>
              </w:rPr>
              <w:t>Series A IRA §5.5</w:t>
            </w:r>
          </w:p>
        </w:tc>
        <w:tc>
          <w:tcPr>
            <w:tcW w:type="dxa" w:w="2448"/>
          </w:tcPr>
          <w:p>
            <w:r/>
            <w:r>
              <w:rPr>
                <w:sz w:val="16"/>
              </w:rPr>
              <w:t>Restore “shall cause” (Series A §5.5).</w:t>
            </w:r>
          </w:p>
        </w:tc>
      </w:tr>
      <w:tr>
        <w:tc>
          <w:tcPr>
            <w:tcW w:type="dxa" w:w="648"/>
          </w:tcPr>
          <w:p>
            <w:r/>
            <w:r>
              <w:rPr>
                <w:b/>
                <w:sz w:val="16"/>
              </w:rPr>
              <w:t>M-4</w:t>
            </w:r>
          </w:p>
        </w:tc>
        <w:tc>
          <w:tcPr>
            <w:tcW w:type="dxa" w:w="1080"/>
            <w:shd w:val="clear" w:color="auto" w:fill="D9EAD3"/>
          </w:tcPr>
          <w:p>
            <w:r/>
            <w:r>
              <w:rPr>
                <w:b/>
                <w:sz w:val="16"/>
              </w:rPr>
              <w:t>Minor</w:t>
            </w:r>
          </w:p>
        </w:tc>
        <w:tc>
          <w:tcPr>
            <w:tcW w:type="dxa" w:w="1152"/>
          </w:tcPr>
          <w:p>
            <w:r/>
            <w:r>
              <w:rPr>
                <w:sz w:val="16"/>
              </w:rPr>
              <w:t>§§1.5, 1.11, 1.18, 8.2, 9.2–9.3</w:t>
            </w:r>
          </w:p>
        </w:tc>
        <w:tc>
          <w:tcPr>
            <w:tcW w:type="dxa" w:w="2304"/>
          </w:tcPr>
          <w:p>
            <w:r/>
            <w:r>
              <w:rPr>
                <w:sz w:val="16"/>
              </w:rPr>
              <w:t>Definitions, cross-references and title</w:t>
            </w:r>
          </w:p>
        </w:tc>
        <w:tc>
          <w:tcPr>
            <w:tcW w:type="dxa" w:w="1728"/>
          </w:tcPr>
          <w:p>
            <w:r/>
            <w:r>
              <w:rPr>
                <w:sz w:val="16"/>
              </w:rPr>
              <w:t>Internal consistency</w:t>
            </w:r>
          </w:p>
        </w:tc>
        <w:tc>
          <w:tcPr>
            <w:tcW w:type="dxa" w:w="2448"/>
          </w:tcPr>
          <w:p>
            <w:r/>
            <w:r>
              <w:rPr>
                <w:sz w:val="16"/>
              </w:rPr>
              <w:t>Single charter definition (the Series B charter). Define the undefined terms. Fix cross-references. Retitle as an A&amp;R IRA.</w:t>
            </w:r>
          </w:p>
        </w:tc>
      </w:tr>
      <w:tr>
        <w:tc>
          <w:tcPr>
            <w:tcW w:type="dxa" w:w="648"/>
          </w:tcPr>
          <w:p>
            <w:r/>
            <w:r>
              <w:rPr>
                <w:b/>
                <w:sz w:val="16"/>
              </w:rPr>
              <w:t>M-5</w:t>
            </w:r>
          </w:p>
        </w:tc>
        <w:tc>
          <w:tcPr>
            <w:tcW w:type="dxa" w:w="1080"/>
            <w:shd w:val="clear" w:color="auto" w:fill="D9EAD3"/>
          </w:tcPr>
          <w:p>
            <w:r/>
            <w:r>
              <w:rPr>
                <w:b/>
                <w:sz w:val="16"/>
              </w:rPr>
              <w:t>Minor</w:t>
            </w:r>
          </w:p>
        </w:tc>
        <w:tc>
          <w:tcPr>
            <w:tcW w:type="dxa" w:w="1152"/>
          </w:tcPr>
          <w:p>
            <w:r/>
            <w:r>
              <w:rPr>
                <w:sz w:val="16"/>
              </w:rPr>
              <w:t>§7.1; Series A §§5.3, 5.6</w:t>
            </w:r>
          </w:p>
        </w:tc>
        <w:tc>
          <w:tcPr>
            <w:tcW w:type="dxa" w:w="2304"/>
          </w:tcPr>
          <w:p>
            <w:r/>
            <w:r>
              <w:rPr>
                <w:sz w:val="16"/>
              </w:rPr>
              <w:t>Dropped Series A covenants (employee vesting, reservation of shares)</w:t>
            </w:r>
          </w:p>
        </w:tc>
        <w:tc>
          <w:tcPr>
            <w:tcW w:type="dxa" w:w="1728"/>
          </w:tcPr>
          <w:p>
            <w:r/>
            <w:r>
              <w:rPr>
                <w:sz w:val="16"/>
              </w:rPr>
              <w:t>Series A IRA §§5.3, 5.6</w:t>
            </w:r>
          </w:p>
        </w:tc>
        <w:tc>
          <w:tcPr>
            <w:tcW w:type="dxa" w:w="2448"/>
          </w:tcPr>
          <w:p>
            <w:r/>
            <w:r>
              <w:rPr>
                <w:sz w:val="16"/>
              </w:rPr>
              <w:t>Do not volunteer. Confirm §7.1 against the RSPAs.</w:t>
            </w:r>
          </w:p>
        </w:tc>
      </w:tr>
      <w:tr>
        <w:tc>
          <w:tcPr>
            <w:tcW w:type="dxa" w:w="648"/>
          </w:tcPr>
          <w:p>
            <w:r/>
            <w:r>
              <w:rPr>
                <w:b/>
                <w:sz w:val="16"/>
              </w:rPr>
              <w:t>M-6</w:t>
            </w:r>
          </w:p>
        </w:tc>
        <w:tc>
          <w:tcPr>
            <w:tcW w:type="dxa" w:w="1080"/>
            <w:shd w:val="clear" w:color="auto" w:fill="D9EAD3"/>
          </w:tcPr>
          <w:p>
            <w:r/>
            <w:r>
              <w:rPr>
                <w:b/>
                <w:sz w:val="16"/>
              </w:rPr>
              <w:t>Minor</w:t>
            </w:r>
          </w:p>
        </w:tc>
        <w:tc>
          <w:tcPr>
            <w:tcW w:type="dxa" w:w="1152"/>
          </w:tcPr>
          <w:p>
            <w:r/>
            <w:r>
              <w:rPr>
                <w:sz w:val="16"/>
              </w:rPr>
              <w:t>§2.12</w:t>
            </w:r>
          </w:p>
        </w:tc>
        <w:tc>
          <w:tcPr>
            <w:tcW w:type="dxa" w:w="2304"/>
          </w:tcPr>
          <w:p>
            <w:r/>
            <w:r>
              <w:rPr>
                <w:sz w:val="16"/>
              </w:rPr>
              <w:t>Limitation on subsequent registration rights</w:t>
            </w:r>
          </w:p>
        </w:tc>
        <w:tc>
          <w:tcPr>
            <w:tcW w:type="dxa" w:w="1728"/>
          </w:tcPr>
          <w:p>
            <w:r/>
            <w:r>
              <w:rPr>
                <w:sz w:val="16"/>
              </w:rPr>
              <w:t>Series A IRA §2.9; market</w:t>
            </w:r>
          </w:p>
        </w:tc>
        <w:tc>
          <w:tcPr>
            <w:tcW w:type="dxa" w:w="2448"/>
          </w:tcPr>
          <w:p>
            <w:r/>
            <w:r>
              <w:rPr>
                <w:sz w:val="16"/>
              </w:rPr>
              <w:t>Permit pari passu rights in Board-approved financings.</w:t>
            </w:r>
          </w:p>
        </w:tc>
      </w:tr>
      <w:tr>
        <w:tc>
          <w:tcPr>
            <w:tcW w:type="dxa" w:w="648"/>
          </w:tcPr>
          <w:p>
            <w:r/>
            <w:r>
              <w:rPr>
                <w:b/>
                <w:sz w:val="16"/>
              </w:rPr>
              <w:t>M-7</w:t>
            </w:r>
          </w:p>
        </w:tc>
        <w:tc>
          <w:tcPr>
            <w:tcW w:type="dxa" w:w="1080"/>
            <w:shd w:val="clear" w:color="auto" w:fill="D9EAD3"/>
          </w:tcPr>
          <w:p>
            <w:r/>
            <w:r>
              <w:rPr>
                <w:b/>
                <w:sz w:val="16"/>
              </w:rPr>
              <w:t>Minor</w:t>
            </w:r>
          </w:p>
        </w:tc>
        <w:tc>
          <w:tcPr>
            <w:tcW w:type="dxa" w:w="1152"/>
          </w:tcPr>
          <w:p>
            <w:r/>
            <w:r>
              <w:rPr>
                <w:sz w:val="16"/>
              </w:rPr>
              <w:t>Signature pages; §9.1; Schedules</w:t>
            </w:r>
          </w:p>
        </w:tc>
        <w:tc>
          <w:tcPr>
            <w:tcW w:type="dxa" w:w="2304"/>
          </w:tcPr>
          <w:p>
            <w:r/>
            <w:r>
              <w:rPr>
                <w:sz w:val="16"/>
              </w:rPr>
              <w:t>Signature blocks, notices and schedules</w:t>
            </w:r>
          </w:p>
        </w:tc>
        <w:tc>
          <w:tcPr>
            <w:tcW w:type="dxa" w:w="1728"/>
          </w:tcPr>
          <w:p>
            <w:r/>
            <w:r>
              <w:rPr>
                <w:sz w:val="16"/>
              </w:rPr>
              <w:t>Term Sheet §§1.2, 12; Series A IRA §7.5 and signature pages</w:t>
            </w:r>
          </w:p>
        </w:tc>
        <w:tc>
          <w:tcPr>
            <w:tcW w:type="dxa" w:w="2448"/>
          </w:tcPr>
          <w:p>
            <w:r/>
            <w:r>
              <w:rPr>
                <w:sz w:val="16"/>
              </w:rPr>
              <w:t>Correct the Pinnacle address and signatories, emails and the Hollcroft copy line. Add the Key Holder capacity legend.</w:t>
            </w:r>
          </w:p>
        </w:tc>
      </w:tr>
      <w:tr>
        <w:tc>
          <w:tcPr>
            <w:tcW w:type="dxa" w:w="648"/>
          </w:tcPr>
          <w:p>
            <w:r/>
            <w:r>
              <w:rPr>
                <w:b/>
                <w:sz w:val="16"/>
              </w:rPr>
              <w:t>M-8</w:t>
            </w:r>
          </w:p>
        </w:tc>
        <w:tc>
          <w:tcPr>
            <w:tcW w:type="dxa" w:w="1080"/>
            <w:shd w:val="clear" w:color="auto" w:fill="D9EAD3"/>
          </w:tcPr>
          <w:p>
            <w:r/>
            <w:r>
              <w:rPr>
                <w:b/>
                <w:sz w:val="16"/>
              </w:rPr>
              <w:t>Minor</w:t>
            </w:r>
          </w:p>
        </w:tc>
        <w:tc>
          <w:tcPr>
            <w:tcW w:type="dxa" w:w="1152"/>
          </w:tcPr>
          <w:p>
            <w:r/>
            <w:r>
              <w:rPr>
                <w:sz w:val="16"/>
              </w:rPr>
              <w:t>§§9.3, 9.5</w:t>
            </w:r>
          </w:p>
        </w:tc>
        <w:tc>
          <w:tcPr>
            <w:tcW w:type="dxa" w:w="2304"/>
          </w:tcPr>
          <w:p>
            <w:r/>
            <w:r>
              <w:rPr>
                <w:sz w:val="16"/>
              </w:rPr>
              <w:t>Forum selection vs. Massachusetts law; expenses clause</w:t>
            </w:r>
          </w:p>
        </w:tc>
        <w:tc>
          <w:tcPr>
            <w:tcW w:type="dxa" w:w="1728"/>
          </w:tcPr>
          <w:p>
            <w:r/>
            <w:r>
              <w:rPr>
                <w:sz w:val="16"/>
              </w:rPr>
              <w:t>M.G.L. c. 149, §24L(e); Term Sheet §7</w:t>
            </w:r>
          </w:p>
        </w:tc>
        <w:tc>
          <w:tcPr>
            <w:tcW w:type="dxa" w:w="2448"/>
          </w:tcPr>
          <w:p>
            <w:r/>
            <w:r>
              <w:rPr>
                <w:sz w:val="16"/>
              </w:rPr>
              <w:t>Define “Transaction Agreements.” Venue issue is moot once §7.4 is deleted.</w:t>
            </w:r>
          </w:p>
        </w:tc>
      </w:tr>
    </w:tbl>
    <w:p>
      <w:pPr>
        <w:spacing w:after="40"/>
      </w:pPr>
    </w:p>
    <w:p>
      <w:pPr>
        <w:pStyle w:val="Heading1"/>
      </w:pPr>
      <w:r>
        <w:t>IV. Detailed Issue Analysis</w:t>
      </w:r>
    </w:p>
    <w:p>
      <w:pPr>
        <w:spacing w:after="120"/>
      </w:pPr>
      <w:r>
        <w:rPr>
          <w:b w:val="0"/>
          <w:i w:val="0"/>
        </w:rPr>
        <w:t>Each issue below sets out (a) the Draft IRA section, (b) the problem, (c) the risk and impact on the Company and the Founders, and (d) our recommendation, with proposed language where useful. Section references are to the Draft IRA unless noted.</w:t>
      </w:r>
    </w:p>
    <w:p>
      <w:pPr>
        <w:pStyle w:val="Heading2"/>
      </w:pPr>
      <w:r>
        <w:t>A. Critical Issues</w:t>
      </w:r>
    </w:p>
    <w:p>
      <w:pPr>
        <w:pStyle w:val="Heading3"/>
      </w:pPr>
      <w:r>
        <w:t>C-1 — Founder non-competition and non-solicitation covenants  [CRITICAL]</w:t>
      </w:r>
    </w:p>
    <w:p>
      <w:pPr>
        <w:spacing w:after="80"/>
      </w:pPr>
      <w:r>
        <w:rPr>
          <w:b/>
        </w:rPr>
        <w:t xml:space="preserve">(a) Draft IRA section(s): </w:t>
      </w:r>
      <w:r>
        <w:t>§7.4(a)–(c); see also §§8.1, 8.2 (survival), 9.4–9.5 (Delaware law and forum), 9.12 (specific performance)</w:t>
      </w:r>
    </w:p>
    <w:p>
      <w:pPr>
        <w:spacing w:after="80"/>
      </w:pPr>
      <w:r>
        <w:rPr>
          <w:b/>
        </w:rPr>
        <w:t xml:space="preserve">Benchmark(s): </w:t>
      </w:r>
      <w:r>
        <w:t>Term Sheet §5.3; Series A IRA (Key Holder signature page); Massachusetts law; market</w:t>
      </w:r>
    </w:p>
    <w:p>
      <w:pPr>
        <w:spacing w:after="40"/>
      </w:pPr>
      <w:r>
        <w:rPr>
          <w:b/>
        </w:rPr>
        <w:t>(b) Problem.</w:t>
      </w:r>
    </w:p>
    <w:p>
      <w:pPr>
        <w:pStyle w:val="ListBullet"/>
        <w:spacing w:after="60"/>
      </w:pPr>
      <w:r>
        <w:t>Section 7.4 imposes on each Founder a worldwide non-compete covering “any field related to synthetic biology, industrial biotechnology, or engineered biological systems,” including any entity “planning to engage” in such a field, for the entire period of service plus twenty-four (24) months after separation for any reason, together with a 24-month employee and customer/collaborator non-solicit. Section 7.4(c) asks a court to reform the covenant, and Sections 8.1 and 8.2 make Section 7.4 survive termination of the Agreement, including after an IPO.</w:t>
      </w:r>
    </w:p>
    <w:p>
      <w:pPr>
        <w:pStyle w:val="ListBullet"/>
        <w:spacing w:after="60"/>
      </w:pPr>
      <w:r>
        <w:t>This is a direct departure from the executed Term Sheet. Term Sheet §5.3 states that “[n]o non-competition or non-solicitation provisions are included in this Term Sheet” and that any employment-related restrictive covenants “shall be addressed separately in individual employment agreements … and shall not be a condition of, or otherwise incorporated into, the Series B Financing or any transaction document.” The Series A IRA went further: its Key Holder signature page expressly states that “the Key Holders are not subject to any restrictive covenants, non-competition obligations, or non-solicitation obligations under this Agreement.” The only founder-related covenant the Term Sheet contemplates is continued compliance with the existing CIIAs (§5.3, second paragraph), which is already covered by draft §6.4.</w:t>
      </w:r>
    </w:p>
    <w:p>
      <w:pPr>
        <w:spacing w:after="40"/>
      </w:pPr>
      <w:r>
        <w:rPr>
          <w:b/>
        </w:rPr>
        <w:t>(c) Risk and impact.</w:t>
      </w:r>
    </w:p>
    <w:p>
      <w:pPr>
        <w:pStyle w:val="ListBullet"/>
        <w:spacing w:after="60"/>
      </w:pPr>
      <w:r>
        <w:t>Founder exposure. As drafted, the covenant would bar Priya and Marcus from essentially any work in their scientific field anywhere in the world for two years after any departure, including a termination without cause, and would survive an IPO or sale. Because it sits in an investor agreement rather than an employment agreement, each Investor (not just the Company) could claim standing to enforce it, and §9.12 pre-concedes irreparable harm for injunctive relief.</w:t>
      </w:r>
    </w:p>
    <w:p>
      <w:pPr>
        <w:pStyle w:val="ListBullet"/>
        <w:spacing w:after="60"/>
      </w:pPr>
      <w:r>
        <w:t>Massachusetts law. Both Founders live and work in Massachusetts. The Massachusetts Noncompetition Agreement Act (M.G.L. c. 149, §24L) applies to non-competes with employees and independent contractors. It requires, among other things: a signed writing that tells the employee they may consult counsel; at least ten business days’ advance notice and “fair and reasonable consideration” beyond continued employment for a covenant entered into after employment begins; a restricted period of no more than 12 months (extendable to two years only for breach of fiduciary duty or unlawful taking of company property); garden-leave pay of at least 50% of the employee’s highest annualized base salary or other mutually agreed consideration; and geographic and activity scope that is reasonable (presumptively limited to the areas and services of the employee’s last two years). The covenant is unenforceable against an employee who is terminated without cause or laid off. Section 24L(e) also bars avoiding Massachusetts law through a choice-of-law clause for an employee who has lived or worked in Massachusetts for at least 30 days before termination, and requires suit in the county where the employee lives or, if the parties agree, Suffolk County. Section 7.4 fails nearly every one of these requirements, and §§9.4–9.5 (Delaware law, exclusive Chancery forum) conflict with §24L(e).</w:t>
      </w:r>
    </w:p>
    <w:p>
      <w:pPr>
        <w:pStyle w:val="ListBullet"/>
        <w:spacing w:after="60"/>
      </w:pPr>
      <w:r>
        <w:t>Investors may argue that the Act does not apply because the covenant was “made outside of an employment relationship” (a stockholder covenant) or under the sale-of-business exclusion. Neither argument fits a financing in which the Founders sell nothing and the restricted period runs from the end of employment. Even if the argument worked, the covenant would still face common-law reasonableness review. The Delaware Court of Chancery has also recently refused to blue-pencil overbroad covenants and has struck them entirely (e.g., Kodiak Building Partners, LLC v. Adams (Del. Ch. 2022); Sunder Energy, LLC v. Jackson (Del. 2024)). The likely result is an unenforceable but litigable covenant that chills the Founders and gives investors leverage in any separation dispute.</w:t>
      </w:r>
    </w:p>
    <w:p>
      <w:pPr>
        <w:pStyle w:val="ListBullet"/>
        <w:spacing w:after="60"/>
      </w:pPr>
      <w:r>
        <w:t>The FTC’s 2024 non-compete rule is not a defense: it was set aside nationwide in Ryan LLC v. FTC (N.D. Tex. Aug. 20, 2024) and, in any case, contained a senior-executive carve-out for existing agreements.</w:t>
      </w:r>
    </w:p>
    <w:p>
      <w:pPr>
        <w:pStyle w:val="ListBullet"/>
        <w:spacing w:after="60"/>
      </w:pPr>
      <w:r>
        <w:t>Deal risk. The Founders have flagged this as a priority concern, and it was never discussed during term sheet negotiations. Accepting it would re-trade a point the Term Sheet expressly resolved.</w:t>
      </w:r>
    </w:p>
    <w:p>
      <w:pPr>
        <w:spacing w:after="40"/>
      </w:pPr>
      <w:r>
        <w:rPr>
          <w:b/>
        </w:rPr>
        <w:t>(d) Recommendation.</w:t>
      </w:r>
    </w:p>
    <w:p>
      <w:pPr>
        <w:pStyle w:val="ListBullet"/>
        <w:spacing w:after="60"/>
      </w:pPr>
      <w:r>
        <w:t>Delete §7.4 in its entirety, strike “7.4” from §§8.1 and 8.2, and make the Key Holders sign in a limited capacity, as they did in the Series A IRA. Cite Term Sheet §5.3 in the comments letter; this point should not be negotiable. If CMV wants protection, the answer is the existing CIIAs (a closing condition under Term Sheet §5.3) and any separately negotiated, §24L-compliant employment agreements, outside the financing documents.</w:t>
      </w:r>
    </w:p>
    <w:p>
      <w:pPr>
        <w:pStyle w:val="ListBullet"/>
        <w:spacing w:after="60"/>
      </w:pPr>
      <w:r>
        <w:t>Proposed replacement language (new §7.4): “No Restrictive Covenants. Notwithstanding anything to the contrary in this Agreement, no Key Holder shall be subject to any non-competition, non-solicitation, no-hire, or similar restrictive covenant under this Agreement. Any such covenant, if applicable, shall be set forth exclusively in a separate written agreement between the Company and such Key Holder, shall be governed by applicable law (including M.G.L. c. 149, §24L), and shall not be a condition to, or otherwise incorporated into, the transactions contemplated by the Purchase Agreement.”</w:t>
      </w:r>
    </w:p>
    <w:p>
      <w:pPr>
        <w:pStyle w:val="Heading3"/>
      </w:pPr>
      <w:r>
        <w:t>C-2 — Differential 270-day Founder lock-up  [CRITICAL]</w:t>
      </w:r>
    </w:p>
    <w:p>
      <w:pPr>
        <w:spacing w:after="80"/>
      </w:pPr>
      <w:r>
        <w:rPr>
          <w:b/>
        </w:rPr>
        <w:t xml:space="preserve">(a) Draft IRA section(s): </w:t>
      </w:r>
      <w:r>
        <w:t>§6.2 (and duplicative §§2.11, 6.1)</w:t>
      </w:r>
    </w:p>
    <w:p>
      <w:pPr>
        <w:spacing w:after="80"/>
      </w:pPr>
      <w:r>
        <w:rPr>
          <w:b/>
        </w:rPr>
        <w:t xml:space="preserve">Benchmark(s): </w:t>
      </w:r>
      <w:r>
        <w:t>Term Sheet §5.2; Series A IRA §6.1; market (NVCA)</w:t>
      </w:r>
    </w:p>
    <w:p>
      <w:pPr>
        <w:spacing w:after="40"/>
      </w:pPr>
      <w:r>
        <w:rPr>
          <w:b/>
        </w:rPr>
        <w:t>(b) Problem.</w:t>
      </w:r>
    </w:p>
    <w:p>
      <w:pPr>
        <w:pStyle w:val="ListBullet"/>
        <w:spacing w:after="60"/>
      </w:pPr>
      <w:r>
        <w:t>Section 6.2 subjects the Founders alone to a 270-day lock-up that runs from the date of the final prospectus. It covers after-acquired shares, including shares bought in the IPO or in the open market and shares acquired on option exercise, and it bans hedging. Every other Holder gets 180 days under §2.11.</w:t>
      </w:r>
    </w:p>
    <w:p>
      <w:pPr>
        <w:pStyle w:val="ListBullet"/>
        <w:spacing w:after="60"/>
      </w:pPr>
      <w:r>
        <w:t>Term Sheet §5.2 is explicit: the lock-up is 180 days, “uniform for all stockholders and optionholders, with no differential lock-up period applicable to the Founders or any other subset of stockholders,” and it begins on “the effective date of the registration statement.” The Series A IRA §6.1 likewise required a uniform 180-day period “without differentiation.” The draft now has three overlapping lock-up provisions (§§2.11, 6.1 and 6.2) with different start dates (effective date versus final prospectus date) and different scope.</w:t>
      </w:r>
    </w:p>
    <w:p>
      <w:pPr>
        <w:spacing w:after="40"/>
      </w:pPr>
      <w:r>
        <w:rPr>
          <w:b/>
        </w:rPr>
        <w:t>(c) Risk and impact.</w:t>
      </w:r>
    </w:p>
    <w:p>
      <w:pPr>
        <w:pStyle w:val="ListBullet"/>
        <w:spacing w:after="60"/>
      </w:pPr>
      <w:r>
        <w:t>Ninety extra days of illiquidity for the Founders alone, beyond whatever the underwriters actually require. The longer period also tells the market that management has been singled out. If the underwriters ask for less, §6.2 still binds the Founders unless the managing underwriter consents. Covering after-acquired shares goes beyond NVCA practice, which covers only shares held immediately before the IPO. Having three overlapping provisions invites disputes over which one governs.</w:t>
      </w:r>
    </w:p>
    <w:p>
      <w:pPr>
        <w:spacing w:after="40"/>
      </w:pPr>
      <w:r>
        <w:rPr>
          <w:b/>
        </w:rPr>
        <w:t>(d) Recommendation.</w:t>
      </w:r>
    </w:p>
    <w:p>
      <w:pPr>
        <w:pStyle w:val="ListBullet"/>
        <w:spacing w:after="60"/>
      </w:pPr>
      <w:r>
        <w:t>Delete §§6.1 and 6.2 and keep a single NVCA-form market stand-off in §2.11, revised as described in Issue S-3 (uniform 180 days from the effective date, applying only to shares held immediately before the IPO, and binding the Holders only if all officers, directors and 1% holders are similarly bound, with pro rata early-release protection).</w:t>
      </w:r>
    </w:p>
    <w:p>
      <w:pPr>
        <w:pStyle w:val="Heading3"/>
      </w:pPr>
      <w:r>
        <w:t>C-3 — Drag-along triggered by Preferred alone (Common approval and Board approval omitted)  [CRITICAL]</w:t>
      </w:r>
    </w:p>
    <w:p>
      <w:pPr>
        <w:spacing w:after="80"/>
      </w:pPr>
      <w:r>
        <w:rPr>
          <w:b/>
        </w:rPr>
        <w:t xml:space="preserve">(a) Draft IRA section(s): </w:t>
      </w:r>
      <w:r>
        <w:t>§§5.1–5.3</w:t>
      </w:r>
    </w:p>
    <w:p>
      <w:pPr>
        <w:spacing w:after="80"/>
      </w:pPr>
      <w:r>
        <w:rPr>
          <w:b/>
        </w:rPr>
        <w:t xml:space="preserve">Benchmark(s): </w:t>
      </w:r>
      <w:r>
        <w:t>Term Sheet §5.1; Restated Certificate §§4.3.4(c), 4.3.8(v); Series A IRA (no drag-along); market (NVCA Voting Agreement §3)</w:t>
      </w:r>
    </w:p>
    <w:p>
      <w:pPr>
        <w:spacing w:after="40"/>
      </w:pPr>
      <w:r>
        <w:rPr>
          <w:b/>
        </w:rPr>
        <w:t>(b) Problem.</w:t>
      </w:r>
    </w:p>
    <w:p>
      <w:pPr>
        <w:pStyle w:val="ListBullet"/>
        <w:spacing w:after="60"/>
      </w:pPr>
      <w:r>
        <w:t>Under §5.1, the “Electing Holders,” meaning holders of a majority of the outstanding Preferred Stock voting together, can force every Stockholder (including the Founders) to vote for, consent to and support a Sale of the Company. No approval from the Common Stock or the Board is required.</w:t>
      </w:r>
    </w:p>
    <w:p>
      <w:pPr>
        <w:pStyle w:val="ListBullet"/>
        <w:spacing w:after="60"/>
      </w:pPr>
      <w:r>
        <w:t>Term Sheet §5.1 defines the “Requisite Approval” as a majority of the Preferred Stock (voting together) and a majority of the outstanding Common Stock. Northstar’s counsel has also stressed that both had to approve. The Term Sheet also places the drag-along in the Voting Agreement, not the IRA. The Series A IRA had no drag-along at all, so this is a new obligation for the Series A holders and the Founders.</w:t>
      </w:r>
    </w:p>
    <w:p>
      <w:pPr>
        <w:spacing w:after="40"/>
      </w:pPr>
      <w:r>
        <w:rPr>
          <w:b/>
        </w:rPr>
        <w:t>(c) Risk and impact.</w:t>
      </w:r>
    </w:p>
    <w:p>
      <w:pPr>
        <w:pStyle w:val="ListBullet"/>
        <w:spacing w:after="60"/>
      </w:pPr>
      <w:r>
        <w:t>Cap table math (assuming 1:1 conversion and the Term Sheet capitalization): 9,000,000 Preferred shares will be outstanding after the initial Closing (6,000,000 Series A and 3,000,000 Series B), so a majority requires more than 4,500,000. CMV (2,117,647) plus Verdant (2,400,000) holds 4,517,647 shares. Those two holders alone could therefore drag Northstar, Pinnacle and both Founders into a sale. The Series A holders voting alone (6,000,000) could also drag the Series B. The Founders hold 4,200,000 Common shares, roughly 32% of the as-converted equity, and would have no say at all. This is exactly the “squeeze-out” scenario Northstar raised.</w:t>
      </w:r>
    </w:p>
    <w:p>
      <w:pPr>
        <w:pStyle w:val="ListBullet"/>
        <w:spacing w:after="60"/>
      </w:pPr>
      <w:r>
        <w:t>There is no requirement that the Board approve the transaction. A merger requires Board approval under DGCL §251 in any event, and a drag without Board approval invites fiduciary-duty disputes. The draft also does not address the Series A majority’s separate-class right under Restated Certificate §4.3.4(a) to elect not to treat a transaction as a Deemed Liquidation Event. That right must be reconciled in the Series B charter.</w:t>
      </w:r>
    </w:p>
    <w:p>
      <w:pPr>
        <w:pStyle w:val="ListBullet"/>
        <w:spacing w:after="60"/>
      </w:pPr>
      <w:r>
        <w:t>The protective conditions in §5.2 are helpful and should be kept: same per-share consideration within a class, liability several and capped at proceeds, limited reps, and no forced non-compete or non-solicit. Note that §5.2(d) appropriately refuses to force non-competes in a sale, which cannot be squared with §7.4.</w:t>
      </w:r>
    </w:p>
    <w:p>
      <w:pPr>
        <w:spacing w:after="40"/>
      </w:pPr>
      <w:r>
        <w:rPr>
          <w:b/>
        </w:rPr>
        <w:t>(d) Recommendation.</w:t>
      </w:r>
    </w:p>
    <w:p>
      <w:pPr>
        <w:pStyle w:val="ListBullet"/>
        <w:spacing w:after="60"/>
      </w:pPr>
      <w:r>
        <w:t>Move the drag-along to the Voting Agreement as the Term Sheet requires (or, if it stays here, conform it exactly to the Voting Agreement) and revise the trigger to require the Term Sheet’s Requisite Approval plus Board approval.</w:t>
      </w:r>
    </w:p>
    <w:p>
      <w:pPr>
        <w:pStyle w:val="ListBullet"/>
        <w:spacing w:after="60"/>
      </w:pPr>
      <w:r>
        <w:t>Proposed language for §5.1 lead-in: “In the event that each of (i) the Board, (ii) the holders of at least a majority of the outstanding shares of Preferred Stock, voting together as a single class on an as-converted basis, and (iii) the holders of at least a majority of the then-outstanding shares of Common Stock (other than shares of Common Stock issued or issuable upon conversion of Preferred Stock) (the approvals in clauses (ii) and (iii), together, the “Requisite Approval”) approve a Sale of the Company in writing, then …”.</w:t>
      </w:r>
    </w:p>
    <w:p>
      <w:pPr>
        <w:pStyle w:val="ListBullet"/>
        <w:spacing w:after="60"/>
      </w:pPr>
      <w:r>
        <w:t>Add to §5.2 an express condition that the proceeds be allocated per the liquidation provisions of the Restated Certificate as in effect immediately before the sale (Term Sheet §5.1). Add that each holder of a class gets the same form-of-consideration election, and that any indemnity is several and not joint (consistent with the Term Sheet’s “customary limitations”).</w:t>
      </w:r>
    </w:p>
    <w:p>
      <w:pPr>
        <w:pStyle w:val="Heading3"/>
      </w:pPr>
      <w:r>
        <w:t>C-4 — Board composition provisions contradict the Term Sheet and the Certificate  [CRITICAL]</w:t>
      </w:r>
    </w:p>
    <w:p>
      <w:pPr>
        <w:spacing w:after="80"/>
      </w:pPr>
      <w:r>
        <w:rPr>
          <w:b/>
        </w:rPr>
        <w:t xml:space="preserve">(a) Draft IRA section(s): </w:t>
      </w:r>
      <w:r>
        <w:t>§6.7</w:t>
      </w:r>
    </w:p>
    <w:p>
      <w:pPr>
        <w:spacing w:after="80"/>
      </w:pPr>
      <w:r>
        <w:rPr>
          <w:b/>
        </w:rPr>
        <w:t xml:space="preserve">Benchmark(s): </w:t>
      </w:r>
      <w:r>
        <w:t>Term Sheet §4.1; Restated Certificate §§4.3.6(b), 4.3.8(vii), 5.1; Series A IRA §5.4</w:t>
      </w:r>
    </w:p>
    <w:p>
      <w:pPr>
        <w:spacing w:after="40"/>
      </w:pPr>
      <w:r>
        <w:rPr>
          <w:b/>
        </w:rPr>
        <w:t>(b) Problem.</w:t>
      </w:r>
    </w:p>
    <w:p>
      <w:pPr>
        <w:pStyle w:val="ListBullet"/>
        <w:spacing w:after="60"/>
      </w:pPr>
      <w:r>
        <w:t>Section 6.7 fixes the Board at five seats: (a) one Series A designee; (b) one designee of a majority of the Series B; (c) one designee of a majority of the Common; (d) the CEO (initially Priya); and (e) one independent director “mutually acceptable to the other directors then serving.” It also locks the Board at five directors “[f]or so long as this Agreement remains in effect.”</w:t>
      </w:r>
    </w:p>
    <w:p>
      <w:pPr>
        <w:pStyle w:val="ListBullet"/>
        <w:spacing w:after="60"/>
      </w:pPr>
      <w:r>
        <w:t>Term Sheet §4.1 provides for: two Common seats (initially Priya and Marcus); one Series A seat; one seat designated by CMV (initially Joanna Xu), not by a majority of the Series B; and one independent director mutually agreed by a majority of the Common and a majority of the Preferred. It places Board composition in the Voting Agreement. The current Restated Certificate (§§4.3.6(b), 5.1) provides for two Common Directors, one Series A Director and two At-Large Directors, and changing Board size requires Preferred consent (§4.3.8(vii)).</w:t>
      </w:r>
    </w:p>
    <w:p>
      <w:pPr>
        <w:spacing w:after="40"/>
      </w:pPr>
      <w:r>
        <w:rPr>
          <w:b/>
        </w:rPr>
        <w:t>(c) Risk and impact.</w:t>
      </w:r>
    </w:p>
    <w:p>
      <w:pPr>
        <w:pStyle w:val="ListBullet"/>
        <w:spacing w:after="60"/>
      </w:pPr>
      <w:r>
        <w:t>The Founders lose a guaranteed seat. Marcus has no seat at all, and the Common’s second seat becomes a CEO seat that follows the office. If the Board replaces Priya as CEO, the Founders’ representation falls to one seat. The independent director is chosen by the other directors, not by the Common and Preferred jointly, which hands effective control of that seat, and so of the Board (3 of 5), to the investor designees. Designating the Series B seat by “majority of Series B” rather than CMV also departs from the Term Sheet. It would let CMV and Pinnacle jointly control the seat; Pinnacle cannot control it alone because CMV holds about 71% of the Series B.</w:t>
      </w:r>
    </w:p>
    <w:p>
      <w:pPr>
        <w:pStyle w:val="ListBullet"/>
        <w:spacing w:after="60"/>
      </w:pPr>
      <w:r>
        <w:t>Structurally, a board-election covenant in an IRA that has no voting-agreement or proxy machinery (DGCL §218(c)) is unclear and may conflict with the charter’s class-election provisions. Locking Board size at five in the IRA also overrides the charter, under which size can change with Preferred consent. The Company would need an IRA amendment as well as charter compliance.</w:t>
      </w:r>
    </w:p>
    <w:p>
      <w:pPr>
        <w:spacing w:after="40"/>
      </w:pPr>
      <w:r>
        <w:rPr>
          <w:b/>
        </w:rPr>
        <w:t>(d) Recommendation.</w:t>
      </w:r>
    </w:p>
    <w:p>
      <w:pPr>
        <w:pStyle w:val="ListBullet"/>
        <w:spacing w:after="60"/>
      </w:pPr>
      <w:r>
        <w:t>Delete the composition sentences of §6.7 and implement Term Sheet §4.1 in the Voting Agreement and the Series B Restated Certificate (two Common Directors, one Series A Director, one CMV designee, and one independent director approved by a majority of the Common and a majority of the Preferred). Keep the last sentence of §6.7 (quarterly meetings and expense reimbursement), which tracks Series A IRA §5.4. Delete the size lock-in, which is already covered by the charter protective provision.</w:t>
      </w:r>
    </w:p>
    <w:p>
      <w:pPr>
        <w:pStyle w:val="Heading3"/>
      </w:pPr>
      <w:r>
        <w:t>C-5 — Termination provision: wrong triggers, wrong threshold, survival of non-compete, and an internal defect that wipes out registration rights at the IPO  [CRITICAL]</w:t>
      </w:r>
    </w:p>
    <w:p>
      <w:pPr>
        <w:spacing w:after="80"/>
      </w:pPr>
      <w:r>
        <w:rPr>
          <w:b/>
        </w:rPr>
        <w:t xml:space="preserve">(a) Draft IRA section(s): </w:t>
      </w:r>
      <w:r>
        <w:t>§§8.1, 8.2 (and §§2.1(a), 2.4, 2.9, 2.11, 3.4, 4.6)</w:t>
      </w:r>
    </w:p>
    <w:p>
      <w:pPr>
        <w:spacing w:after="80"/>
      </w:pPr>
      <w:r>
        <w:rPr>
          <w:b/>
        </w:rPr>
        <w:t xml:space="preserve">Benchmark(s): </w:t>
      </w:r>
      <w:r>
        <w:t>Term Sheet §5.4; Series A IRA §§2.10, 7.11; internal consistency; market (NVCA §§2.13, 6.6)</w:t>
      </w:r>
    </w:p>
    <w:p>
      <w:pPr>
        <w:spacing w:after="40"/>
      </w:pPr>
      <w:r>
        <w:rPr>
          <w:b/>
        </w:rPr>
        <w:t>(b) Problem.</w:t>
      </w:r>
    </w:p>
    <w:p>
      <w:pPr>
        <w:pStyle w:val="ListBullet"/>
        <w:spacing w:after="60"/>
      </w:pPr>
      <w:r>
        <w:t>Triggers. Term Sheet §5.4 (and Series A IRA §7.11) terminate the IRA on the earliest of (a) a Qualified IPO, (b) a Deemed Liquidation Event, or (c) the written consent of the Company and a majority of the Registrable Securities. Draft §8.1 deletes the Deemed Liquidation Event trigger and raises the consent threshold to two-thirds of the Registrable Securities.</w:t>
      </w:r>
    </w:p>
    <w:p>
      <w:pPr>
        <w:pStyle w:val="ListBullet"/>
        <w:spacing w:after="60"/>
      </w:pPr>
      <w:r>
        <w:t>Survival. Section 8.1 carves out §7.4 (the non-compete) so that it survives every termination event. Section 8.2 refers to “this Section 9” even though it sits in Section 8 (a drafting error). The survival list also omits the confidentiality covenant (§3.2(b)), which survived termination under Series A IRA §7.11.</w:t>
      </w:r>
    </w:p>
    <w:p>
      <w:pPr>
        <w:pStyle w:val="ListBullet"/>
        <w:spacing w:after="60"/>
      </w:pPr>
      <w:r>
        <w:t>Internal defect. Because the entire Agreement terminates “upon … the closing of the Company’s initial public offering,” every right that only matters after the IPO dies the moment it becomes usable: the demand right exercisable 180 days after the IPO (§2.1(a)(ii)), Form S-3 rights available only “[a]fter the closing of the Company’s IPO” (§2.4), Rule 144 reporting (§2.9) and the market stand-off itself (§§2.11, 6.1, 6.2). The draft also contains no registration-rights sunset of the kind found in Series A IRA §2.10 or NVCA §2.13. The Term Sheet language (“the IRA shall terminate automatically upon … a Qualified IPO”) has the same flaw; NVCA practice terminates the covenants and ROFO at the IPO but keeps registration rights, subject to their own sunset.</w:t>
      </w:r>
    </w:p>
    <w:p>
      <w:pPr>
        <w:spacing w:after="40"/>
      </w:pPr>
      <w:r>
        <w:rPr>
          <w:b/>
        </w:rPr>
        <w:t>(c) Risk and impact.</w:t>
      </w:r>
    </w:p>
    <w:p>
      <w:pPr>
        <w:pStyle w:val="ListBullet"/>
        <w:spacing w:after="60"/>
      </w:pPr>
      <w:r>
        <w:t>Lock-in. Without a Deemed Liquidation Event trigger, the investor covenants (including the observer, information and pay-to-play provisions) could survive into an acquirer’s ownership, complicating any sale. A two-thirds consent threshold gives small coalitions a blocking position. For example, Northstar plus Pinnacle (about 4.48M shares), or CMV plus the Founders, can block if the Founders’ Common counts as Registrable Securities (about 13.2M in total). Because §9.2 permits amendment by a simple majority, the two-thirds threshold is also internally incoherent: a majority could simply amend §8.1. Diana asked us to confirm the Company is not locked in longer than agreed, and on these points it would be.</w:t>
      </w:r>
    </w:p>
    <w:p>
      <w:pPr>
        <w:pStyle w:val="ListBullet"/>
        <w:spacing w:after="60"/>
      </w:pPr>
      <w:r>
        <w:t>The registration-rights defect will be found and fixed by CMV’s counsel eventually. It is better for the Company to propose a company-favorable fix now than to accept whatever comes back later. The non-compete survival compounds Issue C-1.</w:t>
      </w:r>
    </w:p>
    <w:p>
      <w:pPr>
        <w:pStyle w:val="ListBullet"/>
        <w:spacing w:after="60"/>
      </w:pPr>
      <w:r>
        <w:t>IPO versus Qualified IPO. The Term Sheet uses a Qualified IPO ($50M gross proceeds at no less than 3x the Series B Original Issue Price, i.e., $25.50 per share). The draft uses any IPO, and its “IPO” definition has no size threshold (the Series A IRA required $30M). Terminating on any IPO is actually better for the Company, because under the Term Sheet a smaller IPO would leave private-company information and ROFO rights alive in a public company. We recommend keeping “IPO” for Sections 3, 4 and 6 and explaining the rationale; consistent with Term Sheet §3.2, add Exchange Act reporting status as an alternative trigger.</w:t>
      </w:r>
    </w:p>
    <w:p>
      <w:pPr>
        <w:spacing w:after="40"/>
      </w:pPr>
      <w:r>
        <w:rPr>
          <w:b/>
        </w:rPr>
        <w:t>(d) Recommendation.</w:t>
      </w:r>
    </w:p>
    <w:p>
      <w:pPr>
        <w:pStyle w:val="ListBullet"/>
        <w:spacing w:after="60"/>
      </w:pPr>
      <w:r>
        <w:t>Proposed §8.1: “This Agreement shall terminate and be of no further force or effect upon the earliest to occur of (a) the closing of the IPO, (b) the consummation of a Deemed Liquidation Event, and (c) the written consent of the Company and the holders of at least a majority of the Registrable Securities then outstanding; provided, however, that (i) upon an event described in clause (a), Section 2 shall survive and shall terminate in accordance with Section 2.13, and (ii) Sections 2.7, 2.8, 3.2(b) (for a period of [two (2)] years following termination), 8 and 9 shall survive any termination.”</w:t>
      </w:r>
    </w:p>
    <w:p>
      <w:pPr>
        <w:pStyle w:val="ListBullet"/>
        <w:spacing w:after="60"/>
      </w:pPr>
      <w:r>
        <w:t>Add a new §2.13 (Termination of Registration Rights) along the lines of Series A IRA §2.10 and NVCA §2.13: registration rights terminate at the earliest of (i) a Deemed Liquidation Event, (ii) as to any Holder, when all of its Registrable Securities can be sold under Rule 144 in a 90-day period without volume or manner-of-sale limits, and (iii) the [third] anniversary of the IPO.</w:t>
      </w:r>
    </w:p>
    <w:p>
      <w:pPr>
        <w:pStyle w:val="ListBullet"/>
        <w:spacing w:after="60"/>
      </w:pPr>
      <w:r>
        <w:t>Correct the cross-reference in §8.2, delete “7.4” from §§8.1 and 8.2, and conform §§3.4 and 4.6 to the revised §8.1.</w:t>
      </w:r>
    </w:p>
    <w:p>
      <w:pPr>
        <w:pStyle w:val="Heading3"/>
      </w:pPr>
      <w:r>
        <w:t>C-6 — Major Investor threshold doubled to 1,000,000 shares; second-tier information rights  [CRITICAL]</w:t>
      </w:r>
    </w:p>
    <w:p>
      <w:pPr>
        <w:spacing w:after="80"/>
      </w:pPr>
      <w:r>
        <w:rPr>
          <w:b/>
        </w:rPr>
        <w:t xml:space="preserve">(a) Draft IRA section(s): </w:t>
      </w:r>
      <w:r>
        <w:t>§§1.12, 3.5 (also §§2.4, 3.1–3.3, 4.1, 9.9)</w:t>
      </w:r>
    </w:p>
    <w:p>
      <w:pPr>
        <w:spacing w:after="80"/>
      </w:pPr>
      <w:r>
        <w:rPr>
          <w:b/>
        </w:rPr>
        <w:t xml:space="preserve">Benchmark(s): </w:t>
      </w:r>
      <w:r>
        <w:t>Term Sheet §§3.1 (S-3), 3.2, 3.3, 3.4; Series A IRA §1.15</w:t>
      </w:r>
    </w:p>
    <w:p>
      <w:pPr>
        <w:spacing w:after="40"/>
      </w:pPr>
      <w:r>
        <w:rPr>
          <w:b/>
        </w:rPr>
        <w:t>(b) Problem.</w:t>
      </w:r>
    </w:p>
    <w:p>
      <w:pPr>
        <w:pStyle w:val="ListBullet"/>
        <w:spacing w:after="60"/>
      </w:pPr>
      <w:r>
        <w:t>The draft defines “Major Investor” as a holder of at least 1,000,000 shares of Preferred Stock. The Term Sheet sets the threshold at 500,000 shares, both for information rights (§3.2) and for the ROFO (§3.3). The S-3 and inspection rights (§§3.1, 3.4) also run to “Major Investors” as defined in the Term Sheet. The Series A IRA used 500,000 shares.</w:t>
      </w:r>
    </w:p>
    <w:p>
      <w:pPr>
        <w:pStyle w:val="ListBullet"/>
        <w:spacing w:after="60"/>
      </w:pPr>
      <w:r>
        <w:t>Section 3.5 then creates a second tier: holders of at least 500,000 but fewer than 1,000,000 shares receive only the annual and quarterly financial statements. They get no budget, no capitalization table, no inspection and no ROFO. Under the Term Sheet, 500,000-share holders were entitled to all four §3.2 deliverables.</w:t>
      </w:r>
    </w:p>
    <w:p>
      <w:pPr>
        <w:spacing w:after="40"/>
      </w:pPr>
      <w:r>
        <w:rPr>
          <w:b/>
        </w:rPr>
        <w:t>(c) Risk and impact.</w:t>
      </w:r>
    </w:p>
    <w:p>
      <w:pPr>
        <w:pStyle w:val="ListBullet"/>
        <w:spacing w:after="60"/>
      </w:pPr>
      <w:r>
        <w:t>Pinnacle (882,353 Series B shares, $7.5M and about 25% of the round) falls below the threshold. It would lose its pro rata right, its S-3 initiation right, inspection and most information rights. Any additional investor in the up-to-$4.5M subsequent closing (at most about 529,411 shares at $8.50) would also be excluded. Northstar (3.6M) and Verdant (2.4M) qualify today, but the higher bar narrows their cushion against any partial transfer or fund restructuring. That is precisely the “definition thresholds” concern Northstar’s counsel raised.</w:t>
      </w:r>
    </w:p>
    <w:p>
      <w:pPr>
        <w:pStyle w:val="ListBullet"/>
        <w:spacing w:after="60"/>
      </w:pPr>
      <w:r>
        <w:t>For the Company, a higher threshold does reduce the number of recipients. But it is a Term Sheet re-trade that Pinnacle and Northstar will reject, and it risks delaying the March 5 signing. It also invites a demand for a more investor-favorable concession elsewhere.</w:t>
      </w:r>
    </w:p>
    <w:p>
      <w:pPr>
        <w:spacing w:after="40"/>
      </w:pPr>
      <w:r>
        <w:rPr>
          <w:b/>
        </w:rPr>
        <w:t>(d) Recommendation.</w:t>
      </w:r>
    </w:p>
    <w:p>
      <w:pPr>
        <w:pStyle w:val="ListBullet"/>
        <w:spacing w:after="60"/>
      </w:pPr>
      <w:r>
        <w:t>Restore the 500,000-share threshold in §1.12 (as adjusted for splits and similar events, with affiliate aggregation) and delete the proviso in §3.5. Consider adding the NVCA exclusion of any investor the Board reasonably determines to be a competitor of the Company (see Issue S-4).</w:t>
      </w:r>
    </w:p>
    <w:p>
      <w:pPr>
        <w:pStyle w:val="Heading3"/>
      </w:pPr>
      <w:r>
        <w:t>C-7 — New contractual pay-to-play strips ROFO and information rights  [CRITICAL]</w:t>
      </w:r>
    </w:p>
    <w:p>
      <w:pPr>
        <w:spacing w:after="80"/>
      </w:pPr>
      <w:r>
        <w:rPr>
          <w:b/>
        </w:rPr>
        <w:t xml:space="preserve">(a) Draft IRA section(s): </w:t>
      </w:r>
      <w:r>
        <w:t>§4.5</w:t>
      </w:r>
    </w:p>
    <w:p>
      <w:pPr>
        <w:spacing w:after="80"/>
      </w:pPr>
      <w:r>
        <w:rPr>
          <w:b/>
        </w:rPr>
        <w:t xml:space="preserve">Benchmark(s): </w:t>
      </w:r>
      <w:r>
        <w:t>Term Sheet (silent; not agreed); Series A IRA (none); Restated Certificate (none)</w:t>
      </w:r>
    </w:p>
    <w:p>
      <w:pPr>
        <w:spacing w:after="40"/>
      </w:pPr>
      <w:r>
        <w:rPr>
          <w:b/>
        </w:rPr>
        <w:t>(b) Problem.</w:t>
      </w:r>
    </w:p>
    <w:p>
      <w:pPr>
        <w:pStyle w:val="ListBullet"/>
        <w:spacing w:after="60"/>
      </w:pPr>
      <w:r>
        <w:t>Under §4.5, any Major Investor that fails to buy its full Pro Rata Share in any “Qualified Financing” (any Preferred financing of $5M or more) automatically loses both its ROFO and all of its Section 3 information rights. The suspension continues until it buys its full Pro Rata Share in a later Qualified Financing. Nothing like this appears in the Term Sheet or the Series A IRA.</w:t>
      </w:r>
    </w:p>
    <w:p>
      <w:pPr>
        <w:spacing w:after="40"/>
      </w:pPr>
      <w:r>
        <w:rPr>
          <w:b/>
        </w:rPr>
        <w:t>(c) Risk and impact.</w:t>
      </w:r>
    </w:p>
    <w:p>
      <w:pPr>
        <w:pStyle w:val="ListBullet"/>
        <w:spacing w:after="60"/>
      </w:pPr>
      <w:r>
        <w:t>This hits existing investors hardest: a seed-stage fund such as Northstar, or an angel vehicle such as Verdant, may not have reserves to take a full pro rata share in every round. A deep-pocketed lead like CMV benefits disproportionately. Northstar has specifically warned it does not want to be “squeezed out,” and losing information rights for not participating is the clearest version of that.</w:t>
      </w:r>
    </w:p>
    <w:p>
      <w:pPr>
        <w:pStyle w:val="ListBullet"/>
        <w:spacing w:after="60"/>
      </w:pPr>
      <w:r>
        <w:t>Drafting gaps: the provision does not say how “full Pro Rata Share” works if the Company or a new lead caps the insiders’ allocation. It does not explain how a suspended investor can ever re-qualify if it is no longer receiving information. It also does not align with the 15-day ROFO window. Because the Prior Agreement can only be amended with the consent of a majority of the Registrable Securities (Series A IRA §7.6), Northstar (60% of the Series A) effectively controls whether the amendment and restatement happens. Insisting on §4.5 risks Northstar refusing to sign.</w:t>
      </w:r>
    </w:p>
    <w:p>
      <w:pPr>
        <w:spacing w:after="40"/>
      </w:pPr>
      <w:r>
        <w:rPr>
          <w:b/>
        </w:rPr>
        <w:t>(d) Recommendation.</w:t>
      </w:r>
    </w:p>
    <w:p>
      <w:pPr>
        <w:pStyle w:val="ListBullet"/>
        <w:spacing w:after="60"/>
      </w:pPr>
      <w:r>
        <w:t>Delete §4.5. If a pay-to-play is to be considered in a future down-round, it belongs in the charter and should be approved at that time by the Board and the requisite stockholders.</w:t>
      </w:r>
    </w:p>
    <w:p>
      <w:pPr>
        <w:pStyle w:val="Heading3"/>
      </w:pPr>
      <w:r>
        <w:t>C-8 — Unlimited audit rights at the Company’s expense  [CRITICAL]</w:t>
      </w:r>
    </w:p>
    <w:p>
      <w:pPr>
        <w:spacing w:after="80"/>
      </w:pPr>
      <w:r>
        <w:rPr>
          <w:b/>
        </w:rPr>
        <w:t xml:space="preserve">(a) Draft IRA section(s): </w:t>
      </w:r>
      <w:r>
        <w:t>§3.3</w:t>
      </w:r>
    </w:p>
    <w:p>
      <w:pPr>
        <w:spacing w:after="80"/>
      </w:pPr>
      <w:r>
        <w:rPr>
          <w:b/>
        </w:rPr>
        <w:t xml:space="preserve">Benchmark(s): </w:t>
      </w:r>
      <w:r>
        <w:t>Term Sheet §3.4; Series A IRA §3.2; market (NVCA has no audit right)</w:t>
      </w:r>
    </w:p>
    <w:p>
      <w:pPr>
        <w:spacing w:after="40"/>
      </w:pPr>
      <w:r>
        <w:rPr>
          <w:b/>
        </w:rPr>
        <w:t>(b) Problem.</w:t>
      </w:r>
    </w:p>
    <w:p>
      <w:pPr>
        <w:pStyle w:val="ListBullet"/>
        <w:spacing w:after="60"/>
      </w:pPr>
      <w:r>
        <w:t>Section 3.3 gives each Major Investor the right, at the Company’s expense, to audit the Company’s books and records “at any time” on five business days’ notice, through an auditor of its choosing, with the Company to “cooperate fully” and provide access to personnel and systems. There is no limit on frequency, scope or cost.</w:t>
      </w:r>
    </w:p>
    <w:p>
      <w:pPr>
        <w:pStyle w:val="ListBullet"/>
        <w:spacing w:after="60"/>
      </w:pPr>
      <w:r>
        <w:t>Term Sheet §3.4 grants only “standard inspection rights,” at the Major Investor’s sole expense, during business hours, on at least five business days’ notice, subject to confidentiality, and without unreasonable interference with the business. The Series A IRA §3.2 inspection right was at the investor’s expense, limited to once per calendar year, and excluded trade secrets.</w:t>
      </w:r>
    </w:p>
    <w:p>
      <w:pPr>
        <w:spacing w:after="40"/>
      </w:pPr>
      <w:r>
        <w:rPr>
          <w:b/>
        </w:rPr>
        <w:t>(c) Risk and impact.</w:t>
      </w:r>
    </w:p>
    <w:p>
      <w:pPr>
        <w:pStyle w:val="ListBullet"/>
        <w:spacing w:after="60"/>
      </w:pPr>
      <w:r>
        <w:t>With 47 employees and a $1.8M monthly burn, repeated third-party audits by several Major Investors (four at a 500,000 threshold) could cost the Company real money and consume significant finance-team time, all duplicating the annual audit by Thornburgh &amp; Associates that §3.1(a) already requires. There is no confidentiality obligation on the investor’s auditor. This is precisely the “unlimited audit rights” Priya asked us to watch for.</w:t>
      </w:r>
    </w:p>
    <w:p>
      <w:pPr>
        <w:spacing w:after="40"/>
      </w:pPr>
      <w:r>
        <w:rPr>
          <w:b/>
        </w:rPr>
        <w:t>(d) Recommendation.</w:t>
      </w:r>
    </w:p>
    <w:p>
      <w:pPr>
        <w:pStyle w:val="ListBullet"/>
        <w:spacing w:after="60"/>
      </w:pPr>
      <w:r>
        <w:t>Delete §3.3 and rely on the revised inspection right in §3.2(a) (Issue S-5).</w:t>
      </w:r>
    </w:p>
    <w:p>
      <w:pPr>
        <w:pStyle w:val="Heading3"/>
      </w:pPr>
      <w:r>
        <w:t>C-9 — Litigation, regulatory and IP reporting obligation (privilege and trade-secret risk)  [CRITICAL]</w:t>
      </w:r>
    </w:p>
    <w:p>
      <w:pPr>
        <w:spacing w:after="80"/>
      </w:pPr>
      <w:r>
        <w:rPr>
          <w:b/>
        </w:rPr>
        <w:t xml:space="preserve">(a) Draft IRA section(s): </w:t>
      </w:r>
      <w:r>
        <w:t>§3.1(f)</w:t>
      </w:r>
    </w:p>
    <w:p>
      <w:pPr>
        <w:spacing w:after="80"/>
      </w:pPr>
      <w:r>
        <w:rPr>
          <w:b/>
        </w:rPr>
        <w:t xml:space="preserve">Benchmark(s): </w:t>
      </w:r>
      <w:r>
        <w:t>Term Sheet §3.2 (four enumerated deliverables only); Series A IRA §3.1; market</w:t>
      </w:r>
    </w:p>
    <w:p>
      <w:pPr>
        <w:spacing w:after="40"/>
      </w:pPr>
      <w:r>
        <w:rPr>
          <w:b/>
        </w:rPr>
        <w:t>(b) Problem.</w:t>
      </w:r>
    </w:p>
    <w:p>
      <w:pPr>
        <w:pStyle w:val="ListBullet"/>
        <w:spacing w:after="60"/>
      </w:pPr>
      <w:r>
        <w:t>Section 3.1(f) requires “detailed reports” of all pending and threatened litigation, regulatory proceedings and IP prosecution matters, including copies of all material correspondence with the USPTO, the FDA and other agencies. Reports are due quarterly or “more frequently upon written request,” with supporting materials sufficient to apprise investors of “potential impact.” None of this is in the Term Sheet, which lists only quarterly financials, annual audited financials, the budget and a capitalization table, or in the Series A IRA. The reference to the FDA does not even fit a company that makes engineered microorganisms for industrial chemical production. It appears to be carried over from a health-care form.</w:t>
      </w:r>
    </w:p>
    <w:p>
      <w:pPr>
        <w:spacing w:after="40"/>
      </w:pPr>
      <w:r>
        <w:rPr>
          <w:b/>
        </w:rPr>
        <w:t>(c) Risk and impact.</w:t>
      </w:r>
    </w:p>
    <w:p>
      <w:pPr>
        <w:pStyle w:val="ListBullet"/>
        <w:spacing w:after="60"/>
      </w:pPr>
      <w:r>
        <w:t>Privilege. Sharing counsel’s assessments of threatened claims with investors generally waives the attorney-client privilege and may waive work-product protection; the common-interest doctrine is unreliable for minority investors. Trade secrets. Unpublished patent prosecution correspondence (office actions, claim amendments, responses) is among the Company’s most sensitive information. CMV and Pinnacle both run life-sciences portfolios that may include competitors, and §3.2(b) lets investors share information with Affiliates and “financing sources.” Burden. Preparing “detailed” quarterly reports, on demand, is a meaningful drain on a small legal and IP function.</w:t>
      </w:r>
    </w:p>
    <w:p>
      <w:pPr>
        <w:spacing w:after="40"/>
      </w:pPr>
      <w:r>
        <w:rPr>
          <w:b/>
        </w:rPr>
        <w:t>(d) Recommendation.</w:t>
      </w:r>
    </w:p>
    <w:p>
      <w:pPr>
        <w:pStyle w:val="ListBullet"/>
        <w:spacing w:after="60"/>
      </w:pPr>
      <w:r>
        <w:t>Delete §3.1(f). If CMV presses, offer at most a high-level quarterly summary of material pending litigation, delivered to the Board (not to every Major Investor), excluding privileged material and unpublished IP filings. Add the NVCA withholding proviso described in Issue S-4.</w:t>
      </w:r>
    </w:p>
    <w:p>
      <w:pPr>
        <w:pStyle w:val="Heading3"/>
      </w:pPr>
      <w:r>
        <w:t>C-10 — CMV Board Observer: no confidentiality, privilege or conflict guardrails  [CRITICAL]</w:t>
      </w:r>
    </w:p>
    <w:p>
      <w:pPr>
        <w:spacing w:after="80"/>
      </w:pPr>
      <w:r>
        <w:rPr>
          <w:b/>
        </w:rPr>
        <w:t xml:space="preserve">(a) Draft IRA section(s): </w:t>
      </w:r>
      <w:r>
        <w:t>§6.5</w:t>
      </w:r>
    </w:p>
    <w:p>
      <w:pPr>
        <w:spacing w:after="80"/>
      </w:pPr>
      <w:r>
        <w:rPr>
          <w:b/>
        </w:rPr>
        <w:t xml:space="preserve">Benchmark(s): </w:t>
      </w:r>
      <w:r>
        <w:t>Term Sheet §4.2; market (NVCA observer language); client concern (e)</w:t>
      </w:r>
    </w:p>
    <w:p>
      <w:pPr>
        <w:spacing w:after="40"/>
      </w:pPr>
      <w:r>
        <w:rPr>
          <w:b/>
        </w:rPr>
        <w:t>(b) Problem.</w:t>
      </w:r>
    </w:p>
    <w:p>
      <w:pPr>
        <w:pStyle w:val="ListBullet"/>
        <w:spacing w:after="60"/>
      </w:pPr>
      <w:r>
        <w:t>Section 6.5 gives CMV’s observer the right to attend all regular and special Board meetings and to receive all notices, minutes, written consents and other materials “at the same time and in the same manner” as directors. It has no confidentiality undertaking, no right to exclude the observer or withhold materials, no limit to Board (as opposed to committee) matters, no fiduciary-duty disclaimer and no termination. Term Sheet §4.2 expressly contemplated that confidentiality obligations and the “circumstances under which the Observer may be excluded” would be addressed in the definitive documents. The draft omits them entirely.</w:t>
      </w:r>
    </w:p>
    <w:p>
      <w:pPr>
        <w:pStyle w:val="ListBullet"/>
        <w:spacing w:after="60"/>
      </w:pPr>
      <w:r>
        <w:t>The observer is in addition to CMV’s Board seat, so CMV will have two people in the boardroom.</w:t>
      </w:r>
    </w:p>
    <w:p>
      <w:pPr>
        <w:spacing w:after="40"/>
      </w:pPr>
      <w:r>
        <w:rPr>
          <w:b/>
        </w:rPr>
        <w:t>(c) Risk and impact.</w:t>
      </w:r>
    </w:p>
    <w:p>
      <w:pPr>
        <w:pStyle w:val="ListBullet"/>
        <w:spacing w:after="60"/>
      </w:pPr>
      <w:r>
        <w:t>Privilege. A non-director, non-fiduciary observer present for privileged legal advice can destroy the privilege for those discussions. Conflicts. Board sessions on matters in which CMV is adverse to the Company (future financings led by CMV, pay-to-play or ROFO disputes, transactions with CMV portfolio companies) would be fully visible to CMV. Competitive information. CMV is a life-sciences-focused fund with a broad portfolio; without a written confidentiality agreement and a competitor-employee bar, the observer could be someone who also sits on a competitor’s board. The observer is also not a party to the IRA, so §3.2(b) does not clearly bind them.</w:t>
      </w:r>
    </w:p>
    <w:p>
      <w:pPr>
        <w:spacing w:after="40"/>
      </w:pPr>
      <w:r>
        <w:rPr>
          <w:b/>
        </w:rPr>
        <w:t>(d) Recommendation.</w:t>
      </w:r>
    </w:p>
    <w:p>
      <w:pPr>
        <w:pStyle w:val="ListBullet"/>
        <w:spacing w:after="60"/>
      </w:pPr>
      <w:r>
        <w:t>Revise §6.5 to add NVCA-style guardrails. Proposed language: “… provided, however, that (i) such representative shall agree in writing, as a condition to attending any meeting or receiving any materials, to hold in confidence and trust all information so provided on terms no less protective than Section 3.2(b), and CMV shall be responsible for any breach thereof; (ii) the Company reserves the right to withhold any information and to exclude such representative from any meeting or portion thereof if the Board (or the chair of the meeting) reasonably determines that access to such information or attendance at such meeting could (A) adversely affect the attorney-client privilege or attorney work product protection between the Company and its counsel, (B) result in disclosure of trade secrets or highly confidential proprietary information, (C) involve a matter in which CMV or any of its Affiliates or portfolio companies has an interest that conflicts with the interests of the Company, including any transaction or negotiation with, or dispute involving, CMV or its Affiliates, or (D) result in a conflict of interest or violation of applicable law or of a confidentiality obligation to a third party; (iii) the Board may meet in executive session without the observer; (iv) the observer shall not be an employee, officer, director or consultant of any competitor of the Company; (v) the observer shall have no vote, shall not count toward a quorum, owes no fiduciary duty to the Company, and shall have no right to attend committee meetings; and (vi) the rights in this Section 6.5 are personal to CMV, are not assignable, and terminate upon the earliest of the termination of this Agreement and the date CMV ceases to hold at least [50%] of the shares of Series B Preferred Stock purchased by it under the Purchase Agreement.”</w:t>
      </w:r>
    </w:p>
    <w:p>
      <w:pPr>
        <w:pStyle w:val="Heading2"/>
      </w:pPr>
      <w:r>
        <w:t>B. Significant Issues</w:t>
      </w:r>
    </w:p>
    <w:p>
      <w:pPr>
        <w:pStyle w:val="Heading3"/>
      </w:pPr>
      <w:r>
        <w:t>S-1 — Demand registration: threshold, minimum size, timing and withdrawal  [SIGNIFICANT]</w:t>
      </w:r>
    </w:p>
    <w:p>
      <w:pPr>
        <w:spacing w:after="80"/>
      </w:pPr>
      <w:r>
        <w:rPr>
          <w:b/>
        </w:rPr>
        <w:t xml:space="preserve">(a) Draft IRA section(s): </w:t>
      </w:r>
      <w:r>
        <w:t>§2.1(a), (c)</w:t>
      </w:r>
    </w:p>
    <w:p>
      <w:pPr>
        <w:spacing w:after="80"/>
      </w:pPr>
      <w:r>
        <w:rPr>
          <w:b/>
        </w:rPr>
        <w:t xml:space="preserve">Benchmark(s): </w:t>
      </w:r>
      <w:r>
        <w:t>Term Sheet §3.1; Series A IRA §§1.11, 2.1</w:t>
      </w:r>
    </w:p>
    <w:p>
      <w:pPr>
        <w:spacing w:after="40"/>
      </w:pPr>
      <w:r>
        <w:rPr>
          <w:b/>
        </w:rPr>
        <w:t>(b) Problem.</w:t>
      </w:r>
    </w:p>
    <w:p>
      <w:pPr>
        <w:pStyle w:val="ListBullet"/>
        <w:spacing w:after="60"/>
      </w:pPr>
      <w:r>
        <w:t>Initiation threshold is 40% of the Registrable Securities; Term Sheet §3.1 says 30%. The draft adds a $5M minimum offering size and a 5-year waiting period (both absent from the Term Sheet; the Series A IRA used 3 years and $5M). It also provides that a withdrawn request counts as a demand unless the Holders reimburse expenses, whereas the Term Sheet says a demand counts only once the registration has been effective for 120 days. Two demands is consistent with the Term Sheet; the Series A IRA allowed one.</w:t>
      </w:r>
    </w:p>
    <w:p>
      <w:pPr>
        <w:spacing w:after="40"/>
      </w:pPr>
      <w:r>
        <w:rPr>
          <w:b/>
        </w:rPr>
        <w:t>(c) Risk and impact.</w:t>
      </w:r>
    </w:p>
    <w:p>
      <w:pPr>
        <w:pStyle w:val="ListBullet"/>
        <w:spacing w:after="60"/>
      </w:pPr>
      <w:r>
        <w:t>Most of these deviations favor the Company: a higher threshold, a later start date and a minimum size all make an unwanted demand less likely. But they are Term Sheet deviations, and Northstar has asked that its registration rights not be diluted. With the Founders’ Common included as Registrable Securities (about 13.2M shares), 30% is about 3.96M shares and 40% is about 5.28M. Neither Northstar (3.6M) nor CMV and Pinnacle together (3.0M) can initiate alone at either level.</w:t>
      </w:r>
    </w:p>
    <w:p>
      <w:pPr>
        <w:spacing w:after="40"/>
      </w:pPr>
      <w:r>
        <w:rPr>
          <w:b/>
        </w:rPr>
        <w:t>(d) Recommendation.</w:t>
      </w:r>
    </w:p>
    <w:p>
      <w:pPr>
        <w:pStyle w:val="ListBullet"/>
        <w:spacing w:after="60"/>
      </w:pPr>
      <w:r>
        <w:t>Treat these as trading chips. If CMV or Northstar insist, conform to 30%. Try to keep the $5M floor and a 5-year (or at least 3-year) start date. Add NVCA Company protections: no obligation to effect a demand (i) during the period starting 60 days before the Company’s good-faith estimate of the filing date of, and ending 180 days after the effective date of, a Company-initiated registration, or (ii) within 12 months after a prior demand registration became effective. Define “Initiating Holders” (as in Series A IRA §1.11).</w:t>
      </w:r>
    </w:p>
    <w:p>
      <w:pPr>
        <w:pStyle w:val="Heading3"/>
      </w:pPr>
      <w:r>
        <w:t>S-2 — Form S-3 registration: lower minimum and no deferral right  [SIGNIFICANT]</w:t>
      </w:r>
    </w:p>
    <w:p>
      <w:pPr>
        <w:spacing w:after="80"/>
      </w:pPr>
      <w:r>
        <w:rPr>
          <w:b/>
        </w:rPr>
        <w:t xml:space="preserve">(a) Draft IRA section(s): </w:t>
      </w:r>
      <w:r>
        <w:t>§2.4</w:t>
      </w:r>
    </w:p>
    <w:p>
      <w:pPr>
        <w:spacing w:after="80"/>
      </w:pPr>
      <w:r>
        <w:rPr>
          <w:b/>
        </w:rPr>
        <w:t xml:space="preserve">Benchmark(s): </w:t>
      </w:r>
      <w:r>
        <w:t>Term Sheet §3.1 (S-3); Series A IRA §2.3</w:t>
      </w:r>
    </w:p>
    <w:p>
      <w:pPr>
        <w:spacing w:after="40"/>
      </w:pPr>
      <w:r>
        <w:rPr>
          <w:b/>
        </w:rPr>
        <w:t>(b) Problem.</w:t>
      </w:r>
    </w:p>
    <w:p>
      <w:pPr>
        <w:pStyle w:val="ListBullet"/>
        <w:spacing w:after="60"/>
      </w:pPr>
      <w:r>
        <w:t>The S-3 minimum is $1,000,000; Term Sheet §3.1 says $3,000,000, net of underwriting discounts. The draft omits the “customary deferral rights … comparable to those applicable to demand registrations” required by the Term Sheet (the Series A IRA §2.3(c) included them). The S-3 right runs to Major Investors, which is consistent with the Term Sheet as long as the Major Investor definition is fixed (Issue C-6).</w:t>
      </w:r>
    </w:p>
    <w:p>
      <w:pPr>
        <w:spacing w:after="40"/>
      </w:pPr>
      <w:r>
        <w:rPr>
          <w:b/>
        </w:rPr>
        <w:t>(c) Risk and impact.</w:t>
      </w:r>
    </w:p>
    <w:p>
      <w:pPr>
        <w:pStyle w:val="ListBullet"/>
        <w:spacing w:after="60"/>
      </w:pPr>
      <w:r>
        <w:t>Frequent small S-3 takedowns impose cost and management distraction, and can disrupt the Company’s own capital-markets plans. Without a deferral right, the Company could be forced to file at a sensitive time (e.g., during M&amp;A or pending material news), which is exactly the “registration triggered at inconvenient times” concern Priya raised.</w:t>
      </w:r>
    </w:p>
    <w:p>
      <w:pPr>
        <w:spacing w:after="40"/>
      </w:pPr>
      <w:r>
        <w:rPr>
          <w:b/>
        </w:rPr>
        <w:t>(d) Recommendation.</w:t>
      </w:r>
    </w:p>
    <w:p>
      <w:pPr>
        <w:pStyle w:val="ListBullet"/>
        <w:spacing w:after="60"/>
      </w:pPr>
      <w:r>
        <w:t>Conform the minimum to $3,000,000 (net of Selling Expenses) in both places in §2.4. Add: “The Company’s deferral right under Section 2.1(c) shall apply, mutatis mutandis, to any request under this Section 2.4, and the Company shall not be obligated to effect any registration under this Section 2.4 during the period that is thirty (30) days before the Company’s good-faith estimate of the date of filing of, and ending ninety (90) days after the effective date of, a Company-initiated registration.”</w:t>
      </w:r>
    </w:p>
    <w:p>
      <w:pPr>
        <w:pStyle w:val="Heading3"/>
      </w:pPr>
      <w:r>
        <w:t>S-3 — Market stand-off: missing NVCA conditions and duplicated provisions  [SIGNIFICANT]</w:t>
      </w:r>
    </w:p>
    <w:p>
      <w:pPr>
        <w:spacing w:after="80"/>
      </w:pPr>
      <w:r>
        <w:rPr>
          <w:b/>
        </w:rPr>
        <w:t xml:space="preserve">(a) Draft IRA section(s): </w:t>
      </w:r>
      <w:r>
        <w:t>§§2.11, 6.1 (see also §6.2, Issue C-2)</w:t>
      </w:r>
    </w:p>
    <w:p>
      <w:pPr>
        <w:spacing w:after="80"/>
      </w:pPr>
      <w:r>
        <w:rPr>
          <w:b/>
        </w:rPr>
        <w:t xml:space="preserve">Benchmark(s): </w:t>
      </w:r>
      <w:r>
        <w:t>Term Sheet §5.2; Series A IRA §§6.1–6.2; market (NVCA §2.11)</w:t>
      </w:r>
    </w:p>
    <w:p>
      <w:pPr>
        <w:spacing w:after="40"/>
      </w:pPr>
      <w:r>
        <w:rPr>
          <w:b/>
        </w:rPr>
        <w:t>(b) Problem.</w:t>
      </w:r>
    </w:p>
    <w:p>
      <w:pPr>
        <w:pStyle w:val="ListBullet"/>
        <w:spacing w:after="60"/>
      </w:pPr>
      <w:r>
        <w:t>Section 2.11 drops the protections in Series A IRA §6.1. Under the Series A IRA, the stand-off (i) applied only to the IPO, (ii) did not apply to sales to the underwriters, and (iii) bound Holders only if all officers, directors and 1% holders were bound by the same restrictions. The draft also lacks the standard NVCA pro rata early-release (“most favored nation”) protection and any carve-out for transfers to affiliates or estate-planning vehicles. Section 6.1 repeats the obligation with different wording (“up to 180 days following the effective date”).</w:t>
      </w:r>
    </w:p>
    <w:p>
      <w:pPr>
        <w:spacing w:after="40"/>
      </w:pPr>
      <w:r>
        <w:rPr>
          <w:b/>
        </w:rPr>
        <w:t>(c) Risk and impact.</w:t>
      </w:r>
    </w:p>
    <w:p>
      <w:pPr>
        <w:pStyle w:val="ListBullet"/>
        <w:spacing w:after="60"/>
      </w:pPr>
      <w:r>
        <w:t>Without the all-insiders condition and the MFN release, the Founders and existing investors could be locked up while other insiders are released early. Two differently worded clauses (three, counting §6.2) invite disputes. The Term Sheet also requires optionholders to be bound; that has to be done in the equity plan and award agreements, since optionholders are not parties.</w:t>
      </w:r>
    </w:p>
    <w:p>
      <w:pPr>
        <w:spacing w:after="40"/>
      </w:pPr>
      <w:r>
        <w:rPr>
          <w:b/>
        </w:rPr>
        <w:t>(d) Recommendation.</w:t>
      </w:r>
    </w:p>
    <w:p>
      <w:pPr>
        <w:pStyle w:val="ListBullet"/>
        <w:spacing w:after="60"/>
      </w:pPr>
      <w:r>
        <w:t>Keep one clause (§2.11), delete §6.1, and add the Series A IRA §6.1 conditions, an MFN release clause (“if any Holder or other insider is released early, all Holders shall be released on a pro rata basis”), carve-outs for transfers to affiliates and family trusts that agree to be bound, and a clause limiting the restriction to securities held immediately before the IPO. Confirm that the Company’s equity plan includes a matching optionholder lock-up.</w:t>
      </w:r>
    </w:p>
    <w:p>
      <w:pPr>
        <w:pStyle w:val="Heading3"/>
      </w:pPr>
      <w:r>
        <w:t>S-4 — Information covenants broader than agreed: budget, capitalization table, “other information”; no withholding proviso  [SIGNIFICANT]</w:t>
      </w:r>
    </w:p>
    <w:p>
      <w:pPr>
        <w:spacing w:after="80"/>
      </w:pPr>
      <w:r>
        <w:rPr>
          <w:b/>
        </w:rPr>
        <w:t xml:space="preserve">(a) Draft IRA section(s): </w:t>
      </w:r>
      <w:r>
        <w:t>§3.1(c), (d), (e)</w:t>
      </w:r>
    </w:p>
    <w:p>
      <w:pPr>
        <w:spacing w:after="80"/>
      </w:pPr>
      <w:r>
        <w:rPr>
          <w:b/>
        </w:rPr>
        <w:t xml:space="preserve">Benchmark(s): </w:t>
      </w:r>
      <w:r>
        <w:t>Term Sheet §3.2; Series A IRA §3.1; market (NVCA §3.1 proviso)</w:t>
      </w:r>
    </w:p>
    <w:p>
      <w:pPr>
        <w:spacing w:after="40"/>
      </w:pPr>
      <w:r>
        <w:rPr>
          <w:b/>
        </w:rPr>
        <w:t>(b) Problem.</w:t>
      </w:r>
    </w:p>
    <w:p>
      <w:pPr>
        <w:pStyle w:val="ListBullet"/>
        <w:spacing w:after="60"/>
      </w:pPr>
      <w:r>
        <w:t>§3.1(c): the Term Sheet requires a Board-approved budget and business plan. The draft requires delivery within 30 days even if the budget is not yet approved, “in the form proposed by management,” and spells out headcount, capex and financing assumptions.</w:t>
      </w:r>
    </w:p>
    <w:p>
      <w:pPr>
        <w:pStyle w:val="ListBullet"/>
        <w:spacing w:after="60"/>
      </w:pPr>
      <w:r>
        <w:t>§3.1(d): the Term Sheet requires a capitalization table quarterly, delivered with the quarterly financials. The draft requires one within 30 days after any equity issuance, which would be triggered by every option grant or exercise.</w:t>
      </w:r>
    </w:p>
    <w:p>
      <w:pPr>
        <w:pStyle w:val="ListBullet"/>
        <w:spacing w:after="60"/>
      </w:pPr>
      <w:r>
        <w:t>§3.1(e): an open-ended right to any information on the Company’s “business, prospects, or corporate affairs” that a Major Investor reasonably requests. The only carve-out is for MNPI subject to third-party confidentiality.</w:t>
      </w:r>
    </w:p>
    <w:p>
      <w:pPr>
        <w:pStyle w:val="ListBullet"/>
        <w:spacing w:after="60"/>
      </w:pPr>
      <w:r>
        <w:t>The draft has no NVCA proviso letting the Company withhold information that it reasonably considers a trade secret or confidential information, information whose disclosure could adversely affect attorney-client privilege, or information to an investor the Board considers a competitor.</w:t>
      </w:r>
    </w:p>
    <w:p>
      <w:pPr>
        <w:spacing w:after="40"/>
      </w:pPr>
      <w:r>
        <w:rPr>
          <w:b/>
        </w:rPr>
        <w:t>(c) Risk and impact.</w:t>
      </w:r>
    </w:p>
    <w:p>
      <w:pPr>
        <w:pStyle w:val="ListBullet"/>
        <w:spacing w:after="60"/>
      </w:pPr>
      <w:r>
        <w:t>Delivering unapproved drafts of the budget can create misleading expectations and disputes with investors. Rolling cap table updates create a constant administrative obligation. Sending sensitive information to investors whose portfolios may include competitors creates competitive and privilege exposure.</w:t>
      </w:r>
    </w:p>
    <w:p>
      <w:pPr>
        <w:spacing w:after="40"/>
      </w:pPr>
      <w:r>
        <w:rPr>
          <w:b/>
        </w:rPr>
        <w:t>(d) Recommendation.</w:t>
      </w:r>
    </w:p>
    <w:p>
      <w:pPr>
        <w:pStyle w:val="ListBullet"/>
        <w:spacing w:after="60"/>
      </w:pPr>
      <w:r>
        <w:t>Conform §3.1(c) to “an annual budget and business plan for the then-current fiscal year, as approved by the Board,” within 30 days after approval (or the later of 30 days after fiscal year-end and Board approval). Conform §3.1(d) to a quarterly cap table delivered with the quarterly financials. Limit §3.1(e) to financial information reasonably requested no more than quarterly. Add the NVCA proviso: “Notwithstanding anything to the contrary, the Company shall not be obligated under this Section 3 to provide information (i) that the Company reasonably determines in good faith to be a trade secret or confidential information (unless covered by an enforceable confidentiality agreement in form acceptable to the Company), (ii) the disclosure of which would adversely affect the attorney-client privilege between the Company and its counsel, or (iii) to any Investor that the Board reasonably determines to be a competitor of the Company or an Affiliate of a competitor.”</w:t>
      </w:r>
    </w:p>
    <w:p>
      <w:pPr>
        <w:pStyle w:val="Heading3"/>
      </w:pPr>
      <w:r>
        <w:t>S-5 — Inspection right lacks the agreed limits  [SIGNIFICANT]</w:t>
      </w:r>
    </w:p>
    <w:p>
      <w:pPr>
        <w:spacing w:after="80"/>
      </w:pPr>
      <w:r>
        <w:rPr>
          <w:b/>
        </w:rPr>
        <w:t xml:space="preserve">(a) Draft IRA section(s): </w:t>
      </w:r>
      <w:r>
        <w:t>§3.2(a)</w:t>
      </w:r>
    </w:p>
    <w:p>
      <w:pPr>
        <w:spacing w:after="80"/>
      </w:pPr>
      <w:r>
        <w:rPr>
          <w:b/>
        </w:rPr>
        <w:t xml:space="preserve">Benchmark(s): </w:t>
      </w:r>
      <w:r>
        <w:t>Term Sheet §3.4; Series A IRA §3.2</w:t>
      </w:r>
    </w:p>
    <w:p>
      <w:pPr>
        <w:spacing w:after="40"/>
      </w:pPr>
      <w:r>
        <w:rPr>
          <w:b/>
        </w:rPr>
        <w:t>(b) Problem.</w:t>
      </w:r>
    </w:p>
    <w:p>
      <w:pPr>
        <w:pStyle w:val="ListBullet"/>
        <w:spacing w:after="60"/>
      </w:pPr>
      <w:r>
        <w:t>Section 3.2(a) allows each Major Investor to visit, inspect and “discuss the Company’s affairs … with its officers, all as such Major Investor may reasonably deem appropriate” upon “reasonable advance notice.” It does not include the Term Sheet’s five business days’ notice, the investor’s “sole expense” requirement, the confidentiality requirement or the protection against unreasonable interference. It also drops Series A IRA §3.2’s ten-business-day notice, once-per-year limit and trade-secret exclusion.</w:t>
      </w:r>
    </w:p>
    <w:p>
      <w:pPr>
        <w:spacing w:after="40"/>
      </w:pPr>
      <w:r>
        <w:rPr>
          <w:b/>
        </w:rPr>
        <w:t>(c) Risk and impact.</w:t>
      </w:r>
    </w:p>
    <w:p>
      <w:pPr>
        <w:pStyle w:val="ListBullet"/>
        <w:spacing w:after="60"/>
      </w:pPr>
      <w:r>
        <w:t>Without these limits, the right is open-ended and costs fall unclear. It erodes protections the Company already has under the Series A deal.</w:t>
      </w:r>
    </w:p>
    <w:p>
      <w:pPr>
        <w:spacing w:after="40"/>
      </w:pPr>
      <w:r>
        <w:rPr>
          <w:b/>
        </w:rPr>
        <w:t>(d) Recommendation.</w:t>
      </w:r>
    </w:p>
    <w:p>
      <w:pPr>
        <w:pStyle w:val="ListBullet"/>
        <w:spacing w:after="60"/>
      </w:pPr>
      <w:r>
        <w:t>Proposed language: “Each Major Investor may, at such Major Investor’s sole expense, upon not less than five (5) business days’ prior written notice, during normal business hours and not more than once in any calendar year (unless an event of the type described in Section [__] has occurred), visit and inspect the Company’s properties, examine its books and records, and discuss its affairs, finances and accounts with its officers, in each case in a manner that does not unreasonably interfere with the Company’s operations and subject to Section 3.2(b) and the proviso in Section 3.1.” Restore the Series A trade-secret exclusion.</w:t>
      </w:r>
    </w:p>
    <w:p>
      <w:pPr>
        <w:pStyle w:val="Heading3"/>
      </w:pPr>
      <w:r>
        <w:t>S-6 — Confidentiality covenant weaker than Series A; no survival; does not cover the observer  [SIGNIFICANT]</w:t>
      </w:r>
    </w:p>
    <w:p>
      <w:pPr>
        <w:spacing w:after="80"/>
      </w:pPr>
      <w:r>
        <w:rPr>
          <w:b/>
        </w:rPr>
        <w:t xml:space="preserve">(a) Draft IRA section(s): </w:t>
      </w:r>
      <w:r>
        <w:t>§3.2(b) (and §§1.1, 8.2)</w:t>
      </w:r>
    </w:p>
    <w:p>
      <w:pPr>
        <w:spacing w:after="80"/>
      </w:pPr>
      <w:r>
        <w:rPr>
          <w:b/>
        </w:rPr>
        <w:t xml:space="preserve">Benchmark(s): </w:t>
      </w:r>
      <w:r>
        <w:t>Series A IRA §§3.3, 7.11; Term Sheet §4.2; market</w:t>
      </w:r>
    </w:p>
    <w:p>
      <w:pPr>
        <w:spacing w:after="40"/>
      </w:pPr>
      <w:r>
        <w:rPr>
          <w:b/>
        </w:rPr>
        <w:t>(b) Problem.</w:t>
      </w:r>
    </w:p>
    <w:p>
      <w:pPr>
        <w:pStyle w:val="ListBullet"/>
        <w:spacing w:after="60"/>
      </w:pPr>
      <w:r>
        <w:t>Series A IRA §3.3 allowed disclosure only to representatives who are bound by confidentiality obligations at least as protective. Draft §3.2(b) allows disclosure to anyone who is merely “informed of the confidential nature,” expressly including “financing sources” and Affiliates. The Affiliate definition (§1.1) is very broad and includes any “fund under common management.” The covenant covers only information obtained “pursuant to the terms of this Agreement,” so information the CMV observer or a director receives at Board meetings arguably falls outside it. It also does not survive termination (§8.2), although Series A IRA §7.11 provided for survival.</w:t>
      </w:r>
    </w:p>
    <w:p>
      <w:pPr>
        <w:spacing w:after="40"/>
      </w:pPr>
      <w:r>
        <w:rPr>
          <w:b/>
        </w:rPr>
        <w:t>(c) Risk and impact.</w:t>
      </w:r>
    </w:p>
    <w:p>
      <w:pPr>
        <w:pStyle w:val="ListBullet"/>
        <w:spacing w:after="60"/>
      </w:pPr>
      <w:r>
        <w:t>Sensitive information can flow to CMV and Pinnacle affiliates and co-investors with no enforceable confidentiality obligation, and the covenant stops protecting the Company the moment the Agreement terminates (including at a sale).</w:t>
      </w:r>
    </w:p>
    <w:p>
      <w:pPr>
        <w:spacing w:after="40"/>
      </w:pPr>
      <w:r>
        <w:rPr>
          <w:b/>
        </w:rPr>
        <w:t>(d) Recommendation.</w:t>
      </w:r>
    </w:p>
    <w:p>
      <w:pPr>
        <w:pStyle w:val="ListBullet"/>
        <w:spacing w:after="60"/>
      </w:pPr>
      <w:r>
        <w:t>Require that representatives be bound by written or professional confidentiality obligations no less protective, and make each Investor responsible for breaches by its representatives. Prohibit disclosure to any portfolio company. Expressly cover information received by any director designee or the Board Observer. Delete “financing sources” (or limit it to bona fide prospective purchasers of the Investor’s shares who sign an NDA). Have the covenant survive for two years after termination.</w:t>
      </w:r>
    </w:p>
    <w:p>
      <w:pPr>
        <w:pStyle w:val="Heading3"/>
      </w:pPr>
      <w:r>
        <w:t>S-7 — ROFO mechanics: calendar vs. business days, missing purchaser identity, and an impossible timeline  [SIGNIFICANT]</w:t>
      </w:r>
    </w:p>
    <w:p>
      <w:pPr>
        <w:spacing w:after="80"/>
      </w:pPr>
      <w:r>
        <w:rPr>
          <w:b/>
        </w:rPr>
        <w:t xml:space="preserve">(a) Draft IRA section(s): </w:t>
      </w:r>
      <w:r>
        <w:t>§§4.1, 4.2, 4.4</w:t>
      </w:r>
    </w:p>
    <w:p>
      <w:pPr>
        <w:spacing w:after="80"/>
      </w:pPr>
      <w:r>
        <w:rPr>
          <w:b/>
        </w:rPr>
        <w:t xml:space="preserve">Benchmark(s): </w:t>
      </w:r>
      <w:r>
        <w:t>Term Sheet §3.3; Series A IRA §4.2; internal consistency</w:t>
      </w:r>
    </w:p>
    <w:p>
      <w:pPr>
        <w:spacing w:after="40"/>
      </w:pPr>
      <w:r>
        <w:rPr>
          <w:b/>
        </w:rPr>
        <w:t>(b) Problem.</w:t>
      </w:r>
    </w:p>
    <w:p>
      <w:pPr>
        <w:pStyle w:val="ListBullet"/>
        <w:spacing w:after="60"/>
      </w:pPr>
      <w:r>
        <w:t>The Term Sheet gives Major Investors 15 business days to exercise, and requires the notice to disclose the identity of any proposed purchasers and the exercise to be accompanied by payment. The draft gives 15 calendar days, omits purchaser identity, and makes payment optional at the Company’s election.</w:t>
      </w:r>
    </w:p>
    <w:p>
      <w:pPr>
        <w:pStyle w:val="ListBullet"/>
        <w:spacing w:after="60"/>
      </w:pPr>
      <w:r>
        <w:t>Internal inconsistency: §4.2 requires the ROFO Notice only 20 days before the proposed issuance, but the exercise and oversubscription windows add up to 25 days (15 + 10). The Company therefore cannot close on the date stated in its own notice.</w:t>
      </w:r>
    </w:p>
    <w:p>
      <w:pPr>
        <w:pStyle w:val="ListBullet"/>
        <w:spacing w:after="60"/>
      </w:pPr>
      <w:r>
        <w:t>Oversubscription is allocated by “ownership of Preferred Stock,” not by the as-converted, fully diluted Pro Rata Share measure in §4.1. Series A IRA §4.2(c) used as-converted Common, a 5-day window, and limited oversubscription to investors who exercised in full.</w:t>
      </w:r>
    </w:p>
    <w:p>
      <w:pPr>
        <w:spacing w:after="40"/>
      </w:pPr>
      <w:r>
        <w:rPr>
          <w:b/>
        </w:rPr>
        <w:t>(c) Risk and impact.</w:t>
      </w:r>
    </w:p>
    <w:p>
      <w:pPr>
        <w:pStyle w:val="ListBullet"/>
        <w:spacing w:after="60"/>
      </w:pPr>
      <w:r>
        <w:t>Northstar’s pro rata right is narrower in practice than what the Term Sheet promised, and in future rounds the timing defect will force either a ROFO waiver or a delayed closing.</w:t>
      </w:r>
    </w:p>
    <w:p>
      <w:pPr>
        <w:spacing w:after="40"/>
      </w:pPr>
      <w:r>
        <w:rPr>
          <w:b/>
        </w:rPr>
        <w:t>(d) Recommendation.</w:t>
      </w:r>
    </w:p>
    <w:p>
      <w:pPr>
        <w:pStyle w:val="ListBullet"/>
        <w:spacing w:after="60"/>
      </w:pPr>
      <w:r>
        <w:t>Conform to 15 business days and include the identity of proposed purchasers in the notice. Fix the timeline: deliver the notice at least [25] business days before closing, or (preferable for Company flexibility) add the NVCA option allowing the Company to close the financing first and offer ROFO shares to non-participating Major Investors within 90 days afterward on the same terms. Use a 5-day oversubscription period limited to fully exercising investors, allocated on the §4.1 basis.</w:t>
      </w:r>
    </w:p>
    <w:p>
      <w:pPr>
        <w:pStyle w:val="Heading3"/>
      </w:pPr>
      <w:r>
        <w:t>S-8 — Exempted Securities: gaps, an overbroad strategic carve-out, and misalignment with the charter  [SIGNIFICANT]</w:t>
      </w:r>
    </w:p>
    <w:p>
      <w:pPr>
        <w:spacing w:after="80"/>
      </w:pPr>
      <w:r>
        <w:rPr>
          <w:b/>
        </w:rPr>
        <w:t xml:space="preserve">(a) Draft IRA section(s): </w:t>
      </w:r>
      <w:r>
        <w:t>§4.3(a)–(h)</w:t>
      </w:r>
    </w:p>
    <w:p>
      <w:pPr>
        <w:spacing w:after="80"/>
      </w:pPr>
      <w:r>
        <w:rPr>
          <w:b/>
        </w:rPr>
        <w:t xml:space="preserve">Benchmark(s): </w:t>
      </w:r>
      <w:r>
        <w:t>Term Sheet §3.3 (i)–(vi); Series A IRA §4.3; Restated Certificate §4.3.5(c)(ii)</w:t>
      </w:r>
    </w:p>
    <w:p>
      <w:pPr>
        <w:spacing w:after="40"/>
      </w:pPr>
      <w:r>
        <w:rPr>
          <w:b/>
        </w:rPr>
        <w:t>(b) Problem.</w:t>
      </w:r>
    </w:p>
    <w:p>
      <w:pPr>
        <w:pStyle w:val="ListBullet"/>
        <w:spacing w:after="60"/>
      </w:pPr>
      <w:r>
        <w:t>Missing exemptions. (i) Series B shares issued at subsequent closings under the Purchase Agreement (Term Sheet §1.3 allows up to $4.5M within 60 days). As drafted, Major Investors would have a ROFO over the second closing. (ii) Shares issued on exercise or conversion of options, warrants, notes and other convertible securities outstanding at signing (Term Sheet item (v)); §4.3(a) covers only conversion of Preferred. (iii) Stock splits, combinations and recapitalizations (Series A IRA §4.3(c)).</w:t>
      </w:r>
    </w:p>
    <w:p>
      <w:pPr>
        <w:pStyle w:val="ListBullet"/>
        <w:spacing w:after="60"/>
      </w:pPr>
      <w:r>
        <w:t>Overbroad. §4.3(g) (“strategic partnerships, joint ventures, licensing arrangements, or technology development agreements”) duplicates §4.3(f) but without §4.3(f)’s limit that the arrangement’s “primary purpose … is not to raise capital.” That limit is required by Term Sheet item (iv). §4.3(d) adds “license” to the acquisition exemption.</w:t>
      </w:r>
    </w:p>
    <w:p>
      <w:pPr>
        <w:pStyle w:val="ListBullet"/>
        <w:spacing w:after="60"/>
      </w:pPr>
      <w:r>
        <w:t>Charter misalignment. The Restated Certificate’s anti-dilution carve-out for strategic issuances (§4.3.5(c)(ii)(E)) is capped at 1% of fully diluted capitalization and requires the Series A Director’s approval; the plan, acquisition and lender carve-outs also require that director’s approval. §4.3(c) of the draft instead requires approval by “at least one director designated by the holders of Preferred Stock,” which could be the CMV designee rather than Northstar’s director.</w:t>
      </w:r>
    </w:p>
    <w:p>
      <w:pPr>
        <w:spacing w:after="40"/>
      </w:pPr>
      <w:r>
        <w:rPr>
          <w:b/>
        </w:rPr>
        <w:t>(c) Risk and impact.</w:t>
      </w:r>
    </w:p>
    <w:p>
      <w:pPr>
        <w:pStyle w:val="ListBullet"/>
        <w:spacing w:after="60"/>
      </w:pPr>
      <w:r>
        <w:t>The gaps would require ROFO waivers for routine events, including the subsequent closing that is already part of this deal. The §4.3(g) loophole would let a financing labeled “strategic” avoid the ROFO entirely. That undercuts Northstar’s pro rata right; it gives the Company flexibility, but Northstar will not accept it, and it contradicts the Term Sheet. If the ROFO and anti-dilution exemption lists differ, an issuance could be exempt from one and not the other.</w:t>
      </w:r>
    </w:p>
    <w:p>
      <w:pPr>
        <w:spacing w:after="40"/>
      </w:pPr>
      <w:r>
        <w:rPr>
          <w:b/>
        </w:rPr>
        <w:t>(d) Recommendation.</w:t>
      </w:r>
    </w:p>
    <w:p>
      <w:pPr>
        <w:pStyle w:val="ListBullet"/>
        <w:spacing w:after="60"/>
      </w:pPr>
      <w:r>
        <w:t>Conform §4.3 to Term Sheet items (i)–(vi). Add exemptions for Series B shares issued under the Purchase Agreement (including subsequent closings) and for splits, dividends and recapitalizations. Delete §4.3(g) and “license” from §4.3(d). Conform the plan exemption to Board approval only, as in the Term Sheet. Make the IRA and the Series B charter carve-outs match: when the Series B charter is drafted, decide jointly whether to keep the 1% strategic cap and the Series A Director approval requirements.</w:t>
      </w:r>
    </w:p>
    <w:p>
      <w:pPr>
        <w:pStyle w:val="Heading3"/>
      </w:pPr>
      <w:r>
        <w:t>S-9 — Amendment and waiver provision lacks Key Holder and Major Investor protections  [SIGNIFICANT]</w:t>
      </w:r>
    </w:p>
    <w:p>
      <w:pPr>
        <w:spacing w:after="80"/>
      </w:pPr>
      <w:r>
        <w:rPr>
          <w:b/>
        </w:rPr>
        <w:t xml:space="preserve">(a) Draft IRA section(s): </w:t>
      </w:r>
      <w:r>
        <w:t>§9.2 (and §8.1)</w:t>
      </w:r>
    </w:p>
    <w:p>
      <w:pPr>
        <w:spacing w:after="80"/>
      </w:pPr>
      <w:r>
        <w:rPr>
          <w:b/>
        </w:rPr>
        <w:t xml:space="preserve">Benchmark(s): </w:t>
      </w:r>
      <w:r>
        <w:t>Series A IRA §7.6; market (NVCA §6.6)</w:t>
      </w:r>
    </w:p>
    <w:p>
      <w:pPr>
        <w:spacing w:after="40"/>
      </w:pPr>
      <w:r>
        <w:rPr>
          <w:b/>
        </w:rPr>
        <w:t>(b) Problem.</w:t>
      </w:r>
    </w:p>
    <w:p>
      <w:pPr>
        <w:pStyle w:val="ListBullet"/>
        <w:spacing w:after="60"/>
      </w:pPr>
      <w:r>
        <w:t>Any provision can be amended or waived by the Company plus a majority of the Registrable Securities, subject only to a general “disproportionately and adversely affects” carve-out. That majority is about 6.6M of about 13.2M shares; the Preferred holders alone hold 9.0M. There is no requirement that Key Holders consent to amendments that add obligations on them. There is no Major Investor consent for changes to the Major Investor definition or to Sections 3 and 4. The majority amendment threshold is also inconsistent with the two-thirds termination threshold (see Issue C-5).</w:t>
      </w:r>
    </w:p>
    <w:p>
      <w:pPr>
        <w:spacing w:after="40"/>
      </w:pPr>
      <w:r>
        <w:rPr>
          <w:b/>
        </w:rPr>
        <w:t>(c) Risk and impact.</w:t>
      </w:r>
    </w:p>
    <w:p>
      <w:pPr>
        <w:pStyle w:val="ListBullet"/>
        <w:spacing w:after="60"/>
      </w:pPr>
      <w:r>
        <w:t>Investors could tighten Founder obligations, such as lock-up or drag-along terms, without the Founders’ agreement. Conversely, the Major Investors’ ROFO and information rights could be cut back by a majority that does not include them, which is Northstar’s concern.</w:t>
      </w:r>
    </w:p>
    <w:p>
      <w:pPr>
        <w:spacing w:after="40"/>
      </w:pPr>
      <w:r>
        <w:rPr>
          <w:b/>
        </w:rPr>
        <w:t>(d) Recommendation.</w:t>
      </w:r>
    </w:p>
    <w:p>
      <w:pPr>
        <w:pStyle w:val="ListBullet"/>
        <w:spacing w:after="60"/>
      </w:pPr>
      <w:r>
        <w:t>Add NVCA-style provisos: (i) any amendment or waiver that imposes or increases obligations of a Key Holder requires the written consent of that Key Holder (or a majority of the Key Holders); (ii) amendments to Sections 3 and 4 or to the Major Investor definition require the consent of holders of a majority of the Preferred Stock held by Major Investors; (iii) the Company must give prompt notice of any amendment or waiver to non-consenting parties. Use the same threshold for termination by consent as for amendment.</w:t>
      </w:r>
    </w:p>
    <w:p>
      <w:pPr>
        <w:pStyle w:val="Heading3"/>
      </w:pPr>
      <w:r>
        <w:t>S-10 — Assignment rights narrowed (no affiliate or estate-planning transfers)  [SIGNIFICANT]</w:t>
      </w:r>
    </w:p>
    <w:p>
      <w:pPr>
        <w:spacing w:after="80"/>
      </w:pPr>
      <w:r>
        <w:rPr>
          <w:b/>
        </w:rPr>
        <w:t xml:space="preserve">(a) Draft IRA section(s): </w:t>
      </w:r>
      <w:r>
        <w:t>§§2.10, 9.6</w:t>
      </w:r>
    </w:p>
    <w:p>
      <w:pPr>
        <w:spacing w:after="80"/>
      </w:pPr>
      <w:r>
        <w:rPr>
          <w:b/>
        </w:rPr>
        <w:t xml:space="preserve">Benchmark(s): </w:t>
      </w:r>
      <w:r>
        <w:t>Series A IRA §§2.8, 7.1; market (NVCA §2.12)</w:t>
      </w:r>
    </w:p>
    <w:p>
      <w:pPr>
        <w:spacing w:after="40"/>
      </w:pPr>
      <w:r>
        <w:rPr>
          <w:b/>
        </w:rPr>
        <w:t>(b) Problem.</w:t>
      </w:r>
    </w:p>
    <w:p>
      <w:pPr>
        <w:pStyle w:val="ListBullet"/>
        <w:spacing w:after="60"/>
      </w:pPr>
      <w:r>
        <w:t>Registration rights can be assigned only to a transferee of at least 500,000 shares. The Series A IRA §2.8 exceptions for Affiliates, Immediate Family Members and family trusts are gone. Under §9.6, no Investor may assign any other rights (information, ROFO) without Company consent except under §2.10.</w:t>
      </w:r>
    </w:p>
    <w:p>
      <w:pPr>
        <w:spacing w:after="40"/>
      </w:pPr>
      <w:r>
        <w:rPr>
          <w:b/>
        </w:rPr>
        <w:t>(c) Risk and impact.</w:t>
      </w:r>
    </w:p>
    <w:p>
      <w:pPr>
        <w:pStyle w:val="ListBullet"/>
        <w:spacing w:after="60"/>
      </w:pPr>
      <w:r>
        <w:t>Northstar loses the ability to move its position to an affiliated fund or a continuation vehicle with its rights intact. The Founders, whose Common is Registrable, lose registration rights on any estate-planning transfer. These are existing Series A rights.</w:t>
      </w:r>
    </w:p>
    <w:p>
      <w:pPr>
        <w:spacing w:after="40"/>
      </w:pPr>
      <w:r>
        <w:rPr>
          <w:b/>
        </w:rPr>
        <w:t>(d) Recommendation.</w:t>
      </w:r>
    </w:p>
    <w:p>
      <w:pPr>
        <w:pStyle w:val="ListBullet"/>
        <w:spacing w:after="60"/>
      </w:pPr>
      <w:r>
        <w:t>Restore Series A IRA §2.8(a)–(b) (Affiliates, Immediate Family Members, trusts), keeping the 500,000-share test for unaffiliated transferees. In §9.6, permit Investors to assign information and ROFO rights to Affiliates. The Company can keep the right to refuse assignment to a competitor.</w:t>
      </w:r>
    </w:p>
    <w:p>
      <w:pPr>
        <w:pStyle w:val="Heading3"/>
      </w:pPr>
      <w:r>
        <w:t>S-11 — New personal Founder covenants: devotion of time and key-person insurance  [SIGNIFICANT]</w:t>
      </w:r>
    </w:p>
    <w:p>
      <w:pPr>
        <w:spacing w:after="80"/>
      </w:pPr>
      <w:r>
        <w:rPr>
          <w:b/>
        </w:rPr>
        <w:t xml:space="preserve">(a) Draft IRA section(s): </w:t>
      </w:r>
      <w:r>
        <w:t>§§7.2, 7.3 (and §7.5)</w:t>
      </w:r>
    </w:p>
    <w:p>
      <w:pPr>
        <w:spacing w:after="80"/>
      </w:pPr>
      <w:r>
        <w:rPr>
          <w:b/>
        </w:rPr>
        <w:t xml:space="preserve">Benchmark(s): </w:t>
      </w:r>
      <w:r>
        <w:t>Term Sheet §5.3 (spirit); Series A IRA (none); market</w:t>
      </w:r>
    </w:p>
    <w:p>
      <w:pPr>
        <w:spacing w:after="40"/>
      </w:pPr>
      <w:r>
        <w:rPr>
          <w:b/>
        </w:rPr>
        <w:t>(b) Problem.</w:t>
      </w:r>
    </w:p>
    <w:p>
      <w:pPr>
        <w:pStyle w:val="ListBullet"/>
        <w:spacing w:after="60"/>
      </w:pPr>
      <w:r>
        <w:t>Section 7.3 makes each Founder personally covenant, to the Investors, to devote “substantially all” business time to the Company. Section 7.2 requires the Company to maintain $3,000,000 of key-person life insurance on each Founder. Neither appears in the Term Sheet or the Series A IRA.</w:t>
      </w:r>
    </w:p>
    <w:p>
      <w:pPr>
        <w:spacing w:after="40"/>
      </w:pPr>
      <w:r>
        <w:rPr>
          <w:b/>
        </w:rPr>
        <w:t>(c) Risk and impact.</w:t>
      </w:r>
    </w:p>
    <w:p>
      <w:pPr>
        <w:pStyle w:val="ListBullet"/>
        <w:spacing w:after="60"/>
      </w:pPr>
      <w:r>
        <w:t>§7.3 turns an employment matter into a contract obligation owed to the investors, enforceable with specific performance under §9.12. It could also conflict with academic, advisory or board roles the Founders now hold or may take. §7.2 imposes a premium cost and requires the Founders to submit to medical underwriting. These are founder-specific obligations of the kind Diana asked us to scrutinize.</w:t>
      </w:r>
    </w:p>
    <w:p>
      <w:pPr>
        <w:spacing w:after="40"/>
      </w:pPr>
      <w:r>
        <w:rPr>
          <w:b/>
        </w:rPr>
        <w:t>(d) Recommendation.</w:t>
      </w:r>
    </w:p>
    <w:p>
      <w:pPr>
        <w:pStyle w:val="ListBullet"/>
        <w:spacing w:after="60"/>
      </w:pPr>
      <w:r>
        <w:t>Delete §7.3; time commitment belongs in the employment agreements. For §7.2, delete it or soften it to: “The Company shall use commercially reasonable efforts to obtain and maintain key-person life insurance on such Key Employees and in such amounts as the Board may determine,” with the coverage ending when the person’s employment ends. Also delete §7.5, which merely duplicates §6.8 and is mislabeled (“ROFO” instead of ROFR).</w:t>
      </w:r>
    </w:p>
    <w:p>
      <w:pPr>
        <w:pStyle w:val="Heading3"/>
      </w:pPr>
      <w:r>
        <w:t>S-12 — No QSBS (Section 1202) covenant  [SIGNIFICANT]</w:t>
      </w:r>
    </w:p>
    <w:p>
      <w:pPr>
        <w:spacing w:after="80"/>
      </w:pPr>
      <w:r>
        <w:rPr>
          <w:b/>
        </w:rPr>
        <w:t xml:space="preserve">(a) Draft IRA section(s): </w:t>
      </w:r>
      <w:r>
        <w:t>Not addressed (proposed new §6.9)</w:t>
      </w:r>
    </w:p>
    <w:p>
      <w:pPr>
        <w:spacing w:after="80"/>
      </w:pPr>
      <w:r>
        <w:rPr>
          <w:b/>
        </w:rPr>
        <w:t xml:space="preserve">Benchmark(s): </w:t>
      </w:r>
      <w:r>
        <w:t>Client request (d); market (NVCA QSBS covenant); Series A IRA (silent)</w:t>
      </w:r>
    </w:p>
    <w:p>
      <w:pPr>
        <w:spacing w:after="40"/>
      </w:pPr>
      <w:r>
        <w:rPr>
          <w:b/>
        </w:rPr>
        <w:t>(b) Problem.</w:t>
      </w:r>
    </w:p>
    <w:p>
      <w:pPr>
        <w:pStyle w:val="ListBullet"/>
        <w:spacing w:after="60"/>
      </w:pPr>
      <w:r>
        <w:t>The draft contains no qualified small business stock covenant, and the Series A IRA was also silent. A Company covenant to use commercially reasonable efforts to preserve QSBS status is now common in NVCA-based documents and benefits every stockholder, including the Founders, whose 2021 Common may be QSBS-eligible.</w:t>
      </w:r>
    </w:p>
    <w:p>
      <w:pPr>
        <w:spacing w:after="40"/>
      </w:pPr>
      <w:r>
        <w:rPr>
          <w:b/>
        </w:rPr>
        <w:t>(c) Risk and impact.</w:t>
      </w:r>
    </w:p>
    <w:p>
      <w:pPr>
        <w:pStyle w:val="ListBullet"/>
        <w:spacing w:after="60"/>
      </w:pPr>
      <w:r>
        <w:t>Without a covenant, nothing stops the Company from taking actions (e.g., certain redemptions or changes in its business) that could inadvertently disqualify stock under IRC §1202, and stockholders have no clear right to the information they need to support a QSBS position.</w:t>
      </w:r>
    </w:p>
    <w:p>
      <w:pPr>
        <w:pStyle w:val="ListBullet"/>
        <w:spacing w:after="60"/>
      </w:pPr>
      <w:r>
        <w:t>Two practical points to confirm before Closing. (1) Gross assets test. Stock qualifies only if the Company’s aggregate gross assets (tax basis; cash counts) did not exceed $50M at any time before, and immediately after, the issuance (IRC §1202(d)). A $25.5M initial closing plus a $4.5M subsequent closing means the Company’s pre-closing gross assets must be well under about $20–24.5M for the Series B shares to qualify. Ask the Company’s tax advisors to confirm. (2) Redemptions. Under IRC §1202(c)(3), certain repurchases from stockholders within two years (and significant redemptions within one year) before or after an issuance can taint newly issued stock. Any founder or employee share repurchases around the Closing should be reviewed.</w:t>
      </w:r>
    </w:p>
    <w:p>
      <w:pPr>
        <w:pStyle w:val="ListBullet"/>
        <w:spacing w:after="60"/>
      </w:pPr>
      <w:r>
        <w:t>The Company’s industrial-biotech business should be a qualified trade or business (the §1202(e)(3) exclusion covers services in health and similar fields, not product companies), but the active-business requirement must continue to be met.</w:t>
      </w:r>
    </w:p>
    <w:p>
      <w:pPr>
        <w:spacing w:after="40"/>
      </w:pPr>
      <w:r>
        <w:rPr>
          <w:b/>
        </w:rPr>
        <w:t>(d) Recommendation.</w:t>
      </w:r>
    </w:p>
    <w:p>
      <w:pPr>
        <w:pStyle w:val="ListBullet"/>
        <w:spacing w:after="60"/>
      </w:pPr>
      <w:r>
        <w:t>Request a new covenant: “Qualified Small Business Stock. The Company shall use commercially reasonable efforts to cause the shares of Preferred Stock issued pursuant to the Purchase Agreement, the shares of Common Stock held by the Key Holders, and any shares of Common Stock issued upon conversion of Preferred Stock to constitute “qualified small business stock” as defined in Section 1202(c) of the Internal Revenue Code of 1986, as amended (the “Code”); provided, however, that such requirement shall not apply if the Board determines, in its good-faith business judgment, that such qualification is inconsistent with the best interests of the Company. In connection therewith, the Company shall (a) submit to its stockholders and to the Internal Revenue Service any reports that may be required under Section 1202(d)(1)(C) of the Code and the regulations promulgated thereunder, and (b) within twenty (20) business days after a stockholder’s written request, deliver a statement as to whether, to the Company’s knowledge, the Company has met the requirements of Section 1202 of the Code with respect to such stockholder’s shares.” Recommend that Priya confirm her personal position with her own tax advisor.</w:t>
      </w:r>
    </w:p>
    <w:p>
      <w:pPr>
        <w:pStyle w:val="Heading3"/>
      </w:pPr>
      <w:r>
        <w:t>S-13 — Registration indemnity: contribution and settlement protections dropped  [SIGNIFICANT]</w:t>
      </w:r>
    </w:p>
    <w:p>
      <w:pPr>
        <w:spacing w:after="80"/>
      </w:pPr>
      <w:r>
        <w:rPr>
          <w:b/>
        </w:rPr>
        <w:t xml:space="preserve">(a) Draft IRA section(s): </w:t>
      </w:r>
      <w:r>
        <w:t>§§1.17, 2.7, 2.8</w:t>
      </w:r>
    </w:p>
    <w:p>
      <w:pPr>
        <w:spacing w:after="80"/>
      </w:pPr>
      <w:r>
        <w:rPr>
          <w:b/>
        </w:rPr>
        <w:t xml:space="preserve">Benchmark(s): </w:t>
      </w:r>
      <w:r>
        <w:t>Series A IRA §§2.6, 2.7(a), (c), (d); market (NVCA §2.8)</w:t>
      </w:r>
    </w:p>
    <w:p>
      <w:pPr>
        <w:spacing w:after="40"/>
      </w:pPr>
      <w:r>
        <w:rPr>
          <w:b/>
        </w:rPr>
        <w:t>(b) Problem.</w:t>
      </w:r>
    </w:p>
    <w:p>
      <w:pPr>
        <w:pStyle w:val="ListBullet"/>
        <w:spacing w:after="60"/>
      </w:pPr>
      <w:r>
        <w:t>Compared with the Series A IRA, the draft (i) omits the contribution clause (§2.7(c)), (ii) omits the Company’s protection against paying for settlements a Holder makes without the Company’s consent (§2.7(a)), (iii) omits the separate-counsel mechanics, and (iv) removes the $25,000 cap on selling-holder special counsel (now uncapped in §1.17).</w:t>
      </w:r>
    </w:p>
    <w:p>
      <w:pPr>
        <w:spacing w:after="40"/>
      </w:pPr>
      <w:r>
        <w:rPr>
          <w:b/>
        </w:rPr>
        <w:t>(c) Risk and impact.</w:t>
      </w:r>
    </w:p>
    <w:p>
      <w:pPr>
        <w:pStyle w:val="ListBullet"/>
        <w:spacing w:after="60"/>
      </w:pPr>
      <w:r>
        <w:t>Higher and less predictable Company exposure in any registered offering. The Founders (as Holders) also lose the benefit of a contribution mechanism.</w:t>
      </w:r>
    </w:p>
    <w:p>
      <w:pPr>
        <w:spacing w:after="40"/>
      </w:pPr>
      <w:r>
        <w:rPr>
          <w:b/>
        </w:rPr>
        <w:t>(d) Recommendation.</w:t>
      </w:r>
    </w:p>
    <w:p>
      <w:pPr>
        <w:pStyle w:val="ListBullet"/>
        <w:spacing w:after="60"/>
      </w:pPr>
      <w:r>
        <w:t>Restore Series A IRA §2.7(a) (settlement consent), §2.7(c) (contribution) and §2.7(d) (procedures). Restore a reasonable cap on selling-holder counsel fees (e.g., $25,000–$50,000 per registration).</w:t>
      </w:r>
    </w:p>
    <w:p>
      <w:pPr>
        <w:pStyle w:val="Heading2"/>
      </w:pPr>
      <w:r>
        <w:t>C. Minor Issues</w:t>
      </w:r>
    </w:p>
    <w:p>
      <w:pPr>
        <w:pStyle w:val="Heading3"/>
      </w:pPr>
      <w:r>
        <w:t>M-1 — Piggyback notice and response periods shortened  [MINOR]</w:t>
      </w:r>
    </w:p>
    <w:p>
      <w:pPr>
        <w:spacing w:after="80"/>
      </w:pPr>
      <w:r>
        <w:rPr>
          <w:b/>
        </w:rPr>
        <w:t xml:space="preserve">(a) Draft IRA section(s): </w:t>
      </w:r>
      <w:r>
        <w:t>§2.2(a)</w:t>
      </w:r>
    </w:p>
    <w:p>
      <w:pPr>
        <w:spacing w:after="80"/>
      </w:pPr>
      <w:r>
        <w:rPr>
          <w:b/>
        </w:rPr>
        <w:t xml:space="preserve">Benchmark(s): </w:t>
      </w:r>
      <w:r>
        <w:t>Term Sheet §3.1; Series A IRA §2.2(a)–(b)</w:t>
      </w:r>
    </w:p>
    <w:p>
      <w:pPr>
        <w:spacing w:after="40"/>
      </w:pPr>
      <w:r>
        <w:rPr>
          <w:b/>
        </w:rPr>
        <w:t>(b) Problem.</w:t>
      </w:r>
    </w:p>
    <w:p>
      <w:pPr>
        <w:pStyle w:val="ListBullet"/>
        <w:spacing w:after="60"/>
      </w:pPr>
      <w:r>
        <w:t>Company notice is 15 days before filing, against 20 days in Term Sheet §3.1 and the Series A IRA. Holders get 10 days to respond, against 15 days in the Series A IRA.</w:t>
      </w:r>
    </w:p>
    <w:p>
      <w:pPr>
        <w:spacing w:after="40"/>
      </w:pPr>
      <w:r>
        <w:rPr>
          <w:b/>
        </w:rPr>
        <w:t>(c) Risk and impact.</w:t>
      </w:r>
    </w:p>
    <w:p>
      <w:pPr>
        <w:pStyle w:val="ListBullet"/>
        <w:spacing w:after="60"/>
      </w:pPr>
      <w:r>
        <w:t>This is a Term Sheet deviation that cuts existing Series A rights (a Northstar concern), though it slightly favors the Company’s timetable.</w:t>
      </w:r>
    </w:p>
    <w:p>
      <w:pPr>
        <w:spacing w:after="40"/>
      </w:pPr>
      <w:r>
        <w:rPr>
          <w:b/>
        </w:rPr>
        <w:t>(d) Recommendation.</w:t>
      </w:r>
    </w:p>
    <w:p>
      <w:pPr>
        <w:pStyle w:val="ListBullet"/>
        <w:spacing w:after="60"/>
      </w:pPr>
      <w:r>
        <w:t>Conform to 20 days’ notice and a 15-day response period.</w:t>
      </w:r>
    </w:p>
    <w:p>
      <w:pPr>
        <w:pStyle w:val="Heading3"/>
      </w:pPr>
      <w:r>
        <w:t>M-2 — D&amp;O insurance minimum and form  [MINOR]</w:t>
      </w:r>
    </w:p>
    <w:p>
      <w:pPr>
        <w:spacing w:after="80"/>
      </w:pPr>
      <w:r>
        <w:rPr>
          <w:b/>
        </w:rPr>
        <w:t xml:space="preserve">(a) Draft IRA section(s): </w:t>
      </w:r>
      <w:r>
        <w:t>§6.3</w:t>
      </w:r>
    </w:p>
    <w:p>
      <w:pPr>
        <w:spacing w:after="80"/>
      </w:pPr>
      <w:r>
        <w:rPr>
          <w:b/>
        </w:rPr>
        <w:t xml:space="preserve">Benchmark(s): </w:t>
      </w:r>
      <w:r>
        <w:t>Series A IRA §§5.1, 5.4; Term Sheet (silent)</w:t>
      </w:r>
    </w:p>
    <w:p>
      <w:pPr>
        <w:spacing w:after="40"/>
      </w:pPr>
      <w:r>
        <w:rPr>
          <w:b/>
        </w:rPr>
        <w:t>(b) Problem.</w:t>
      </w:r>
    </w:p>
    <w:p>
      <w:pPr>
        <w:pStyle w:val="ListBullet"/>
        <w:spacing w:after="60"/>
      </w:pPr>
      <w:r>
        <w:t>The required D&amp;O coverage rises from $2,000,000 (Series A) to $5,000,000 “per occurrence.” D&amp;O policies are written on a claims-made, per-claim/aggregate basis, so “per occurrence” is a misnomer.</w:t>
      </w:r>
    </w:p>
    <w:p>
      <w:pPr>
        <w:spacing w:after="40"/>
      </w:pPr>
      <w:r>
        <w:rPr>
          <w:b/>
        </w:rPr>
        <w:t>(c) Risk and impact.</w:t>
      </w:r>
    </w:p>
    <w:p>
      <w:pPr>
        <w:pStyle w:val="ListBullet"/>
        <w:spacing w:after="60"/>
      </w:pPr>
      <w:r>
        <w:t>Higher premium cost, and a technical breach if the market does not offer the stated form.</w:t>
      </w:r>
    </w:p>
    <w:p>
      <w:pPr>
        <w:spacing w:after="40"/>
      </w:pPr>
      <w:r>
        <w:rPr>
          <w:b/>
        </w:rPr>
        <w:t>(d) Recommendation.</w:t>
      </w:r>
    </w:p>
    <w:p>
      <w:pPr>
        <w:pStyle w:val="ListBullet"/>
        <w:spacing w:after="60"/>
      </w:pPr>
      <w:r>
        <w:t>Require coverage “in an amount and on terms determined by the Board to be reasonable” (or $3–5M aggregate, if the broker confirms pricing), with commercially reasonable efforts to maintain it, as in Series A IRA §5.1.</w:t>
      </w:r>
    </w:p>
    <w:p>
      <w:pPr>
        <w:pStyle w:val="Heading3"/>
      </w:pPr>
      <w:r>
        <w:t>M-3 — Successor indemnification weakened  [MINOR]</w:t>
      </w:r>
    </w:p>
    <w:p>
      <w:pPr>
        <w:spacing w:after="80"/>
      </w:pPr>
      <w:r>
        <w:rPr>
          <w:b/>
        </w:rPr>
        <w:t xml:space="preserve">(a) Draft IRA section(s): </w:t>
      </w:r>
      <w:r>
        <w:t>§6.6</w:t>
      </w:r>
    </w:p>
    <w:p>
      <w:pPr>
        <w:spacing w:after="80"/>
      </w:pPr>
      <w:r>
        <w:rPr>
          <w:b/>
        </w:rPr>
        <w:t xml:space="preserve">Benchmark(s): </w:t>
      </w:r>
      <w:r>
        <w:t>Series A IRA §5.5</w:t>
      </w:r>
    </w:p>
    <w:p>
      <w:pPr>
        <w:spacing w:after="40"/>
      </w:pPr>
      <w:r>
        <w:rPr>
          <w:b/>
        </w:rPr>
        <w:t>(b) Problem.</w:t>
      </w:r>
    </w:p>
    <w:p>
      <w:pPr>
        <w:pStyle w:val="ListBullet"/>
        <w:spacing w:after="60"/>
      </w:pPr>
      <w:r>
        <w:t>The Series A IRA obligation (“shall cause proper provision to be made”) becomes “commercially reasonable efforts.”</w:t>
      </w:r>
    </w:p>
    <w:p>
      <w:pPr>
        <w:spacing w:after="40"/>
      </w:pPr>
      <w:r>
        <w:rPr>
          <w:b/>
        </w:rPr>
        <w:t>(c) Risk and impact.</w:t>
      </w:r>
    </w:p>
    <w:p>
      <w:pPr>
        <w:pStyle w:val="ListBullet"/>
        <w:spacing w:after="60"/>
      </w:pPr>
      <w:r>
        <w:t>Weaker tail protection for current directors and officers, including both Founders and the investor designees.</w:t>
      </w:r>
    </w:p>
    <w:p>
      <w:pPr>
        <w:spacing w:after="40"/>
      </w:pPr>
      <w:r>
        <w:rPr>
          <w:b/>
        </w:rPr>
        <w:t>(d) Recommendation.</w:t>
      </w:r>
    </w:p>
    <w:p>
      <w:pPr>
        <w:pStyle w:val="ListBullet"/>
        <w:spacing w:after="60"/>
      </w:pPr>
      <w:r>
        <w:t>Restore the Series A IRA §5.5 standard. CMV’s and Northstar’s directors benefit too, so this should be uncontroversial.</w:t>
      </w:r>
    </w:p>
    <w:p>
      <w:pPr>
        <w:pStyle w:val="Heading3"/>
      </w:pPr>
      <w:r>
        <w:t>M-4 — Definitions, cross-references and title  [MINOR]</w:t>
      </w:r>
    </w:p>
    <w:p>
      <w:pPr>
        <w:spacing w:after="80"/>
      </w:pPr>
      <w:r>
        <w:rPr>
          <w:b/>
        </w:rPr>
        <w:t xml:space="preserve">(a) Draft IRA section(s): </w:t>
      </w:r>
      <w:r>
        <w:t>§§1.5, 1.11, 1.18, 2.1, 7.5, 8.2, 9.2, 9.3; title; recitals</w:t>
      </w:r>
    </w:p>
    <w:p>
      <w:pPr>
        <w:spacing w:after="80"/>
      </w:pPr>
      <w:r>
        <w:rPr>
          <w:b/>
        </w:rPr>
        <w:t xml:space="preserve">Benchmark(s): </w:t>
      </w:r>
      <w:r>
        <w:t>Internal consistency</w:t>
      </w:r>
    </w:p>
    <w:p>
      <w:pPr>
        <w:spacing w:after="40"/>
      </w:pPr>
      <w:r>
        <w:rPr>
          <w:b/>
        </w:rPr>
        <w:t>(b) Problem.</w:t>
      </w:r>
    </w:p>
    <w:p>
      <w:pPr>
        <w:pStyle w:val="ListBullet"/>
        <w:spacing w:after="60"/>
      </w:pPr>
      <w:r>
        <w:t>“Restated Certificate” is defined twice (§1.5, “as may be amended from time to time,” and §1.18, “as filed”). It should refer specifically to the [Second] Amended and Restated Certificate filed in connection with the Series B Closing; the March 20, 2023 charter authorizes only 6,000,000 Preferred shares, all designated Series A.</w:t>
      </w:r>
    </w:p>
    <w:p>
      <w:pPr>
        <w:pStyle w:val="ListBullet"/>
        <w:spacing w:after="60"/>
      </w:pPr>
      <w:r>
        <w:t>“IPO” (§1.11) has no size threshold, unlike Series A IRA §1.13 ($30M). It drives termination of §§3, 4 and 8 (see Issue C-5).</w:t>
      </w:r>
    </w:p>
    <w:p>
      <w:pPr>
        <w:pStyle w:val="ListBullet"/>
        <w:spacing w:after="60"/>
      </w:pPr>
      <w:r>
        <w:t>Undefined terms: “Voting Agreement” (§9.2), “Transaction Agreements” (§9.3), “Initiating Holders” (concept in §2.1(b)).</w:t>
      </w:r>
    </w:p>
    <w:p>
      <w:pPr>
        <w:pStyle w:val="ListBullet"/>
        <w:spacing w:after="60"/>
      </w:pPr>
      <w:r>
        <w:t>“Founders” (§1.9) and “Key Holders” (preamble) are used interchangeably. Use one term.</w:t>
      </w:r>
    </w:p>
    <w:p>
      <w:pPr>
        <w:pStyle w:val="ListBullet"/>
        <w:spacing w:after="60"/>
      </w:pPr>
      <w:r>
        <w:t>§8.2 refers to “this Section 9” (should be “this Section 8 and Section 9”). §7.5 is captioned “Founder ROFO” but refers to the ROFR/Co-Sale Agreement and duplicates §6.8.</w:t>
      </w:r>
    </w:p>
    <w:p>
      <w:pPr>
        <w:pStyle w:val="ListBullet"/>
        <w:spacing w:after="60"/>
      </w:pPr>
      <w:r>
        <w:t>The title should read “Amended and Restated Investors’ Rights Agreement” (Term Sheet §3; draft recitals and §9.2). The recitals should state that the amendment and restatement is approved under Series A IRA §7.6 by the Company and the holders of a majority of the Registrable Securities under the Prior Agreement.</w:t>
      </w:r>
    </w:p>
    <w:p>
      <w:pPr>
        <w:spacing w:after="40"/>
      </w:pPr>
      <w:r>
        <w:rPr>
          <w:b/>
        </w:rPr>
        <w:t>(c) Risk and impact.</w:t>
      </w:r>
    </w:p>
    <w:p>
      <w:pPr>
        <w:pStyle w:val="ListBullet"/>
        <w:spacing w:after="60"/>
      </w:pPr>
      <w:r>
        <w:t>Ambiguity and interpretive disputes, plus a risk that the wrong charter controls the Deemed Liquidation Event and Qualified IPO definitions.</w:t>
      </w:r>
    </w:p>
    <w:p>
      <w:pPr>
        <w:spacing w:after="40"/>
      </w:pPr>
      <w:r>
        <w:rPr>
          <w:b/>
        </w:rPr>
        <w:t>(d) Recommendation.</w:t>
      </w:r>
    </w:p>
    <w:p>
      <w:pPr>
        <w:pStyle w:val="ListBullet"/>
        <w:spacing w:after="60"/>
      </w:pPr>
      <w:r>
        <w:t>Clean up the definitions as noted. Include them in the markup.</w:t>
      </w:r>
    </w:p>
    <w:p>
      <w:pPr>
        <w:pStyle w:val="Heading3"/>
      </w:pPr>
      <w:r>
        <w:t>M-5 — Dropped Series A covenants (employee vesting, reservation of shares)  [MINOR]</w:t>
      </w:r>
    </w:p>
    <w:p>
      <w:pPr>
        <w:spacing w:after="80"/>
      </w:pPr>
      <w:r>
        <w:rPr>
          <w:b/>
        </w:rPr>
        <w:t xml:space="preserve">(a) Draft IRA section(s): </w:t>
      </w:r>
      <w:r>
        <w:t>Section 6 (omitted Series A IRA §§5.3, 5.6); §7.1</w:t>
      </w:r>
    </w:p>
    <w:p>
      <w:pPr>
        <w:spacing w:after="80"/>
      </w:pPr>
      <w:r>
        <w:rPr>
          <w:b/>
        </w:rPr>
        <w:t xml:space="preserve">Benchmark(s): </w:t>
      </w:r>
      <w:r>
        <w:t>Series A IRA §§5.3, 5.6</w:t>
      </w:r>
    </w:p>
    <w:p>
      <w:pPr>
        <w:spacing w:after="40"/>
      </w:pPr>
      <w:r>
        <w:rPr>
          <w:b/>
        </w:rPr>
        <w:t>(b) Problem.</w:t>
      </w:r>
    </w:p>
    <w:p>
      <w:pPr>
        <w:pStyle w:val="ListBullet"/>
        <w:spacing w:after="60"/>
      </w:pPr>
      <w:r>
        <w:t>The draft omits the Series A standard-vesting covenant (4-year, 1-year cliff, unless the Board including an investor director approves otherwise) and the reservation-of-Common covenant. §7.1 merely preserves the Founders’ existing vesting arrangements.</w:t>
      </w:r>
    </w:p>
    <w:p>
      <w:pPr>
        <w:spacing w:after="40"/>
      </w:pPr>
      <w:r>
        <w:rPr>
          <w:b/>
        </w:rPr>
        <w:t>(c) Risk and impact.</w:t>
      </w:r>
    </w:p>
    <w:p>
      <w:pPr>
        <w:pStyle w:val="ListBullet"/>
        <w:spacing w:after="60"/>
      </w:pPr>
      <w:r>
        <w:t>The omission favors Company flexibility. Northstar may ask to restore the vesting covenant. The reservation covenant is also in the charter or SPA in substance. Confirm that §7.1 does not imply any re-vesting (confirm against the Founders’ RSPAs).</w:t>
      </w:r>
    </w:p>
    <w:p>
      <w:pPr>
        <w:spacing w:after="40"/>
      </w:pPr>
      <w:r>
        <w:rPr>
          <w:b/>
        </w:rPr>
        <w:t>(d) Recommendation.</w:t>
      </w:r>
    </w:p>
    <w:p>
      <w:pPr>
        <w:pStyle w:val="ListBullet"/>
        <w:spacing w:after="60"/>
      </w:pPr>
      <w:r>
        <w:t>Do not volunteer the vesting covenant. If Northstar raises it, accept the Series A version with Board approval (not investor-director approval) as the exception. Confirm §7.1 against the existing RSPAs.</w:t>
      </w:r>
    </w:p>
    <w:p>
      <w:pPr>
        <w:pStyle w:val="Heading3"/>
      </w:pPr>
      <w:r>
        <w:t>M-6 — Limitation on subsequent registration rights  [MINOR]</w:t>
      </w:r>
    </w:p>
    <w:p>
      <w:pPr>
        <w:spacing w:after="80"/>
      </w:pPr>
      <w:r>
        <w:rPr>
          <w:b/>
        </w:rPr>
        <w:t xml:space="preserve">(a) Draft IRA section(s): </w:t>
      </w:r>
      <w:r>
        <w:t>§2.12</w:t>
      </w:r>
    </w:p>
    <w:p>
      <w:pPr>
        <w:spacing w:after="80"/>
      </w:pPr>
      <w:r>
        <w:rPr>
          <w:b/>
        </w:rPr>
        <w:t xml:space="preserve">Benchmark(s): </w:t>
      </w:r>
      <w:r>
        <w:t>Series A IRA §2.9; market</w:t>
      </w:r>
    </w:p>
    <w:p>
      <w:pPr>
        <w:spacing w:after="40"/>
      </w:pPr>
      <w:r>
        <w:rPr>
          <w:b/>
        </w:rPr>
        <w:t>(b) Problem.</w:t>
      </w:r>
    </w:p>
    <w:p>
      <w:pPr>
        <w:pStyle w:val="ListBullet"/>
        <w:spacing w:after="60"/>
      </w:pPr>
      <w:r>
        <w:t>Granting any future investor pari passu or senior registration rights requires the consent of a majority of the Registrable Securities.</w:t>
      </w:r>
    </w:p>
    <w:p>
      <w:pPr>
        <w:spacing w:after="40"/>
      </w:pPr>
      <w:r>
        <w:rPr>
          <w:b/>
        </w:rPr>
        <w:t>(c) Risk and impact.</w:t>
      </w:r>
    </w:p>
    <w:p>
      <w:pPr>
        <w:pStyle w:val="ListBullet"/>
        <w:spacing w:after="60"/>
      </w:pPr>
      <w:r>
        <w:t>This adds friction to future rounds, where new investors routinely require pari passu rights.</w:t>
      </w:r>
    </w:p>
    <w:p>
      <w:pPr>
        <w:spacing w:after="40"/>
      </w:pPr>
      <w:r>
        <w:rPr>
          <w:b/>
        </w:rPr>
        <w:t>(d) Recommendation.</w:t>
      </w:r>
    </w:p>
    <w:p>
      <w:pPr>
        <w:pStyle w:val="ListBullet"/>
        <w:spacing w:after="60"/>
      </w:pPr>
      <w:r>
        <w:t>Allow pari passu (but not senior) rights to purchasers of equity securities in a Board-approved financing without separate consent, or follow the Series A IRA §2.9 formulation (subordinate inclusion rights and demand timing limits).</w:t>
      </w:r>
    </w:p>
    <w:p>
      <w:pPr>
        <w:pStyle w:val="Heading3"/>
      </w:pPr>
      <w:r>
        <w:t>M-7 — Signature blocks, notices and schedules  [MINOR]</w:t>
      </w:r>
    </w:p>
    <w:p>
      <w:pPr>
        <w:spacing w:after="80"/>
      </w:pPr>
      <w:r>
        <w:rPr>
          <w:b/>
        </w:rPr>
        <w:t xml:space="preserve">(a) Draft IRA section(s): </w:t>
      </w:r>
      <w:r>
        <w:t>Signature pages; §9.1; Schedules A and B</w:t>
      </w:r>
    </w:p>
    <w:p>
      <w:pPr>
        <w:spacing w:after="80"/>
      </w:pPr>
      <w:r>
        <w:rPr>
          <w:b/>
        </w:rPr>
        <w:t xml:space="preserve">Benchmark(s): </w:t>
      </w:r>
      <w:r>
        <w:t>Term Sheet §§1.2, 12; Series A IRA §7.5 and signature pages</w:t>
      </w:r>
    </w:p>
    <w:p>
      <w:pPr>
        <w:spacing w:after="40"/>
      </w:pPr>
      <w:r>
        <w:rPr>
          <w:b/>
        </w:rPr>
        <w:t>(b) Problem.</w:t>
      </w:r>
    </w:p>
    <w:p>
      <w:pPr>
        <w:pStyle w:val="ListBullet"/>
        <w:spacing w:after="60"/>
      </w:pPr>
      <w:r>
        <w:t>Pinnacle’s address is listed as 200 Clarendon Street, 50th Floor, Boston, MA 02116; the Term Sheet lists 300 Berkeley Street, 50th Floor, Boston, MA 02116. The Pinnacle signatory is blank (the Term Sheet lists Robert S. Calloway, Managing Director), and so is Verdant’s (Sarah M. Whitlock, Managing Member, signed the Series A IRA).</w:t>
      </w:r>
    </w:p>
    <w:p>
      <w:pPr>
        <w:pStyle w:val="ListBullet"/>
        <w:spacing w:after="60"/>
      </w:pPr>
      <w:r>
        <w:t>The Company and Whitfield &amp; Crane email addresses are blank (Series A IRA: pramanathan@luminosbio.com; dforstner@whitfieldcrane.com). Northstar’s copy-to (Hollcroft Ventures Harper LLP, Attn: James L. Montoya) has been dropped. The Founders’ addresses read “To be provided” (the Series A IRA used c/o the Company).</w:t>
      </w:r>
    </w:p>
    <w:p>
      <w:pPr>
        <w:pStyle w:val="ListBullet"/>
        <w:spacing w:after="60"/>
      </w:pPr>
      <w:r>
        <w:t>The Key Holders sign without the capacity limitation that appeared in the Series A IRA, which limited them to the market stand-off and expressly confirmed no restrictive covenants.</w:t>
      </w:r>
    </w:p>
    <w:p>
      <w:pPr>
        <w:spacing w:after="40"/>
      </w:pPr>
      <w:r>
        <w:rPr>
          <w:b/>
        </w:rPr>
        <w:t>(c) Risk and impact.</w:t>
      </w:r>
    </w:p>
    <w:p>
      <w:pPr>
        <w:pStyle w:val="ListBullet"/>
        <w:spacing w:after="60"/>
      </w:pPr>
      <w:r>
        <w:t>Execution and notice defects. Without the capacity limitation, the Founders are bound by every provision of the Agreement.</w:t>
      </w:r>
    </w:p>
    <w:p>
      <w:pPr>
        <w:spacing w:after="40"/>
      </w:pPr>
      <w:r>
        <w:rPr>
          <w:b/>
        </w:rPr>
        <w:t>(d) Recommendation.</w:t>
      </w:r>
    </w:p>
    <w:p>
      <w:pPr>
        <w:pStyle w:val="ListBullet"/>
        <w:spacing w:after="60"/>
      </w:pPr>
      <w:r>
        <w:t>Correct the addresses and signatories (confirm Pinnacle’s address with its counsel), fill in the emails, restore the Hollcroft copy line, and add a Key Holder capacity legend: “The Key Holders execute this Agreement solely for purposes of Sections 2.11 [and 5, as conformed to the Voting Agreement] and are not subject to any restrictive covenants hereunder.”</w:t>
      </w:r>
    </w:p>
    <w:p>
      <w:pPr>
        <w:pStyle w:val="Heading3"/>
      </w:pPr>
      <w:r>
        <w:t>M-8 — Forum selection vs. Massachusetts law; expenses clause  [MINOR]</w:t>
      </w:r>
    </w:p>
    <w:p>
      <w:pPr>
        <w:spacing w:after="80"/>
      </w:pPr>
      <w:r>
        <w:rPr>
          <w:b/>
        </w:rPr>
        <w:t xml:space="preserve">(a) Draft IRA section(s): </w:t>
      </w:r>
      <w:r>
        <w:t>§§9.3, 9.5</w:t>
      </w:r>
    </w:p>
    <w:p>
      <w:pPr>
        <w:spacing w:after="80"/>
      </w:pPr>
      <w:r>
        <w:rPr>
          <w:b/>
        </w:rPr>
        <w:t xml:space="preserve">Benchmark(s): </w:t>
      </w:r>
      <w:r>
        <w:t>M.G.L. c. 149, §24L(e); Term Sheet §7</w:t>
      </w:r>
    </w:p>
    <w:p>
      <w:pPr>
        <w:spacing w:after="40"/>
      </w:pPr>
      <w:r>
        <w:rPr>
          <w:b/>
        </w:rPr>
        <w:t>(b) Problem.</w:t>
      </w:r>
    </w:p>
    <w:p>
      <w:pPr>
        <w:pStyle w:val="ListBullet"/>
        <w:spacing w:after="60"/>
      </w:pPr>
      <w:r>
        <w:t>The exclusive Delaware Chancery forum conflicts with the Massachusetts venue rule for non-competes (moot once §7.4 is deleted). §9.3 tracks the Term Sheet’s fee caps ($50,000 for Ashworth Doyle and $25,000 for Hollcroft Ventures Harper) but uses the undefined term “Transaction Agreements.” The Term Sheet’s “payable regardless of closing unless Company is the primary cause” mechanic is binding under Term Sheet §7 and belongs in the SPA.</w:t>
      </w:r>
    </w:p>
    <w:p>
      <w:pPr>
        <w:spacing w:after="40"/>
      </w:pPr>
      <w:r>
        <w:rPr>
          <w:b/>
        </w:rPr>
        <w:t>(c) Risk and impact.</w:t>
      </w:r>
    </w:p>
    <w:p>
      <w:pPr>
        <w:pStyle w:val="ListBullet"/>
        <w:spacing w:after="60"/>
      </w:pPr>
      <w:r>
        <w:t>Low.</w:t>
      </w:r>
    </w:p>
    <w:p>
      <w:pPr>
        <w:spacing w:after="40"/>
      </w:pPr>
      <w:r>
        <w:rPr>
          <w:b/>
        </w:rPr>
        <w:t>(d) Recommendation.</w:t>
      </w:r>
    </w:p>
    <w:p>
      <w:pPr>
        <w:pStyle w:val="ListBullet"/>
        <w:spacing w:after="60"/>
      </w:pPr>
      <w:r>
        <w:t>Define the term or cross-refer to the SPA. Confirm the fee mechanics are consistent with Term Sheet §7 and are not duplicated.</w:t>
      </w:r>
    </w:p>
    <w:p>
      <w:pPr>
        <w:pStyle w:val="Heading1"/>
      </w:pPr>
      <w:r>
        <w:t>V. Responses to Specific Client Concerns</w:t>
      </w:r>
    </w:p>
    <w:p>
      <w:pPr>
        <w:spacing w:after="80"/>
      </w:pPr>
      <w:r>
        <w:rPr>
          <w:b/>
        </w:rPr>
        <w:t xml:space="preserve">(a) Founder restrictive covenants. </w:t>
      </w:r>
      <w:r>
        <w:t>The draft adds four Founder-specific obligations, none of which is in the Term Sheet or the Series A IRA: the worldwide 24-month non-compete and non-solicit (§7.4; Issue C-1), the 270-day differential lock-up (§6.2; Issue C-2), the devotion-of-time covenant (§7.3) and key-person insurance (§7.2) (Issue S-11). Term Sheet §5.3 expressly excludes restrictive covenants from the financing documents, and §5.2 requires a uniform 180-day lock-up with no Founder differential. Under Massachusetts law (M.G.L. c. 149, §24L), §7.4 fails the 12-month limit, the garden-leave/consideration requirement, the notice and counsel requirements, and the choice-of-law and venue rules, and it is unenforceable against a Founder terminated without cause. The draft also exposes the Founders to drag-along obligations without Common approval (Issue C-3), to a Board structure that eliminates Marcus’s seat (Issue C-4), and to amendment of their obligations without their consent (Issue S-9). Recommendation: strike all of these, restore the Series A limited-capacity Key Holder signature and its “no restrictive covenants” acknowledgment, and add the Key Holder consent right in §9.2.</w:t>
      </w:r>
    </w:p>
    <w:p>
      <w:pPr>
        <w:spacing w:after="80"/>
      </w:pPr>
      <w:r>
        <w:rPr>
          <w:b/>
        </w:rPr>
        <w:t xml:space="preserve">(b) Northstar and existing investor rights. </w:t>
      </w:r>
      <w:r>
        <w:t>The threats to Northstar’s position are: (i) the Major Investor threshold rising to 1,000,000 shares and the second-tier information rights in §3.5 (Issue C-6); (ii) the new pay-to-play in §4.5 (Issue C-7); (iii) ROFO mechanics that cut the Term Sheet’s 15 business days to 15 calendar days, omit purchaser identity and cannot work on their own timeline (Issue S-7); (iv) exempted-securities carve-outs, especially §4.3(g), that could swallow the pro rata right (Issue S-8); (v) a drag-along that CMV and Verdant together could trigger against Northstar and the Founders (Issue C-3); (vi) shorter piggyback periods (Issue M-1); (vii) loss of affiliate-transfer rights (Issue S-10); and (viii) no Major Investor consent right over amendments (Issue S-9). On the drag-along, the Term Sheet is clear: Preferred majority and Common majority. Northstar’s interests line up with the Company’s on most of these points, and Northstar’s consent is legally required to amend and restate the Prior Agreement.</w:t>
      </w:r>
    </w:p>
    <w:p>
      <w:pPr>
        <w:spacing w:after="80"/>
      </w:pPr>
      <w:r>
        <w:rPr>
          <w:b/>
        </w:rPr>
        <w:t xml:space="preserve">(c) Company flexibility. </w:t>
      </w:r>
      <w:r>
        <w:t>The most burdensome provisions are the Company-paid, unlimited audit right (§3.3; Issue C-8), the litigation/regulatory/IP reporting obligation (§3.1(f); Issue C-9), the open-ended inspection and information rights with no trade-secret, privilege or competitor carve-outs (Issues S-4, S-5), the $1M S-3 threshold with no deferral (Issue S-2), the uncapped selling-holder counsel fees (Issue S-13), and the higher D&amp;O requirement (Issue M-2). On termination (Issue C-5), the draft drops the Deemed Liquidation Event trigger, raises the consent threshold to two-thirds, keeps the non-compete alive after termination, and (because of a drafting defect) ends registration rights at the IPO. We should propose a company-favorable registration-rights sunset now. Some draft deviations actually favor the Company (40% demand threshold, $5M minimum, 5-year demand start, termination on any IPO). We can keep these where possible and trade them.</w:t>
      </w:r>
    </w:p>
    <w:p>
      <w:pPr>
        <w:spacing w:after="80"/>
      </w:pPr>
      <w:r>
        <w:rPr>
          <w:b/>
        </w:rPr>
        <w:t xml:space="preserve">(d) QSBS compliance. </w:t>
      </w:r>
      <w:r>
        <w:t>The draft is silent, as was the Series A IRA. Request the covenant in Issue S-12, which would cover the Founders’ Common as well as the Preferred. Separately, confirm with the Company’s tax advisors that aggregate gross assets do not exceed $50M before or immediately after each Series B closing, and review any repurchases within the IRC §1202(c)(3) windows. Priya should confirm her personal position with her own tax advisor.</w:t>
      </w:r>
    </w:p>
    <w:p>
      <w:pPr>
        <w:spacing w:after="80"/>
      </w:pPr>
      <w:r>
        <w:rPr>
          <w:b/>
        </w:rPr>
        <w:t xml:space="preserve">(e) Board observer rights. </w:t>
      </w:r>
      <w:r>
        <w:t>Section 6.5 has no guardrails. Issue C-10 proposes language covering a written confidentiality undertaking, exclusion and withholding for privilege, trade secrets and conflicts (including CMV-related transactions), executive sessions, a competitor-employee bar, no vote or fiduciary duty, no committee access, non-assignability, and termination when CMV’s holdings fall below a threshold. The §3.2(b) confidentiality covenant should also expressly reach information received through the observer (Issue S-6).</w:t>
      </w:r>
    </w:p>
    <w:p>
      <w:pPr>
        <w:pStyle w:val="Heading1"/>
      </w:pPr>
      <w:r>
        <w:t>VI. Certificate of Incorporation Interplay</w:t>
      </w:r>
    </w:p>
    <w:p>
      <w:pPr>
        <w:spacing w:after="120"/>
      </w:pPr>
      <w:r>
        <w:rPr>
          <w:b w:val="0"/>
          <w:i w:val="0"/>
        </w:rPr>
        <w:t>The Series B closing requires a new Amended and Restated Certificate, because the current charter authorizes only 6,000,000 Preferred shares, all designated Series A. The IRA should be reviewed together with that document. In the meantime, the following points of interplay between the Draft IRA and the current Restated Certificate need to be resolved:</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584"/>
            <w:shd w:val="clear" w:color="auto" w:fill="1F3A5F"/>
          </w:tcPr>
          <w:p>
            <w:r/>
            <w:r>
              <w:rPr>
                <w:b/>
                <w:color w:val="FFFFFF"/>
                <w:sz w:val="16"/>
              </w:rPr>
              <w:t>Topic</w:t>
            </w:r>
          </w:p>
        </w:tc>
        <w:tc>
          <w:tcPr>
            <w:tcW w:type="dxa" w:w="2736"/>
            <w:shd w:val="clear" w:color="auto" w:fill="1F3A5F"/>
          </w:tcPr>
          <w:p>
            <w:r/>
            <w:r>
              <w:rPr>
                <w:b/>
                <w:color w:val="FFFFFF"/>
                <w:sz w:val="16"/>
              </w:rPr>
              <w:t>Restated Certificate (Mar. 20, 2023)</w:t>
            </w:r>
          </w:p>
        </w:tc>
        <w:tc>
          <w:tcPr>
            <w:tcW w:type="dxa" w:w="2736"/>
            <w:shd w:val="clear" w:color="auto" w:fill="1F3A5F"/>
          </w:tcPr>
          <w:p>
            <w:r/>
            <w:r>
              <w:rPr>
                <w:b/>
                <w:color w:val="FFFFFF"/>
                <w:sz w:val="16"/>
              </w:rPr>
              <w:t>Draft IRA / Issue</w:t>
            </w:r>
          </w:p>
        </w:tc>
        <w:tc>
          <w:tcPr>
            <w:tcW w:type="dxa" w:w="2304"/>
            <w:shd w:val="clear" w:color="auto" w:fill="1F3A5F"/>
          </w:tcPr>
          <w:p>
            <w:r/>
            <w:r>
              <w:rPr>
                <w:b/>
                <w:color w:val="FFFFFF"/>
                <w:sz w:val="16"/>
              </w:rPr>
              <w:t>Recommendation</w:t>
            </w:r>
          </w:p>
        </w:tc>
      </w:tr>
      <w:tr>
        <w:tc>
          <w:tcPr>
            <w:tcW w:type="dxa" w:w="1584"/>
          </w:tcPr>
          <w:p>
            <w:r/>
            <w:r>
              <w:rPr>
                <w:b/>
                <w:sz w:val="16"/>
              </w:rPr>
              <w:t>Board composition</w:t>
            </w:r>
          </w:p>
        </w:tc>
        <w:tc>
          <w:tcPr>
            <w:tcW w:type="dxa" w:w="2736"/>
          </w:tcPr>
          <w:p>
            <w:r/>
            <w:r>
              <w:rPr>
                <w:sz w:val="16"/>
              </w:rPr>
              <w:t>§§4.3.6(b), 5.1 (2 Common, 1 Series A, 2 At-Large); §4.3.8(vii) (changing Board size requires Preferred consent)</w:t>
            </w:r>
          </w:p>
        </w:tc>
        <w:tc>
          <w:tcPr>
            <w:tcW w:type="dxa" w:w="2736"/>
          </w:tcPr>
          <w:p>
            <w:r/>
            <w:r>
              <w:rPr>
                <w:sz w:val="16"/>
              </w:rPr>
              <w:t>Draft §6.7 creates 1 Common seat, a CEO seat, a Series B seat and an independent seat chosen by the other directors, and locks the size at five. It conflicts with both the current charter and Term Sheet §4.1.</w:t>
            </w:r>
          </w:p>
        </w:tc>
        <w:tc>
          <w:tcPr>
            <w:tcW w:type="dxa" w:w="2304"/>
          </w:tcPr>
          <w:p>
            <w:r/>
            <w:r>
              <w:rPr>
                <w:sz w:val="16"/>
              </w:rPr>
              <w:t>The Series B charter and Voting Agreement should implement Term Sheet §4.1. Delete the composition provisions from the IRA (Issue C-4).</w:t>
            </w:r>
          </w:p>
        </w:tc>
      </w:tr>
      <w:tr>
        <w:tc>
          <w:tcPr>
            <w:tcW w:type="dxa" w:w="1584"/>
          </w:tcPr>
          <w:p>
            <w:r/>
            <w:r>
              <w:rPr>
                <w:b/>
                <w:sz w:val="16"/>
              </w:rPr>
              <w:t>Drag-along vs. Deemed Liquidation Event approvals</w:t>
            </w:r>
          </w:p>
        </w:tc>
        <w:tc>
          <w:tcPr>
            <w:tcW w:type="dxa" w:w="2736"/>
          </w:tcPr>
          <w:p>
            <w:r/>
            <w:r>
              <w:rPr>
                <w:sz w:val="16"/>
              </w:rPr>
              <w:t>§4.3.4(a) (Series A majority, voting as a separate class, may elect not to treat a transaction as a DLE); §§4.3.4(c), 4.3.8(v) (any DLE requires approval of a majority of the Preferred voting together)</w:t>
            </w:r>
          </w:p>
        </w:tc>
        <w:tc>
          <w:tcPr>
            <w:tcW w:type="dxa" w:w="2736"/>
          </w:tcPr>
          <w:p>
            <w:r/>
            <w:r>
              <w:rPr>
                <w:sz w:val="16"/>
              </w:rPr>
              <w:t>Draft §5.1 lets the Preferred alone drag all holders. The charter only gives the Preferred a veto; it does not give them an affirmative power to force a sale. The Term Sheet adds a Common approval requirement.</w:t>
            </w:r>
          </w:p>
        </w:tc>
        <w:tc>
          <w:tcPr>
            <w:tcW w:type="dxa" w:w="2304"/>
          </w:tcPr>
          <w:p>
            <w:r/>
            <w:r>
              <w:rPr>
                <w:sz w:val="16"/>
              </w:rPr>
              <w:t>Conform to the Term Sheet Requisite Approval plus Board approval (Issue C-3). Address the Series A-only DLE opt-out in the Series B charter.</w:t>
            </w:r>
          </w:p>
        </w:tc>
      </w:tr>
      <w:tr>
        <w:tc>
          <w:tcPr>
            <w:tcW w:type="dxa" w:w="1584"/>
          </w:tcPr>
          <w:p>
            <w:r/>
            <w:r>
              <w:rPr>
                <w:b/>
                <w:sz w:val="16"/>
              </w:rPr>
              <w:t>Qualified IPO definitions</w:t>
            </w:r>
          </w:p>
        </w:tc>
        <w:tc>
          <w:tcPr>
            <w:tcW w:type="dxa" w:w="2736"/>
          </w:tcPr>
          <w:p>
            <w:r/>
            <w:r>
              <w:rPr>
                <w:sz w:val="16"/>
              </w:rPr>
              <w:t>§4.3.5(b)(i): Series A auto-converts on an IPO of at least $30M at 3x the Series A price ($6.00/share)</w:t>
            </w:r>
          </w:p>
        </w:tc>
        <w:tc>
          <w:tcPr>
            <w:tcW w:type="dxa" w:w="2736"/>
          </w:tcPr>
          <w:p>
            <w:r/>
            <w:r>
              <w:rPr>
                <w:sz w:val="16"/>
              </w:rPr>
              <w:t>Term Sheet §2.3: Series B Qualified IPO is $50M at 3x the Series B price ($25.50/share). Draft IRA §1.11 “IPO” has no threshold. An IPO between $30M and $50M, or priced between $6.00 and $25.50, would convert the Series A but not the Series B.</w:t>
            </w:r>
          </w:p>
        </w:tc>
        <w:tc>
          <w:tcPr>
            <w:tcW w:type="dxa" w:w="2304"/>
          </w:tcPr>
          <w:p>
            <w:r/>
            <w:r>
              <w:rPr>
                <w:sz w:val="16"/>
              </w:rPr>
              <w:t>Harmonize the conversion triggers in the Series B charter, and key IRA termination to “IPO” (Issue C-5).</w:t>
            </w:r>
          </w:p>
        </w:tc>
      </w:tr>
      <w:tr>
        <w:tc>
          <w:tcPr>
            <w:tcW w:type="dxa" w:w="1584"/>
          </w:tcPr>
          <w:p>
            <w:r/>
            <w:r>
              <w:rPr>
                <w:b/>
                <w:sz w:val="16"/>
              </w:rPr>
              <w:t>ROFO exemptions vs. anti-dilution carve-outs</w:t>
            </w:r>
          </w:p>
        </w:tc>
        <w:tc>
          <w:tcPr>
            <w:tcW w:type="dxa" w:w="2736"/>
          </w:tcPr>
          <w:p>
            <w:r/>
            <w:r>
              <w:rPr>
                <w:sz w:val="16"/>
              </w:rPr>
              <w:t>§4.3.5(c)(ii)(A)–(F): carve-outs require the Series A Director’s approval; strategic issuances are capped at 1% of fully diluted shares</w:t>
            </w:r>
          </w:p>
        </w:tc>
        <w:tc>
          <w:tcPr>
            <w:tcW w:type="dxa" w:w="2736"/>
          </w:tcPr>
          <w:p>
            <w:r/>
            <w:r>
              <w:rPr>
                <w:sz w:val="16"/>
              </w:rPr>
              <w:t>Draft §4.3(c) requires approval by any Preferred director, and §§4.3(f)–(g) have no cap and, in (g), no non-financing purpose test.</w:t>
            </w:r>
          </w:p>
        </w:tc>
        <w:tc>
          <w:tcPr>
            <w:tcW w:type="dxa" w:w="2304"/>
          </w:tcPr>
          <w:p>
            <w:r/>
            <w:r>
              <w:rPr>
                <w:sz w:val="16"/>
              </w:rPr>
              <w:t>Use a single exempted-securities list across the IRA and the Series B charter (Issue S-8).</w:t>
            </w:r>
          </w:p>
        </w:tc>
      </w:tr>
      <w:tr>
        <w:tc>
          <w:tcPr>
            <w:tcW w:type="dxa" w:w="1584"/>
          </w:tcPr>
          <w:p>
            <w:r/>
            <w:r>
              <w:rPr>
                <w:b/>
                <w:sz w:val="16"/>
              </w:rPr>
              <w:t>Authorized capital; definition of Restated Certificate</w:t>
            </w:r>
          </w:p>
        </w:tc>
        <w:tc>
          <w:tcPr>
            <w:tcW w:type="dxa" w:w="2736"/>
          </w:tcPr>
          <w:p>
            <w:r/>
            <w:r>
              <w:rPr>
                <w:sz w:val="16"/>
              </w:rPr>
              <w:t>Article IV: 6,000,000 Preferred, all designated Series A</w:t>
            </w:r>
          </w:p>
        </w:tc>
        <w:tc>
          <w:tcPr>
            <w:tcW w:type="dxa" w:w="2736"/>
          </w:tcPr>
          <w:p>
            <w:r/>
            <w:r>
              <w:rPr>
                <w:sz w:val="16"/>
              </w:rPr>
              <w:t>The IRA refers to Series B Preferred as defined in a charter that does not yet exist, and defines “Restated Certificate” two different ways.</w:t>
            </w:r>
          </w:p>
        </w:tc>
        <w:tc>
          <w:tcPr>
            <w:tcW w:type="dxa" w:w="2304"/>
          </w:tcPr>
          <w:p>
            <w:r/>
            <w:r>
              <w:rPr>
                <w:sz w:val="16"/>
              </w:rPr>
              <w:t>Define “Restated Certificate” as the Series B Amended and Restated Certificate filed on or before the Closing (Issue M-4).</w:t>
            </w:r>
          </w:p>
        </w:tc>
      </w:tr>
      <w:tr>
        <w:tc>
          <w:tcPr>
            <w:tcW w:type="dxa" w:w="1584"/>
          </w:tcPr>
          <w:p>
            <w:r/>
            <w:r>
              <w:rPr>
                <w:b/>
                <w:sz w:val="16"/>
              </w:rPr>
              <w:t>Related-party transactions</w:t>
            </w:r>
          </w:p>
        </w:tc>
        <w:tc>
          <w:tcPr>
            <w:tcW w:type="dxa" w:w="2736"/>
          </w:tcPr>
          <w:p>
            <w:r/>
            <w:r>
              <w:rPr>
                <w:sz w:val="16"/>
              </w:rPr>
              <w:t>§4.3.8(ix): transactions with holders of more than 1% require Preferred consent unless on arm’s-length terms or approved by disinterested directors</w:t>
            </w:r>
          </w:p>
        </w:tc>
        <w:tc>
          <w:tcPr>
            <w:tcW w:type="dxa" w:w="2736"/>
          </w:tcPr>
          <w:p>
            <w:r/>
            <w:r>
              <w:rPr>
                <w:sz w:val="16"/>
              </w:rPr>
              <w:t>ROFO purchases by Major Investors, and the observer and fee arrangements with CMV, are transactions with holders of more than 1%.</w:t>
            </w:r>
          </w:p>
        </w:tc>
        <w:tc>
          <w:tcPr>
            <w:tcW w:type="dxa" w:w="2304"/>
          </w:tcPr>
          <w:p>
            <w:r/>
            <w:r>
              <w:rPr>
                <w:sz w:val="16"/>
              </w:rPr>
              <w:t>Have the Board (disinterested directors) approve the Series B documents and any future ROFO issuances, or add an express charter carve-out for issuances under the IRA.</w:t>
            </w:r>
          </w:p>
        </w:tc>
      </w:tr>
      <w:tr>
        <w:tc>
          <w:tcPr>
            <w:tcW w:type="dxa" w:w="1584"/>
          </w:tcPr>
          <w:p>
            <w:r/>
            <w:r>
              <w:rPr>
                <w:b/>
                <w:sz w:val="16"/>
              </w:rPr>
              <w:t>Debt protective provision</w:t>
            </w:r>
          </w:p>
        </w:tc>
        <w:tc>
          <w:tcPr>
            <w:tcW w:type="dxa" w:w="2736"/>
          </w:tcPr>
          <w:p>
            <w:r/>
            <w:r>
              <w:rPr>
                <w:sz w:val="16"/>
              </w:rPr>
              <w:t>§4.3.8(viii): indebtedness above $500,000 requires Preferred consent (equipment financing approved by the Board is excepted)</w:t>
            </w:r>
          </w:p>
        </w:tc>
        <w:tc>
          <w:tcPr>
            <w:tcW w:type="dxa" w:w="2736"/>
          </w:tcPr>
          <w:p>
            <w:r/>
            <w:r>
              <w:rPr>
                <w:sz w:val="16"/>
              </w:rPr>
              <w:t>Draft §4.3(e) exempts venture-debt warrants from the ROFO, which is consistent, but the debt itself still requires Preferred consent.</w:t>
            </w:r>
          </w:p>
        </w:tc>
        <w:tc>
          <w:tcPr>
            <w:tcW w:type="dxa" w:w="2304"/>
          </w:tcPr>
          <w:p>
            <w:r/>
            <w:r>
              <w:rPr>
                <w:sz w:val="16"/>
              </w:rPr>
              <w:t>No IRA change. Note for the Company’s financing plans (Term Sheet §2.6(viii) carries this forward).</w:t>
            </w:r>
          </w:p>
        </w:tc>
      </w:tr>
    </w:tbl>
    <w:p>
      <w:pPr>
        <w:spacing w:after="40"/>
      </w:pPr>
    </w:p>
    <w:p>
      <w:pPr>
        <w:pStyle w:val="Heading1"/>
      </w:pPr>
      <w:r>
        <w:t>VII. Process Points and Related Documents</w:t>
      </w:r>
    </w:p>
    <w:p>
      <w:pPr>
        <w:pStyle w:val="ListBullet"/>
        <w:spacing w:after="60"/>
      </w:pPr>
      <w:r>
        <w:t>Northstar effectively holds a veto over the amendment and restatement. Series A IRA §7.6 requires the Company and holders of a majority of the Registrable Securities, and Northstar holds 3.6M of the 6.0M Series A shares (60%). Northstar’s concerns (Issues C-3, C-6, C-7, S-7, S-8, S-10) should therefore be resolved before the March 5 signing.</w:t>
      </w:r>
    </w:p>
    <w:p>
      <w:pPr>
        <w:pStyle w:val="ListBullet"/>
        <w:spacing w:after="60"/>
      </w:pPr>
      <w:r>
        <w:t>Series A ROFO on the Series B round. Series A IRA §4.2 requires an Offer Notice at least 20 days before the closing of a sale of New Securities, and the Series B shares are not an excluded issuance under Series A IRA §4.3. For a March 12 closing, deliver the Offer Notice to Northstar and Verdant no later than about February 20, 2025, or obtain a written waiver (a majority of the Registrable Securities, i.e., Northstar, can waive under §7.6). Under Term Sheet §1.2, any Series A participation counts toward the $30M round size.</w:t>
      </w:r>
    </w:p>
    <w:p>
      <w:pPr>
        <w:pStyle w:val="ListBullet"/>
        <w:spacing w:after="60"/>
      </w:pPr>
      <w:r>
        <w:t>Ancillary documents. The Term Sheet places the drag-along and Board composition in the Voting Agreement, and transfer restrictions in the ROFR and Co-Sale Agreement. Ask Ashworth Doyle for those drafts and the Series B charter so all of them can be reviewed together for consistency. Also confirm the Management Rights Letters (Term Sheet §6(b)(vi)) and the CIIA closing condition (Term Sheet §5.3).</w:t>
      </w:r>
    </w:p>
    <w:p>
      <w:pPr>
        <w:pStyle w:val="ListBullet"/>
        <w:spacing w:after="60"/>
      </w:pPr>
      <w:r>
        <w:t>Cap table discrepancy in the Term Sheet. Exhibit A shows 10,000,000 pre-money fully diluted shares, but Founders’ Common (4,200,000) plus Series A (6,000,000) already equals 10,200,000 before any option pool. The post-financing percentages (18.5% + 13.8% + 27.7% + 18.5% + 16.3% + 6.8%) add up to about 101.6%. Because the $8.50 price, the Major Investor thresholds, the drag-along math and the ROFO Pro Rata Shares all depend on the capitalization, ask the Company to reconcile the cap table (including the option pool) before signing.</w:t>
      </w:r>
    </w:p>
    <w:p>
      <w:pPr>
        <w:pStyle w:val="ListBullet"/>
        <w:spacing w:after="60"/>
      </w:pPr>
      <w:r>
        <w:t>QSBS diligence. Have the Company’s tax advisors confirm aggregate gross assets before and immediately after each Series B closing, and review any share repurchases within the IRC §1202(c)(3) windows (Issue S-12).</w:t>
      </w:r>
    </w:p>
    <w:p>
      <w:pPr>
        <w:pStyle w:val="Heading1"/>
      </w:pPr>
      <w:r>
        <w:t>VIII. Recommended Next Steps</w:t>
      </w:r>
    </w:p>
    <w:p>
      <w:pPr>
        <w:pStyle w:val="ListNumber"/>
      </w:pPr>
      <w:r>
        <w:t>Review this memorandum with you, then with Priya (and Marcus, on the Founder covenants) the week of February 24.</w:t>
      </w:r>
    </w:p>
    <w:p>
      <w:pPr>
        <w:pStyle w:val="ListNumber"/>
      </w:pPr>
      <w:r>
        <w:t>Prepare a markup of the Draft IRA implementing the Critical and Significant positions, together with a comments letter to Ashworth Doyle framing the Critical items as Term Sheet conformity points (citing Term Sheet §§3.1–3.4, 4.1–4.2, 5.1–5.4). Target: last week of February.</w:t>
      </w:r>
    </w:p>
    <w:p>
      <w:pPr>
        <w:pStyle w:val="ListNumber"/>
      </w:pPr>
      <w:r>
        <w:t>Coordinate with Hollcroft Ventures Harper (Sarah Worthington) on the Northstar-aligned points (Major Investor threshold, pay-to-play, drag-along, ROFO), and obtain the Series A ROFO waiver for the Series B round.</w:t>
      </w:r>
    </w:p>
    <w:p>
      <w:pPr>
        <w:pStyle w:val="ListNumber"/>
      </w:pPr>
      <w:r>
        <w:t>Request the Voting Agreement, ROFR and Co-Sale Agreement, SPA and Series B charter drafts from Ashworth Doyle, and conform the board, drag-along, Qualified IPO and exempted-securities provisions across all documents.</w:t>
      </w:r>
    </w:p>
    <w:p>
      <w:pPr>
        <w:pStyle w:val="ListNumber"/>
      </w:pPr>
      <w:r>
        <w:t>Ask the Company to reconcile the cap table, and its tax advisors to confirm the QSBS gross-assets position.</w:t>
      </w:r>
    </w:p>
    <w:p>
      <w:pPr>
        <w:pStyle w:val="Heading1"/>
      </w:pPr>
      <w:r>
        <w:t>Appendix A — Term Sheet Conformity Checklist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728"/>
            <w:shd w:val="clear" w:color="auto" w:fill="1F3A5F"/>
          </w:tcPr>
          <w:p>
            <w:r/>
            <w:r>
              <w:rPr>
                <w:b/>
                <w:color w:val="FFFFFF"/>
                <w:sz w:val="16"/>
              </w:rPr>
              <w:t>Term</w:t>
            </w:r>
          </w:p>
        </w:tc>
        <w:tc>
          <w:tcPr>
            <w:tcW w:type="dxa" w:w="3024"/>
            <w:shd w:val="clear" w:color="auto" w:fill="1F3A5F"/>
          </w:tcPr>
          <w:p>
            <w:r/>
            <w:r>
              <w:rPr>
                <w:b/>
                <w:color w:val="FFFFFF"/>
                <w:sz w:val="16"/>
              </w:rPr>
              <w:t>Term Sheet</w:t>
            </w:r>
          </w:p>
        </w:tc>
        <w:tc>
          <w:tcPr>
            <w:tcW w:type="dxa" w:w="3024"/>
            <w:shd w:val="clear" w:color="auto" w:fill="1F3A5F"/>
          </w:tcPr>
          <w:p>
            <w:r/>
            <w:r>
              <w:rPr>
                <w:b/>
                <w:color w:val="FFFFFF"/>
                <w:sz w:val="16"/>
              </w:rPr>
              <w:t>Draft IRA</w:t>
            </w:r>
          </w:p>
        </w:tc>
        <w:tc>
          <w:tcPr>
            <w:tcW w:type="dxa" w:w="1584"/>
            <w:shd w:val="clear" w:color="auto" w:fill="1F3A5F"/>
          </w:tcPr>
          <w:p>
            <w:r/>
            <w:r>
              <w:rPr>
                <w:b/>
                <w:color w:val="FFFFFF"/>
                <w:sz w:val="16"/>
              </w:rPr>
              <w:t>Status / Issue</w:t>
            </w:r>
          </w:p>
        </w:tc>
      </w:tr>
      <w:tr>
        <w:tc>
          <w:tcPr>
            <w:tcW w:type="dxa" w:w="1728"/>
          </w:tcPr>
          <w:p>
            <w:r/>
            <w:r>
              <w:rPr>
                <w:b/>
                <w:sz w:val="16"/>
              </w:rPr>
              <w:t>Major Investor threshold</w:t>
            </w:r>
          </w:p>
        </w:tc>
        <w:tc>
          <w:tcPr>
            <w:tcW w:type="dxa" w:w="3024"/>
          </w:tcPr>
          <w:p>
            <w:r/>
            <w:r>
              <w:rPr>
                <w:sz w:val="16"/>
              </w:rPr>
              <w:t>500,000 shares (§§3.2, 3.3)</w:t>
            </w:r>
          </w:p>
        </w:tc>
        <w:tc>
          <w:tcPr>
            <w:tcW w:type="dxa" w:w="3024"/>
          </w:tcPr>
          <w:p>
            <w:r/>
            <w:r>
              <w:rPr>
                <w:sz w:val="16"/>
              </w:rPr>
              <w:t>1,000,000 (§1.12); 500k tier gets financials only (§3.5)</w:t>
            </w:r>
          </w:p>
        </w:tc>
        <w:tc>
          <w:tcPr>
            <w:tcW w:type="dxa" w:w="1584"/>
          </w:tcPr>
          <w:p>
            <w:r/>
            <w:r>
              <w:rPr>
                <w:sz w:val="16"/>
              </w:rPr>
              <w:t>Deviation — C-6</w:t>
            </w:r>
          </w:p>
        </w:tc>
      </w:tr>
      <w:tr>
        <w:tc>
          <w:tcPr>
            <w:tcW w:type="dxa" w:w="1728"/>
          </w:tcPr>
          <w:p>
            <w:r/>
            <w:r>
              <w:rPr>
                <w:b/>
                <w:sz w:val="16"/>
              </w:rPr>
              <w:t>Demand registration</w:t>
            </w:r>
          </w:p>
        </w:tc>
        <w:tc>
          <w:tcPr>
            <w:tcW w:type="dxa" w:w="3024"/>
          </w:tcPr>
          <w:p>
            <w:r/>
            <w:r>
              <w:rPr>
                <w:sz w:val="16"/>
              </w:rPr>
              <w:t>30%; 2 demands; 90-day deferral once per 12 months (§3.1)</w:t>
            </w:r>
          </w:p>
        </w:tc>
        <w:tc>
          <w:tcPr>
            <w:tcW w:type="dxa" w:w="3024"/>
          </w:tcPr>
          <w:p>
            <w:r/>
            <w:r>
              <w:rPr>
                <w:sz w:val="16"/>
              </w:rPr>
              <w:t>40%; $5M min; 5-yr start; 2 demands; deferral (§2.1)</w:t>
            </w:r>
          </w:p>
        </w:tc>
        <w:tc>
          <w:tcPr>
            <w:tcW w:type="dxa" w:w="1584"/>
          </w:tcPr>
          <w:p>
            <w:r/>
            <w:r>
              <w:rPr>
                <w:sz w:val="16"/>
              </w:rPr>
              <w:t>Deviation — S-1</w:t>
            </w:r>
          </w:p>
        </w:tc>
      </w:tr>
      <w:tr>
        <w:tc>
          <w:tcPr>
            <w:tcW w:type="dxa" w:w="1728"/>
          </w:tcPr>
          <w:p>
            <w:r/>
            <w:r>
              <w:rPr>
                <w:b/>
                <w:sz w:val="16"/>
              </w:rPr>
              <w:t>S-3 registration</w:t>
            </w:r>
          </w:p>
        </w:tc>
        <w:tc>
          <w:tcPr>
            <w:tcW w:type="dxa" w:w="3024"/>
          </w:tcPr>
          <w:p>
            <w:r/>
            <w:r>
              <w:rPr>
                <w:sz w:val="16"/>
              </w:rPr>
              <w:t>Major Investor; $3M; 2 per 12 months; customary deferral (§3.1)</w:t>
            </w:r>
          </w:p>
        </w:tc>
        <w:tc>
          <w:tcPr>
            <w:tcW w:type="dxa" w:w="3024"/>
          </w:tcPr>
          <w:p>
            <w:r/>
            <w:r>
              <w:rPr>
                <w:sz w:val="16"/>
              </w:rPr>
              <w:t>Major Investor; $1M; 2 per 12 months; no deferral (§2.4)</w:t>
            </w:r>
          </w:p>
        </w:tc>
        <w:tc>
          <w:tcPr>
            <w:tcW w:type="dxa" w:w="1584"/>
          </w:tcPr>
          <w:p>
            <w:r/>
            <w:r>
              <w:rPr>
                <w:sz w:val="16"/>
              </w:rPr>
              <w:t>Deviation — S-2</w:t>
            </w:r>
          </w:p>
        </w:tc>
      </w:tr>
      <w:tr>
        <w:tc>
          <w:tcPr>
            <w:tcW w:type="dxa" w:w="1728"/>
          </w:tcPr>
          <w:p>
            <w:r/>
            <w:r>
              <w:rPr>
                <w:b/>
                <w:sz w:val="16"/>
              </w:rPr>
              <w:t>Piggyback</w:t>
            </w:r>
          </w:p>
        </w:tc>
        <w:tc>
          <w:tcPr>
            <w:tcW w:type="dxa" w:w="3024"/>
          </w:tcPr>
          <w:p>
            <w:r/>
            <w:r>
              <w:rPr>
                <w:sz w:val="16"/>
              </w:rPr>
              <w:t>20 days’ notice; pro rata after Company (§3.1)</w:t>
            </w:r>
          </w:p>
        </w:tc>
        <w:tc>
          <w:tcPr>
            <w:tcW w:type="dxa" w:w="3024"/>
          </w:tcPr>
          <w:p>
            <w:r/>
            <w:r>
              <w:rPr>
                <w:sz w:val="16"/>
              </w:rPr>
              <w:t>15 days’ notice; 10-day response (§2.2)</w:t>
            </w:r>
          </w:p>
        </w:tc>
        <w:tc>
          <w:tcPr>
            <w:tcW w:type="dxa" w:w="1584"/>
          </w:tcPr>
          <w:p>
            <w:r/>
            <w:r>
              <w:rPr>
                <w:sz w:val="16"/>
              </w:rPr>
              <w:t>Deviation — M-1</w:t>
            </w:r>
          </w:p>
        </w:tc>
      </w:tr>
      <w:tr>
        <w:tc>
          <w:tcPr>
            <w:tcW w:type="dxa" w:w="1728"/>
          </w:tcPr>
          <w:p>
            <w:r/>
            <w:r>
              <w:rPr>
                <w:b/>
                <w:sz w:val="16"/>
              </w:rPr>
              <w:t>Registrable Securities</w:t>
            </w:r>
          </w:p>
        </w:tc>
        <w:tc>
          <w:tcPr>
            <w:tcW w:type="dxa" w:w="3024"/>
          </w:tcPr>
          <w:p>
            <w:r/>
            <w:r>
              <w:rPr>
                <w:sz w:val="16"/>
              </w:rPr>
              <w:t>Series A and B conversion shares plus Founder Common (§3.1)</w:t>
            </w:r>
          </w:p>
        </w:tc>
        <w:tc>
          <w:tcPr>
            <w:tcW w:type="dxa" w:w="3024"/>
          </w:tcPr>
          <w:p>
            <w:r/>
            <w:r>
              <w:rPr>
                <w:sz w:val="16"/>
              </w:rPr>
              <w:t>Same (§1.15)</w:t>
            </w:r>
          </w:p>
        </w:tc>
        <w:tc>
          <w:tcPr>
            <w:tcW w:type="dxa" w:w="1584"/>
          </w:tcPr>
          <w:p>
            <w:r/>
            <w:r>
              <w:rPr>
                <w:sz w:val="16"/>
              </w:rPr>
              <w:t>Conforms</w:t>
            </w:r>
          </w:p>
        </w:tc>
      </w:tr>
      <w:tr>
        <w:tc>
          <w:tcPr>
            <w:tcW w:type="dxa" w:w="1728"/>
          </w:tcPr>
          <w:p>
            <w:r/>
            <w:r>
              <w:rPr>
                <w:b/>
                <w:sz w:val="16"/>
              </w:rPr>
              <w:t>Registration expenses</w:t>
            </w:r>
          </w:p>
        </w:tc>
        <w:tc>
          <w:tcPr>
            <w:tcW w:type="dxa" w:w="3024"/>
          </w:tcPr>
          <w:p>
            <w:r/>
            <w:r>
              <w:rPr>
                <w:sz w:val="16"/>
              </w:rPr>
              <w:t>Company pays, incl. one selling-holder counsel (§3.1)</w:t>
            </w:r>
          </w:p>
        </w:tc>
        <w:tc>
          <w:tcPr>
            <w:tcW w:type="dxa" w:w="3024"/>
          </w:tcPr>
          <w:p>
            <w:r/>
            <w:r>
              <w:rPr>
                <w:sz w:val="16"/>
              </w:rPr>
              <w:t>Same; no cap (§§1.17, 2.1(d))</w:t>
            </w:r>
          </w:p>
        </w:tc>
        <w:tc>
          <w:tcPr>
            <w:tcW w:type="dxa" w:w="1584"/>
          </w:tcPr>
          <w:p>
            <w:r/>
            <w:r>
              <w:rPr>
                <w:sz w:val="16"/>
              </w:rPr>
              <w:t>Conforms (see S-13)</w:t>
            </w:r>
          </w:p>
        </w:tc>
      </w:tr>
      <w:tr>
        <w:tc>
          <w:tcPr>
            <w:tcW w:type="dxa" w:w="1728"/>
          </w:tcPr>
          <w:p>
            <w:r/>
            <w:r>
              <w:rPr>
                <w:b/>
                <w:sz w:val="16"/>
              </w:rPr>
              <w:t>Information rights</w:t>
            </w:r>
          </w:p>
        </w:tc>
        <w:tc>
          <w:tcPr>
            <w:tcW w:type="dxa" w:w="3024"/>
          </w:tcPr>
          <w:p>
            <w:r/>
            <w:r>
              <w:rPr>
                <w:sz w:val="16"/>
              </w:rPr>
              <w:t>Quarterly (45 days); audited annual (120 days); Board-approved budget (30 days); quarterly cap table (§3.2)</w:t>
            </w:r>
          </w:p>
        </w:tc>
        <w:tc>
          <w:tcPr>
            <w:tcW w:type="dxa" w:w="3024"/>
          </w:tcPr>
          <w:p>
            <w:r/>
            <w:r>
              <w:rPr>
                <w:sz w:val="16"/>
              </w:rPr>
              <w:t>Adds unapproved budget, cap table after every issuance, “other information,” litigation/IP reports (§3.1)</w:t>
            </w:r>
          </w:p>
        </w:tc>
        <w:tc>
          <w:tcPr>
            <w:tcW w:type="dxa" w:w="1584"/>
          </w:tcPr>
          <w:p>
            <w:r/>
            <w:r>
              <w:rPr>
                <w:sz w:val="16"/>
              </w:rPr>
              <w:t>Deviation — S-4, C-9</w:t>
            </w:r>
          </w:p>
        </w:tc>
      </w:tr>
      <w:tr>
        <w:tc>
          <w:tcPr>
            <w:tcW w:type="dxa" w:w="1728"/>
          </w:tcPr>
          <w:p>
            <w:r/>
            <w:r>
              <w:rPr>
                <w:b/>
                <w:sz w:val="16"/>
              </w:rPr>
              <w:t>Inspection</w:t>
            </w:r>
          </w:p>
        </w:tc>
        <w:tc>
          <w:tcPr>
            <w:tcW w:type="dxa" w:w="3024"/>
          </w:tcPr>
          <w:p>
            <w:r/>
            <w:r>
              <w:rPr>
                <w:sz w:val="16"/>
              </w:rPr>
              <w:t>Investor’s sole expense; 5 business days’ notice; confidentiality; no interference (§3.4)</w:t>
            </w:r>
          </w:p>
        </w:tc>
        <w:tc>
          <w:tcPr>
            <w:tcW w:type="dxa" w:w="3024"/>
          </w:tcPr>
          <w:p>
            <w:r/>
            <w:r>
              <w:rPr>
                <w:sz w:val="16"/>
              </w:rPr>
              <w:t>Open-ended inspection (§3.2(a)) plus Company-paid audit (§3.3)</w:t>
            </w:r>
          </w:p>
        </w:tc>
        <w:tc>
          <w:tcPr>
            <w:tcW w:type="dxa" w:w="1584"/>
          </w:tcPr>
          <w:p>
            <w:r/>
            <w:r>
              <w:rPr>
                <w:sz w:val="16"/>
              </w:rPr>
              <w:t>Deviation — S-5, C-8</w:t>
            </w:r>
          </w:p>
        </w:tc>
      </w:tr>
      <w:tr>
        <w:tc>
          <w:tcPr>
            <w:tcW w:type="dxa" w:w="1728"/>
          </w:tcPr>
          <w:p>
            <w:r/>
            <w:r>
              <w:rPr>
                <w:b/>
                <w:sz w:val="16"/>
              </w:rPr>
              <w:t>ROFO</w:t>
            </w:r>
          </w:p>
        </w:tc>
        <w:tc>
          <w:tcPr>
            <w:tcW w:type="dxa" w:w="3024"/>
          </w:tcPr>
          <w:p>
            <w:r/>
            <w:r>
              <w:rPr>
                <w:sz w:val="16"/>
              </w:rPr>
              <w:t>15 business days; notice identifies purchasers; payment with election; 90-day sale window; six exemptions (§3.3)</w:t>
            </w:r>
          </w:p>
        </w:tc>
        <w:tc>
          <w:tcPr>
            <w:tcW w:type="dxa" w:w="3024"/>
          </w:tcPr>
          <w:p>
            <w:r/>
            <w:r>
              <w:rPr>
                <w:sz w:val="16"/>
              </w:rPr>
              <w:t>15 days; no purchaser identity; 10-day oversubscription; 90 days; exemption gaps and (g) loophole; pay-to-play (§§4.2–4.5)</w:t>
            </w:r>
          </w:p>
        </w:tc>
        <w:tc>
          <w:tcPr>
            <w:tcW w:type="dxa" w:w="1584"/>
          </w:tcPr>
          <w:p>
            <w:r/>
            <w:r>
              <w:rPr>
                <w:sz w:val="16"/>
              </w:rPr>
              <w:t>Deviation — S-7, S-8, C-7</w:t>
            </w:r>
          </w:p>
        </w:tc>
      </w:tr>
      <w:tr>
        <w:tc>
          <w:tcPr>
            <w:tcW w:type="dxa" w:w="1728"/>
          </w:tcPr>
          <w:p>
            <w:r/>
            <w:r>
              <w:rPr>
                <w:b/>
                <w:sz w:val="16"/>
              </w:rPr>
              <w:t>Board composition</w:t>
            </w:r>
          </w:p>
        </w:tc>
        <w:tc>
          <w:tcPr>
            <w:tcW w:type="dxa" w:w="3024"/>
          </w:tcPr>
          <w:p>
            <w:r/>
            <w:r>
              <w:rPr>
                <w:sz w:val="16"/>
              </w:rPr>
              <w:t>2 Common, 1 Series A, 1 CMV, 1 independent (Common + Preferred) — in Voting Agreement (§4.1)</w:t>
            </w:r>
          </w:p>
        </w:tc>
        <w:tc>
          <w:tcPr>
            <w:tcW w:type="dxa" w:w="3024"/>
          </w:tcPr>
          <w:p>
            <w:r/>
            <w:r>
              <w:rPr>
                <w:sz w:val="16"/>
              </w:rPr>
              <w:t>1 Common, CEO, Series A, Series B, independent chosen by directors (§6.7)</w:t>
            </w:r>
          </w:p>
        </w:tc>
        <w:tc>
          <w:tcPr>
            <w:tcW w:type="dxa" w:w="1584"/>
          </w:tcPr>
          <w:p>
            <w:r/>
            <w:r>
              <w:rPr>
                <w:sz w:val="16"/>
              </w:rPr>
              <w:t>Deviation — C-4</w:t>
            </w:r>
          </w:p>
        </w:tc>
      </w:tr>
      <w:tr>
        <w:tc>
          <w:tcPr>
            <w:tcW w:type="dxa" w:w="1728"/>
          </w:tcPr>
          <w:p>
            <w:r/>
            <w:r>
              <w:rPr>
                <w:b/>
                <w:sz w:val="16"/>
              </w:rPr>
              <w:t>Board observer</w:t>
            </w:r>
          </w:p>
        </w:tc>
        <w:tc>
          <w:tcPr>
            <w:tcW w:type="dxa" w:w="3024"/>
          </w:tcPr>
          <w:p>
            <w:r/>
            <w:r>
              <w:rPr>
                <w:sz w:val="16"/>
              </w:rPr>
              <w:t>1 CMV observer; confidentiality and exclusion terms to be addressed (§4.2)</w:t>
            </w:r>
          </w:p>
        </w:tc>
        <w:tc>
          <w:tcPr>
            <w:tcW w:type="dxa" w:w="3024"/>
          </w:tcPr>
          <w:p>
            <w:r/>
            <w:r>
              <w:rPr>
                <w:sz w:val="16"/>
              </w:rPr>
              <w:t>Observer with no guardrails (§6.5)</w:t>
            </w:r>
          </w:p>
        </w:tc>
        <w:tc>
          <w:tcPr>
            <w:tcW w:type="dxa" w:w="1584"/>
          </w:tcPr>
          <w:p>
            <w:r/>
            <w:r>
              <w:rPr>
                <w:sz w:val="16"/>
              </w:rPr>
              <w:t>Deviation — C-10</w:t>
            </w:r>
          </w:p>
        </w:tc>
      </w:tr>
      <w:tr>
        <w:tc>
          <w:tcPr>
            <w:tcW w:type="dxa" w:w="1728"/>
          </w:tcPr>
          <w:p>
            <w:r/>
            <w:r>
              <w:rPr>
                <w:b/>
                <w:sz w:val="16"/>
              </w:rPr>
              <w:t>Drag-along</w:t>
            </w:r>
          </w:p>
        </w:tc>
        <w:tc>
          <w:tcPr>
            <w:tcW w:type="dxa" w:w="3024"/>
          </w:tcPr>
          <w:p>
            <w:r/>
            <w:r>
              <w:rPr>
                <w:sz w:val="16"/>
              </w:rPr>
              <w:t>Majority Preferred AND majority Common — in Voting Agreement (§5.1)</w:t>
            </w:r>
          </w:p>
        </w:tc>
        <w:tc>
          <w:tcPr>
            <w:tcW w:type="dxa" w:w="3024"/>
          </w:tcPr>
          <w:p>
            <w:r/>
            <w:r>
              <w:rPr>
                <w:sz w:val="16"/>
              </w:rPr>
              <w:t>Majority Preferred only (§5.1)</w:t>
            </w:r>
          </w:p>
        </w:tc>
        <w:tc>
          <w:tcPr>
            <w:tcW w:type="dxa" w:w="1584"/>
          </w:tcPr>
          <w:p>
            <w:r/>
            <w:r>
              <w:rPr>
                <w:sz w:val="16"/>
              </w:rPr>
              <w:t>Deviation — C-3</w:t>
            </w:r>
          </w:p>
        </w:tc>
      </w:tr>
      <w:tr>
        <w:tc>
          <w:tcPr>
            <w:tcW w:type="dxa" w:w="1728"/>
          </w:tcPr>
          <w:p>
            <w:r/>
            <w:r>
              <w:rPr>
                <w:b/>
                <w:sz w:val="16"/>
              </w:rPr>
              <w:t>Lock-up</w:t>
            </w:r>
          </w:p>
        </w:tc>
        <w:tc>
          <w:tcPr>
            <w:tcW w:type="dxa" w:w="3024"/>
          </w:tcPr>
          <w:p>
            <w:r/>
            <w:r>
              <w:rPr>
                <w:sz w:val="16"/>
              </w:rPr>
              <w:t>Uniform 180 days from effective date; no Founder differential (§5.2)</w:t>
            </w:r>
          </w:p>
        </w:tc>
        <w:tc>
          <w:tcPr>
            <w:tcW w:type="dxa" w:w="3024"/>
          </w:tcPr>
          <w:p>
            <w:r/>
            <w:r>
              <w:rPr>
                <w:sz w:val="16"/>
              </w:rPr>
              <w:t>180 days (§§2.11, 6.1) plus 270-day Founder lock-up from prospectus (§6.2)</w:t>
            </w:r>
          </w:p>
        </w:tc>
        <w:tc>
          <w:tcPr>
            <w:tcW w:type="dxa" w:w="1584"/>
          </w:tcPr>
          <w:p>
            <w:r/>
            <w:r>
              <w:rPr>
                <w:sz w:val="16"/>
              </w:rPr>
              <w:t>Deviation — C-2, S-3</w:t>
            </w:r>
          </w:p>
        </w:tc>
      </w:tr>
      <w:tr>
        <w:tc>
          <w:tcPr>
            <w:tcW w:type="dxa" w:w="1728"/>
          </w:tcPr>
          <w:p>
            <w:r/>
            <w:r>
              <w:rPr>
                <w:b/>
                <w:sz w:val="16"/>
              </w:rPr>
              <w:t>Restrictive covenants</w:t>
            </w:r>
          </w:p>
        </w:tc>
        <w:tc>
          <w:tcPr>
            <w:tcW w:type="dxa" w:w="3024"/>
          </w:tcPr>
          <w:p>
            <w:r/>
            <w:r>
              <w:rPr>
                <w:sz w:val="16"/>
              </w:rPr>
              <w:t>None; not to be incorporated in any transaction document (§5.3)</w:t>
            </w:r>
          </w:p>
        </w:tc>
        <w:tc>
          <w:tcPr>
            <w:tcW w:type="dxa" w:w="3024"/>
          </w:tcPr>
          <w:p>
            <w:r/>
            <w:r>
              <w:rPr>
                <w:sz w:val="16"/>
              </w:rPr>
              <w:t>24-month worldwide non-compete and non-solicit (§7.4); devotion of time (§7.3)</w:t>
            </w:r>
          </w:p>
        </w:tc>
        <w:tc>
          <w:tcPr>
            <w:tcW w:type="dxa" w:w="1584"/>
          </w:tcPr>
          <w:p>
            <w:r/>
            <w:r>
              <w:rPr>
                <w:sz w:val="16"/>
              </w:rPr>
              <w:t>Deviation — C-1, S-11</w:t>
            </w:r>
          </w:p>
        </w:tc>
      </w:tr>
      <w:tr>
        <w:tc>
          <w:tcPr>
            <w:tcW w:type="dxa" w:w="1728"/>
          </w:tcPr>
          <w:p>
            <w:r/>
            <w:r>
              <w:rPr>
                <w:b/>
                <w:sz w:val="16"/>
              </w:rPr>
              <w:t>Termination</w:t>
            </w:r>
          </w:p>
        </w:tc>
        <w:tc>
          <w:tcPr>
            <w:tcW w:type="dxa" w:w="3024"/>
          </w:tcPr>
          <w:p>
            <w:r/>
            <w:r>
              <w:rPr>
                <w:sz w:val="16"/>
              </w:rPr>
              <w:t>Qualified IPO; DLE; Company + majority Registrable (§5.4)</w:t>
            </w:r>
          </w:p>
        </w:tc>
        <w:tc>
          <w:tcPr>
            <w:tcW w:type="dxa" w:w="3024"/>
          </w:tcPr>
          <w:p>
            <w:r/>
            <w:r>
              <w:rPr>
                <w:sz w:val="16"/>
              </w:rPr>
              <w:t>IPO; Company + two-thirds Registrable; no DLE; §7.4 survives (§8.1)</w:t>
            </w:r>
          </w:p>
        </w:tc>
        <w:tc>
          <w:tcPr>
            <w:tcW w:type="dxa" w:w="1584"/>
          </w:tcPr>
          <w:p>
            <w:r/>
            <w:r>
              <w:rPr>
                <w:sz w:val="16"/>
              </w:rPr>
              <w:t>Deviation — C-5</w:t>
            </w:r>
          </w:p>
        </w:tc>
      </w:tr>
      <w:tr>
        <w:tc>
          <w:tcPr>
            <w:tcW w:type="dxa" w:w="1728"/>
          </w:tcPr>
          <w:p>
            <w:r/>
            <w:r>
              <w:rPr>
                <w:b/>
                <w:sz w:val="16"/>
              </w:rPr>
              <w:t>Counsel fees</w:t>
            </w:r>
          </w:p>
        </w:tc>
        <w:tc>
          <w:tcPr>
            <w:tcW w:type="dxa" w:w="3024"/>
          </w:tcPr>
          <w:p>
            <w:r/>
            <w:r>
              <w:rPr>
                <w:sz w:val="16"/>
              </w:rPr>
              <w:t>CMV counsel capped at $50,000; Series A counsel capped at $25,000 (§7)</w:t>
            </w:r>
          </w:p>
        </w:tc>
        <w:tc>
          <w:tcPr>
            <w:tcW w:type="dxa" w:w="3024"/>
          </w:tcPr>
          <w:p>
            <w:r/>
            <w:r>
              <w:rPr>
                <w:sz w:val="16"/>
              </w:rPr>
              <w:t>Same (§9.3)</w:t>
            </w:r>
          </w:p>
        </w:tc>
        <w:tc>
          <w:tcPr>
            <w:tcW w:type="dxa" w:w="1584"/>
          </w:tcPr>
          <w:p>
            <w:r/>
            <w:r>
              <w:rPr>
                <w:sz w:val="16"/>
              </w:rPr>
              <w:t>Conforms (M-8)</w:t>
            </w:r>
          </w:p>
        </w:tc>
      </w:tr>
      <w:tr>
        <w:tc>
          <w:tcPr>
            <w:tcW w:type="dxa" w:w="1728"/>
          </w:tcPr>
          <w:p>
            <w:r/>
            <w:r>
              <w:rPr>
                <w:b/>
                <w:sz w:val="16"/>
              </w:rPr>
              <w:t>QSBS</w:t>
            </w:r>
          </w:p>
        </w:tc>
        <w:tc>
          <w:tcPr>
            <w:tcW w:type="dxa" w:w="3024"/>
          </w:tcPr>
          <w:p>
            <w:r/>
            <w:r>
              <w:rPr>
                <w:sz w:val="16"/>
              </w:rPr>
              <w:t>Not addressed</w:t>
            </w:r>
          </w:p>
        </w:tc>
        <w:tc>
          <w:tcPr>
            <w:tcW w:type="dxa" w:w="3024"/>
          </w:tcPr>
          <w:p>
            <w:r/>
            <w:r>
              <w:rPr>
                <w:sz w:val="16"/>
              </w:rPr>
              <w:t>Not addressed</w:t>
            </w:r>
          </w:p>
        </w:tc>
        <w:tc>
          <w:tcPr>
            <w:tcW w:type="dxa" w:w="1584"/>
          </w:tcPr>
          <w:p>
            <w:r/>
            <w:r>
              <w:rPr>
                <w:sz w:val="16"/>
              </w:rPr>
              <w:t>Request addition — S-12</w:t>
            </w:r>
          </w:p>
        </w:tc>
      </w:tr>
    </w:tbl>
    <w:p>
      <w:pPr>
        <w:spacing w:after="40"/>
      </w:pPr>
    </w:p>
    <w:p>
      <w:pPr>
        <w:pStyle w:val="Heading2"/>
      </w:pPr>
      <w:r>
        <w:t>Assumptions and Limitations</w:t>
      </w:r>
    </w:p>
    <w:p>
      <w:pPr>
        <w:spacing w:after="120"/>
      </w:pPr>
      <w:r>
        <w:rPr>
          <w:b w:val="0"/>
          <w:i w:val="0"/>
          <w:sz w:val="20"/>
        </w:rPr>
        <w:t>This memorandum is based solely on the four documents you forwarded and your February 11 email. I have not reviewed the Voting Agreement, the ROFR and Co-Sale Agreement, the SPA, the draft Series B charter, the Founders’ employment agreements, RSPAs or CIIAs, or the Company’s current cap table or balance sheet. Share calculations assume 1:1 conversion, the initial closing only, and no option pool. Massachusetts, Delaware and federal tax law references reflect my understanding as of the date of this memorandum and should be confirmed (including any applicable case-law developments and the Founders’ individual tax positions) before we advise the client in writing.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