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19"/>
        </w:rPr>
        <w:t>PRIVILEGED AND CONFIDENTIAL — ATTORNEY-CLIENT COMMUNICATION / ATTORNEY WORK PRODUCT</w:t>
      </w:r>
    </w:p>
    <w:p>
      <w:pPr>
        <w:jc w:val="center"/>
      </w:pPr>
      <w:r>
        <w:rPr>
          <w:b w:val="0"/>
          <w:i/>
          <w:sz w:val="18"/>
        </w:rPr>
        <w:t>Prepared at the request of counsel in anticipation of potential litigation</w:t>
      </w:r>
    </w:p>
    <w:p>
      <w:pPr>
        <w:jc w:val="center"/>
      </w:pPr>
      <w:r>
        <w:rPr>
          <w:b/>
          <w:i w:val="0"/>
          <w:sz w:val="28"/>
        </w:rPr>
        <w:t>HARGROVE &amp; TILLETT</w:t>
      </w:r>
    </w:p>
    <w:p>
      <w:pPr>
        <w:jc w:val="center"/>
      </w:pPr>
      <w:r>
        <w:rPr>
          <w:b/>
          <w:i w:val="0"/>
          <w:sz w:val="26"/>
        </w:rPr>
        <w:t>MEMORANDUM</w:t>
      </w:r>
    </w:p>
    <w:tbl>
      <w:tblPr>
        <w:tblStyle w:val="TableGrid"/>
        <w:tblW w:type="auto" w:w="0"/>
        <w:jc w:val="center"/>
        <w:tblLayout w:type="fixed"/>
        <w:tblLook w:firstColumn="1" w:firstRow="1" w:lastColumn="0" w:lastRow="0" w:noHBand="0" w:noVBand="1" w:val="04A0"/>
      </w:tblPr>
      <w:tblGrid>
        <w:gridCol w:w="1440"/>
        <w:gridCol w:w="8208"/>
      </w:tblGrid>
      <w:tr>
        <w:tc>
          <w:tcPr>
            <w:tcW w:type="dxa" w:w="1440"/>
            <w:shd w:val="clear" w:color="auto" w:fill="F2F2F2"/>
          </w:tcPr>
          <w:p>
            <w:pPr>
              <w:spacing w:after="20"/>
            </w:pPr>
            <w:r/>
            <w:r>
              <w:rPr>
                <w:b/>
                <w:i w:val="0"/>
                <w:sz w:val="20"/>
              </w:rPr>
              <w:t>TO:</w:t>
            </w:r>
          </w:p>
        </w:tc>
        <w:tc>
          <w:tcPr>
            <w:tcW w:type="dxa" w:w="8208"/>
          </w:tcPr>
          <w:p>
            <w:pPr>
              <w:spacing w:after="20"/>
            </w:pPr>
            <w:r/>
            <w:r>
              <w:rPr>
                <w:b w:val="0"/>
                <w:i w:val="0"/>
                <w:sz w:val="20"/>
              </w:rPr>
              <w:t>Sandra K. Whitford, General Counsel, Pinnacle Consumer Brands, Inc.</w:t>
            </w:r>
          </w:p>
        </w:tc>
      </w:tr>
      <w:tr>
        <w:tc>
          <w:tcPr>
            <w:tcW w:type="dxa" w:w="1440"/>
            <w:shd w:val="clear" w:color="auto" w:fill="F2F2F2"/>
          </w:tcPr>
          <w:p>
            <w:pPr>
              <w:spacing w:after="20"/>
            </w:pPr>
            <w:r/>
            <w:r>
              <w:rPr>
                <w:b/>
                <w:i w:val="0"/>
                <w:sz w:val="20"/>
              </w:rPr>
              <w:t>FROM:</w:t>
            </w:r>
          </w:p>
        </w:tc>
        <w:tc>
          <w:tcPr>
            <w:tcW w:type="dxa" w:w="8208"/>
          </w:tcPr>
          <w:p>
            <w:pPr>
              <w:spacing w:after="20"/>
            </w:pPr>
            <w:r/>
            <w:r>
              <w:rPr>
                <w:b w:val="0"/>
                <w:i w:val="0"/>
                <w:sz w:val="20"/>
              </w:rPr>
              <w:t>Claire Atherton, Hargrove &amp; Tillett</w:t>
            </w:r>
          </w:p>
        </w:tc>
      </w:tr>
      <w:tr>
        <w:tc>
          <w:tcPr>
            <w:tcW w:type="dxa" w:w="1440"/>
            <w:shd w:val="clear" w:color="auto" w:fill="F2F2F2"/>
          </w:tcPr>
          <w:p>
            <w:pPr>
              <w:spacing w:after="20"/>
            </w:pPr>
            <w:r/>
            <w:r>
              <w:rPr>
                <w:b/>
                <w:i w:val="0"/>
                <w:sz w:val="20"/>
              </w:rPr>
              <w:t>DATE:</w:t>
            </w:r>
          </w:p>
        </w:tc>
        <w:tc>
          <w:tcPr>
            <w:tcW w:type="dxa" w:w="8208"/>
          </w:tcPr>
          <w:p>
            <w:pPr>
              <w:spacing w:after="20"/>
            </w:pPr>
            <w:r/>
            <w:r>
              <w:rPr>
                <w:b w:val="0"/>
                <w:i w:val="0"/>
                <w:sz w:val="20"/>
              </w:rPr>
              <w:t>January 17, 2025</w:t>
            </w:r>
          </w:p>
        </w:tc>
      </w:tr>
      <w:tr>
        <w:tc>
          <w:tcPr>
            <w:tcW w:type="dxa" w:w="1440"/>
            <w:shd w:val="clear" w:color="auto" w:fill="F2F2F2"/>
          </w:tcPr>
          <w:p>
            <w:pPr>
              <w:spacing w:after="20"/>
            </w:pPr>
            <w:r/>
            <w:r>
              <w:rPr>
                <w:b/>
                <w:i w:val="0"/>
                <w:sz w:val="20"/>
              </w:rPr>
              <w:t>RE:</w:t>
            </w:r>
          </w:p>
        </w:tc>
        <w:tc>
          <w:tcPr>
            <w:tcW w:type="dxa" w:w="8208"/>
          </w:tcPr>
          <w:p>
            <w:pPr>
              <w:spacing w:after="20"/>
            </w:pPr>
            <w:r/>
            <w:r>
              <w:rPr>
                <w:b w:val="0"/>
                <w:i w:val="0"/>
                <w:sz w:val="20"/>
              </w:rPr>
              <w:t>Derek J. Manheim (Chief Revenue Officer) — Extraction and Summary of Restrictive Covenants, Post-Employment Obligations, Clawback and Forfeiture-for-Breach Terms; Enforceability Risks and Financial Exposure Assuming a February 2025 Without-Cause Termination</w:t>
            </w:r>
          </w:p>
        </w:tc>
      </w:tr>
    </w:tbl>
    <w:p>
      <w:pPr>
        <w:spacing w:after="40"/>
      </w:pPr>
    </w:p>
    <w:p>
      <w:pPr>
        <w:pStyle w:val="Heading1"/>
      </w:pPr>
      <w:r>
        <w:t>I. Executive Summary (Bottom Line for the January 23 Board Meeting)</w:t>
      </w:r>
    </w:p>
    <w:p>
      <w:r>
        <w:rPr>
          <w:b w:val="0"/>
          <w:i w:val="0"/>
        </w:rPr>
        <w:t>We reviewed the three governing instruments in full: the Executive Employment Agreement dated July 22, 2021, effective August 15, 2021 (the “</w:t>
      </w:r>
      <w:r>
        <w:rPr>
          <w:b/>
          <w:i w:val="0"/>
        </w:rPr>
        <w:t>Original Agreement</w:t>
      </w:r>
      <w:r>
        <w:rPr>
          <w:b w:val="0"/>
          <w:i w:val="0"/>
        </w:rPr>
        <w:t>” or “</w:t>
      </w:r>
      <w:r>
        <w:rPr>
          <w:b/>
          <w:i w:val="0"/>
        </w:rPr>
        <w:t>EA</w:t>
      </w:r>
      <w:r>
        <w:rPr>
          <w:b w:val="0"/>
          <w:i w:val="0"/>
        </w:rPr>
        <w:t>”); the First Amendment dated January 18, 2023 (the “</w:t>
      </w:r>
      <w:r>
        <w:rPr>
          <w:b/>
          <w:i w:val="0"/>
        </w:rPr>
        <w:t>Amendment</w:t>
      </w:r>
      <w:r>
        <w:rPr>
          <w:b w:val="0"/>
          <w:i w:val="0"/>
        </w:rPr>
        <w:t>”); and the Restricted Stock Unit Award Agreement dated March 1, 2022 (the “</w:t>
      </w:r>
      <w:r>
        <w:rPr>
          <w:b/>
          <w:i w:val="0"/>
        </w:rPr>
        <w:t>RSU Agreement</w:t>
      </w:r>
      <w:r>
        <w:rPr>
          <w:b w:val="0"/>
          <w:i w:val="0"/>
        </w:rPr>
        <w:t>”). Our principal conclusions are:</w:t>
      </w:r>
    </w:p>
    <w:p>
      <w:pPr>
        <w:pStyle w:val="ListBullet"/>
      </w:pPr>
      <w:r>
        <w:rPr>
          <w:b/>
          <w:i w:val="0"/>
        </w:rPr>
        <w:t>The Amendment’s section references do not match the Original Agreement.</w:t>
      </w:r>
      <w:r>
        <w:rPr>
          <w:b w:val="0"/>
          <w:i w:val="0"/>
        </w:rPr>
        <w:t xml:space="preserve"> The Amendment (drafted by Brackenridge Thornton) “amends and restates” Sections 1(b), 3(a), 3(b), 5(c), 5(d), 7(a), 7(c) and adds 7(e), 7(f) and 8(e). The Original Agreement uses an Article/Section 1.1–9.11 scheme: the covenants are in Article VIII (Sections 8.1–8.8), “Cause” is Section 1.3, severance is Section 6.2, and </w:t>
      </w:r>
      <w:r>
        <w:rPr>
          <w:b/>
          <w:i w:val="0"/>
        </w:rPr>
        <w:t>Article VII is “Intentionally Reserved.”</w:t>
      </w:r>
      <w:r>
        <w:rPr>
          <w:b w:val="0"/>
          <w:i w:val="0"/>
        </w:rPr>
        <w:t xml:space="preserve"> Section 9.3 of the Original Agreement requires any amendment to “specifically reference[] this Agreement and the provision(s) to be amended.” This mismatch is the single most important drafting defect: it gives Manheim a credible argument that the expanded non-compete, the revenue-target “Cause” prong, the garden leave offset and the forfeiture-for-breach clause either did not validly amend anything or created a second, parallel set of covenants. Ambiguities will be construed against Pinnacle as drafter.</w:t>
      </w:r>
    </w:p>
    <w:p>
      <w:pPr>
        <w:pStyle w:val="ListBullet"/>
      </w:pPr>
      <w:r>
        <w:rPr>
          <w:b/>
          <w:i w:val="0"/>
        </w:rPr>
        <w:t>Consideration for the Amendment is weak and, in our view, likely inadequate under North Carolina law for the broadened covenants.</w:t>
      </w:r>
      <w:r>
        <w:rPr>
          <w:b w:val="0"/>
          <w:i w:val="0"/>
        </w:rPr>
        <w:t xml:space="preserve"> The only stated consideration is “continued employment” and “the designation of Executive as Chief Revenue Officer” — a title Manheim already held under Section 2.1 of the Original Agreement since August 2021. Base salary ($475,000) and target bonus (70%) were unchanged, and the maximum bonus opportunity was actually </w:t>
      </w:r>
      <w:r>
        <w:rPr>
          <w:b/>
          <w:i w:val="0"/>
        </w:rPr>
        <w:t>reduced</w:t>
      </w:r>
      <w:r>
        <w:rPr>
          <w:b w:val="0"/>
          <w:i w:val="0"/>
        </w:rPr>
        <w:t xml:space="preserve"> from 200% to 150% of target. North Carolina requires new, independent consideration to support a non-compete entered into or expanded after employment begins; continued at-will employment is not enough. We rate the risk that a North Carolina court refuses to enforce the Amendment’s 24-month / 10% / home-fragrance non-compete as </w:t>
      </w:r>
      <w:r>
        <w:rPr>
          <w:b/>
          <w:i w:val="0"/>
        </w:rPr>
        <w:t>high</w:t>
      </w:r>
      <w:r>
        <w:rPr>
          <w:b w:val="0"/>
          <w:i w:val="0"/>
        </w:rPr>
        <w:t>. Pinnacle should plan around the Original Agreement’s 18-month non-compete (Section 8.1) and the RSU Agreement’s 12-month non-compete (Section 6.2), which are supported by initial-hire consideration and the RSU grant, respectively.</w:t>
      </w:r>
    </w:p>
    <w:p>
      <w:pPr>
        <w:pStyle w:val="ListBullet"/>
      </w:pPr>
      <w:r>
        <w:rPr>
          <w:b/>
          <w:i w:val="0"/>
        </w:rPr>
        <w:t>The RSU non-compete differs materially from the employment non-compete and only it triggers the equity clawback.</w:t>
      </w:r>
      <w:r>
        <w:rPr>
          <w:b w:val="0"/>
          <w:i w:val="0"/>
        </w:rPr>
        <w:t xml:space="preserve"> RSU Section 6.2 runs 12 months (vs. 18 original / 24 amended), covers any “Competitive Business” that “competes with the Company in the household cleaning products industry” (no revenue threshold; no personal care or home fragrance), is governed by Delaware law, and has no forum clause. RSU Section 6.3 makes both sets of covenants independently enforceable and requires compliance with “the more restrictive provision.” Critically, the RSU clawback (Section 7.2) is triggered only by a Cause termination or breach of RSU </w:t>
      </w:r>
      <w:r>
        <w:rPr>
          <w:b/>
          <w:i w:val="0"/>
        </w:rPr>
        <w:t>Article VI</w:t>
      </w:r>
      <w:r>
        <w:rPr>
          <w:b w:val="0"/>
          <w:i w:val="0"/>
        </w:rPr>
        <w:t xml:space="preserve"> (the non-compete) — </w:t>
      </w:r>
      <w:r>
        <w:rPr>
          <w:b/>
          <w:i w:val="0"/>
        </w:rPr>
        <w:t>not</w:t>
      </w:r>
      <w:r>
        <w:rPr>
          <w:b w:val="0"/>
          <w:i w:val="0"/>
        </w:rPr>
        <w:t xml:space="preserve"> by customer or employee solicitation, confidentiality breaches or disparagement.</w:t>
      </w:r>
    </w:p>
    <w:p>
      <w:pPr>
        <w:pStyle w:val="ListBullet"/>
      </w:pPr>
      <w:r>
        <w:rPr>
          <w:b/>
          <w:i w:val="0"/>
        </w:rPr>
        <w:t>RSU forfeiture and clawback (February 2025 without-Cause termination, $15.10/share).</w:t>
      </w:r>
      <w:r>
        <w:rPr>
          <w:b w:val="0"/>
          <w:i w:val="0"/>
        </w:rPr>
        <w:t xml:space="preserve"> Tranches 3 (March 1, 2025) and 4 (March 1, 2026) — 14,000 RSUs, </w:t>
      </w:r>
      <w:r>
        <w:rPr>
          <w:b/>
          <w:i w:val="0"/>
        </w:rPr>
        <w:t>$211,400</w:t>
      </w:r>
      <w:r>
        <w:rPr>
          <w:b w:val="0"/>
          <w:i w:val="0"/>
        </w:rPr>
        <w:t xml:space="preserve"> — are forfeited automatically on termination under RSU Section 2.2(b) whether or not Manheim breaches anything; they are not breach leverage. Of the vested tranches, only </w:t>
      </w:r>
      <w:r>
        <w:rPr>
          <w:b/>
          <w:i w:val="0"/>
        </w:rPr>
        <w:t>Tranche 2 (7,000 RSUs vested March 1, 2024)</w:t>
      </w:r>
      <w:r>
        <w:rPr>
          <w:b w:val="0"/>
          <w:i w:val="0"/>
        </w:rPr>
        <w:t xml:space="preserve"> falls within the 18-month Clawback Period, and only if the Company’s breach determination is made </w:t>
      </w:r>
      <w:r>
        <w:rPr>
          <w:b/>
          <w:i w:val="0"/>
        </w:rPr>
        <w:t>on or before September 1, 2025</w:t>
      </w:r>
      <w:r>
        <w:rPr>
          <w:b w:val="0"/>
          <w:i w:val="0"/>
        </w:rPr>
        <w:t xml:space="preserve">. Tranche 1 (March 1, 2023) is already outside any window measured from a date after September 1, 2024. The clawback is measured at the </w:t>
      </w:r>
      <w:r>
        <w:rPr>
          <w:b/>
          <w:i w:val="0"/>
        </w:rPr>
        <w:t>closing price on March 1, 2024</w:t>
      </w:r>
      <w:r>
        <w:rPr>
          <w:b w:val="0"/>
          <w:i w:val="0"/>
        </w:rPr>
        <w:t xml:space="preserve"> (not today’s price); at the $15.10 proxy, the exposure is </w:t>
      </w:r>
      <w:r>
        <w:rPr>
          <w:b/>
          <w:i w:val="0"/>
        </w:rPr>
        <w:t>$105,700</w:t>
      </w:r>
      <w:r>
        <w:rPr>
          <w:b w:val="0"/>
          <w:i w:val="0"/>
        </w:rPr>
        <w:t xml:space="preserve">. We need the actual March 1, 2024 closing price. After September 1, 2025, the RSU clawback leverage is </w:t>
      </w:r>
      <w:r>
        <w:rPr>
          <w:b/>
          <w:i w:val="0"/>
        </w:rPr>
        <w:t>zero</w:t>
      </w:r>
      <w:r>
        <w:rPr>
          <w:b w:val="0"/>
          <w:i w:val="0"/>
        </w:rPr>
        <w:t xml:space="preserve"> even though the RSU non-compete runs to February 2026.</w:t>
      </w:r>
    </w:p>
    <w:p>
      <w:pPr>
        <w:pStyle w:val="ListBullet"/>
      </w:pPr>
      <w:r>
        <w:rPr>
          <w:b/>
          <w:i w:val="0"/>
        </w:rPr>
        <w:t>Garden leave does not offset severance in a Company-initiated termination.</w:t>
      </w:r>
      <w:r>
        <w:rPr>
          <w:b w:val="0"/>
          <w:i w:val="0"/>
        </w:rPr>
        <w:t xml:space="preserve"> Amendment Section 7 (new “Section 7(e)”) applies only during a 90-day Notice Period that begins with </w:t>
      </w:r>
      <w:r>
        <w:rPr>
          <w:b/>
          <w:i w:val="0"/>
        </w:rPr>
        <w:t>Manheim’s</w:t>
      </w:r>
      <w:r>
        <w:rPr>
          <w:b w:val="0"/>
          <w:i w:val="0"/>
        </w:rPr>
        <w:t xml:space="preserve"> notice of voluntary resignation. The dollar-for-dollar credit in clause (iv) applies only if the Company elected garden leave during that Notice Period and then terminated without Cause. If Pinnacle initiates a without-Cause termination in February 2025, there is no Notice Period, no garden leave election is available, and </w:t>
      </w:r>
      <w:r>
        <w:rPr>
          <w:b/>
          <w:i w:val="0"/>
        </w:rPr>
        <w:t>no offset applies</w:t>
      </w:r>
      <w:r>
        <w:rPr>
          <w:b w:val="0"/>
          <w:i w:val="0"/>
        </w:rPr>
        <w:t>: gross and net severance are the same. Even where the credit does apply, it does not reduce Pinnacle’s total cash cost — it prevents double payment ($117,123 paid as garden leave salary instead of as severance).</w:t>
      </w:r>
    </w:p>
    <w:p>
      <w:pPr>
        <w:pStyle w:val="ListBullet"/>
      </w:pPr>
      <w:r>
        <w:rPr>
          <w:b/>
          <w:i w:val="0"/>
        </w:rPr>
        <w:t>Severance exposure (without Cause, termination February 28, 2025, fiscal year = calendar year assumed):</w:t>
      </w:r>
      <w:r>
        <w:rPr>
          <w:b w:val="0"/>
          <w:i w:val="0"/>
        </w:rPr>
        <w:t xml:space="preserve"> base salary continuation </w:t>
      </w:r>
      <w:r>
        <w:rPr>
          <w:b/>
          <w:i w:val="0"/>
        </w:rPr>
        <w:t>$475,000</w:t>
      </w:r>
      <w:r>
        <w:rPr>
          <w:b w:val="0"/>
          <w:i w:val="0"/>
        </w:rPr>
        <w:t xml:space="preserve"> + pro-rated FY2025 bonus (</w:t>
      </w:r>
      <w:r>
        <w:rPr>
          <w:b/>
          <w:i w:val="0"/>
        </w:rPr>
        <w:t>$53,747</w:t>
      </w:r>
      <w:r>
        <w:rPr>
          <w:b w:val="0"/>
          <w:i w:val="0"/>
        </w:rPr>
        <w:t xml:space="preserve"> at target; range $0–$80,620 at 0–150%) + COBRA reimbursement up to </w:t>
      </w:r>
      <w:r>
        <w:rPr>
          <w:b/>
          <w:i w:val="0"/>
        </w:rPr>
        <w:t>$25,200</w:t>
      </w:r>
      <w:r>
        <w:rPr>
          <w:b w:val="0"/>
          <w:i w:val="0"/>
        </w:rPr>
        <w:t xml:space="preserve"> = approximately </w:t>
      </w:r>
      <w:r>
        <w:rPr>
          <w:b/>
          <w:i w:val="0"/>
        </w:rPr>
        <w:t>$553,947</w:t>
      </w:r>
      <w:r>
        <w:rPr>
          <w:b w:val="0"/>
          <w:i w:val="0"/>
        </w:rPr>
        <w:t xml:space="preserve"> at target (plus Accrued Obligations). All of it is conditioned on a timely Release and continuing covenant compliance and is subject to cessation and repayment upon breach (EA Section 6.2; Amendment Section 9). Manheim would also likely forfeit any unpaid FY2024 bonus if terminated before the FY2024 bonus payment date (EA Section 3.2) — a point he will contest.</w:t>
      </w:r>
    </w:p>
    <w:p>
      <w:pPr>
        <w:pStyle w:val="ListBullet"/>
      </w:pPr>
      <w:r>
        <w:rPr>
          <w:b/>
          <w:i w:val="0"/>
        </w:rPr>
        <w:t>Non-disparagement / McLaren Macomb.</w:t>
      </w:r>
      <w:r>
        <w:rPr>
          <w:b w:val="0"/>
          <w:i w:val="0"/>
        </w:rPr>
        <w:t xml:space="preserve"> As CRO, Manheim is almost certainly a statutory supervisor/manager excluded from NLRA protection, so *McLaren Macomb*, 372 NLRB No. 58 (2023), is unlikely to invalidate his covenant directly. The greater risks are (i) the clause has </w:t>
      </w:r>
      <w:r>
        <w:rPr>
          <w:b/>
          <w:i w:val="0"/>
        </w:rPr>
        <w:t>no carve-outs</w:t>
      </w:r>
      <w:r>
        <w:rPr>
          <w:b w:val="0"/>
          <w:i w:val="0"/>
        </w:rPr>
        <w:t xml:space="preserve"> for SEC whistleblowing (Rule 21F-17), agency charges, truthful testimony or legally protected speech, (ii) the perpetual, “casts in an unfavorable light” standard and the Company’s weak, “instruct”-only reciprocal obligation, and (iii) reusing the same language in non-supervisory separation agreements. The separation agreement should include a standard protected-activity carve-out.</w:t>
      </w:r>
    </w:p>
    <w:p>
      <w:pPr>
        <w:pStyle w:val="ListBullet"/>
      </w:pPr>
      <w:r>
        <w:rPr>
          <w:b/>
          <w:i w:val="0"/>
        </w:rPr>
        <w:t>Unsigned copies.</w:t>
      </w:r>
      <w:r>
        <w:rPr>
          <w:b w:val="0"/>
          <w:i w:val="0"/>
        </w:rPr>
        <w:t xml:space="preserve"> The copies provided to us have blank signature lines. N.C. Gen. Stat. § 75-4 requires a non-compete to be in writing and signed by the party to be charged. Please send fully executed copies of all three instruments (and the 2019 Omnibus Plan) before the Board relies on this analysis.</w:t>
      </w:r>
    </w:p>
    <w:p>
      <w:pPr>
        <w:pStyle w:val="ListBullet"/>
      </w:pPr>
      <w:r>
        <w:rPr>
          <w:b/>
          <w:i w:val="0"/>
        </w:rPr>
        <w:t>Recommended strategy:</w:t>
      </w:r>
      <w:r>
        <w:rPr>
          <w:b w:val="0"/>
          <w:i w:val="0"/>
        </w:rPr>
        <w:t xml:space="preserve"> treat the separation agreement as the cure. Offer new consideration (e.g., cash in lieu of, or acceleration of, the 7,000-RSU Tranche 3 worth ~$105,700 at $15.10, or other enhancement) in exchange for a re-executed, correctly numbered, narrowly tailored restrictive covenant package (role-based non-compete, customer and employee non-solicits, tolling, notice-to-new-employer, clarified clawback mechanics and protected-activity carve-outs). This converts the weakest parts of the current package into enforceable obligations supported by indisputable fresh consideration.</w:t>
      </w:r>
    </w:p>
    <w:p>
      <w:pPr>
        <w:pStyle w:val="Heading1"/>
      </w:pPr>
      <w:r>
        <w:t>II. Documents Reviewed, Assumptions and Open Items</w:t>
      </w:r>
    </w:p>
    <w:tbl>
      <w:tblPr>
        <w:tblStyle w:val="TableGrid"/>
        <w:tblW w:type="auto" w:w="0"/>
        <w:jc w:val="center"/>
        <w:tblLayout w:type="fixed"/>
        <w:tblLook w:firstColumn="1" w:firstRow="1" w:lastColumn="0" w:lastRow="0" w:noHBand="0" w:noVBand="1" w:val="04A0"/>
      </w:tblPr>
      <w:tblGrid>
        <w:gridCol w:w="2448"/>
        <w:gridCol w:w="3311"/>
        <w:gridCol w:w="3888"/>
      </w:tblGrid>
      <w:tr>
        <w:trPr>
          <w:tblHeader w:val="true"/>
        </w:trPr>
        <w:tc>
          <w:tcPr>
            <w:tcW w:type="dxa" w:w="2448"/>
            <w:shd w:val="clear" w:color="auto" w:fill="D9E2F3"/>
          </w:tcPr>
          <w:p>
            <w:pPr>
              <w:spacing w:after="20"/>
            </w:pPr>
            <w:r/>
            <w:r>
              <w:rPr>
                <w:b/>
                <w:i w:val="0"/>
                <w:sz w:val="18"/>
              </w:rPr>
              <w:t>Document</w:t>
            </w:r>
          </w:p>
        </w:tc>
        <w:tc>
          <w:tcPr>
            <w:tcW w:type="dxa" w:w="3312"/>
            <w:shd w:val="clear" w:color="auto" w:fill="D9E2F3"/>
          </w:tcPr>
          <w:p>
            <w:pPr>
              <w:spacing w:after="20"/>
            </w:pPr>
            <w:r/>
            <w:r>
              <w:rPr>
                <w:b/>
                <w:i w:val="0"/>
                <w:sz w:val="18"/>
              </w:rPr>
              <w:t>Date / Law / Forum</w:t>
            </w:r>
          </w:p>
        </w:tc>
        <w:tc>
          <w:tcPr>
            <w:tcW w:type="dxa" w:w="3888"/>
            <w:shd w:val="clear" w:color="auto" w:fill="D9E2F3"/>
          </w:tcPr>
          <w:p>
            <w:pPr>
              <w:spacing w:after="20"/>
            </w:pPr>
            <w:r/>
            <w:r>
              <w:rPr>
                <w:b/>
                <w:i w:val="0"/>
                <w:sz w:val="18"/>
              </w:rPr>
              <w:t>Notes</w:t>
            </w:r>
          </w:p>
        </w:tc>
      </w:tr>
      <w:tr>
        <w:tc>
          <w:tcPr>
            <w:tcW w:type="dxa" w:w="2448"/>
          </w:tcPr>
          <w:p>
            <w:pPr>
              <w:spacing w:after="20"/>
            </w:pPr>
            <w:r/>
            <w:r>
              <w:rPr>
                <w:b w:val="0"/>
                <w:i w:val="0"/>
                <w:sz w:val="18"/>
              </w:rPr>
              <w:t>Executive Employment Agreement (Original Agreement)</w:t>
            </w:r>
          </w:p>
        </w:tc>
        <w:tc>
          <w:tcPr>
            <w:tcW w:type="dxa" w:w="3312"/>
          </w:tcPr>
          <w:p>
            <w:pPr>
              <w:spacing w:after="20"/>
            </w:pPr>
            <w:r/>
            <w:r>
              <w:rPr>
                <w:b w:val="0"/>
                <w:i w:val="0"/>
                <w:sz w:val="18"/>
              </w:rPr>
              <w:t>Executed July 22, 2021; effective Aug. 15, 2021. N.C. law (§ 9.1); exclusive forum: state/federal courts in Mecklenburg County, N.C. (§ 9.2).</w:t>
            </w:r>
          </w:p>
        </w:tc>
        <w:tc>
          <w:tcPr>
            <w:tcW w:type="dxa" w:w="3888"/>
          </w:tcPr>
          <w:p>
            <w:pPr>
              <w:spacing w:after="20"/>
            </w:pPr>
            <w:r/>
            <w:r>
              <w:rPr>
                <w:b w:val="0"/>
                <w:i w:val="0"/>
                <w:sz w:val="18"/>
              </w:rPr>
              <w:t>Drafted in-house. At-will (§ 2.2). Restrictive Covenants in Article VIII (§§ 8.1–8.8). Article VII “Intentionally Reserved.” Signature lines blank in our copy.</w:t>
            </w:r>
          </w:p>
        </w:tc>
      </w:tr>
      <w:tr>
        <w:tc>
          <w:tcPr>
            <w:tcW w:type="dxa" w:w="2448"/>
          </w:tcPr>
          <w:p>
            <w:pPr>
              <w:spacing w:after="20"/>
            </w:pPr>
            <w:r/>
            <w:r>
              <w:rPr>
                <w:b w:val="0"/>
                <w:i w:val="0"/>
                <w:sz w:val="18"/>
              </w:rPr>
              <w:t>First Amendment to Executive Employment Agreement</w:t>
            </w:r>
          </w:p>
        </w:tc>
        <w:tc>
          <w:tcPr>
            <w:tcW w:type="dxa" w:w="3312"/>
          </w:tcPr>
          <w:p>
            <w:pPr>
              <w:spacing w:after="20"/>
            </w:pPr>
            <w:r/>
            <w:r>
              <w:rPr>
                <w:b w:val="0"/>
                <w:i w:val="0"/>
                <w:sz w:val="18"/>
              </w:rPr>
              <w:t>Jan. 18, 2023 (Lakeshore closing). N.C. law; Mecklenburg County forum reaffirmed (§ 12).</w:t>
            </w:r>
          </w:p>
        </w:tc>
        <w:tc>
          <w:tcPr>
            <w:tcW w:type="dxa" w:w="3888"/>
          </w:tcPr>
          <w:p>
            <w:pPr>
              <w:spacing w:after="20"/>
            </w:pPr>
            <w:r/>
            <w:r>
              <w:rPr>
                <w:b w:val="0"/>
                <w:i w:val="0"/>
                <w:sz w:val="18"/>
              </w:rPr>
              <w:t>Drafted by Brackenridge Thornton. Amendment controls in a conflict (§§ 1, 11). Section references do not correspond to Original Agreement (see Part III). Signature lines blank.</w:t>
            </w:r>
          </w:p>
        </w:tc>
      </w:tr>
      <w:tr>
        <w:tc>
          <w:tcPr>
            <w:tcW w:type="dxa" w:w="2448"/>
          </w:tcPr>
          <w:p>
            <w:pPr>
              <w:spacing w:after="20"/>
            </w:pPr>
            <w:r/>
            <w:r>
              <w:rPr>
                <w:b w:val="0"/>
                <w:i w:val="0"/>
                <w:sz w:val="18"/>
              </w:rPr>
              <w:t>RSU Award Agreement (2019 Omnibus Equity Incentive Plan)</w:t>
            </w:r>
          </w:p>
        </w:tc>
        <w:tc>
          <w:tcPr>
            <w:tcW w:type="dxa" w:w="3312"/>
          </w:tcPr>
          <w:p>
            <w:pPr>
              <w:spacing w:after="20"/>
            </w:pPr>
            <w:r/>
            <w:r>
              <w:rPr>
                <w:b w:val="0"/>
                <w:i w:val="0"/>
                <w:sz w:val="18"/>
              </w:rPr>
              <w:t>Mar. 1, 2022. Delaware law (§ 8.2). No forum-selection or consent-to-jurisdiction clause.</w:t>
            </w:r>
          </w:p>
        </w:tc>
        <w:tc>
          <w:tcPr>
            <w:tcW w:type="dxa" w:w="3888"/>
          </w:tcPr>
          <w:p>
            <w:pPr>
              <w:spacing w:after="20"/>
            </w:pPr>
            <w:r/>
            <w:r>
              <w:rPr>
                <w:b w:val="0"/>
                <w:i w:val="0"/>
                <w:sz w:val="18"/>
              </w:rPr>
              <w:t>28,000 RSUs; 4 × 7,000 annual tranches (Mar. 1, 2023–2026). Plan controls except Articles VI and VII (§ 8.1). Plan not provided. Signature lines blank.</w:t>
            </w:r>
          </w:p>
        </w:tc>
      </w:tr>
      <w:tr>
        <w:tc>
          <w:tcPr>
            <w:tcW w:type="dxa" w:w="2448"/>
          </w:tcPr>
          <w:p>
            <w:pPr>
              <w:spacing w:after="20"/>
            </w:pPr>
            <w:r/>
            <w:r>
              <w:rPr>
                <w:b w:val="0"/>
                <w:i w:val="0"/>
                <w:sz w:val="18"/>
              </w:rPr>
              <w:t>Instruction email (S. Whitford to C. Atherton)</w:t>
            </w:r>
          </w:p>
        </w:tc>
        <w:tc>
          <w:tcPr>
            <w:tcW w:type="dxa" w:w="3312"/>
          </w:tcPr>
          <w:p>
            <w:pPr>
              <w:spacing w:after="20"/>
            </w:pPr>
            <w:r/>
            <w:r>
              <w:rPr>
                <w:b w:val="0"/>
                <w:i w:val="0"/>
                <w:sz w:val="18"/>
              </w:rPr>
              <w:t>Jan. 6, 2025</w:t>
            </w:r>
          </w:p>
        </w:tc>
        <w:tc>
          <w:tcPr>
            <w:tcW w:type="dxa" w:w="3888"/>
          </w:tcPr>
          <w:p>
            <w:pPr>
              <w:spacing w:after="20"/>
            </w:pPr>
            <w:r/>
            <w:r>
              <w:rPr>
                <w:b w:val="0"/>
                <w:i w:val="0"/>
                <w:sz w:val="18"/>
              </w:rPr>
              <w:t>Assume without-Cause termination ~February 2025; stock price ~$15.10; memo due Jan. 17, 2025.</w:t>
            </w:r>
          </w:p>
        </w:tc>
      </w:tr>
    </w:tbl>
    <w:p>
      <w:pPr>
        <w:spacing w:after="40"/>
      </w:pPr>
    </w:p>
    <w:p>
      <w:r>
        <w:rPr>
          <w:b/>
          <w:i w:val="0"/>
        </w:rPr>
        <w:t>Working assumptions</w:t>
      </w:r>
      <w:r>
        <w:rPr>
          <w:b w:val="0"/>
          <w:i w:val="0"/>
        </w:rPr>
        <w:t xml:space="preserve"> (please correct if inaccurate): (1) termination by the Company without Cause effective on or about </w:t>
      </w:r>
      <w:r>
        <w:rPr>
          <w:b/>
          <w:i w:val="0"/>
        </w:rPr>
        <w:t>February 28, 2025</w:t>
      </w:r>
      <w:r>
        <w:rPr>
          <w:b w:val="0"/>
          <w:i w:val="0"/>
        </w:rPr>
        <w:t xml:space="preserve"> (we also show February 14, 2025 where the result differs); (2) Pinnacle’s fiscal year is the calendar year; (3) base salary remains $475,000 and target bonus 70% ($332,500); (4) $15.10 per share is used as a proxy for vesting-date closing prices we do not have; (5) no Change in Control has occurred within the prior 12 months (RSU § 2.3); (6) Manheim resides and works in Charlotte, North Carolina; (7) “Lakeshore” is an Affiliate (see Part VIII.K regarding an inconsistency in the Amendment’s recitals).</w:t>
      </w:r>
    </w:p>
    <w:p>
      <w:r>
        <w:rPr>
          <w:b/>
          <w:i w:val="0"/>
        </w:rPr>
        <w:t>Items we need to finalize the analysis:</w:t>
      </w:r>
      <w:r>
        <w:rPr>
          <w:b w:val="0"/>
          <w:i w:val="0"/>
        </w:rPr>
        <w:t xml:space="preserve"> fully executed copies of all three instruments; the 2019 Omnibus Equity Incentive Plan (it controls over the RSU Agreement except Articles VI–VII and may contain its own forfeiture, clawback, Committee-discretion, governing-law or forum terms); the Company’s Dodd-Frank/Rule 10D-1 clawback policy; closing prices on March 1, 2023 and March 1, 2024 (and the settlement records showing shares withheld for taxes); Board/Compensation Committee minutes establishing any “minimum revenue targets” for 2023–2024; the FY2024 bonus determination and payment date; Manheim’s age (OWBPA); and the Lakeshore Asset Purchase Agreement (to confirm whether Manheim had any seller-side or Lakeshore-era covenants and the structure of the acquisition).</w:t>
      </w:r>
    </w:p>
    <w:p>
      <w:pPr>
        <w:pStyle w:val="Heading1"/>
      </w:pPr>
      <w:r>
        <w:t>III. Threshold Issue: The Amendment’s Cross-References Do Not Match the Original Agreement</w:t>
      </w:r>
    </w:p>
    <w:p>
      <w:r>
        <w:rPr>
          <w:b w:val="0"/>
          <w:i w:val="0"/>
        </w:rPr>
        <w:t>Every operative section of the Amendment refers to a section number that either does not exist in the Original Agreement or refers to an unrelated provision. The table below maps each reference to the provision we believe was intended.</w:t>
      </w:r>
    </w:p>
    <w:tbl>
      <w:tblPr>
        <w:tblStyle w:val="TableGrid"/>
        <w:tblW w:type="auto" w:w="0"/>
        <w:jc w:val="center"/>
        <w:tblLayout w:type="fixed"/>
        <w:tblLook w:firstColumn="1" w:firstRow="1" w:lastColumn="0" w:lastRow="0" w:noHBand="0" w:noVBand="1" w:val="04A0"/>
      </w:tblPr>
      <w:tblGrid>
        <w:gridCol w:w="936"/>
        <w:gridCol w:w="1655"/>
        <w:gridCol w:w="2304"/>
        <w:gridCol w:w="1944"/>
        <w:gridCol w:w="2808"/>
      </w:tblGrid>
      <w:tr>
        <w:trPr>
          <w:tblHeader w:val="true"/>
        </w:trPr>
        <w:tc>
          <w:tcPr>
            <w:tcW w:type="dxa" w:w="936"/>
            <w:shd w:val="clear" w:color="auto" w:fill="D9E2F3"/>
          </w:tcPr>
          <w:p>
            <w:pPr>
              <w:spacing w:after="20"/>
            </w:pPr>
            <w:r/>
            <w:r>
              <w:rPr>
                <w:b/>
                <w:i w:val="0"/>
                <w:sz w:val="17"/>
              </w:rPr>
              <w:t>Amendment §</w:t>
            </w:r>
          </w:p>
        </w:tc>
        <w:tc>
          <w:tcPr>
            <w:tcW w:type="dxa" w:w="1656"/>
            <w:shd w:val="clear" w:color="auto" w:fill="D9E2F3"/>
          </w:tcPr>
          <w:p>
            <w:pPr>
              <w:spacing w:after="20"/>
            </w:pPr>
            <w:r/>
            <w:r>
              <w:rPr>
                <w:b/>
                <w:i w:val="0"/>
                <w:sz w:val="17"/>
              </w:rPr>
              <w:t>Purports to amend</w:t>
            </w:r>
          </w:p>
        </w:tc>
        <w:tc>
          <w:tcPr>
            <w:tcW w:type="dxa" w:w="2304"/>
            <w:shd w:val="clear" w:color="auto" w:fill="D9E2F3"/>
          </w:tcPr>
          <w:p>
            <w:pPr>
              <w:spacing w:after="20"/>
            </w:pPr>
            <w:r/>
            <w:r>
              <w:rPr>
                <w:b/>
                <w:i w:val="0"/>
                <w:sz w:val="17"/>
              </w:rPr>
              <w:t>What that number is in the Original Agreement</w:t>
            </w:r>
          </w:p>
        </w:tc>
        <w:tc>
          <w:tcPr>
            <w:tcW w:type="dxa" w:w="1944"/>
            <w:shd w:val="clear" w:color="auto" w:fill="D9E2F3"/>
          </w:tcPr>
          <w:p>
            <w:pPr>
              <w:spacing w:after="20"/>
            </w:pPr>
            <w:r/>
            <w:r>
              <w:rPr>
                <w:b/>
                <w:i w:val="0"/>
                <w:sz w:val="17"/>
              </w:rPr>
              <w:t>Provision actually intended (our reading)</w:t>
            </w:r>
          </w:p>
        </w:tc>
        <w:tc>
          <w:tcPr>
            <w:tcW w:type="dxa" w:w="2808"/>
            <w:shd w:val="clear" w:color="auto" w:fill="D9E2F3"/>
          </w:tcPr>
          <w:p>
            <w:pPr>
              <w:spacing w:after="20"/>
            </w:pPr>
            <w:r/>
            <w:r>
              <w:rPr>
                <w:b/>
                <w:i w:val="0"/>
                <w:sz w:val="17"/>
              </w:rPr>
              <w:t>Consequence</w:t>
            </w:r>
          </w:p>
        </w:tc>
      </w:tr>
      <w:tr>
        <w:tc>
          <w:tcPr>
            <w:tcW w:type="dxa" w:w="936"/>
          </w:tcPr>
          <w:p>
            <w:pPr>
              <w:spacing w:after="20"/>
            </w:pPr>
            <w:r/>
            <w:r>
              <w:rPr>
                <w:b w:val="0"/>
                <w:i w:val="0"/>
                <w:sz w:val="17"/>
              </w:rPr>
              <w:t>§ 2</w:t>
            </w:r>
          </w:p>
        </w:tc>
        <w:tc>
          <w:tcPr>
            <w:tcW w:type="dxa" w:w="1656"/>
          </w:tcPr>
          <w:p>
            <w:pPr>
              <w:spacing w:after="20"/>
            </w:pPr>
            <w:r/>
            <w:r>
              <w:rPr>
                <w:b w:val="0"/>
                <w:i w:val="0"/>
                <w:sz w:val="17"/>
              </w:rPr>
              <w:t>“Section 1(b)” Title and Reporting</w:t>
            </w:r>
          </w:p>
        </w:tc>
        <w:tc>
          <w:tcPr>
            <w:tcW w:type="dxa" w:w="2304"/>
          </w:tcPr>
          <w:p>
            <w:pPr>
              <w:spacing w:after="20"/>
            </w:pPr>
            <w:r/>
            <w:r>
              <w:rPr>
                <w:b w:val="0"/>
                <w:i w:val="0"/>
                <w:sz w:val="17"/>
              </w:rPr>
              <w:t>No § 1(b); Article I is Definitions (§ 1.2 is “Board”)</w:t>
            </w:r>
          </w:p>
        </w:tc>
        <w:tc>
          <w:tcPr>
            <w:tcW w:type="dxa" w:w="1944"/>
          </w:tcPr>
          <w:p>
            <w:pPr>
              <w:spacing w:after="20"/>
            </w:pPr>
            <w:r/>
            <w:r>
              <w:rPr>
                <w:b w:val="0"/>
                <w:i w:val="0"/>
                <w:sz w:val="17"/>
              </w:rPr>
              <w:t>§ 2.1 (Position and Duties)</w:t>
            </w:r>
          </w:p>
        </w:tc>
        <w:tc>
          <w:tcPr>
            <w:tcW w:type="dxa" w:w="2808"/>
          </w:tcPr>
          <w:p>
            <w:pPr>
              <w:spacing w:after="20"/>
            </w:pPr>
            <w:r/>
            <w:r>
              <w:rPr>
                <w:b w:val="0"/>
                <w:i w:val="0"/>
                <w:sz w:val="17"/>
              </w:rPr>
              <w:t>Low practical impact; title unchanged.</w:t>
            </w:r>
          </w:p>
        </w:tc>
      </w:tr>
      <w:tr>
        <w:tc>
          <w:tcPr>
            <w:tcW w:type="dxa" w:w="936"/>
          </w:tcPr>
          <w:p>
            <w:pPr>
              <w:spacing w:after="20"/>
            </w:pPr>
            <w:r/>
            <w:r>
              <w:rPr>
                <w:b w:val="0"/>
                <w:i w:val="0"/>
                <w:sz w:val="17"/>
              </w:rPr>
              <w:t>§ 3</w:t>
            </w:r>
          </w:p>
        </w:tc>
        <w:tc>
          <w:tcPr>
            <w:tcW w:type="dxa" w:w="1656"/>
          </w:tcPr>
          <w:p>
            <w:pPr>
              <w:spacing w:after="20"/>
            </w:pPr>
            <w:r/>
            <w:r>
              <w:rPr>
                <w:b w:val="0"/>
                <w:i w:val="0"/>
                <w:sz w:val="17"/>
              </w:rPr>
              <w:t>“Section 3(a)” Base Salary</w:t>
            </w:r>
          </w:p>
        </w:tc>
        <w:tc>
          <w:tcPr>
            <w:tcW w:type="dxa" w:w="2304"/>
          </w:tcPr>
          <w:p>
            <w:pPr>
              <w:spacing w:after="20"/>
            </w:pPr>
            <w:r/>
            <w:r>
              <w:rPr>
                <w:b w:val="0"/>
                <w:i w:val="0"/>
                <w:sz w:val="17"/>
              </w:rPr>
              <w:t>No § 3(a); § 3.1 is Base Salary</w:t>
            </w:r>
          </w:p>
        </w:tc>
        <w:tc>
          <w:tcPr>
            <w:tcW w:type="dxa" w:w="1944"/>
          </w:tcPr>
          <w:p>
            <w:pPr>
              <w:spacing w:after="20"/>
            </w:pPr>
            <w:r/>
            <w:r>
              <w:rPr>
                <w:b w:val="0"/>
                <w:i w:val="0"/>
                <w:sz w:val="17"/>
              </w:rPr>
              <w:t>§ 3.1</w:t>
            </w:r>
          </w:p>
        </w:tc>
        <w:tc>
          <w:tcPr>
            <w:tcW w:type="dxa" w:w="2808"/>
          </w:tcPr>
          <w:p>
            <w:pPr>
              <w:spacing w:after="20"/>
            </w:pPr>
            <w:r/>
            <w:r>
              <w:rPr>
                <w:b w:val="0"/>
                <w:i w:val="0"/>
                <w:sz w:val="17"/>
              </w:rPr>
              <w:t>Removes the 10% uniform-reduction carve-out (minor benefit to Manheim).</w:t>
            </w:r>
          </w:p>
        </w:tc>
      </w:tr>
      <w:tr>
        <w:tc>
          <w:tcPr>
            <w:tcW w:type="dxa" w:w="936"/>
          </w:tcPr>
          <w:p>
            <w:pPr>
              <w:spacing w:after="20"/>
            </w:pPr>
            <w:r/>
            <w:r>
              <w:rPr>
                <w:b w:val="0"/>
                <w:i w:val="0"/>
                <w:sz w:val="17"/>
              </w:rPr>
              <w:t>§ 4</w:t>
            </w:r>
          </w:p>
        </w:tc>
        <w:tc>
          <w:tcPr>
            <w:tcW w:type="dxa" w:w="1656"/>
          </w:tcPr>
          <w:p>
            <w:pPr>
              <w:spacing w:after="20"/>
            </w:pPr>
            <w:r/>
            <w:r>
              <w:rPr>
                <w:b w:val="0"/>
                <w:i w:val="0"/>
                <w:sz w:val="17"/>
              </w:rPr>
              <w:t>“Section 3(b)” Annual Bonus</w:t>
            </w:r>
          </w:p>
        </w:tc>
        <w:tc>
          <w:tcPr>
            <w:tcW w:type="dxa" w:w="2304"/>
          </w:tcPr>
          <w:p>
            <w:pPr>
              <w:spacing w:after="20"/>
            </w:pPr>
            <w:r/>
            <w:r>
              <w:rPr>
                <w:b w:val="0"/>
                <w:i w:val="0"/>
                <w:sz w:val="17"/>
              </w:rPr>
              <w:t>No § 3(b); § 3.2 is Annual Bonus</w:t>
            </w:r>
          </w:p>
        </w:tc>
        <w:tc>
          <w:tcPr>
            <w:tcW w:type="dxa" w:w="1944"/>
          </w:tcPr>
          <w:p>
            <w:pPr>
              <w:spacing w:after="20"/>
            </w:pPr>
            <w:r/>
            <w:r>
              <w:rPr>
                <w:b w:val="0"/>
                <w:i w:val="0"/>
                <w:sz w:val="17"/>
              </w:rPr>
              <w:t>§ 3.2</w:t>
            </w:r>
          </w:p>
        </w:tc>
        <w:tc>
          <w:tcPr>
            <w:tcW w:type="dxa" w:w="2808"/>
          </w:tcPr>
          <w:p>
            <w:pPr>
              <w:spacing w:after="20"/>
            </w:pPr>
            <w:r/>
            <w:r>
              <w:rPr>
                <w:b w:val="0"/>
                <w:i w:val="0"/>
                <w:sz w:val="17"/>
              </w:rPr>
              <w:t>Max bonus reduced 200% → 150%; cross-reference to “Section 5” for termination exceptions is wrong (should be § 6.2/6.4).</w:t>
            </w:r>
          </w:p>
        </w:tc>
      </w:tr>
      <w:tr>
        <w:tc>
          <w:tcPr>
            <w:tcW w:type="dxa" w:w="936"/>
          </w:tcPr>
          <w:p>
            <w:pPr>
              <w:spacing w:after="20"/>
            </w:pPr>
            <w:r/>
            <w:r>
              <w:rPr>
                <w:b w:val="0"/>
                <w:i w:val="0"/>
                <w:sz w:val="17"/>
              </w:rPr>
              <w:t>§ 5</w:t>
            </w:r>
          </w:p>
        </w:tc>
        <w:tc>
          <w:tcPr>
            <w:tcW w:type="dxa" w:w="1656"/>
          </w:tcPr>
          <w:p>
            <w:pPr>
              <w:spacing w:after="20"/>
            </w:pPr>
            <w:r/>
            <w:r>
              <w:rPr>
                <w:b w:val="0"/>
                <w:i w:val="0"/>
                <w:sz w:val="17"/>
              </w:rPr>
              <w:t>“Section 7(a)” Non-Competition</w:t>
            </w:r>
          </w:p>
        </w:tc>
        <w:tc>
          <w:tcPr>
            <w:tcW w:type="dxa" w:w="2304"/>
          </w:tcPr>
          <w:p>
            <w:pPr>
              <w:spacing w:after="20"/>
            </w:pPr>
            <w:r/>
            <w:r>
              <w:rPr>
                <w:b w:val="0"/>
                <w:i w:val="0"/>
                <w:sz w:val="17"/>
              </w:rPr>
              <w:t>Article VII is “Intentionally Reserved” and “shall have no force or effect unless and until amended in accordance with Section 9.3”</w:t>
            </w:r>
          </w:p>
        </w:tc>
        <w:tc>
          <w:tcPr>
            <w:tcW w:type="dxa" w:w="1944"/>
          </w:tcPr>
          <w:p>
            <w:pPr>
              <w:spacing w:after="20"/>
            </w:pPr>
            <w:r/>
            <w:r>
              <w:rPr>
                <w:b w:val="0"/>
                <w:i w:val="0"/>
                <w:sz w:val="17"/>
              </w:rPr>
              <w:t>§ 8.1 (and § 1.4 definition)</w:t>
            </w:r>
          </w:p>
        </w:tc>
        <w:tc>
          <w:tcPr>
            <w:tcW w:type="dxa" w:w="2808"/>
          </w:tcPr>
          <w:p>
            <w:pPr>
              <w:spacing w:after="20"/>
            </w:pPr>
            <w:r/>
            <w:r>
              <w:rPr>
                <w:b w:val="0"/>
                <w:i w:val="0"/>
                <w:sz w:val="17"/>
              </w:rPr>
              <w:t>Key ambiguity: replace § 8.1, or add a second non-compete in Article VII that coexists with § 8.1?</w:t>
            </w:r>
          </w:p>
        </w:tc>
      </w:tr>
      <w:tr>
        <w:tc>
          <w:tcPr>
            <w:tcW w:type="dxa" w:w="936"/>
          </w:tcPr>
          <w:p>
            <w:pPr>
              <w:spacing w:after="20"/>
            </w:pPr>
            <w:r/>
            <w:r>
              <w:rPr>
                <w:b w:val="0"/>
                <w:i w:val="0"/>
                <w:sz w:val="17"/>
              </w:rPr>
              <w:t>§ 6</w:t>
            </w:r>
          </w:p>
        </w:tc>
        <w:tc>
          <w:tcPr>
            <w:tcW w:type="dxa" w:w="1656"/>
          </w:tcPr>
          <w:p>
            <w:pPr>
              <w:spacing w:after="20"/>
            </w:pPr>
            <w:r/>
            <w:r>
              <w:rPr>
                <w:b w:val="0"/>
                <w:i w:val="0"/>
                <w:sz w:val="17"/>
              </w:rPr>
              <w:t>“Section 7(c)” Non-Solicitation of Employees</w:t>
            </w:r>
          </w:p>
        </w:tc>
        <w:tc>
          <w:tcPr>
            <w:tcW w:type="dxa" w:w="2304"/>
          </w:tcPr>
          <w:p>
            <w:pPr>
              <w:spacing w:after="20"/>
            </w:pPr>
            <w:r/>
            <w:r>
              <w:rPr>
                <w:b w:val="0"/>
                <w:i w:val="0"/>
                <w:sz w:val="17"/>
              </w:rPr>
              <w:t>Same (reserved Article VII)</w:t>
            </w:r>
          </w:p>
        </w:tc>
        <w:tc>
          <w:tcPr>
            <w:tcW w:type="dxa" w:w="1944"/>
          </w:tcPr>
          <w:p>
            <w:pPr>
              <w:spacing w:after="20"/>
            </w:pPr>
            <w:r/>
            <w:r>
              <w:rPr>
                <w:b w:val="0"/>
                <w:i w:val="0"/>
                <w:sz w:val="17"/>
              </w:rPr>
              <w:t>§ 8.3</w:t>
            </w:r>
          </w:p>
        </w:tc>
        <w:tc>
          <w:tcPr>
            <w:tcW w:type="dxa" w:w="2808"/>
          </w:tcPr>
          <w:p>
            <w:pPr>
              <w:spacing w:after="20"/>
            </w:pPr>
            <w:r/>
            <w:r>
              <w:rPr>
                <w:b w:val="0"/>
                <w:i w:val="0"/>
                <w:sz w:val="17"/>
              </w:rPr>
              <w:t>Two potentially coexisting employee non-solicits (18 vs. 12 months).</w:t>
            </w:r>
          </w:p>
        </w:tc>
      </w:tr>
      <w:tr>
        <w:tc>
          <w:tcPr>
            <w:tcW w:type="dxa" w:w="936"/>
          </w:tcPr>
          <w:p>
            <w:pPr>
              <w:spacing w:after="20"/>
            </w:pPr>
            <w:r/>
            <w:r>
              <w:rPr>
                <w:b w:val="0"/>
                <w:i w:val="0"/>
                <w:sz w:val="17"/>
              </w:rPr>
              <w:t>§ 7</w:t>
            </w:r>
          </w:p>
        </w:tc>
        <w:tc>
          <w:tcPr>
            <w:tcW w:type="dxa" w:w="1656"/>
          </w:tcPr>
          <w:p>
            <w:pPr>
              <w:spacing w:after="20"/>
            </w:pPr>
            <w:r/>
            <w:r>
              <w:rPr>
                <w:b w:val="0"/>
                <w:i w:val="0"/>
                <w:sz w:val="17"/>
              </w:rPr>
              <w:t>New “Section 7(e)” Garden Leave</w:t>
            </w:r>
          </w:p>
        </w:tc>
        <w:tc>
          <w:tcPr>
            <w:tcW w:type="dxa" w:w="2304"/>
          </w:tcPr>
          <w:p>
            <w:pPr>
              <w:spacing w:after="20"/>
            </w:pPr>
            <w:r/>
            <w:r>
              <w:rPr>
                <w:b w:val="0"/>
                <w:i w:val="0"/>
                <w:sz w:val="17"/>
              </w:rPr>
              <w:t>Reserved Article VII</w:t>
            </w:r>
          </w:p>
        </w:tc>
        <w:tc>
          <w:tcPr>
            <w:tcW w:type="dxa" w:w="1944"/>
          </w:tcPr>
          <w:p>
            <w:pPr>
              <w:spacing w:after="20"/>
            </w:pPr>
            <w:r/>
            <w:r>
              <w:rPr>
                <w:b w:val="0"/>
                <w:i w:val="0"/>
                <w:sz w:val="17"/>
              </w:rPr>
              <w:t>New provision; references “Section 5(c)” (Cause) and “Section 5(d)” (severance) — actually §§ 1.3 and 6.2(b)</w:t>
            </w:r>
          </w:p>
        </w:tc>
        <w:tc>
          <w:tcPr>
            <w:tcW w:type="dxa" w:w="2808"/>
          </w:tcPr>
          <w:p>
            <w:pPr>
              <w:spacing w:after="20"/>
            </w:pPr>
            <w:r/>
            <w:r>
              <w:rPr>
                <w:b w:val="0"/>
                <w:i w:val="0"/>
                <w:sz w:val="17"/>
              </w:rPr>
              <w:t>Offset mechanics rest on non-existent cross-references.</w:t>
            </w:r>
          </w:p>
        </w:tc>
      </w:tr>
      <w:tr>
        <w:tc>
          <w:tcPr>
            <w:tcW w:type="dxa" w:w="936"/>
          </w:tcPr>
          <w:p>
            <w:pPr>
              <w:spacing w:after="20"/>
            </w:pPr>
            <w:r/>
            <w:r>
              <w:rPr>
                <w:b w:val="0"/>
                <w:i w:val="0"/>
                <w:sz w:val="17"/>
              </w:rPr>
              <w:t>§ 8</w:t>
            </w:r>
          </w:p>
        </w:tc>
        <w:tc>
          <w:tcPr>
            <w:tcW w:type="dxa" w:w="1656"/>
          </w:tcPr>
          <w:p>
            <w:pPr>
              <w:spacing w:after="20"/>
            </w:pPr>
            <w:r/>
            <w:r>
              <w:rPr>
                <w:b w:val="0"/>
                <w:i w:val="0"/>
                <w:sz w:val="17"/>
              </w:rPr>
              <w:t>“Section 5(c)” Cause, add clause (vi)</w:t>
            </w:r>
          </w:p>
        </w:tc>
        <w:tc>
          <w:tcPr>
            <w:tcW w:type="dxa" w:w="2304"/>
          </w:tcPr>
          <w:p>
            <w:pPr>
              <w:spacing w:after="20"/>
            </w:pPr>
            <w:r/>
            <w:r>
              <w:rPr>
                <w:b w:val="0"/>
                <w:i w:val="0"/>
                <w:sz w:val="17"/>
              </w:rPr>
              <w:t>§ 5 is Representations and Warranties; Cause is § 1.3</w:t>
            </w:r>
          </w:p>
        </w:tc>
        <w:tc>
          <w:tcPr>
            <w:tcW w:type="dxa" w:w="1944"/>
          </w:tcPr>
          <w:p>
            <w:pPr>
              <w:spacing w:after="20"/>
            </w:pPr>
            <w:r/>
            <w:r>
              <w:rPr>
                <w:b w:val="0"/>
                <w:i w:val="0"/>
                <w:sz w:val="17"/>
              </w:rPr>
              <w:t>§ 1.3</w:t>
            </w:r>
          </w:p>
        </w:tc>
        <w:tc>
          <w:tcPr>
            <w:tcW w:type="dxa" w:w="2808"/>
          </w:tcPr>
          <w:p>
            <w:pPr>
              <w:spacing w:after="20"/>
            </w:pPr>
            <w:r/>
            <w:r>
              <w:rPr>
                <w:b w:val="0"/>
                <w:i w:val="0"/>
                <w:sz w:val="17"/>
              </w:rPr>
              <w:t>Manheim can argue the revenue-target Cause prong never became part of § 1.3 (and thus of the RSU Agreement’s Cause definition).</w:t>
            </w:r>
          </w:p>
        </w:tc>
      </w:tr>
      <w:tr>
        <w:tc>
          <w:tcPr>
            <w:tcW w:type="dxa" w:w="936"/>
          </w:tcPr>
          <w:p>
            <w:pPr>
              <w:spacing w:after="20"/>
            </w:pPr>
            <w:r/>
            <w:r>
              <w:rPr>
                <w:b w:val="0"/>
                <w:i w:val="0"/>
                <w:sz w:val="17"/>
              </w:rPr>
              <w:t>§ 9</w:t>
            </w:r>
          </w:p>
        </w:tc>
        <w:tc>
          <w:tcPr>
            <w:tcW w:type="dxa" w:w="1656"/>
          </w:tcPr>
          <w:p>
            <w:pPr>
              <w:spacing w:after="20"/>
            </w:pPr>
            <w:r/>
            <w:r>
              <w:rPr>
                <w:b w:val="0"/>
                <w:i w:val="0"/>
                <w:sz w:val="17"/>
              </w:rPr>
              <w:t>New “Section 7(f)” Forfeiture-for-Breach</w:t>
            </w:r>
          </w:p>
        </w:tc>
        <w:tc>
          <w:tcPr>
            <w:tcW w:type="dxa" w:w="2304"/>
          </w:tcPr>
          <w:p>
            <w:pPr>
              <w:spacing w:after="20"/>
            </w:pPr>
            <w:r/>
            <w:r>
              <w:rPr>
                <w:b w:val="0"/>
                <w:i w:val="0"/>
                <w:sz w:val="17"/>
              </w:rPr>
              <w:t>Reserved Article VII; covers covenants “set forth in this Section 7”</w:t>
            </w:r>
          </w:p>
        </w:tc>
        <w:tc>
          <w:tcPr>
            <w:tcW w:type="dxa" w:w="1944"/>
          </w:tcPr>
          <w:p>
            <w:pPr>
              <w:spacing w:after="20"/>
            </w:pPr>
            <w:r/>
            <w:r>
              <w:rPr>
                <w:b w:val="0"/>
                <w:i w:val="0"/>
                <w:sz w:val="17"/>
              </w:rPr>
              <w:t>Intended to cover all covenants (Article VIII)</w:t>
            </w:r>
          </w:p>
        </w:tc>
        <w:tc>
          <w:tcPr>
            <w:tcW w:type="dxa" w:w="2808"/>
          </w:tcPr>
          <w:p>
            <w:pPr>
              <w:spacing w:after="20"/>
            </w:pPr>
            <w:r/>
            <w:r>
              <w:rPr>
                <w:b w:val="0"/>
                <w:i w:val="0"/>
                <w:sz w:val="17"/>
              </w:rPr>
              <w:t>Literal text may not reach §§ 8.2, 8.4, 8.5, 8.6, which remain in Article VIII.</w:t>
            </w:r>
          </w:p>
        </w:tc>
      </w:tr>
      <w:tr>
        <w:tc>
          <w:tcPr>
            <w:tcW w:type="dxa" w:w="936"/>
          </w:tcPr>
          <w:p>
            <w:pPr>
              <w:spacing w:after="20"/>
            </w:pPr>
            <w:r/>
            <w:r>
              <w:rPr>
                <w:b w:val="0"/>
                <w:i w:val="0"/>
                <w:sz w:val="17"/>
              </w:rPr>
              <w:t>§ 10</w:t>
            </w:r>
          </w:p>
        </w:tc>
        <w:tc>
          <w:tcPr>
            <w:tcW w:type="dxa" w:w="1656"/>
          </w:tcPr>
          <w:p>
            <w:pPr>
              <w:spacing w:after="20"/>
            </w:pPr>
            <w:r/>
            <w:r>
              <w:rPr>
                <w:b w:val="0"/>
                <w:i w:val="0"/>
                <w:sz w:val="17"/>
              </w:rPr>
              <w:t>New “Section 8(e)” DTSA Notice</w:t>
            </w:r>
          </w:p>
        </w:tc>
        <w:tc>
          <w:tcPr>
            <w:tcW w:type="dxa" w:w="2304"/>
          </w:tcPr>
          <w:p>
            <w:pPr>
              <w:spacing w:after="20"/>
            </w:pPr>
            <w:r/>
            <w:r>
              <w:rPr>
                <w:b w:val="0"/>
                <w:i w:val="0"/>
                <w:sz w:val="17"/>
              </w:rPr>
              <w:t>Article VIII has §§ 8.1–8.8 (no lettered subsections)</w:t>
            </w:r>
          </w:p>
        </w:tc>
        <w:tc>
          <w:tcPr>
            <w:tcW w:type="dxa" w:w="1944"/>
          </w:tcPr>
          <w:p>
            <w:pPr>
              <w:spacing w:after="20"/>
            </w:pPr>
            <w:r/>
            <w:r>
              <w:rPr>
                <w:b w:val="0"/>
                <w:i w:val="0"/>
                <w:sz w:val="17"/>
              </w:rPr>
              <w:t>Article VIII</w:t>
            </w:r>
          </w:p>
        </w:tc>
        <w:tc>
          <w:tcPr>
            <w:tcW w:type="dxa" w:w="2808"/>
          </w:tcPr>
          <w:p>
            <w:pPr>
              <w:spacing w:after="20"/>
            </w:pPr>
            <w:r/>
            <w:r>
              <w:rPr>
                <w:b w:val="0"/>
                <w:i w:val="0"/>
                <w:sz w:val="17"/>
              </w:rPr>
              <w:t>Notice still effective as an “update” under 18 U.S.C. § 1833(b)(3).</w:t>
            </w:r>
          </w:p>
        </w:tc>
      </w:tr>
    </w:tbl>
    <w:p>
      <w:pPr>
        <w:spacing w:after="40"/>
      </w:pPr>
    </w:p>
    <w:p>
      <w:r>
        <w:rPr>
          <w:b/>
          <w:i w:val="0"/>
        </w:rPr>
        <w:t>Analysis.</w:t>
      </w:r>
      <w:r>
        <w:rPr>
          <w:b w:val="0"/>
          <w:i w:val="0"/>
        </w:rPr>
        <w:t xml:space="preserve"> A North Carolina court will try to give effect to the parties’ evident intent, and the Amendment’s substantive content (e.g., “Non-Competition,” “Non-Solicitation of Employees”) makes the intended targets reasonably clear. Pinnacle would argue scrivener’s error and, if necessary, reformation for mutual mistake (which requires clear, cogent and convincing evidence). But three features cut the other way: (1) Section 9.3 of the Original Agreement conditions any amendment on specific reference to the provision being amended; (2) Article VII was expressly reserved and “shall have no force or effect unless and until amended in accordance with Section 9.3,” which supports reading the Amendment as populating Article VII with </w:t>
      </w:r>
      <w:r>
        <w:rPr>
          <w:b/>
          <w:i w:val="0"/>
        </w:rPr>
        <w:t>additional</w:t>
      </w:r>
      <w:r>
        <w:rPr>
          <w:b w:val="0"/>
          <w:i w:val="0"/>
        </w:rPr>
        <w:t xml:space="preserve"> covenants rather than replacing Article VIII; and (3) restrictive covenants are construed strictly against the drafter-employer. Practically, this creates three competing readings for each amended covenant — </w:t>
      </w:r>
      <w:r>
        <w:rPr>
          <w:b/>
          <w:i w:val="0"/>
        </w:rPr>
        <w:t>replacement</w:t>
      </w:r>
      <w:r>
        <w:rPr>
          <w:b w:val="0"/>
          <w:i w:val="0"/>
        </w:rPr>
        <w:t xml:space="preserve"> (Pinnacle’s likely position), </w:t>
      </w:r>
      <w:r>
        <w:rPr>
          <w:b/>
          <w:i w:val="0"/>
        </w:rPr>
        <w:t>cumulative</w:t>
      </w:r>
      <w:r>
        <w:rPr>
          <w:b w:val="0"/>
          <w:i w:val="0"/>
        </w:rPr>
        <w:t xml:space="preserve"> (two covenants coexist, and Manheim must comply with both), or </w:t>
      </w:r>
      <w:r>
        <w:rPr>
          <w:b/>
          <w:i w:val="0"/>
        </w:rPr>
        <w:t>ineffective</w:t>
      </w:r>
      <w:r>
        <w:rPr>
          <w:b w:val="0"/>
          <w:i w:val="0"/>
        </w:rPr>
        <w:t xml:space="preserve"> (Original Agreement unchanged) — and Manheim will pick whichever reading is most favorable to him covenant-by-covenant (e.g., arguing the amended 12-month employee non-solicit replaced the 18-month original, while the amended 24-month non-compete is ineffective).</w:t>
      </w:r>
    </w:p>
    <w:p>
      <w:pPr>
        <w:pStyle w:val="Heading1"/>
      </w:pPr>
      <w:r>
        <w:t>IV. Covenant-by-Covenant Extraction — Employment Agreement (as Amended)</w:t>
      </w:r>
    </w:p>
    <w:p>
      <w:r>
        <w:rPr>
          <w:b w:val="0"/>
          <w:i w:val="0"/>
        </w:rPr>
        <w:t xml:space="preserve">Dates below assume a termination date of February 28, 2025. Every EA covenant applies “for any reason, whether voluntary or involuntary and whether with or without Cause,” so each is triggered by the assumed without-Cause termination. The consequences-of-breach entries for all EA covenants draw on the same three remedial provisions: </w:t>
      </w:r>
      <w:r>
        <w:rPr>
          <w:b/>
          <w:i w:val="0"/>
        </w:rPr>
        <w:t>EA § 6.2</w:t>
      </w:r>
      <w:r>
        <w:rPr>
          <w:b w:val="0"/>
          <w:i w:val="0"/>
        </w:rPr>
        <w:t xml:space="preserve"> (severance conditioned on compliance; payments cease and amounts received under § 6.2(b)–(d) must be repaid, net of taxes, within 30 days of demand), </w:t>
      </w:r>
      <w:r>
        <w:rPr>
          <w:b/>
          <w:i w:val="0"/>
        </w:rPr>
        <w:t>Amendment § 9 / “§ 7(f)”</w:t>
      </w:r>
      <w:r>
        <w:rPr>
          <w:b w:val="0"/>
          <w:i w:val="0"/>
        </w:rPr>
        <w:t xml:space="preserve"> (unpaid severance permanently forfeited; 100% of severance received in the 12 months before the Breach Determination Date repaid within 30 days of demand; cumulative with other remedies) and </w:t>
      </w:r>
      <w:r>
        <w:rPr>
          <w:b/>
          <w:i w:val="0"/>
        </w:rPr>
        <w:t>EA § 8.8</w:t>
      </w:r>
      <w:r>
        <w:rPr>
          <w:b w:val="0"/>
          <w:i w:val="0"/>
        </w:rPr>
        <w:t xml:space="preserve"> (injunctive relief; bond waiver).</w:t>
      </w:r>
    </w:p>
    <w:p>
      <w:pPr>
        <w:pStyle w:val="Heading2"/>
      </w:pPr>
      <w:r>
        <w:t>A. Non-Competition — Original § 8.1 / § 1.4 vs. Amendment § 5 (“Section 7(a)”)</w:t>
      </w:r>
    </w:p>
    <w:tbl>
      <w:tblPr>
        <w:tblStyle w:val="TableGrid"/>
        <w:tblW w:type="auto" w:w="0"/>
        <w:jc w:val="center"/>
        <w:tblLayout w:type="fixed"/>
        <w:tblLook w:firstColumn="1" w:firstRow="1" w:lastColumn="0" w:lastRow="0" w:noHBand="0" w:noVBand="1" w:val="04A0"/>
      </w:tblPr>
      <w:tblGrid>
        <w:gridCol w:w="1655"/>
        <w:gridCol w:w="2880"/>
        <w:gridCol w:w="2880"/>
        <w:gridCol w:w="2232"/>
      </w:tblGrid>
      <w:tr>
        <w:trPr>
          <w:tblHeader w:val="true"/>
        </w:trPr>
        <w:tc>
          <w:tcPr>
            <w:tcW w:type="dxa" w:w="1656"/>
            <w:shd w:val="clear" w:color="auto" w:fill="D9E2F3"/>
          </w:tcPr>
          <w:p>
            <w:pPr>
              <w:spacing w:after="20"/>
            </w:pPr>
            <w:r/>
            <w:r>
              <w:rPr>
                <w:b/>
                <w:i w:val="0"/>
                <w:sz w:val="17"/>
              </w:rPr>
              <w:t>Element</w:t>
            </w:r>
          </w:p>
        </w:tc>
        <w:tc>
          <w:tcPr>
            <w:tcW w:type="dxa" w:w="2880"/>
            <w:shd w:val="clear" w:color="auto" w:fill="D9E2F3"/>
          </w:tcPr>
          <w:p>
            <w:pPr>
              <w:spacing w:after="20"/>
            </w:pPr>
            <w:r/>
            <w:r>
              <w:rPr>
                <w:b/>
                <w:i w:val="0"/>
                <w:sz w:val="17"/>
              </w:rPr>
              <w:t>Original Agreement (§§ 8.1, 1.4, 1.10)</w:t>
            </w:r>
          </w:p>
        </w:tc>
        <w:tc>
          <w:tcPr>
            <w:tcW w:type="dxa" w:w="2880"/>
            <w:shd w:val="clear" w:color="auto" w:fill="D9E2F3"/>
          </w:tcPr>
          <w:p>
            <w:pPr>
              <w:spacing w:after="20"/>
            </w:pPr>
            <w:r/>
            <w:r>
              <w:rPr>
                <w:b/>
                <w:i w:val="0"/>
                <w:sz w:val="17"/>
              </w:rPr>
              <w:t>First Amendment § 5 (“§ 7(a)”)</w:t>
            </w:r>
          </w:p>
        </w:tc>
        <w:tc>
          <w:tcPr>
            <w:tcW w:type="dxa" w:w="2232"/>
            <w:shd w:val="clear" w:color="auto" w:fill="D9E2F3"/>
          </w:tcPr>
          <w:p>
            <w:pPr>
              <w:spacing w:after="20"/>
            </w:pPr>
            <w:r/>
            <w:r>
              <w:rPr>
                <w:b/>
                <w:i w:val="0"/>
                <w:sz w:val="17"/>
              </w:rPr>
              <w:t>What changed</w:t>
            </w:r>
          </w:p>
        </w:tc>
      </w:tr>
      <w:tr>
        <w:tc>
          <w:tcPr>
            <w:tcW w:type="dxa" w:w="1656"/>
          </w:tcPr>
          <w:p>
            <w:pPr>
              <w:spacing w:after="20"/>
            </w:pPr>
            <w:r/>
            <w:r>
              <w:rPr>
                <w:b w:val="0"/>
                <w:i w:val="0"/>
                <w:sz w:val="17"/>
              </w:rPr>
              <w:t>Type</w:t>
            </w:r>
          </w:p>
        </w:tc>
        <w:tc>
          <w:tcPr>
            <w:tcW w:type="dxa" w:w="2880"/>
          </w:tcPr>
          <w:p>
            <w:pPr>
              <w:spacing w:after="20"/>
            </w:pPr>
            <w:r/>
            <w:r>
              <w:rPr>
                <w:b w:val="0"/>
                <w:i w:val="0"/>
                <w:sz w:val="17"/>
              </w:rPr>
              <w:t>Non-competition</w:t>
            </w:r>
          </w:p>
        </w:tc>
        <w:tc>
          <w:tcPr>
            <w:tcW w:type="dxa" w:w="2880"/>
          </w:tcPr>
          <w:p>
            <w:pPr>
              <w:spacing w:after="20"/>
            </w:pPr>
            <w:r/>
            <w:r>
              <w:rPr>
                <w:b w:val="0"/>
                <w:i w:val="0"/>
                <w:sz w:val="17"/>
              </w:rPr>
              <w:t>Non-competition</w:t>
            </w:r>
          </w:p>
        </w:tc>
        <w:tc>
          <w:tcPr>
            <w:tcW w:type="dxa" w:w="2232"/>
          </w:tcPr>
          <w:p>
            <w:pPr>
              <w:spacing w:after="20"/>
            </w:pPr>
            <w:r/>
            <w:r>
              <w:rPr>
                <w:b w:val="0"/>
                <w:i w:val="0"/>
                <w:sz w:val="17"/>
              </w:rPr>
              <w:t>—</w:t>
            </w:r>
          </w:p>
        </w:tc>
      </w:tr>
      <w:tr>
        <w:tc>
          <w:tcPr>
            <w:tcW w:type="dxa" w:w="1656"/>
          </w:tcPr>
          <w:p>
            <w:pPr>
              <w:spacing w:after="20"/>
            </w:pPr>
            <w:r/>
            <w:r>
              <w:rPr>
                <w:b w:val="0"/>
                <w:i w:val="0"/>
                <w:sz w:val="17"/>
              </w:rPr>
              <w:t>Duration</w:t>
            </w:r>
          </w:p>
        </w:tc>
        <w:tc>
          <w:tcPr>
            <w:tcW w:type="dxa" w:w="2880"/>
          </w:tcPr>
          <w:p>
            <w:pPr>
              <w:spacing w:after="20"/>
            </w:pPr>
            <w:r/>
            <w:r>
              <w:rPr>
                <w:b w:val="0"/>
                <w:i w:val="0"/>
                <w:sz w:val="17"/>
              </w:rPr>
              <w:t xml:space="preserve">During employment + </w:t>
            </w:r>
            <w:r>
              <w:rPr>
                <w:b/>
                <w:i w:val="0"/>
                <w:sz w:val="17"/>
              </w:rPr>
              <w:t>18 months</w:t>
            </w:r>
            <w:r>
              <w:rPr>
                <w:b w:val="0"/>
                <w:i w:val="0"/>
                <w:sz w:val="17"/>
              </w:rPr>
              <w:t xml:space="preserve"> after termination for any reason (“Non-Competition Restricted Period”). Through </w:t>
            </w:r>
            <w:r>
              <w:rPr>
                <w:b/>
                <w:i w:val="0"/>
                <w:sz w:val="17"/>
              </w:rPr>
              <w:t>Aug. 28, 2026</w:t>
            </w:r>
            <w:r>
              <w:rPr>
                <w:b w:val="0"/>
                <w:i w:val="0"/>
                <w:sz w:val="17"/>
              </w:rPr>
              <w:t>.</w:t>
            </w:r>
          </w:p>
        </w:tc>
        <w:tc>
          <w:tcPr>
            <w:tcW w:type="dxa" w:w="2880"/>
          </w:tcPr>
          <w:p>
            <w:pPr>
              <w:spacing w:after="20"/>
            </w:pPr>
            <w:r/>
            <w:r>
              <w:rPr>
                <w:b w:val="0"/>
                <w:i w:val="0"/>
                <w:sz w:val="17"/>
              </w:rPr>
              <w:t xml:space="preserve">During employment + </w:t>
            </w:r>
            <w:r>
              <w:rPr>
                <w:b/>
                <w:i w:val="0"/>
                <w:sz w:val="17"/>
              </w:rPr>
              <w:t>24 months</w:t>
            </w:r>
            <w:r>
              <w:rPr>
                <w:b w:val="0"/>
                <w:i w:val="0"/>
                <w:sz w:val="17"/>
              </w:rPr>
              <w:t xml:space="preserve"> after termination for any reason, “whether initiated by the Company or by Executive” (“Restricted Period”). Through </w:t>
            </w:r>
            <w:r>
              <w:rPr>
                <w:b/>
                <w:i w:val="0"/>
                <w:sz w:val="17"/>
              </w:rPr>
              <w:t>Feb. 28, 2027</w:t>
            </w:r>
            <w:r>
              <w:rPr>
                <w:b w:val="0"/>
                <w:i w:val="0"/>
                <w:sz w:val="17"/>
              </w:rPr>
              <w:t>.</w:t>
            </w:r>
          </w:p>
        </w:tc>
        <w:tc>
          <w:tcPr>
            <w:tcW w:type="dxa" w:w="2232"/>
          </w:tcPr>
          <w:p>
            <w:pPr>
              <w:spacing w:after="20"/>
            </w:pPr>
            <w:r/>
            <w:r>
              <w:rPr>
                <w:b w:val="0"/>
                <w:i w:val="0"/>
                <w:sz w:val="17"/>
              </w:rPr>
              <w:t>+6 months</w:t>
            </w:r>
          </w:p>
        </w:tc>
      </w:tr>
      <w:tr>
        <w:tc>
          <w:tcPr>
            <w:tcW w:type="dxa" w:w="1656"/>
          </w:tcPr>
          <w:p>
            <w:pPr>
              <w:spacing w:after="20"/>
            </w:pPr>
            <w:r/>
            <w:r>
              <w:rPr>
                <w:b w:val="0"/>
                <w:i w:val="0"/>
                <w:sz w:val="17"/>
              </w:rPr>
              <w:t>Geography</w:t>
            </w:r>
          </w:p>
        </w:tc>
        <w:tc>
          <w:tcPr>
            <w:tcW w:type="dxa" w:w="2880"/>
          </w:tcPr>
          <w:p>
            <w:pPr>
              <w:spacing w:after="20"/>
            </w:pPr>
            <w:r/>
            <w:r>
              <w:rPr>
                <w:b w:val="0"/>
                <w:i w:val="0"/>
                <w:sz w:val="17"/>
              </w:rPr>
              <w:t>“Territory”: United States and Canada (§ 1.10)</w:t>
            </w:r>
          </w:p>
        </w:tc>
        <w:tc>
          <w:tcPr>
            <w:tcW w:type="dxa" w:w="2880"/>
          </w:tcPr>
          <w:p>
            <w:pPr>
              <w:spacing w:after="20"/>
            </w:pPr>
            <w:r/>
            <w:r>
              <w:rPr>
                <w:b w:val="0"/>
                <w:i w:val="0"/>
                <w:sz w:val="17"/>
              </w:rPr>
              <w:t>“Restricted Territory”: anywhere within the United States of America or Canada</w:t>
            </w:r>
          </w:p>
        </w:tc>
        <w:tc>
          <w:tcPr>
            <w:tcW w:type="dxa" w:w="2232"/>
          </w:tcPr>
          <w:p>
            <w:pPr>
              <w:spacing w:after="20"/>
            </w:pPr>
            <w:r/>
            <w:r>
              <w:rPr>
                <w:b w:val="0"/>
                <w:i w:val="0"/>
                <w:sz w:val="17"/>
              </w:rPr>
              <w:t>No substantive change</w:t>
            </w:r>
          </w:p>
        </w:tc>
      </w:tr>
      <w:tr>
        <w:tc>
          <w:tcPr>
            <w:tcW w:type="dxa" w:w="1656"/>
          </w:tcPr>
          <w:p>
            <w:pPr>
              <w:spacing w:after="20"/>
            </w:pPr>
            <w:r/>
            <w:r>
              <w:rPr>
                <w:b w:val="0"/>
                <w:i w:val="0"/>
                <w:sz w:val="17"/>
              </w:rPr>
              <w:t>Competitor revenue threshold</w:t>
            </w:r>
          </w:p>
        </w:tc>
        <w:tc>
          <w:tcPr>
            <w:tcW w:type="dxa" w:w="2880"/>
          </w:tcPr>
          <w:p>
            <w:pPr>
              <w:spacing w:after="20"/>
            </w:pPr>
            <w:r/>
            <w:r>
              <w:rPr>
                <w:b w:val="0"/>
                <w:i w:val="0"/>
                <w:sz w:val="17"/>
              </w:rPr>
              <w:t xml:space="preserve">Person deriving </w:t>
            </w:r>
            <w:r>
              <w:rPr>
                <w:b/>
                <w:i w:val="0"/>
                <w:sz w:val="17"/>
              </w:rPr>
              <w:t>more than 15%</w:t>
            </w:r>
            <w:r>
              <w:rPr>
                <w:b w:val="0"/>
                <w:i w:val="0"/>
                <w:sz w:val="17"/>
              </w:rPr>
              <w:t xml:space="preserve"> of annual revenue from covered products </w:t>
            </w:r>
            <w:r>
              <w:rPr>
                <w:b/>
                <w:i w:val="0"/>
                <w:sz w:val="17"/>
              </w:rPr>
              <w:t>in the United States</w:t>
            </w:r>
          </w:p>
        </w:tc>
        <w:tc>
          <w:tcPr>
            <w:tcW w:type="dxa" w:w="2880"/>
          </w:tcPr>
          <w:p>
            <w:pPr>
              <w:spacing w:after="20"/>
            </w:pPr>
            <w:r/>
            <w:r>
              <w:rPr>
                <w:b w:val="0"/>
                <w:i w:val="0"/>
                <w:sz w:val="17"/>
              </w:rPr>
              <w:t xml:space="preserve">Person deriving </w:t>
            </w:r>
            <w:r>
              <w:rPr>
                <w:b/>
                <w:i w:val="0"/>
                <w:sz w:val="17"/>
              </w:rPr>
              <w:t>more than 10%</w:t>
            </w:r>
            <w:r>
              <w:rPr>
                <w:b w:val="0"/>
                <w:i w:val="0"/>
                <w:sz w:val="17"/>
              </w:rPr>
              <w:t xml:space="preserve"> of </w:t>
            </w:r>
            <w:r>
              <w:rPr>
                <w:b/>
                <w:i w:val="0"/>
                <w:sz w:val="17"/>
              </w:rPr>
              <w:t>annual gross revenue</w:t>
            </w:r>
            <w:r>
              <w:rPr>
                <w:b w:val="0"/>
                <w:i w:val="0"/>
                <w:sz w:val="17"/>
              </w:rPr>
              <w:t xml:space="preserve"> from covered products </w:t>
            </w:r>
            <w:r>
              <w:rPr>
                <w:b/>
                <w:i w:val="0"/>
                <w:sz w:val="17"/>
              </w:rPr>
              <w:t>in the United States or Canada</w:t>
            </w:r>
          </w:p>
        </w:tc>
        <w:tc>
          <w:tcPr>
            <w:tcW w:type="dxa" w:w="2232"/>
          </w:tcPr>
          <w:p>
            <w:pPr>
              <w:spacing w:after="20"/>
            </w:pPr>
            <w:r/>
            <w:r>
              <w:rPr>
                <w:b w:val="0"/>
                <w:i w:val="0"/>
                <w:sz w:val="17"/>
              </w:rPr>
              <w:t>Lower threshold; adds Canadian revenue; “gross” revenue</w:t>
            </w:r>
          </w:p>
        </w:tc>
      </w:tr>
      <w:tr>
        <w:tc>
          <w:tcPr>
            <w:tcW w:type="dxa" w:w="1656"/>
          </w:tcPr>
          <w:p>
            <w:pPr>
              <w:spacing w:after="20"/>
            </w:pPr>
            <w:r/>
            <w:r>
              <w:rPr>
                <w:b w:val="0"/>
                <w:i w:val="0"/>
                <w:sz w:val="17"/>
              </w:rPr>
              <w:t>Covered products / functions</w:t>
            </w:r>
          </w:p>
        </w:tc>
        <w:tc>
          <w:tcPr>
            <w:tcW w:type="dxa" w:w="2880"/>
          </w:tcPr>
          <w:p>
            <w:pPr>
              <w:spacing w:after="20"/>
            </w:pPr>
            <w:r/>
            <w:r>
              <w:rPr>
                <w:b w:val="0"/>
                <w:i w:val="0"/>
                <w:sz w:val="17"/>
              </w:rPr>
              <w:t>“manufacture, distribution, or sale of household cleaning products or personal care products”</w:t>
            </w:r>
          </w:p>
        </w:tc>
        <w:tc>
          <w:tcPr>
            <w:tcW w:type="dxa" w:w="2880"/>
          </w:tcPr>
          <w:p>
            <w:pPr>
              <w:spacing w:after="20"/>
            </w:pPr>
            <w:r/>
            <w:r>
              <w:rPr>
                <w:b w:val="0"/>
                <w:i w:val="0"/>
                <w:sz w:val="17"/>
              </w:rPr>
              <w:t xml:space="preserve">“manufacture, distribution, </w:t>
            </w:r>
            <w:r>
              <w:rPr>
                <w:b/>
                <w:i w:val="0"/>
                <w:sz w:val="17"/>
              </w:rPr>
              <w:t>marketing</w:t>
            </w:r>
            <w:r>
              <w:rPr>
                <w:b w:val="0"/>
                <w:i w:val="0"/>
                <w:sz w:val="17"/>
              </w:rPr>
              <w:t xml:space="preserve">, or sale of household cleaning products, personal care products, or </w:t>
            </w:r>
            <w:r>
              <w:rPr>
                <w:b/>
                <w:i w:val="0"/>
                <w:sz w:val="17"/>
              </w:rPr>
              <w:t>home fragrance products</w:t>
            </w:r>
            <w:r>
              <w:rPr>
                <w:b w:val="0"/>
                <w:i w:val="0"/>
                <w:sz w:val="17"/>
              </w:rPr>
              <w:t>”</w:t>
            </w:r>
          </w:p>
        </w:tc>
        <w:tc>
          <w:tcPr>
            <w:tcW w:type="dxa" w:w="2232"/>
          </w:tcPr>
          <w:p>
            <w:pPr>
              <w:spacing w:after="20"/>
            </w:pPr>
            <w:r/>
            <w:r>
              <w:rPr>
                <w:b w:val="0"/>
                <w:i w:val="0"/>
                <w:sz w:val="17"/>
              </w:rPr>
              <w:t>Adds marketing and home fragrance</w:t>
            </w:r>
          </w:p>
        </w:tc>
      </w:tr>
      <w:tr>
        <w:tc>
          <w:tcPr>
            <w:tcW w:type="dxa" w:w="1656"/>
          </w:tcPr>
          <w:p>
            <w:pPr>
              <w:spacing w:after="20"/>
            </w:pPr>
            <w:r/>
            <w:r>
              <w:rPr>
                <w:b w:val="0"/>
                <w:i w:val="0"/>
                <w:sz w:val="17"/>
              </w:rPr>
              <w:t>Prohibited activity (key language)</w:t>
            </w:r>
          </w:p>
        </w:tc>
        <w:tc>
          <w:tcPr>
            <w:tcW w:type="dxa" w:w="2880"/>
          </w:tcPr>
          <w:p>
            <w:pPr>
              <w:spacing w:after="20"/>
            </w:pPr>
            <w:r/>
            <w:r>
              <w:rPr>
                <w:b w:val="0"/>
                <w:i w:val="0"/>
                <w:sz w:val="17"/>
              </w:rPr>
              <w:t>“employment by, consultation for, ownership of … or service as an officer, director, employee, agent, or consultant of, any Person” meeting threshold; “directly or indirectly … in any capacity”</w:t>
            </w:r>
          </w:p>
        </w:tc>
        <w:tc>
          <w:tcPr>
            <w:tcW w:type="dxa" w:w="2880"/>
          </w:tcPr>
          <w:p>
            <w:pPr>
              <w:spacing w:after="20"/>
            </w:pPr>
            <w:r/>
            <w:r>
              <w:rPr>
                <w:b w:val="0"/>
                <w:i w:val="0"/>
                <w:sz w:val="17"/>
              </w:rPr>
              <w:t>“employment by, consultation for, engagement by, or provision of services to (whether as an employee, consultant, independent contractor, officer, director, partner, member, or otherwise) any Person” meeting threshold</w:t>
            </w:r>
          </w:p>
        </w:tc>
        <w:tc>
          <w:tcPr>
            <w:tcW w:type="dxa" w:w="2232"/>
          </w:tcPr>
          <w:p>
            <w:pPr>
              <w:spacing w:after="20"/>
            </w:pPr>
            <w:r/>
            <w:r>
              <w:rPr>
                <w:b w:val="0"/>
                <w:i w:val="0"/>
                <w:sz w:val="17"/>
              </w:rPr>
              <w:t>Adds “engagement by” / “provision of services to”</w:t>
            </w:r>
          </w:p>
        </w:tc>
      </w:tr>
      <w:tr>
        <w:tc>
          <w:tcPr>
            <w:tcW w:type="dxa" w:w="1656"/>
          </w:tcPr>
          <w:p>
            <w:pPr>
              <w:spacing w:after="20"/>
            </w:pPr>
            <w:r/>
            <w:r>
              <w:rPr>
                <w:b w:val="0"/>
                <w:i w:val="0"/>
                <w:sz w:val="17"/>
              </w:rPr>
              <w:t>Measurement mechanics</w:t>
            </w:r>
          </w:p>
        </w:tc>
        <w:tc>
          <w:tcPr>
            <w:tcW w:type="dxa" w:w="2880"/>
          </w:tcPr>
          <w:p>
            <w:pPr>
              <w:spacing w:after="20"/>
            </w:pPr>
            <w:r/>
            <w:r>
              <w:rPr>
                <w:b w:val="0"/>
                <w:i w:val="0"/>
                <w:sz w:val="17"/>
              </w:rPr>
              <w:t xml:space="preserve">Revenue measured on most recent completed fiscal year publicly available (or reasonably ascertainable); determination made </w:t>
            </w:r>
            <w:r>
              <w:rPr>
                <w:b/>
                <w:i w:val="0"/>
                <w:sz w:val="17"/>
              </w:rPr>
              <w:t>as of the date Executive commences</w:t>
            </w:r>
            <w:r>
              <w:rPr>
                <w:b w:val="0"/>
                <w:i w:val="0"/>
                <w:sz w:val="17"/>
              </w:rPr>
              <w:t xml:space="preserve"> the relationship</w:t>
            </w:r>
          </w:p>
        </w:tc>
        <w:tc>
          <w:tcPr>
            <w:tcW w:type="dxa" w:w="2880"/>
          </w:tcPr>
          <w:p>
            <w:pPr>
              <w:spacing w:after="20"/>
            </w:pPr>
            <w:r/>
            <w:r>
              <w:rPr>
                <w:b w:val="0"/>
                <w:i w:val="0"/>
                <w:sz w:val="17"/>
              </w:rPr>
              <w:t>None stated</w:t>
            </w:r>
          </w:p>
        </w:tc>
        <w:tc>
          <w:tcPr>
            <w:tcW w:type="dxa" w:w="2232"/>
          </w:tcPr>
          <w:p>
            <w:pPr>
              <w:spacing w:after="20"/>
            </w:pPr>
            <w:r/>
            <w:r>
              <w:rPr>
                <w:b w:val="0"/>
                <w:i w:val="0"/>
                <w:sz w:val="17"/>
              </w:rPr>
              <w:t>Measurement rules dropped — ambiguity as to which year and when tested</w:t>
            </w:r>
          </w:p>
        </w:tc>
      </w:tr>
      <w:tr>
        <w:tc>
          <w:tcPr>
            <w:tcW w:type="dxa" w:w="1656"/>
          </w:tcPr>
          <w:p>
            <w:pPr>
              <w:spacing w:after="20"/>
            </w:pPr>
            <w:r/>
            <w:r>
              <w:rPr>
                <w:b w:val="0"/>
                <w:i w:val="0"/>
                <w:sz w:val="17"/>
              </w:rPr>
              <w:t>Passive investment exception</w:t>
            </w:r>
          </w:p>
        </w:tc>
        <w:tc>
          <w:tcPr>
            <w:tcW w:type="dxa" w:w="2880"/>
          </w:tcPr>
          <w:p>
            <w:pPr>
              <w:spacing w:after="20"/>
            </w:pPr>
            <w:r/>
            <w:r>
              <w:rPr>
                <w:b w:val="0"/>
                <w:i w:val="0"/>
                <w:sz w:val="17"/>
              </w:rPr>
              <w:t>&lt; 2% of publicly traded company</w:t>
            </w:r>
          </w:p>
        </w:tc>
        <w:tc>
          <w:tcPr>
            <w:tcW w:type="dxa" w:w="2880"/>
          </w:tcPr>
          <w:p>
            <w:pPr>
              <w:spacing w:after="20"/>
            </w:pPr>
            <w:r/>
            <w:r>
              <w:rPr>
                <w:b w:val="0"/>
                <w:i w:val="0"/>
                <w:sz w:val="17"/>
              </w:rPr>
              <w:t>≤ 2% of any class, no participation in management</w:t>
            </w:r>
          </w:p>
        </w:tc>
        <w:tc>
          <w:tcPr>
            <w:tcW w:type="dxa" w:w="2232"/>
          </w:tcPr>
          <w:p>
            <w:pPr>
              <w:spacing w:after="20"/>
            </w:pPr>
            <w:r/>
            <w:r>
              <w:rPr>
                <w:b w:val="0"/>
                <w:i w:val="0"/>
                <w:sz w:val="17"/>
              </w:rPr>
              <w:t>Substantively similar</w:t>
            </w:r>
          </w:p>
        </w:tc>
      </w:tr>
      <w:tr>
        <w:tc>
          <w:tcPr>
            <w:tcW w:type="dxa" w:w="1656"/>
          </w:tcPr>
          <w:p>
            <w:pPr>
              <w:spacing w:after="20"/>
            </w:pPr>
            <w:r/>
            <w:r>
              <w:rPr>
                <w:b w:val="0"/>
                <w:i w:val="0"/>
                <w:sz w:val="17"/>
              </w:rPr>
              <w:t>Definitions scope</w:t>
            </w:r>
          </w:p>
        </w:tc>
        <w:tc>
          <w:tcPr>
            <w:tcW w:type="dxa" w:w="2880"/>
          </w:tcPr>
          <w:p>
            <w:pPr>
              <w:spacing w:after="20"/>
            </w:pPr>
            <w:r/>
            <w:r>
              <w:rPr>
                <w:b w:val="0"/>
                <w:i w:val="0"/>
                <w:sz w:val="17"/>
              </w:rPr>
              <w:t>§ 1.4 applies Agreement-wide (also used in § 2.1 outside activities)</w:t>
            </w:r>
          </w:p>
        </w:tc>
        <w:tc>
          <w:tcPr>
            <w:tcW w:type="dxa" w:w="2880"/>
          </w:tcPr>
          <w:p>
            <w:pPr>
              <w:spacing w:after="20"/>
            </w:pPr>
            <w:r/>
            <w:r>
              <w:rPr>
                <w:b w:val="0"/>
                <w:i w:val="0"/>
                <w:sz w:val="17"/>
              </w:rPr>
              <w:t>New definition is “[f]or purposes of this Section 7(a)” only</w:t>
            </w:r>
          </w:p>
        </w:tc>
        <w:tc>
          <w:tcPr>
            <w:tcW w:type="dxa" w:w="2232"/>
          </w:tcPr>
          <w:p>
            <w:pPr>
              <w:spacing w:after="20"/>
            </w:pPr>
            <w:r/>
            <w:r>
              <w:rPr>
                <w:b w:val="0"/>
                <w:i w:val="0"/>
                <w:sz w:val="17"/>
              </w:rPr>
              <w:t>Two “Competitive Activity” definitions coexist (relevant to garden leave and employee non-solicit)</w:t>
            </w:r>
          </w:p>
        </w:tc>
      </w:tr>
      <w:tr>
        <w:tc>
          <w:tcPr>
            <w:tcW w:type="dxa" w:w="1656"/>
          </w:tcPr>
          <w:p>
            <w:pPr>
              <w:spacing w:after="20"/>
            </w:pPr>
            <w:r/>
            <w:r>
              <w:rPr>
                <w:b w:val="0"/>
                <w:i w:val="0"/>
                <w:sz w:val="17"/>
              </w:rPr>
              <w:t>Consideration recited</w:t>
            </w:r>
          </w:p>
        </w:tc>
        <w:tc>
          <w:tcPr>
            <w:tcW w:type="dxa" w:w="2880"/>
          </w:tcPr>
          <w:p>
            <w:pPr>
              <w:spacing w:after="20"/>
            </w:pPr>
            <w:r/>
            <w:r>
              <w:rPr>
                <w:b w:val="0"/>
                <w:i w:val="0"/>
                <w:sz w:val="17"/>
              </w:rPr>
              <w:t>Initial employment and compensation (Art. VIII preamble; § 8.7(c))</w:t>
            </w:r>
          </w:p>
        </w:tc>
        <w:tc>
          <w:tcPr>
            <w:tcW w:type="dxa" w:w="2880"/>
          </w:tcPr>
          <w:p>
            <w:pPr>
              <w:spacing w:after="20"/>
            </w:pPr>
            <w:r/>
            <w:r>
              <w:rPr>
                <w:b w:val="0"/>
                <w:i w:val="0"/>
                <w:sz w:val="17"/>
              </w:rPr>
              <w:t>“continued employment” and “designation … as Chief Revenue Officer” (Recitals)</w:t>
            </w:r>
          </w:p>
        </w:tc>
        <w:tc>
          <w:tcPr>
            <w:tcW w:type="dxa" w:w="2232"/>
          </w:tcPr>
          <w:p>
            <w:pPr>
              <w:spacing w:after="20"/>
            </w:pPr>
            <w:r/>
            <w:r>
              <w:rPr>
                <w:b w:val="0"/>
                <w:i w:val="0"/>
                <w:sz w:val="17"/>
              </w:rPr>
              <w:t>See Part VIII.A — likely inadequate</w:t>
            </w:r>
          </w:p>
        </w:tc>
      </w:tr>
    </w:tbl>
    <w:p>
      <w:pPr>
        <w:spacing w:after="40"/>
      </w:pPr>
    </w:p>
    <w:p>
      <w:r>
        <w:rPr>
          <w:b/>
          <w:i w:val="0"/>
        </w:rPr>
        <w:t>Triggers:</w:t>
      </w:r>
      <w:r>
        <w:rPr>
          <w:b w:val="0"/>
          <w:i w:val="0"/>
        </w:rPr>
        <w:t xml:space="preserve"> any termination; breach occurs on engaging in Competitive Activity in the Territory during the period. </w:t>
      </w:r>
      <w:r>
        <w:rPr>
          <w:b/>
          <w:i w:val="0"/>
        </w:rPr>
        <w:t>Financial consequences:</w:t>
      </w:r>
      <w:r>
        <w:rPr>
          <w:b w:val="0"/>
          <w:i w:val="0"/>
        </w:rPr>
        <w:t xml:space="preserve"> EA § 6.2 cessation/repayment; Amendment § 9 forfeiture/12-month repayment; injunction (§ 8.8). If the new employer is also a “Competitive Business” under the RSU Agreement and the breach occurs within 12 months, RSU §§ 7.1–7.2 also apply (Part V). </w:t>
      </w:r>
      <w:r>
        <w:rPr>
          <w:b/>
          <w:i w:val="0"/>
        </w:rPr>
        <w:t>Observations:</w:t>
      </w:r>
      <w:r>
        <w:rPr>
          <w:b w:val="0"/>
          <w:i w:val="0"/>
        </w:rPr>
        <w:t xml:space="preserve"> the covenant restricts employment “in any capacity” with a qualifying Person rather than work in a competitive role — the principal overbreadth risk under North Carolina law (Part VIII.B). A “big three” household/personal care competitor would clearly exceed either threshold; a diversified company with a small cleaning line may fall below 10–15% and be outside the EA covenant but inside the RSU covenant.</w:t>
      </w:r>
    </w:p>
    <w:p>
      <w:pPr>
        <w:pStyle w:val="Heading2"/>
      </w:pPr>
      <w:r>
        <w:t>B. Non-Solicitation of Customers — Original § 8.2 (not amended)</w:t>
      </w:r>
    </w:p>
    <w:tbl>
      <w:tblPr>
        <w:tblStyle w:val="TableGrid"/>
        <w:tblW w:type="auto" w:w="0"/>
        <w:jc w:val="center"/>
        <w:tblLayout w:type="fixed"/>
        <w:tblLook w:firstColumn="1" w:firstRow="1" w:lastColumn="0" w:lastRow="0" w:noHBand="0" w:noVBand="1" w:val="04A0"/>
      </w:tblPr>
      <w:tblGrid>
        <w:gridCol w:w="2232"/>
        <w:gridCol w:w="7416"/>
      </w:tblGrid>
      <w:tr>
        <w:trPr>
          <w:tblHeader w:val="true"/>
        </w:trPr>
        <w:tc>
          <w:tcPr>
            <w:tcW w:type="dxa" w:w="2232"/>
            <w:shd w:val="clear" w:color="auto" w:fill="D9E2F3"/>
          </w:tcPr>
          <w:p>
            <w:pPr>
              <w:spacing w:after="20"/>
            </w:pPr>
            <w:r/>
            <w:r>
              <w:rPr>
                <w:b/>
                <w:i w:val="0"/>
                <w:sz w:val="18"/>
              </w:rPr>
              <w:t>Field</w:t>
            </w:r>
          </w:p>
        </w:tc>
        <w:tc>
          <w:tcPr>
            <w:tcW w:type="dxa" w:w="7416"/>
            <w:shd w:val="clear" w:color="auto" w:fill="D9E2F3"/>
          </w:tcPr>
          <w:p>
            <w:pPr>
              <w:spacing w:after="20"/>
            </w:pPr>
            <w:r/>
            <w:r>
              <w:rPr>
                <w:b/>
                <w:i w:val="0"/>
                <w:sz w:val="18"/>
              </w:rPr>
              <w:t>Extraction</w:t>
            </w:r>
          </w:p>
        </w:tc>
      </w:tr>
      <w:tr>
        <w:tc>
          <w:tcPr>
            <w:tcW w:type="dxa" w:w="2232"/>
            <w:shd w:val="clear" w:color="auto" w:fill="F2F2F2"/>
          </w:tcPr>
          <w:p>
            <w:pPr>
              <w:spacing w:after="20"/>
            </w:pPr>
            <w:r/>
            <w:r>
              <w:rPr>
                <w:b/>
                <w:i w:val="0"/>
                <w:sz w:val="18"/>
              </w:rPr>
              <w:t>Source</w:t>
            </w:r>
          </w:p>
        </w:tc>
        <w:tc>
          <w:tcPr>
            <w:tcW w:type="dxa" w:w="7416"/>
          </w:tcPr>
          <w:p>
            <w:pPr>
              <w:spacing w:after="20"/>
            </w:pPr>
            <w:r/>
            <w:r>
              <w:rPr>
                <w:b w:val="0"/>
                <w:i w:val="0"/>
                <w:sz w:val="18"/>
              </w:rPr>
              <w:t>Original Agreement § 8.2; Material Contact defined in § 1.7. Not amended (the Amendment contains no “Section 7(b)”).</w:t>
            </w:r>
          </w:p>
        </w:tc>
      </w:tr>
      <w:tr>
        <w:tc>
          <w:tcPr>
            <w:tcW w:type="dxa" w:w="2232"/>
            <w:shd w:val="clear" w:color="auto" w:fill="F2F2F2"/>
          </w:tcPr>
          <w:p>
            <w:pPr>
              <w:spacing w:after="20"/>
            </w:pPr>
            <w:r/>
            <w:r>
              <w:rPr>
                <w:b/>
                <w:i w:val="0"/>
                <w:sz w:val="18"/>
              </w:rPr>
              <w:t>Type</w:t>
            </w:r>
          </w:p>
        </w:tc>
        <w:tc>
          <w:tcPr>
            <w:tcW w:type="dxa" w:w="7416"/>
          </w:tcPr>
          <w:p>
            <w:pPr>
              <w:spacing w:after="20"/>
            </w:pPr>
            <w:r/>
            <w:r>
              <w:rPr>
                <w:b w:val="0"/>
                <w:i w:val="0"/>
                <w:sz w:val="18"/>
              </w:rPr>
              <w:t>Customer and prospective-customer non-solicitation / non-diversion</w:t>
            </w:r>
          </w:p>
        </w:tc>
      </w:tr>
      <w:tr>
        <w:tc>
          <w:tcPr>
            <w:tcW w:type="dxa" w:w="2232"/>
            <w:shd w:val="clear" w:color="auto" w:fill="F2F2F2"/>
          </w:tcPr>
          <w:p>
            <w:pPr>
              <w:spacing w:after="20"/>
            </w:pPr>
            <w:r/>
            <w:r>
              <w:rPr>
                <w:b/>
                <w:i w:val="0"/>
                <w:sz w:val="18"/>
              </w:rPr>
              <w:t>Duration</w:t>
            </w:r>
          </w:p>
        </w:tc>
        <w:tc>
          <w:tcPr>
            <w:tcW w:type="dxa" w:w="7416"/>
          </w:tcPr>
          <w:p>
            <w:pPr>
              <w:spacing w:after="20"/>
            </w:pPr>
            <w:r/>
            <w:r>
              <w:rPr>
                <w:b w:val="0"/>
                <w:i w:val="0"/>
                <w:sz w:val="18"/>
              </w:rPr>
              <w:t xml:space="preserve">During employment + </w:t>
            </w:r>
            <w:r>
              <w:rPr>
                <w:b/>
                <w:i w:val="0"/>
                <w:sz w:val="18"/>
              </w:rPr>
              <w:t>24 months</w:t>
            </w:r>
            <w:r>
              <w:rPr>
                <w:b w:val="0"/>
                <w:i w:val="0"/>
                <w:sz w:val="18"/>
              </w:rPr>
              <w:t xml:space="preserve"> after termination for any reason (“Customer Non-Solicitation Restricted Period”) — through </w:t>
            </w:r>
            <w:r>
              <w:rPr>
                <w:b/>
                <w:i w:val="0"/>
                <w:sz w:val="18"/>
              </w:rPr>
              <w:t>Feb. 28, 2027</w:t>
            </w:r>
            <w:r>
              <w:rPr>
                <w:b w:val="0"/>
                <w:i w:val="0"/>
                <w:sz w:val="18"/>
              </w:rPr>
              <w:t>. Lookback (“measurement period”): 24 months immediately preceding termination (≈ Feb. 28, 2023 – Feb. 28, 2025), which captures the post-Lakeshore period.</w:t>
            </w:r>
          </w:p>
        </w:tc>
      </w:tr>
      <w:tr>
        <w:tc>
          <w:tcPr>
            <w:tcW w:type="dxa" w:w="2232"/>
            <w:shd w:val="clear" w:color="auto" w:fill="F2F2F2"/>
          </w:tcPr>
          <w:p>
            <w:pPr>
              <w:spacing w:after="20"/>
            </w:pPr>
            <w:r/>
            <w:r>
              <w:rPr>
                <w:b/>
                <w:i w:val="0"/>
                <w:sz w:val="18"/>
              </w:rPr>
              <w:t>Geography</w:t>
            </w:r>
          </w:p>
        </w:tc>
        <w:tc>
          <w:tcPr>
            <w:tcW w:type="dxa" w:w="7416"/>
          </w:tcPr>
          <w:p>
            <w:pPr>
              <w:spacing w:after="20"/>
            </w:pPr>
            <w:r/>
            <w:r>
              <w:rPr>
                <w:b w:val="0"/>
                <w:i w:val="0"/>
                <w:sz w:val="18"/>
              </w:rPr>
              <w:t>No geographic limitation “throughout the Territory” (U.S. and Canada); customer-based restriction.</w:t>
            </w:r>
          </w:p>
        </w:tc>
      </w:tr>
      <w:tr>
        <w:tc>
          <w:tcPr>
            <w:tcW w:type="dxa" w:w="2232"/>
            <w:shd w:val="clear" w:color="auto" w:fill="F2F2F2"/>
          </w:tcPr>
          <w:p>
            <w:pPr>
              <w:spacing w:after="20"/>
            </w:pPr>
            <w:r/>
            <w:r>
              <w:rPr>
                <w:b/>
                <w:i w:val="0"/>
                <w:sz w:val="18"/>
              </w:rPr>
              <w:t>Prohibited activity</w:t>
            </w:r>
          </w:p>
        </w:tc>
        <w:tc>
          <w:tcPr>
            <w:tcW w:type="dxa" w:w="7416"/>
          </w:tcPr>
          <w:p>
            <w:pPr>
              <w:spacing w:after="20"/>
            </w:pPr>
            <w:r/>
            <w:r>
              <w:rPr>
                <w:b w:val="0"/>
                <w:i w:val="0"/>
                <w:sz w:val="18"/>
              </w:rPr>
              <w:t xml:space="preserve">Shall not “directly or indirectly, solicit, divert, or attempt to solicit or divert the business of any customer or prospective customer of the Company or any of its Affiliates with whom Executive had Material Contact.” Material Contact = direct interaction on </w:t>
            </w:r>
            <w:r>
              <w:rPr>
                <w:b/>
                <w:i w:val="0"/>
                <w:sz w:val="18"/>
              </w:rPr>
              <w:t>at least three occasions</w:t>
            </w:r>
            <w:r>
              <w:rPr>
                <w:b w:val="0"/>
                <w:i w:val="0"/>
                <w:sz w:val="18"/>
              </w:rPr>
              <w:t xml:space="preserve"> during the measurement period </w:t>
            </w:r>
            <w:r>
              <w:rPr>
                <w:b/>
                <w:i w:val="0"/>
                <w:sz w:val="18"/>
              </w:rPr>
              <w:t>OR</w:t>
            </w:r>
            <w:r>
              <w:rPr>
                <w:b w:val="0"/>
                <w:i w:val="0"/>
                <w:sz w:val="18"/>
              </w:rPr>
              <w:t xml:space="preserve"> involvement in negotiating, managing or renewing any contract/PO; either prong suffices. “Prospective customer” = Person to whom the Company or an Affiliate made a written proposal or formal sales presentation during the measurement period of which Executive had involvement or knowledge.</w:t>
            </w:r>
          </w:p>
        </w:tc>
      </w:tr>
      <w:tr>
        <w:tc>
          <w:tcPr>
            <w:tcW w:type="dxa" w:w="2232"/>
            <w:shd w:val="clear" w:color="auto" w:fill="F2F2F2"/>
          </w:tcPr>
          <w:p>
            <w:pPr>
              <w:spacing w:after="20"/>
            </w:pPr>
            <w:r/>
            <w:r>
              <w:rPr>
                <w:b/>
                <w:i w:val="0"/>
                <w:sz w:val="18"/>
              </w:rPr>
              <w:t>Triggers</w:t>
            </w:r>
          </w:p>
        </w:tc>
        <w:tc>
          <w:tcPr>
            <w:tcW w:type="dxa" w:w="7416"/>
          </w:tcPr>
          <w:p>
            <w:pPr>
              <w:spacing w:after="20"/>
            </w:pPr>
            <w:r/>
            <w:r>
              <w:rPr>
                <w:b w:val="0"/>
                <w:i w:val="0"/>
                <w:sz w:val="18"/>
              </w:rPr>
              <w:t xml:space="preserve">Any termination; breach on solicitation/diversion. Does </w:t>
            </w:r>
            <w:r>
              <w:rPr>
                <w:b/>
                <w:i w:val="0"/>
                <w:sz w:val="18"/>
              </w:rPr>
              <w:t>not</w:t>
            </w:r>
            <w:r>
              <w:rPr>
                <w:b w:val="0"/>
                <w:i w:val="0"/>
                <w:sz w:val="18"/>
              </w:rPr>
              <w:t xml:space="preserve"> bar accepting unsolicited business or merely being employed by a competitor.</w:t>
            </w:r>
          </w:p>
        </w:tc>
      </w:tr>
      <w:tr>
        <w:tc>
          <w:tcPr>
            <w:tcW w:type="dxa" w:w="2232"/>
            <w:shd w:val="clear" w:color="auto" w:fill="F2F2F2"/>
          </w:tcPr>
          <w:p>
            <w:pPr>
              <w:spacing w:after="20"/>
            </w:pPr>
            <w:r/>
            <w:r>
              <w:rPr>
                <w:b/>
                <w:i w:val="0"/>
                <w:sz w:val="18"/>
              </w:rPr>
              <w:t>Financial consequences</w:t>
            </w:r>
          </w:p>
        </w:tc>
        <w:tc>
          <w:tcPr>
            <w:tcW w:type="dxa" w:w="7416"/>
          </w:tcPr>
          <w:p>
            <w:pPr>
              <w:spacing w:after="20"/>
            </w:pPr>
            <w:r/>
            <w:r>
              <w:rPr>
                <w:b w:val="0"/>
                <w:i w:val="0"/>
                <w:sz w:val="18"/>
              </w:rPr>
              <w:t xml:space="preserve">EA § 6.2 cessation/repayment; Amendment § 9 (subject to the “Section 7” reference problem); injunction. </w:t>
            </w:r>
            <w:r>
              <w:rPr>
                <w:b/>
                <w:i w:val="0"/>
                <w:sz w:val="18"/>
              </w:rPr>
              <w:t>No RSU clawback</w:t>
            </w:r>
            <w:r>
              <w:rPr>
                <w:b w:val="0"/>
                <w:i w:val="0"/>
                <w:sz w:val="18"/>
              </w:rPr>
              <w:t xml:space="preserve"> — RSU Article VII is not triggered by customer solicitation.</w:t>
            </w:r>
          </w:p>
        </w:tc>
      </w:tr>
      <w:tr>
        <w:tc>
          <w:tcPr>
            <w:tcW w:type="dxa" w:w="2232"/>
            <w:shd w:val="clear" w:color="auto" w:fill="F2F2F2"/>
          </w:tcPr>
          <w:p>
            <w:pPr>
              <w:spacing w:after="20"/>
            </w:pPr>
            <w:r/>
            <w:r>
              <w:rPr>
                <w:b/>
                <w:i w:val="0"/>
                <w:sz w:val="18"/>
              </w:rPr>
              <w:t>Observations</w:t>
            </w:r>
          </w:p>
        </w:tc>
        <w:tc>
          <w:tcPr>
            <w:tcW w:type="dxa" w:w="7416"/>
          </w:tcPr>
          <w:p>
            <w:pPr>
              <w:spacing w:after="20"/>
            </w:pPr>
            <w:r/>
            <w:r>
              <w:rPr>
                <w:b w:val="0"/>
                <w:i w:val="0"/>
                <w:sz w:val="18"/>
              </w:rPr>
              <w:t>Strongest post-employment covenant for the Board’s core concern (the ~20 of the top-50 accounts). Customer-based restrictions tied to actual contact are routinely enforced in North Carolina. Risks: (i) the “knowledge of” prong of “prospective customer” is broad; (ii) combined 24-month lookback + 24-month restriction; (iii) relationships Manheim brought from his pre-2021 Lakeshore tenure (Pinnacle should document post-hire investment in those accounts). Recommend assembling the account-level Material Contact evidence now.</w:t>
            </w:r>
          </w:p>
        </w:tc>
      </w:tr>
    </w:tbl>
    <w:p>
      <w:pPr>
        <w:spacing w:after="40"/>
      </w:pPr>
    </w:p>
    <w:p>
      <w:pPr>
        <w:pStyle w:val="Heading2"/>
      </w:pPr>
      <w:r>
        <w:t>C. Non-Solicitation of Employees — Original § 8.3 vs. Amendment § 6 (“Section 7(c)”)</w:t>
      </w:r>
    </w:p>
    <w:tbl>
      <w:tblPr>
        <w:tblStyle w:val="TableGrid"/>
        <w:tblW w:type="auto" w:w="0"/>
        <w:jc w:val="center"/>
        <w:tblLayout w:type="fixed"/>
        <w:tblLook w:firstColumn="1" w:firstRow="1" w:lastColumn="0" w:lastRow="0" w:noHBand="0" w:noVBand="1" w:val="04A0"/>
      </w:tblPr>
      <w:tblGrid>
        <w:gridCol w:w="1584"/>
        <w:gridCol w:w="2736"/>
        <w:gridCol w:w="3240"/>
        <w:gridCol w:w="2088"/>
      </w:tblGrid>
      <w:tr>
        <w:trPr>
          <w:tblHeader w:val="true"/>
        </w:trPr>
        <w:tc>
          <w:tcPr>
            <w:tcW w:type="dxa" w:w="1584"/>
            <w:shd w:val="clear" w:color="auto" w:fill="D9E2F3"/>
          </w:tcPr>
          <w:p>
            <w:pPr>
              <w:spacing w:after="20"/>
            </w:pPr>
            <w:r/>
            <w:r>
              <w:rPr>
                <w:b/>
                <w:i w:val="0"/>
                <w:sz w:val="17"/>
              </w:rPr>
              <w:t>Element</w:t>
            </w:r>
          </w:p>
        </w:tc>
        <w:tc>
          <w:tcPr>
            <w:tcW w:type="dxa" w:w="2736"/>
            <w:shd w:val="clear" w:color="auto" w:fill="D9E2F3"/>
          </w:tcPr>
          <w:p>
            <w:pPr>
              <w:spacing w:after="20"/>
            </w:pPr>
            <w:r/>
            <w:r>
              <w:rPr>
                <w:b/>
                <w:i w:val="0"/>
                <w:sz w:val="17"/>
              </w:rPr>
              <w:t>Original § 8.3</w:t>
            </w:r>
          </w:p>
        </w:tc>
        <w:tc>
          <w:tcPr>
            <w:tcW w:type="dxa" w:w="3240"/>
            <w:shd w:val="clear" w:color="auto" w:fill="D9E2F3"/>
          </w:tcPr>
          <w:p>
            <w:pPr>
              <w:spacing w:after="20"/>
            </w:pPr>
            <w:r/>
            <w:r>
              <w:rPr>
                <w:b/>
                <w:i w:val="0"/>
                <w:sz w:val="17"/>
              </w:rPr>
              <w:t>Amendment § 6 (“§ 7(c)”)</w:t>
            </w:r>
          </w:p>
        </w:tc>
        <w:tc>
          <w:tcPr>
            <w:tcW w:type="dxa" w:w="2088"/>
            <w:shd w:val="clear" w:color="auto" w:fill="D9E2F3"/>
          </w:tcPr>
          <w:p>
            <w:pPr>
              <w:spacing w:after="20"/>
            </w:pPr>
            <w:r/>
            <w:r>
              <w:rPr>
                <w:b/>
                <w:i w:val="0"/>
                <w:sz w:val="17"/>
              </w:rPr>
              <w:t>What changed</w:t>
            </w:r>
          </w:p>
        </w:tc>
      </w:tr>
      <w:tr>
        <w:tc>
          <w:tcPr>
            <w:tcW w:type="dxa" w:w="1584"/>
          </w:tcPr>
          <w:p>
            <w:pPr>
              <w:spacing w:after="20"/>
            </w:pPr>
            <w:r/>
            <w:r>
              <w:rPr>
                <w:b w:val="0"/>
                <w:i w:val="0"/>
                <w:sz w:val="17"/>
              </w:rPr>
              <w:t>Duration</w:t>
            </w:r>
          </w:p>
        </w:tc>
        <w:tc>
          <w:tcPr>
            <w:tcW w:type="dxa" w:w="2736"/>
          </w:tcPr>
          <w:p>
            <w:pPr>
              <w:spacing w:after="20"/>
            </w:pPr>
            <w:r/>
            <w:r>
              <w:rPr>
                <w:b w:val="0"/>
                <w:i w:val="0"/>
                <w:sz w:val="17"/>
              </w:rPr>
              <w:t xml:space="preserve">Employment + </w:t>
            </w:r>
            <w:r>
              <w:rPr>
                <w:b/>
                <w:i w:val="0"/>
                <w:sz w:val="17"/>
              </w:rPr>
              <w:t>18 months</w:t>
            </w:r>
            <w:r>
              <w:rPr>
                <w:b w:val="0"/>
                <w:i w:val="0"/>
                <w:sz w:val="17"/>
              </w:rPr>
              <w:t xml:space="preserve"> (through Aug. 28, 2026)</w:t>
            </w:r>
          </w:p>
        </w:tc>
        <w:tc>
          <w:tcPr>
            <w:tcW w:type="dxa" w:w="3240"/>
          </w:tcPr>
          <w:p>
            <w:pPr>
              <w:spacing w:after="20"/>
            </w:pPr>
            <w:r/>
            <w:r>
              <w:rPr>
                <w:b w:val="0"/>
                <w:i w:val="0"/>
                <w:sz w:val="17"/>
              </w:rPr>
              <w:t xml:space="preserve">Employment + </w:t>
            </w:r>
            <w:r>
              <w:rPr>
                <w:b/>
                <w:i w:val="0"/>
                <w:sz w:val="17"/>
              </w:rPr>
              <w:t>12 months</w:t>
            </w:r>
            <w:r>
              <w:rPr>
                <w:b w:val="0"/>
                <w:i w:val="0"/>
                <w:sz w:val="17"/>
              </w:rPr>
              <w:t xml:space="preserve"> (through Feb. 28, 2026) (“Employee Non-Solicitation Period”)</w:t>
            </w:r>
          </w:p>
        </w:tc>
        <w:tc>
          <w:tcPr>
            <w:tcW w:type="dxa" w:w="2088"/>
          </w:tcPr>
          <w:p>
            <w:pPr>
              <w:spacing w:after="20"/>
            </w:pPr>
            <w:r/>
            <w:r>
              <w:rPr>
                <w:b/>
                <w:i w:val="0"/>
                <w:sz w:val="17"/>
              </w:rPr>
              <w:t>Shortened</w:t>
            </w:r>
            <w:r>
              <w:rPr>
                <w:b w:val="0"/>
                <w:i w:val="0"/>
                <w:sz w:val="17"/>
              </w:rPr>
              <w:t xml:space="preserve"> by 6 months</w:t>
            </w:r>
          </w:p>
        </w:tc>
      </w:tr>
      <w:tr>
        <w:tc>
          <w:tcPr>
            <w:tcW w:type="dxa" w:w="1584"/>
          </w:tcPr>
          <w:p>
            <w:pPr>
              <w:spacing w:after="20"/>
            </w:pPr>
            <w:r/>
            <w:r>
              <w:rPr>
                <w:b w:val="0"/>
                <w:i w:val="0"/>
                <w:sz w:val="17"/>
              </w:rPr>
              <w:t>Prohibited activity</w:t>
            </w:r>
          </w:p>
        </w:tc>
        <w:tc>
          <w:tcPr>
            <w:tcW w:type="dxa" w:w="2736"/>
          </w:tcPr>
          <w:p>
            <w:pPr>
              <w:spacing w:after="20"/>
            </w:pPr>
            <w:r/>
            <w:r>
              <w:rPr>
                <w:b w:val="0"/>
                <w:i w:val="0"/>
                <w:sz w:val="17"/>
              </w:rPr>
              <w:t>“solicit, recruit, induce, or encourage any employee, independent contractor, or consultant of the Company or any of its Affiliates to terminate” or to accept engagement elsewhere</w:t>
            </w:r>
          </w:p>
        </w:tc>
        <w:tc>
          <w:tcPr>
            <w:tcW w:type="dxa" w:w="3240"/>
          </w:tcPr>
          <w:p>
            <w:pPr>
              <w:spacing w:after="20"/>
            </w:pPr>
            <w:r/>
            <w:r>
              <w:rPr>
                <w:b w:val="0"/>
                <w:i w:val="0"/>
                <w:sz w:val="17"/>
              </w:rPr>
              <w:t xml:space="preserve">“solicit, recruit, </w:t>
            </w:r>
            <w:r>
              <w:rPr>
                <w:b/>
                <w:i w:val="0"/>
                <w:sz w:val="17"/>
              </w:rPr>
              <w:t>hire</w:t>
            </w:r>
            <w:r>
              <w:rPr>
                <w:b w:val="0"/>
                <w:i w:val="0"/>
                <w:sz w:val="17"/>
              </w:rPr>
              <w:t xml:space="preserve">, or induce, or attempt to …” (i) current employees/contractors/consultants of Company or affiliates “(including without limitation Lakeshore Home Products, LLC)”; and (ii) </w:t>
            </w:r>
            <w:r>
              <w:rPr>
                <w:b/>
                <w:i w:val="0"/>
                <w:sz w:val="17"/>
              </w:rPr>
              <w:t>former</w:t>
            </w:r>
            <w:r>
              <w:rPr>
                <w:b w:val="0"/>
                <w:i w:val="0"/>
                <w:sz w:val="17"/>
              </w:rPr>
              <w:t xml:space="preserve"> personnel who left within 6 months before Executive’s termination, to join a Person engaged in Competitive Activity</w:t>
            </w:r>
          </w:p>
        </w:tc>
        <w:tc>
          <w:tcPr>
            <w:tcW w:type="dxa" w:w="2088"/>
          </w:tcPr>
          <w:p>
            <w:pPr>
              <w:spacing w:after="20"/>
            </w:pPr>
            <w:r/>
            <w:r>
              <w:rPr>
                <w:b w:val="0"/>
                <w:i w:val="0"/>
                <w:sz w:val="17"/>
              </w:rPr>
              <w:t>Adds no-hire and former-employee prong; expressly covers Lakeshore</w:t>
            </w:r>
          </w:p>
        </w:tc>
      </w:tr>
      <w:tr>
        <w:tc>
          <w:tcPr>
            <w:tcW w:type="dxa" w:w="1584"/>
          </w:tcPr>
          <w:p>
            <w:pPr>
              <w:spacing w:after="20"/>
            </w:pPr>
            <w:r/>
            <w:r>
              <w:rPr>
                <w:b w:val="0"/>
                <w:i w:val="0"/>
                <w:sz w:val="17"/>
              </w:rPr>
              <w:t>Geography</w:t>
            </w:r>
          </w:p>
        </w:tc>
        <w:tc>
          <w:tcPr>
            <w:tcW w:type="dxa" w:w="2736"/>
          </w:tcPr>
          <w:p>
            <w:pPr>
              <w:spacing w:after="20"/>
            </w:pPr>
            <w:r/>
            <w:r>
              <w:rPr>
                <w:b w:val="0"/>
                <w:i w:val="0"/>
                <w:sz w:val="17"/>
              </w:rPr>
              <w:t>Without geographic limitation throughout the United States</w:t>
            </w:r>
          </w:p>
        </w:tc>
        <w:tc>
          <w:tcPr>
            <w:tcW w:type="dxa" w:w="3240"/>
          </w:tcPr>
          <w:p>
            <w:pPr>
              <w:spacing w:after="20"/>
            </w:pPr>
            <w:r/>
            <w:r>
              <w:rPr>
                <w:b w:val="0"/>
                <w:i w:val="0"/>
                <w:sz w:val="17"/>
              </w:rPr>
              <w:t>Personnel located anywhere within the United States</w:t>
            </w:r>
          </w:p>
        </w:tc>
        <w:tc>
          <w:tcPr>
            <w:tcW w:type="dxa" w:w="2088"/>
          </w:tcPr>
          <w:p>
            <w:pPr>
              <w:spacing w:after="20"/>
            </w:pPr>
            <w:r/>
            <w:r>
              <w:rPr>
                <w:b w:val="0"/>
                <w:i w:val="0"/>
                <w:sz w:val="17"/>
              </w:rPr>
              <w:t>No change (Canada-based personnel not covered under either)</w:t>
            </w:r>
          </w:p>
        </w:tc>
      </w:tr>
      <w:tr>
        <w:tc>
          <w:tcPr>
            <w:tcW w:type="dxa" w:w="1584"/>
          </w:tcPr>
          <w:p>
            <w:pPr>
              <w:spacing w:after="20"/>
            </w:pPr>
            <w:r/>
            <w:r>
              <w:rPr>
                <w:b w:val="0"/>
                <w:i w:val="0"/>
                <w:sz w:val="17"/>
              </w:rPr>
              <w:t>Carve-outs</w:t>
            </w:r>
          </w:p>
        </w:tc>
        <w:tc>
          <w:tcPr>
            <w:tcW w:type="dxa" w:w="2736"/>
          </w:tcPr>
          <w:p>
            <w:pPr>
              <w:spacing w:after="20"/>
            </w:pPr>
            <w:r/>
            <w:r>
              <w:rPr>
                <w:b w:val="0"/>
                <w:i w:val="0"/>
                <w:sz w:val="17"/>
              </w:rPr>
              <w:t>General solicitations not targeted at Company personnel; references on request</w:t>
            </w:r>
          </w:p>
        </w:tc>
        <w:tc>
          <w:tcPr>
            <w:tcW w:type="dxa" w:w="3240"/>
          </w:tcPr>
          <w:p>
            <w:pPr>
              <w:spacing w:after="20"/>
            </w:pPr>
            <w:r/>
            <w:r>
              <w:rPr>
                <w:b/>
                <w:i w:val="0"/>
                <w:sz w:val="17"/>
              </w:rPr>
              <w:t>None stated</w:t>
            </w:r>
          </w:p>
        </w:tc>
        <w:tc>
          <w:tcPr>
            <w:tcW w:type="dxa" w:w="2088"/>
          </w:tcPr>
          <w:p>
            <w:pPr>
              <w:spacing w:after="20"/>
            </w:pPr>
            <w:r/>
            <w:r>
              <w:rPr>
                <w:b w:val="0"/>
                <w:i w:val="0"/>
                <w:sz w:val="17"/>
              </w:rPr>
              <w:t>Carve-outs dropped if Amendment replaces § 8.3</w:t>
            </w:r>
          </w:p>
        </w:tc>
      </w:tr>
    </w:tbl>
    <w:p>
      <w:pPr>
        <w:spacing w:after="40"/>
      </w:pPr>
    </w:p>
    <w:p>
      <w:r>
        <w:rPr>
          <w:b/>
          <w:i w:val="0"/>
        </w:rPr>
        <w:t>Financial consequences:</w:t>
      </w:r>
      <w:r>
        <w:rPr>
          <w:b w:val="0"/>
          <w:i w:val="0"/>
        </w:rPr>
        <w:t xml:space="preserve"> same EA § 6.2 / Amendment § 9 remedies; no RSU clawback. </w:t>
      </w:r>
      <w:r>
        <w:rPr>
          <w:b/>
          <w:i w:val="0"/>
        </w:rPr>
        <w:t>Observations:</w:t>
      </w:r>
      <w:r>
        <w:rPr>
          <w:b w:val="0"/>
          <w:i w:val="0"/>
        </w:rPr>
        <w:t xml:space="preserve"> Manheim will argue the Amendment replaced § 8.3 (12 months) while the no-hire and former-employee prongs fail for lack of consideration. Pinnacle should assume the protected window is 12 months for planning purposes. The “Competitive Activity” term in prong (ii) is undefined in this subsection (the new definition is limited to “Section 7(a)”), so it is unclear whether the 10% or 15% threshold applies.</w:t>
      </w:r>
    </w:p>
    <w:p>
      <w:pPr>
        <w:pStyle w:val="Heading2"/>
      </w:pPr>
      <w:r>
        <w:t>D. Confidentiality, Non-Disclosure and Return of Property — Original § 8.4; DTSA Notice — Amendment § 10</w:t>
      </w:r>
    </w:p>
    <w:tbl>
      <w:tblPr>
        <w:tblStyle w:val="TableGrid"/>
        <w:tblW w:type="auto" w:w="0"/>
        <w:jc w:val="center"/>
        <w:tblLayout w:type="fixed"/>
        <w:tblLook w:firstColumn="1" w:firstRow="1" w:lastColumn="0" w:lastRow="0" w:noHBand="0" w:noVBand="1" w:val="04A0"/>
      </w:tblPr>
      <w:tblGrid>
        <w:gridCol w:w="2232"/>
        <w:gridCol w:w="7416"/>
      </w:tblGrid>
      <w:tr>
        <w:trPr>
          <w:tblHeader w:val="true"/>
        </w:trPr>
        <w:tc>
          <w:tcPr>
            <w:tcW w:type="dxa" w:w="2232"/>
            <w:shd w:val="clear" w:color="auto" w:fill="D9E2F3"/>
          </w:tcPr>
          <w:p>
            <w:pPr>
              <w:spacing w:after="20"/>
            </w:pPr>
            <w:r/>
            <w:r>
              <w:rPr>
                <w:b/>
                <w:i w:val="0"/>
                <w:sz w:val="18"/>
              </w:rPr>
              <w:t>Field</w:t>
            </w:r>
          </w:p>
        </w:tc>
        <w:tc>
          <w:tcPr>
            <w:tcW w:type="dxa" w:w="7416"/>
            <w:shd w:val="clear" w:color="auto" w:fill="D9E2F3"/>
          </w:tcPr>
          <w:p>
            <w:pPr>
              <w:spacing w:after="20"/>
            </w:pPr>
            <w:r/>
            <w:r>
              <w:rPr>
                <w:b/>
                <w:i w:val="0"/>
                <w:sz w:val="18"/>
              </w:rPr>
              <w:t>Extraction</w:t>
            </w:r>
          </w:p>
        </w:tc>
      </w:tr>
      <w:tr>
        <w:tc>
          <w:tcPr>
            <w:tcW w:type="dxa" w:w="2232"/>
            <w:shd w:val="clear" w:color="auto" w:fill="F2F2F2"/>
          </w:tcPr>
          <w:p>
            <w:pPr>
              <w:spacing w:after="20"/>
            </w:pPr>
            <w:r/>
            <w:r>
              <w:rPr>
                <w:b/>
                <w:i w:val="0"/>
                <w:sz w:val="18"/>
              </w:rPr>
              <w:t>Source</w:t>
            </w:r>
          </w:p>
        </w:tc>
        <w:tc>
          <w:tcPr>
            <w:tcW w:type="dxa" w:w="7416"/>
          </w:tcPr>
          <w:p>
            <w:pPr>
              <w:spacing w:after="20"/>
            </w:pPr>
            <w:r/>
            <w:r>
              <w:rPr>
                <w:b w:val="0"/>
                <w:i w:val="0"/>
                <w:sz w:val="18"/>
              </w:rPr>
              <w:t>Original § 8.4 (definition § 1.5); DTSA immunity notice added by Amendment § 10 (“Section 8(e)”).</w:t>
            </w:r>
          </w:p>
        </w:tc>
      </w:tr>
      <w:tr>
        <w:tc>
          <w:tcPr>
            <w:tcW w:type="dxa" w:w="2232"/>
            <w:shd w:val="clear" w:color="auto" w:fill="F2F2F2"/>
          </w:tcPr>
          <w:p>
            <w:pPr>
              <w:spacing w:after="20"/>
            </w:pPr>
            <w:r/>
            <w:r>
              <w:rPr>
                <w:b/>
                <w:i w:val="0"/>
                <w:sz w:val="18"/>
              </w:rPr>
              <w:t>Type</w:t>
            </w:r>
          </w:p>
        </w:tc>
        <w:tc>
          <w:tcPr>
            <w:tcW w:type="dxa" w:w="7416"/>
          </w:tcPr>
          <w:p>
            <w:pPr>
              <w:spacing w:after="20"/>
            </w:pPr>
            <w:r/>
            <w:r>
              <w:rPr>
                <w:b w:val="0"/>
                <w:i w:val="0"/>
                <w:sz w:val="18"/>
              </w:rPr>
              <w:t>Non-disclosure / non-use; return of property; trade secret protection</w:t>
            </w:r>
          </w:p>
        </w:tc>
      </w:tr>
      <w:tr>
        <w:tc>
          <w:tcPr>
            <w:tcW w:type="dxa" w:w="2232"/>
            <w:shd w:val="clear" w:color="auto" w:fill="F2F2F2"/>
          </w:tcPr>
          <w:p>
            <w:pPr>
              <w:spacing w:after="20"/>
            </w:pPr>
            <w:r/>
            <w:r>
              <w:rPr>
                <w:b/>
                <w:i w:val="0"/>
                <w:sz w:val="18"/>
              </w:rPr>
              <w:t>Duration</w:t>
            </w:r>
          </w:p>
        </w:tc>
        <w:tc>
          <w:tcPr>
            <w:tcW w:type="dxa" w:w="7416"/>
          </w:tcPr>
          <w:p>
            <w:pPr>
              <w:spacing w:after="20"/>
            </w:pPr>
            <w:r/>
            <w:r>
              <w:rPr>
                <w:b w:val="0"/>
                <w:i w:val="0"/>
                <w:sz w:val="18"/>
              </w:rPr>
              <w:t xml:space="preserve">During employment and </w:t>
            </w:r>
            <w:r>
              <w:rPr>
                <w:b/>
                <w:i w:val="0"/>
                <w:sz w:val="18"/>
              </w:rPr>
              <w:t>at all times thereafter</w:t>
            </w:r>
            <w:r>
              <w:rPr>
                <w:b w:val="0"/>
                <w:i w:val="0"/>
                <w:sz w:val="18"/>
              </w:rPr>
              <w:t xml:space="preserve"> (perpetual). Return of property: promptly upon termination or upon request; no copies retained.</w:t>
            </w:r>
          </w:p>
        </w:tc>
      </w:tr>
      <w:tr>
        <w:tc>
          <w:tcPr>
            <w:tcW w:type="dxa" w:w="2232"/>
            <w:shd w:val="clear" w:color="auto" w:fill="F2F2F2"/>
          </w:tcPr>
          <w:p>
            <w:pPr>
              <w:spacing w:after="20"/>
            </w:pPr>
            <w:r/>
            <w:r>
              <w:rPr>
                <w:b/>
                <w:i w:val="0"/>
                <w:sz w:val="18"/>
              </w:rPr>
              <w:t>Geography</w:t>
            </w:r>
          </w:p>
        </w:tc>
        <w:tc>
          <w:tcPr>
            <w:tcW w:type="dxa" w:w="7416"/>
          </w:tcPr>
          <w:p>
            <w:pPr>
              <w:spacing w:after="20"/>
            </w:pPr>
            <w:r/>
            <w:r>
              <w:rPr>
                <w:b w:val="0"/>
                <w:i w:val="0"/>
                <w:sz w:val="18"/>
              </w:rPr>
              <w:t>None (worldwide)</w:t>
            </w:r>
          </w:p>
        </w:tc>
      </w:tr>
      <w:tr>
        <w:tc>
          <w:tcPr>
            <w:tcW w:type="dxa" w:w="2232"/>
            <w:shd w:val="clear" w:color="auto" w:fill="F2F2F2"/>
          </w:tcPr>
          <w:p>
            <w:pPr>
              <w:spacing w:after="20"/>
            </w:pPr>
            <w:r/>
            <w:r>
              <w:rPr>
                <w:b/>
                <w:i w:val="0"/>
                <w:sz w:val="18"/>
              </w:rPr>
              <w:t>Prohibited activity</w:t>
            </w:r>
          </w:p>
        </w:tc>
        <w:tc>
          <w:tcPr>
            <w:tcW w:type="dxa" w:w="7416"/>
          </w:tcPr>
          <w:p>
            <w:pPr>
              <w:spacing w:after="20"/>
            </w:pPr>
            <w:r/>
            <w:r>
              <w:rPr>
                <w:b w:val="0"/>
                <w:i w:val="0"/>
                <w:sz w:val="18"/>
              </w:rPr>
              <w:t>Shall not “directly or indirectly, use, disclose, publish, or otherwise reveal any Confidential Information to any Person for any purpose,” except in performance of duties, with written CEO/Board authorization, or as required by law (with prompt notice). Confidential Information includes customer lists, pricing strategies/models, product formulations, supply chain and vendor data, financial projections, marketing plans, R&amp;D, compensation information, business plans and trade secrets under the N.C. Trade Secrets Protection Act and DTSA; standard exclusions (public, previously known as evidenced by written records, third-party source).</w:t>
            </w:r>
          </w:p>
        </w:tc>
      </w:tr>
      <w:tr>
        <w:tc>
          <w:tcPr>
            <w:tcW w:type="dxa" w:w="2232"/>
            <w:shd w:val="clear" w:color="auto" w:fill="F2F2F2"/>
          </w:tcPr>
          <w:p>
            <w:pPr>
              <w:spacing w:after="20"/>
            </w:pPr>
            <w:r/>
            <w:r>
              <w:rPr>
                <w:b/>
                <w:i w:val="0"/>
                <w:sz w:val="18"/>
              </w:rPr>
              <w:t>Triggers</w:t>
            </w:r>
          </w:p>
        </w:tc>
        <w:tc>
          <w:tcPr>
            <w:tcW w:type="dxa" w:w="7416"/>
          </w:tcPr>
          <w:p>
            <w:pPr>
              <w:spacing w:after="20"/>
            </w:pPr>
            <w:r/>
            <w:r>
              <w:rPr>
                <w:b w:val="0"/>
                <w:i w:val="0"/>
                <w:sz w:val="18"/>
              </w:rPr>
              <w:t>Any use/disclosure; failure to return materials upon termination.</w:t>
            </w:r>
          </w:p>
        </w:tc>
      </w:tr>
      <w:tr>
        <w:tc>
          <w:tcPr>
            <w:tcW w:type="dxa" w:w="2232"/>
            <w:shd w:val="clear" w:color="auto" w:fill="F2F2F2"/>
          </w:tcPr>
          <w:p>
            <w:pPr>
              <w:spacing w:after="20"/>
            </w:pPr>
            <w:r/>
            <w:r>
              <w:rPr>
                <w:b/>
                <w:i w:val="0"/>
                <w:sz w:val="18"/>
              </w:rPr>
              <w:t>Financial consequences</w:t>
            </w:r>
          </w:p>
        </w:tc>
        <w:tc>
          <w:tcPr>
            <w:tcW w:type="dxa" w:w="7416"/>
          </w:tcPr>
          <w:p>
            <w:pPr>
              <w:spacing w:after="20"/>
            </w:pPr>
            <w:r/>
            <w:r>
              <w:rPr>
                <w:b w:val="0"/>
                <w:i w:val="0"/>
                <w:sz w:val="18"/>
              </w:rPr>
              <w:t xml:space="preserve">EA § 6.2 / Amendment § 9 (Amendment § 9 expressly names “confidentiality covenants”); injunction; statutory damages under NCTSPA and DTSA. Because the DTSA notice was added by the January 2023 “update,” exemplary damages and attorneys’ fees under 18 U.S.C. § 1836(b)(3) should be available for post-notice misappropriation. </w:t>
            </w:r>
            <w:r>
              <w:rPr>
                <w:b/>
                <w:i w:val="0"/>
                <w:sz w:val="18"/>
              </w:rPr>
              <w:t>No RSU clawback.</w:t>
            </w:r>
          </w:p>
        </w:tc>
      </w:tr>
      <w:tr>
        <w:tc>
          <w:tcPr>
            <w:tcW w:type="dxa" w:w="2232"/>
            <w:shd w:val="clear" w:color="auto" w:fill="F2F2F2"/>
          </w:tcPr>
          <w:p>
            <w:pPr>
              <w:spacing w:after="20"/>
            </w:pPr>
            <w:r/>
            <w:r>
              <w:rPr>
                <w:b/>
                <w:i w:val="0"/>
                <w:sz w:val="18"/>
              </w:rPr>
              <w:t>Observations</w:t>
            </w:r>
          </w:p>
        </w:tc>
        <w:tc>
          <w:tcPr>
            <w:tcW w:type="dxa" w:w="7416"/>
          </w:tcPr>
          <w:p>
            <w:pPr>
              <w:spacing w:after="20"/>
            </w:pPr>
            <w:r/>
            <w:r>
              <w:rPr>
                <w:b w:val="0"/>
                <w:i w:val="0"/>
                <w:sz w:val="18"/>
              </w:rPr>
              <w:t>Enforceable in principle; perpetual duration is acceptable for trade secrets but may be challenged as to non-trade-secret information. No express carve-out for communications with the SEC, EEOC, NLRB or other agencies (only the DTSA notice, which says it does not modify the confidentiality provisions) — see Part VIII.D. Covers pricing, contracts, pipeline and supply chain — exactly the Board’s concerns; this covenant plus trade secret law is Pinnacle’s most durable protection.</w:t>
            </w:r>
          </w:p>
        </w:tc>
      </w:tr>
    </w:tbl>
    <w:p>
      <w:pPr>
        <w:spacing w:after="40"/>
      </w:pPr>
    </w:p>
    <w:p>
      <w:pPr>
        <w:pStyle w:val="Heading2"/>
      </w:pPr>
      <w:r>
        <w:t>E. Non-Disparagement — Original § 8.5 (not amended)</w:t>
      </w:r>
    </w:p>
    <w:tbl>
      <w:tblPr>
        <w:tblStyle w:val="TableGrid"/>
        <w:tblW w:type="auto" w:w="0"/>
        <w:jc w:val="center"/>
        <w:tblLayout w:type="fixed"/>
        <w:tblLook w:firstColumn="1" w:firstRow="1" w:lastColumn="0" w:lastRow="0" w:noHBand="0" w:noVBand="1" w:val="04A0"/>
      </w:tblPr>
      <w:tblGrid>
        <w:gridCol w:w="2232"/>
        <w:gridCol w:w="7416"/>
      </w:tblGrid>
      <w:tr>
        <w:trPr>
          <w:tblHeader w:val="true"/>
        </w:trPr>
        <w:tc>
          <w:tcPr>
            <w:tcW w:type="dxa" w:w="2232"/>
            <w:shd w:val="clear" w:color="auto" w:fill="D9E2F3"/>
          </w:tcPr>
          <w:p>
            <w:pPr>
              <w:spacing w:after="20"/>
            </w:pPr>
            <w:r/>
            <w:r>
              <w:rPr>
                <w:b/>
                <w:i w:val="0"/>
                <w:sz w:val="18"/>
              </w:rPr>
              <w:t>Field</w:t>
            </w:r>
          </w:p>
        </w:tc>
        <w:tc>
          <w:tcPr>
            <w:tcW w:type="dxa" w:w="7416"/>
            <w:shd w:val="clear" w:color="auto" w:fill="D9E2F3"/>
          </w:tcPr>
          <w:p>
            <w:pPr>
              <w:spacing w:after="20"/>
            </w:pPr>
            <w:r/>
            <w:r>
              <w:rPr>
                <w:b/>
                <w:i w:val="0"/>
                <w:sz w:val="18"/>
              </w:rPr>
              <w:t>Extraction</w:t>
            </w:r>
          </w:p>
        </w:tc>
      </w:tr>
      <w:tr>
        <w:tc>
          <w:tcPr>
            <w:tcW w:type="dxa" w:w="2232"/>
            <w:shd w:val="clear" w:color="auto" w:fill="F2F2F2"/>
          </w:tcPr>
          <w:p>
            <w:pPr>
              <w:spacing w:after="20"/>
            </w:pPr>
            <w:r/>
            <w:r>
              <w:rPr>
                <w:b/>
                <w:i w:val="0"/>
                <w:sz w:val="18"/>
              </w:rPr>
              <w:t>Source</w:t>
            </w:r>
          </w:p>
        </w:tc>
        <w:tc>
          <w:tcPr>
            <w:tcW w:type="dxa" w:w="7416"/>
          </w:tcPr>
          <w:p>
            <w:pPr>
              <w:spacing w:after="20"/>
            </w:pPr>
            <w:r/>
            <w:r>
              <w:rPr>
                <w:b w:val="0"/>
                <w:i w:val="0"/>
                <w:sz w:val="18"/>
              </w:rPr>
              <w:t>Original § 8.5</w:t>
            </w:r>
          </w:p>
        </w:tc>
      </w:tr>
      <w:tr>
        <w:tc>
          <w:tcPr>
            <w:tcW w:type="dxa" w:w="2232"/>
            <w:shd w:val="clear" w:color="auto" w:fill="F2F2F2"/>
          </w:tcPr>
          <w:p>
            <w:pPr>
              <w:spacing w:after="20"/>
            </w:pPr>
            <w:r/>
            <w:r>
              <w:rPr>
                <w:b/>
                <w:i w:val="0"/>
                <w:sz w:val="18"/>
              </w:rPr>
              <w:t>Type</w:t>
            </w:r>
          </w:p>
        </w:tc>
        <w:tc>
          <w:tcPr>
            <w:tcW w:type="dxa" w:w="7416"/>
          </w:tcPr>
          <w:p>
            <w:pPr>
              <w:spacing w:after="20"/>
            </w:pPr>
            <w:r/>
            <w:r>
              <w:rPr>
                <w:b w:val="0"/>
                <w:i w:val="0"/>
                <w:sz w:val="18"/>
              </w:rPr>
              <w:t>Non-disparagement (nominally “mutual”)</w:t>
            </w:r>
          </w:p>
        </w:tc>
      </w:tr>
      <w:tr>
        <w:tc>
          <w:tcPr>
            <w:tcW w:type="dxa" w:w="2232"/>
            <w:shd w:val="clear" w:color="auto" w:fill="F2F2F2"/>
          </w:tcPr>
          <w:p>
            <w:pPr>
              <w:spacing w:after="20"/>
            </w:pPr>
            <w:r/>
            <w:r>
              <w:rPr>
                <w:b/>
                <w:i w:val="0"/>
                <w:sz w:val="18"/>
              </w:rPr>
              <w:t>Duration</w:t>
            </w:r>
          </w:p>
        </w:tc>
        <w:tc>
          <w:tcPr>
            <w:tcW w:type="dxa" w:w="7416"/>
          </w:tcPr>
          <w:p>
            <w:pPr>
              <w:spacing w:after="20"/>
            </w:pPr>
            <w:r/>
            <w:r>
              <w:rPr>
                <w:b w:val="0"/>
                <w:i w:val="0"/>
                <w:sz w:val="18"/>
              </w:rPr>
              <w:t>During employment and “in perpetuity”</w:t>
            </w:r>
          </w:p>
        </w:tc>
      </w:tr>
      <w:tr>
        <w:tc>
          <w:tcPr>
            <w:tcW w:type="dxa" w:w="2232"/>
            <w:shd w:val="clear" w:color="auto" w:fill="F2F2F2"/>
          </w:tcPr>
          <w:p>
            <w:pPr>
              <w:spacing w:after="20"/>
            </w:pPr>
            <w:r/>
            <w:r>
              <w:rPr>
                <w:b/>
                <w:i w:val="0"/>
                <w:sz w:val="18"/>
              </w:rPr>
              <w:t>Geography</w:t>
            </w:r>
          </w:p>
        </w:tc>
        <w:tc>
          <w:tcPr>
            <w:tcW w:type="dxa" w:w="7416"/>
          </w:tcPr>
          <w:p>
            <w:pPr>
              <w:spacing w:after="20"/>
            </w:pPr>
            <w:r/>
            <w:r>
              <w:rPr>
                <w:b w:val="0"/>
                <w:i w:val="0"/>
                <w:sz w:val="18"/>
              </w:rPr>
              <w:t>None</w:t>
            </w:r>
          </w:p>
        </w:tc>
      </w:tr>
      <w:tr>
        <w:tc>
          <w:tcPr>
            <w:tcW w:type="dxa" w:w="2232"/>
            <w:shd w:val="clear" w:color="auto" w:fill="F2F2F2"/>
          </w:tcPr>
          <w:p>
            <w:pPr>
              <w:spacing w:after="20"/>
            </w:pPr>
            <w:r/>
            <w:r>
              <w:rPr>
                <w:b/>
                <w:i w:val="0"/>
                <w:sz w:val="18"/>
              </w:rPr>
              <w:t>Prohibited activity</w:t>
            </w:r>
          </w:p>
        </w:tc>
        <w:tc>
          <w:tcPr>
            <w:tcW w:type="dxa" w:w="7416"/>
          </w:tcPr>
          <w:p>
            <w:pPr>
              <w:spacing w:after="20"/>
            </w:pPr>
            <w:r/>
            <w:r>
              <w:rPr>
                <w:b w:val="0"/>
                <w:i w:val="0"/>
                <w:sz w:val="18"/>
              </w:rPr>
              <w:t xml:space="preserve">Executive shall not make “any statement, whether written or oral, including in any public forum, on social media, or to any member of the press, that disparages, defames, or </w:t>
            </w:r>
            <w:r>
              <w:rPr>
                <w:b/>
                <w:i w:val="0"/>
                <w:sz w:val="18"/>
              </w:rPr>
              <w:t>casts in an unfavorable light</w:t>
            </w:r>
            <w:r>
              <w:rPr>
                <w:b w:val="0"/>
                <w:i w:val="0"/>
                <w:sz w:val="18"/>
              </w:rPr>
              <w:t>” the Company, any Affiliate, or their past or present officers, directors, shareholders, members, managers, employees, agents, products or services. Company obligation: only to “</w:t>
            </w:r>
            <w:r>
              <w:rPr>
                <w:b/>
                <w:i w:val="0"/>
                <w:sz w:val="18"/>
              </w:rPr>
              <w:t>instruct</w:t>
            </w:r>
            <w:r>
              <w:rPr>
                <w:b w:val="0"/>
                <w:i w:val="0"/>
                <w:sz w:val="18"/>
              </w:rPr>
              <w:t xml:space="preserve"> its current officers and directors” not to disparage Executive.</w:t>
            </w:r>
          </w:p>
        </w:tc>
      </w:tr>
      <w:tr>
        <w:tc>
          <w:tcPr>
            <w:tcW w:type="dxa" w:w="2232"/>
            <w:shd w:val="clear" w:color="auto" w:fill="F2F2F2"/>
          </w:tcPr>
          <w:p>
            <w:pPr>
              <w:spacing w:after="20"/>
            </w:pPr>
            <w:r/>
            <w:r>
              <w:rPr>
                <w:b/>
                <w:i w:val="0"/>
                <w:sz w:val="18"/>
              </w:rPr>
              <w:t>Triggers</w:t>
            </w:r>
          </w:p>
        </w:tc>
        <w:tc>
          <w:tcPr>
            <w:tcW w:type="dxa" w:w="7416"/>
          </w:tcPr>
          <w:p>
            <w:pPr>
              <w:spacing w:after="20"/>
            </w:pPr>
            <w:r/>
            <w:r>
              <w:rPr>
                <w:b w:val="0"/>
                <w:i w:val="0"/>
                <w:sz w:val="18"/>
              </w:rPr>
              <w:t>Any qualifying statement at any time.</w:t>
            </w:r>
          </w:p>
        </w:tc>
      </w:tr>
      <w:tr>
        <w:tc>
          <w:tcPr>
            <w:tcW w:type="dxa" w:w="2232"/>
            <w:shd w:val="clear" w:color="auto" w:fill="F2F2F2"/>
          </w:tcPr>
          <w:p>
            <w:pPr>
              <w:spacing w:after="20"/>
            </w:pPr>
            <w:r/>
            <w:r>
              <w:rPr>
                <w:b/>
                <w:i w:val="0"/>
                <w:sz w:val="18"/>
              </w:rPr>
              <w:t>Financial consequences</w:t>
            </w:r>
          </w:p>
        </w:tc>
        <w:tc>
          <w:tcPr>
            <w:tcW w:type="dxa" w:w="7416"/>
          </w:tcPr>
          <w:p>
            <w:pPr>
              <w:spacing w:after="20"/>
            </w:pPr>
            <w:r/>
            <w:r>
              <w:rPr>
                <w:b w:val="0"/>
                <w:i w:val="0"/>
                <w:sz w:val="18"/>
              </w:rPr>
              <w:t>EA § 6.2 / Amendment § 9 (subject to reference issue); injunction (prior-restraint concerns); damages. No RSU clawback.</w:t>
            </w:r>
          </w:p>
        </w:tc>
      </w:tr>
      <w:tr>
        <w:tc>
          <w:tcPr>
            <w:tcW w:type="dxa" w:w="2232"/>
            <w:shd w:val="clear" w:color="auto" w:fill="F2F2F2"/>
          </w:tcPr>
          <w:p>
            <w:pPr>
              <w:spacing w:after="20"/>
            </w:pPr>
            <w:r/>
            <w:r>
              <w:rPr>
                <w:b/>
                <w:i w:val="0"/>
                <w:sz w:val="18"/>
              </w:rPr>
              <w:t>Observations</w:t>
            </w:r>
          </w:p>
        </w:tc>
        <w:tc>
          <w:tcPr>
            <w:tcW w:type="dxa" w:w="7416"/>
          </w:tcPr>
          <w:p>
            <w:pPr>
              <w:spacing w:after="20"/>
            </w:pPr>
            <w:r/>
            <w:r>
              <w:rPr>
                <w:b w:val="0"/>
                <w:i w:val="0"/>
                <w:sz w:val="18"/>
              </w:rPr>
              <w:t>No carve-outs for truthful testimony, legal process, agency communications or legally protected speech; the cooperation clause (§ 8.6) requires truthful information that may well cast the Company in an unfavorable light. See Part VIII.D (McLaren Macomb, Rule 21F-17, Speak Out Act).</w:t>
            </w:r>
          </w:p>
        </w:tc>
      </w:tr>
    </w:tbl>
    <w:p>
      <w:pPr>
        <w:spacing w:after="40"/>
      </w:pPr>
    </w:p>
    <w:p>
      <w:pPr>
        <w:pStyle w:val="Heading2"/>
      </w:pPr>
      <w:r>
        <w:t>F. Cooperation — Original § 8.6 (not amended)</w:t>
      </w:r>
    </w:p>
    <w:tbl>
      <w:tblPr>
        <w:tblStyle w:val="TableGrid"/>
        <w:tblW w:type="auto" w:w="0"/>
        <w:jc w:val="center"/>
        <w:tblLayout w:type="fixed"/>
        <w:tblLook w:firstColumn="1" w:firstRow="1" w:lastColumn="0" w:lastRow="0" w:noHBand="0" w:noVBand="1" w:val="04A0"/>
      </w:tblPr>
      <w:tblGrid>
        <w:gridCol w:w="2232"/>
        <w:gridCol w:w="7416"/>
      </w:tblGrid>
      <w:tr>
        <w:trPr>
          <w:tblHeader w:val="true"/>
        </w:trPr>
        <w:tc>
          <w:tcPr>
            <w:tcW w:type="dxa" w:w="2232"/>
            <w:shd w:val="clear" w:color="auto" w:fill="D9E2F3"/>
          </w:tcPr>
          <w:p>
            <w:pPr>
              <w:spacing w:after="20"/>
            </w:pPr>
            <w:r/>
            <w:r>
              <w:rPr>
                <w:b/>
                <w:i w:val="0"/>
                <w:sz w:val="18"/>
              </w:rPr>
              <w:t>Field</w:t>
            </w:r>
          </w:p>
        </w:tc>
        <w:tc>
          <w:tcPr>
            <w:tcW w:type="dxa" w:w="7416"/>
            <w:shd w:val="clear" w:color="auto" w:fill="D9E2F3"/>
          </w:tcPr>
          <w:p>
            <w:pPr>
              <w:spacing w:after="20"/>
            </w:pPr>
            <w:r/>
            <w:r>
              <w:rPr>
                <w:b/>
                <w:i w:val="0"/>
                <w:sz w:val="18"/>
              </w:rPr>
              <w:t>Extraction</w:t>
            </w:r>
          </w:p>
        </w:tc>
      </w:tr>
      <w:tr>
        <w:tc>
          <w:tcPr>
            <w:tcW w:type="dxa" w:w="2232"/>
            <w:shd w:val="clear" w:color="auto" w:fill="F2F2F2"/>
          </w:tcPr>
          <w:p>
            <w:pPr>
              <w:spacing w:after="20"/>
            </w:pPr>
            <w:r/>
            <w:r>
              <w:rPr>
                <w:b/>
                <w:i w:val="0"/>
                <w:sz w:val="18"/>
              </w:rPr>
              <w:t>Source / type</w:t>
            </w:r>
          </w:p>
        </w:tc>
        <w:tc>
          <w:tcPr>
            <w:tcW w:type="dxa" w:w="7416"/>
          </w:tcPr>
          <w:p>
            <w:pPr>
              <w:spacing w:after="20"/>
            </w:pPr>
            <w:r/>
            <w:r>
              <w:rPr>
                <w:b w:val="0"/>
                <w:i w:val="0"/>
                <w:sz w:val="18"/>
              </w:rPr>
              <w:t>Original § 8.6 — post-employment litigation and investigation cooperation</w:t>
            </w:r>
          </w:p>
        </w:tc>
      </w:tr>
      <w:tr>
        <w:tc>
          <w:tcPr>
            <w:tcW w:type="dxa" w:w="2232"/>
            <w:shd w:val="clear" w:color="auto" w:fill="F2F2F2"/>
          </w:tcPr>
          <w:p>
            <w:pPr>
              <w:spacing w:after="20"/>
            </w:pPr>
            <w:r/>
            <w:r>
              <w:rPr>
                <w:b/>
                <w:i w:val="0"/>
                <w:sz w:val="18"/>
              </w:rPr>
              <w:t>Duration</w:t>
            </w:r>
          </w:p>
        </w:tc>
        <w:tc>
          <w:tcPr>
            <w:tcW w:type="dxa" w:w="7416"/>
          </w:tcPr>
          <w:p>
            <w:pPr>
              <w:spacing w:after="20"/>
            </w:pPr>
            <w:r/>
            <w:r>
              <w:rPr>
                <w:b/>
                <w:i w:val="0"/>
                <w:sz w:val="18"/>
              </w:rPr>
              <w:t>36 months</w:t>
            </w:r>
            <w:r>
              <w:rPr>
                <w:b w:val="0"/>
                <w:i w:val="0"/>
                <w:sz w:val="18"/>
              </w:rPr>
              <w:t xml:space="preserve"> after termination for any reason (through </w:t>
            </w:r>
            <w:r>
              <w:rPr>
                <w:b/>
                <w:i w:val="0"/>
                <w:sz w:val="18"/>
              </w:rPr>
              <w:t>Feb. 28, 2028</w:t>
            </w:r>
            <w:r>
              <w:rPr>
                <w:b w:val="0"/>
                <w:i w:val="0"/>
                <w:sz w:val="18"/>
              </w:rPr>
              <w:t>)</w:t>
            </w:r>
          </w:p>
        </w:tc>
      </w:tr>
      <w:tr>
        <w:tc>
          <w:tcPr>
            <w:tcW w:type="dxa" w:w="2232"/>
            <w:shd w:val="clear" w:color="auto" w:fill="F2F2F2"/>
          </w:tcPr>
          <w:p>
            <w:pPr>
              <w:spacing w:after="20"/>
            </w:pPr>
            <w:r/>
            <w:r>
              <w:rPr>
                <w:b/>
                <w:i w:val="0"/>
                <w:sz w:val="18"/>
              </w:rPr>
              <w:t>Scope</w:t>
            </w:r>
          </w:p>
        </w:tc>
        <w:tc>
          <w:tcPr>
            <w:tcW w:type="dxa" w:w="7416"/>
          </w:tcPr>
          <w:p>
            <w:pPr>
              <w:spacing w:after="20"/>
            </w:pPr>
            <w:r/>
            <w:r>
              <w:rPr>
                <w:b w:val="0"/>
                <w:i w:val="0"/>
                <w:sz w:val="18"/>
              </w:rPr>
              <w:t>Reasonably cooperate in any litigation, arbitration, investigation, regulatory inquiry, audit or proceeding relating to matters he was involved in or knew of: interviews, depositions, hearings, testimony, document review; truthful, accurate and complete information.</w:t>
            </w:r>
          </w:p>
        </w:tc>
      </w:tr>
      <w:tr>
        <w:tc>
          <w:tcPr>
            <w:tcW w:type="dxa" w:w="2232"/>
            <w:shd w:val="clear" w:color="auto" w:fill="F2F2F2"/>
          </w:tcPr>
          <w:p>
            <w:pPr>
              <w:spacing w:after="20"/>
            </w:pPr>
            <w:r/>
            <w:r>
              <w:rPr>
                <w:b/>
                <w:i w:val="0"/>
                <w:sz w:val="18"/>
              </w:rPr>
              <w:t>Company obligations</w:t>
            </w:r>
          </w:p>
        </w:tc>
        <w:tc>
          <w:tcPr>
            <w:tcW w:type="dxa" w:w="7416"/>
          </w:tcPr>
          <w:p>
            <w:pPr>
              <w:spacing w:after="20"/>
            </w:pPr>
            <w:r/>
            <w:r>
              <w:rPr>
                <w:b w:val="0"/>
                <w:i w:val="0"/>
                <w:sz w:val="18"/>
              </w:rPr>
              <w:t xml:space="preserve">Reimburse reasonable documented out-of-pocket expenses (submitted within 30 days; paid within 60 days). </w:t>
            </w:r>
            <w:r>
              <w:rPr>
                <w:b/>
                <w:i w:val="0"/>
                <w:sz w:val="18"/>
              </w:rPr>
              <w:t>No compensation for time.</w:t>
            </w:r>
          </w:p>
        </w:tc>
      </w:tr>
      <w:tr>
        <w:tc>
          <w:tcPr>
            <w:tcW w:type="dxa" w:w="2232"/>
            <w:shd w:val="clear" w:color="auto" w:fill="F2F2F2"/>
          </w:tcPr>
          <w:p>
            <w:pPr>
              <w:spacing w:after="20"/>
            </w:pPr>
            <w:r/>
            <w:r>
              <w:rPr>
                <w:b/>
                <w:i w:val="0"/>
                <w:sz w:val="18"/>
              </w:rPr>
              <w:t>Financial consequences</w:t>
            </w:r>
          </w:p>
        </w:tc>
        <w:tc>
          <w:tcPr>
            <w:tcW w:type="dxa" w:w="7416"/>
          </w:tcPr>
          <w:p>
            <w:pPr>
              <w:spacing w:after="20"/>
            </w:pPr>
            <w:r/>
            <w:r>
              <w:rPr>
                <w:b w:val="0"/>
                <w:i w:val="0"/>
                <w:sz w:val="18"/>
              </w:rPr>
              <w:t>Because § 8.6 sits in Article VIII, non-cooperation is arguably a breach of a “Restrictive Covenant” that can terminate/recapture severance under § 6.2 — a point a court may view skeptically. Not covered by RSU clawback.</w:t>
            </w:r>
          </w:p>
        </w:tc>
      </w:tr>
      <w:tr>
        <w:tc>
          <w:tcPr>
            <w:tcW w:type="dxa" w:w="2232"/>
            <w:shd w:val="clear" w:color="auto" w:fill="F2F2F2"/>
          </w:tcPr>
          <w:p>
            <w:pPr>
              <w:spacing w:after="20"/>
            </w:pPr>
            <w:r/>
            <w:r>
              <w:rPr>
                <w:b/>
                <w:i w:val="0"/>
                <w:sz w:val="18"/>
              </w:rPr>
              <w:t>Observations</w:t>
            </w:r>
          </w:p>
        </w:tc>
        <w:tc>
          <w:tcPr>
            <w:tcW w:type="dxa" w:w="7416"/>
          </w:tcPr>
          <w:p>
            <w:pPr>
              <w:spacing w:after="20"/>
            </w:pPr>
            <w:r/>
            <w:r>
              <w:rPr>
                <w:b w:val="0"/>
                <w:i w:val="0"/>
                <w:sz w:val="18"/>
              </w:rPr>
              <w:t>Consider an hourly rate for time beyond a threshold in the separation agreement to make the obligation more practically enforceable.</w:t>
            </w:r>
          </w:p>
        </w:tc>
      </w:tr>
    </w:tbl>
    <w:p>
      <w:pPr>
        <w:spacing w:after="40"/>
      </w:pPr>
    </w:p>
    <w:p>
      <w:pPr>
        <w:pStyle w:val="Heading2"/>
      </w:pPr>
      <w:r>
        <w:t>G. Notice of Resignation and Garden Leave — Amendment § 7 (new “Section 7(e)”)</w:t>
      </w:r>
    </w:p>
    <w:tbl>
      <w:tblPr>
        <w:tblStyle w:val="TableGrid"/>
        <w:tblW w:type="auto" w:w="0"/>
        <w:jc w:val="center"/>
        <w:tblLayout w:type="fixed"/>
        <w:tblLook w:firstColumn="1" w:firstRow="1" w:lastColumn="0" w:lastRow="0" w:noHBand="0" w:noVBand="1" w:val="04A0"/>
      </w:tblPr>
      <w:tblGrid>
        <w:gridCol w:w="2232"/>
        <w:gridCol w:w="7416"/>
      </w:tblGrid>
      <w:tr>
        <w:trPr>
          <w:tblHeader w:val="true"/>
        </w:trPr>
        <w:tc>
          <w:tcPr>
            <w:tcW w:type="dxa" w:w="2232"/>
            <w:shd w:val="clear" w:color="auto" w:fill="D9E2F3"/>
          </w:tcPr>
          <w:p>
            <w:pPr>
              <w:spacing w:after="20"/>
            </w:pPr>
            <w:r/>
            <w:r>
              <w:rPr>
                <w:b/>
                <w:i w:val="0"/>
                <w:sz w:val="18"/>
              </w:rPr>
              <w:t>Field</w:t>
            </w:r>
          </w:p>
        </w:tc>
        <w:tc>
          <w:tcPr>
            <w:tcW w:type="dxa" w:w="7416"/>
            <w:shd w:val="clear" w:color="auto" w:fill="D9E2F3"/>
          </w:tcPr>
          <w:p>
            <w:pPr>
              <w:spacing w:after="20"/>
            </w:pPr>
            <w:r/>
            <w:r>
              <w:rPr>
                <w:b/>
                <w:i w:val="0"/>
                <w:sz w:val="18"/>
              </w:rPr>
              <w:t>Extraction</w:t>
            </w:r>
          </w:p>
        </w:tc>
      </w:tr>
      <w:tr>
        <w:tc>
          <w:tcPr>
            <w:tcW w:type="dxa" w:w="2232"/>
            <w:shd w:val="clear" w:color="auto" w:fill="F2F2F2"/>
          </w:tcPr>
          <w:p>
            <w:pPr>
              <w:spacing w:after="20"/>
            </w:pPr>
            <w:r/>
            <w:r>
              <w:rPr>
                <w:b/>
                <w:i w:val="0"/>
                <w:sz w:val="18"/>
              </w:rPr>
              <w:t>Source / type</w:t>
            </w:r>
          </w:p>
        </w:tc>
        <w:tc>
          <w:tcPr>
            <w:tcW w:type="dxa" w:w="7416"/>
          </w:tcPr>
          <w:p>
            <w:pPr>
              <w:spacing w:after="20"/>
            </w:pPr>
            <w:r/>
            <w:r>
              <w:rPr>
                <w:b w:val="0"/>
                <w:i w:val="0"/>
                <w:sz w:val="18"/>
              </w:rPr>
              <w:t>Amendment § 7 — advance resignation notice and garden leave; severance credit; concurrency with Restricted Period</w:t>
            </w:r>
          </w:p>
        </w:tc>
      </w:tr>
      <w:tr>
        <w:tc>
          <w:tcPr>
            <w:tcW w:type="dxa" w:w="2232"/>
            <w:shd w:val="clear" w:color="auto" w:fill="F2F2F2"/>
          </w:tcPr>
          <w:p>
            <w:pPr>
              <w:spacing w:after="20"/>
            </w:pPr>
            <w:r/>
            <w:r>
              <w:rPr>
                <w:b/>
                <w:i w:val="0"/>
                <w:sz w:val="18"/>
              </w:rPr>
              <w:t>Duration</w:t>
            </w:r>
          </w:p>
        </w:tc>
        <w:tc>
          <w:tcPr>
            <w:tcW w:type="dxa" w:w="7416"/>
          </w:tcPr>
          <w:p>
            <w:pPr>
              <w:spacing w:after="20"/>
            </w:pPr>
            <w:r/>
            <w:r>
              <w:rPr>
                <w:b w:val="0"/>
                <w:i w:val="0"/>
                <w:sz w:val="18"/>
              </w:rPr>
              <w:t xml:space="preserve">Notice Period of not less than </w:t>
            </w:r>
            <w:r>
              <w:rPr>
                <w:b/>
                <w:i w:val="0"/>
                <w:sz w:val="18"/>
              </w:rPr>
              <w:t>90 days</w:t>
            </w:r>
            <w:r>
              <w:rPr>
                <w:b w:val="0"/>
                <w:i w:val="0"/>
                <w:sz w:val="18"/>
              </w:rPr>
              <w:t xml:space="preserve"> before any voluntary resignation (supersedes the 30-day notice in Original § 6.3 to the extent of conflict). Garden leave may cover all or part of the Notice Period.</w:t>
            </w:r>
          </w:p>
        </w:tc>
      </w:tr>
      <w:tr>
        <w:tc>
          <w:tcPr>
            <w:tcW w:type="dxa" w:w="2232"/>
            <w:shd w:val="clear" w:color="auto" w:fill="F2F2F2"/>
          </w:tcPr>
          <w:p>
            <w:pPr>
              <w:spacing w:after="20"/>
            </w:pPr>
            <w:r/>
            <w:r>
              <w:rPr>
                <w:b/>
                <w:i w:val="0"/>
                <w:sz w:val="18"/>
              </w:rPr>
              <w:t>Trigger</w:t>
            </w:r>
          </w:p>
        </w:tc>
        <w:tc>
          <w:tcPr>
            <w:tcW w:type="dxa" w:w="7416"/>
          </w:tcPr>
          <w:p>
            <w:pPr>
              <w:spacing w:after="20"/>
            </w:pPr>
            <w:r/>
            <w:r>
              <w:rPr>
                <w:b/>
                <w:i w:val="0"/>
                <w:sz w:val="18"/>
              </w:rPr>
              <w:t>Executive’s</w:t>
            </w:r>
            <w:r>
              <w:rPr>
                <w:b w:val="0"/>
                <w:i w:val="0"/>
                <w:sz w:val="18"/>
              </w:rPr>
              <w:t xml:space="preserve"> notice of voluntary resignation. Company must elect garden leave in writing within 10 business days of receiving the resignation notice. Failure to give 90 days’ notice is a “material breach.”</w:t>
            </w:r>
          </w:p>
        </w:tc>
      </w:tr>
      <w:tr>
        <w:tc>
          <w:tcPr>
            <w:tcW w:type="dxa" w:w="2232"/>
            <w:shd w:val="clear" w:color="auto" w:fill="F2F2F2"/>
          </w:tcPr>
          <w:p>
            <w:pPr>
              <w:spacing w:after="20"/>
            </w:pPr>
            <w:r/>
            <w:r>
              <w:rPr>
                <w:b/>
                <w:i w:val="0"/>
                <w:sz w:val="18"/>
              </w:rPr>
              <w:t>Terms during garden leave</w:t>
            </w:r>
          </w:p>
        </w:tc>
        <w:tc>
          <w:tcPr>
            <w:tcW w:type="dxa" w:w="7416"/>
          </w:tcPr>
          <w:p>
            <w:pPr>
              <w:spacing w:after="20"/>
            </w:pPr>
            <w:r/>
            <w:r>
              <w:rPr>
                <w:b w:val="0"/>
                <w:i w:val="0"/>
                <w:sz w:val="18"/>
              </w:rPr>
              <w:t>Base salary and benefits continue; Executive remains an employee for all purposes (covenants, confidentiality, fiduciary duty); relieved of duties; need not report to office; may not engage in Competitive Activity or any other employment/business activity without consent.</w:t>
            </w:r>
          </w:p>
        </w:tc>
      </w:tr>
      <w:tr>
        <w:tc>
          <w:tcPr>
            <w:tcW w:type="dxa" w:w="2232"/>
            <w:shd w:val="clear" w:color="auto" w:fill="F2F2F2"/>
          </w:tcPr>
          <w:p>
            <w:pPr>
              <w:spacing w:after="20"/>
            </w:pPr>
            <w:r/>
            <w:r>
              <w:rPr>
                <w:b/>
                <w:i w:val="0"/>
                <w:sz w:val="18"/>
              </w:rPr>
              <w:t>Severance credit (clause (iv))</w:t>
            </w:r>
          </w:p>
        </w:tc>
        <w:tc>
          <w:tcPr>
            <w:tcW w:type="dxa" w:w="7416"/>
          </w:tcPr>
          <w:p>
            <w:pPr>
              <w:spacing w:after="20"/>
            </w:pPr>
            <w:r/>
            <w:r>
              <w:rPr>
                <w:b w:val="0"/>
                <w:i w:val="0"/>
                <w:sz w:val="18"/>
              </w:rPr>
              <w:t xml:space="preserve">If the Company terminates without Cause </w:t>
            </w:r>
            <w:r>
              <w:rPr>
                <w:b/>
                <w:i w:val="0"/>
                <w:sz w:val="18"/>
              </w:rPr>
              <w:t>and</w:t>
            </w:r>
            <w:r>
              <w:rPr>
                <w:b w:val="0"/>
                <w:i w:val="0"/>
                <w:sz w:val="18"/>
              </w:rPr>
              <w:t xml:space="preserve"> has elected garden leave “during any applicable Notice Period,” base salary paid during garden leave reduces base salary continuation “dollar-for-dollar” (illustration: $475,000 ÷ 365 × 90 = </w:t>
            </w:r>
            <w:r>
              <w:rPr>
                <w:b/>
                <w:i w:val="0"/>
                <w:sz w:val="18"/>
              </w:rPr>
              <w:t>$117,123</w:t>
            </w:r>
            <w:r>
              <w:rPr>
                <w:b w:val="0"/>
                <w:i w:val="0"/>
                <w:sz w:val="18"/>
              </w:rPr>
              <w:t>).</w:t>
            </w:r>
          </w:p>
        </w:tc>
      </w:tr>
      <w:tr>
        <w:tc>
          <w:tcPr>
            <w:tcW w:type="dxa" w:w="2232"/>
            <w:shd w:val="clear" w:color="auto" w:fill="F2F2F2"/>
          </w:tcPr>
          <w:p>
            <w:pPr>
              <w:spacing w:after="20"/>
            </w:pPr>
            <w:r/>
            <w:r>
              <w:rPr>
                <w:b/>
                <w:i w:val="0"/>
                <w:sz w:val="18"/>
              </w:rPr>
              <w:t>Concurrency (clause (v))</w:t>
            </w:r>
          </w:p>
        </w:tc>
        <w:tc>
          <w:tcPr>
            <w:tcW w:type="dxa" w:w="7416"/>
          </w:tcPr>
          <w:p>
            <w:pPr>
              <w:spacing w:after="20"/>
            </w:pPr>
            <w:r/>
            <w:r>
              <w:rPr>
                <w:b w:val="0"/>
                <w:i w:val="0"/>
                <w:sz w:val="18"/>
              </w:rPr>
              <w:t>Garden leave runs concurrently with and counts toward the 24-month non-compete Restricted Period.</w:t>
            </w:r>
          </w:p>
        </w:tc>
      </w:tr>
      <w:tr>
        <w:tc>
          <w:tcPr>
            <w:tcW w:type="dxa" w:w="2232"/>
            <w:shd w:val="clear" w:color="auto" w:fill="F2F2F2"/>
          </w:tcPr>
          <w:p>
            <w:pPr>
              <w:spacing w:after="20"/>
            </w:pPr>
            <w:r/>
            <w:r>
              <w:rPr>
                <w:b/>
                <w:i w:val="0"/>
                <w:sz w:val="18"/>
              </w:rPr>
              <w:t>Financial consequences</w:t>
            </w:r>
          </w:p>
        </w:tc>
        <w:tc>
          <w:tcPr>
            <w:tcW w:type="dxa" w:w="7416"/>
          </w:tcPr>
          <w:p>
            <w:pPr>
              <w:spacing w:after="20"/>
            </w:pPr>
            <w:r/>
            <w:r>
              <w:rPr>
                <w:b w:val="0"/>
                <w:i w:val="0"/>
                <w:sz w:val="18"/>
              </w:rPr>
              <w:t>See Part VI.B — no offset in a Company-initiated termination.</w:t>
            </w:r>
          </w:p>
        </w:tc>
      </w:tr>
      <w:tr>
        <w:tc>
          <w:tcPr>
            <w:tcW w:type="dxa" w:w="2232"/>
            <w:shd w:val="clear" w:color="auto" w:fill="F2F2F2"/>
          </w:tcPr>
          <w:p>
            <w:pPr>
              <w:spacing w:after="20"/>
            </w:pPr>
            <w:r/>
            <w:r>
              <w:rPr>
                <w:b/>
                <w:i w:val="0"/>
                <w:sz w:val="18"/>
              </w:rPr>
              <w:t>Observations</w:t>
            </w:r>
          </w:p>
        </w:tc>
        <w:tc>
          <w:tcPr>
            <w:tcW w:type="dxa" w:w="7416"/>
          </w:tcPr>
          <w:p>
            <w:pPr>
              <w:spacing w:after="20"/>
            </w:pPr>
            <w:r/>
            <w:r>
              <w:rPr>
                <w:b w:val="0"/>
                <w:i w:val="0"/>
                <w:sz w:val="18"/>
              </w:rPr>
              <w:t>(i) Cross-references to “Section 5(c)” and “Section 5(d)” are wrong. (ii) Clause (v) conflicts with clause (iii)(B) and the Restricted Period definition: time on garden leave is time “during employment,” yet it is credited against a period that runs “following” termination — the effect is that the post-termination tail shrinks to ~21 months if garden leave is fully used. (iii) Unclear whether a Good Reason resignation (which must be effective within 30 days after the cure period, § 1.6) is a “voluntary resignation” requiring 90 days’ notice. (iv) Placing Manheim on unilateral paid leave outside this mechanism could itself constitute “Good Reason” (material diminution in authority/duties, § 1.6(b)).</w:t>
            </w:r>
          </w:p>
        </w:tc>
      </w:tr>
    </w:tbl>
    <w:p>
      <w:pPr>
        <w:spacing w:after="40"/>
      </w:pPr>
    </w:p>
    <w:p>
      <w:pPr>
        <w:pStyle w:val="Heading2"/>
      </w:pPr>
      <w:r>
        <w:t>H. Severance Conditioning, Cessation and Repayment — Original § 6.2 vs. Amendment § 9 (“Section 7(f)”)</w:t>
      </w:r>
    </w:p>
    <w:tbl>
      <w:tblPr>
        <w:tblStyle w:val="TableGrid"/>
        <w:tblW w:type="auto" w:w="0"/>
        <w:jc w:val="center"/>
        <w:tblLayout w:type="fixed"/>
        <w:tblLook w:firstColumn="1" w:firstRow="1" w:lastColumn="0" w:lastRow="0" w:noHBand="0" w:noVBand="1" w:val="04A0"/>
      </w:tblPr>
      <w:tblGrid>
        <w:gridCol w:w="1512"/>
        <w:gridCol w:w="2880"/>
        <w:gridCol w:w="3024"/>
        <w:gridCol w:w="2232"/>
      </w:tblGrid>
      <w:tr>
        <w:trPr>
          <w:tblHeader w:val="true"/>
        </w:trPr>
        <w:tc>
          <w:tcPr>
            <w:tcW w:type="dxa" w:w="1512"/>
            <w:shd w:val="clear" w:color="auto" w:fill="D9E2F3"/>
          </w:tcPr>
          <w:p>
            <w:pPr>
              <w:spacing w:after="20"/>
            </w:pPr>
            <w:r/>
            <w:r>
              <w:rPr>
                <w:b/>
                <w:i w:val="0"/>
                <w:sz w:val="17"/>
              </w:rPr>
              <w:t>Element</w:t>
            </w:r>
          </w:p>
        </w:tc>
        <w:tc>
          <w:tcPr>
            <w:tcW w:type="dxa" w:w="2880"/>
            <w:shd w:val="clear" w:color="auto" w:fill="D9E2F3"/>
          </w:tcPr>
          <w:p>
            <w:pPr>
              <w:spacing w:after="20"/>
            </w:pPr>
            <w:r/>
            <w:r>
              <w:rPr>
                <w:b/>
                <w:i w:val="0"/>
                <w:sz w:val="17"/>
              </w:rPr>
              <w:t>Original § 6.2 (and § 6.4)</w:t>
            </w:r>
          </w:p>
        </w:tc>
        <w:tc>
          <w:tcPr>
            <w:tcW w:type="dxa" w:w="3024"/>
            <w:shd w:val="clear" w:color="auto" w:fill="D9E2F3"/>
          </w:tcPr>
          <w:p>
            <w:pPr>
              <w:spacing w:after="20"/>
            </w:pPr>
            <w:r/>
            <w:r>
              <w:rPr>
                <w:b/>
                <w:i w:val="0"/>
                <w:sz w:val="17"/>
              </w:rPr>
              <w:t>Amendment § 9 (“§ 7(f)” Forfeiture-for-Breach)</w:t>
            </w:r>
          </w:p>
        </w:tc>
        <w:tc>
          <w:tcPr>
            <w:tcW w:type="dxa" w:w="2232"/>
            <w:shd w:val="clear" w:color="auto" w:fill="D9E2F3"/>
          </w:tcPr>
          <w:p>
            <w:pPr>
              <w:spacing w:after="20"/>
            </w:pPr>
            <w:r/>
            <w:r>
              <w:rPr>
                <w:b/>
                <w:i w:val="0"/>
                <w:sz w:val="17"/>
              </w:rPr>
              <w:t>Difference / conflict</w:t>
            </w:r>
          </w:p>
        </w:tc>
      </w:tr>
      <w:tr>
        <w:tc>
          <w:tcPr>
            <w:tcW w:type="dxa" w:w="1512"/>
          </w:tcPr>
          <w:p>
            <w:pPr>
              <w:spacing w:after="20"/>
            </w:pPr>
            <w:r/>
            <w:r>
              <w:rPr>
                <w:b w:val="0"/>
                <w:i w:val="0"/>
                <w:sz w:val="17"/>
              </w:rPr>
              <w:t>Trigger</w:t>
            </w:r>
          </w:p>
        </w:tc>
        <w:tc>
          <w:tcPr>
            <w:tcW w:type="dxa" w:w="2880"/>
          </w:tcPr>
          <w:p>
            <w:pPr>
              <w:spacing w:after="20"/>
            </w:pPr>
            <w:r/>
            <w:r>
              <w:rPr>
                <w:b w:val="0"/>
                <w:i w:val="0"/>
                <w:sz w:val="17"/>
              </w:rPr>
              <w:t>Breach of any Restrictive Covenant in Article VIII; severance also conditioned on Release executed and irrevocable within 45 days</w:t>
            </w:r>
          </w:p>
        </w:tc>
        <w:tc>
          <w:tcPr>
            <w:tcW w:type="dxa" w:w="3024"/>
          </w:tcPr>
          <w:p>
            <w:pPr>
              <w:spacing w:after="20"/>
            </w:pPr>
            <w:r/>
            <w:r>
              <w:rPr>
                <w:b w:val="0"/>
                <w:i w:val="0"/>
                <w:sz w:val="17"/>
              </w:rPr>
              <w:t>Breach of “any restrictive covenant set forth in this Section 7 … including without limitation the non-competition, non-solicitation, and confidentiality covenants”</w:t>
            </w:r>
          </w:p>
        </w:tc>
        <w:tc>
          <w:tcPr>
            <w:tcW w:type="dxa" w:w="2232"/>
          </w:tcPr>
          <w:p>
            <w:pPr>
              <w:spacing w:after="20"/>
            </w:pPr>
            <w:r/>
            <w:r>
              <w:rPr>
                <w:b w:val="0"/>
                <w:i w:val="0"/>
                <w:sz w:val="17"/>
              </w:rPr>
              <w:t>Amendment’s literal scope is “Section 7” (reserved Article VII)</w:t>
            </w:r>
          </w:p>
        </w:tc>
      </w:tr>
      <w:tr>
        <w:tc>
          <w:tcPr>
            <w:tcW w:type="dxa" w:w="1512"/>
          </w:tcPr>
          <w:p>
            <w:pPr>
              <w:spacing w:after="20"/>
            </w:pPr>
            <w:r/>
            <w:r>
              <w:rPr>
                <w:b w:val="0"/>
                <w:i w:val="0"/>
                <w:sz w:val="17"/>
              </w:rPr>
              <w:t>Unpaid amounts</w:t>
            </w:r>
          </w:p>
        </w:tc>
        <w:tc>
          <w:tcPr>
            <w:tcW w:type="dxa" w:w="2880"/>
          </w:tcPr>
          <w:p>
            <w:pPr>
              <w:spacing w:after="20"/>
            </w:pPr>
            <w:r/>
            <w:r>
              <w:rPr>
                <w:b w:val="0"/>
                <w:i w:val="0"/>
                <w:sz w:val="17"/>
              </w:rPr>
              <w:t>Obligation to make further payments “shall immediately cease”</w:t>
            </w:r>
          </w:p>
        </w:tc>
        <w:tc>
          <w:tcPr>
            <w:tcW w:type="dxa" w:w="3024"/>
          </w:tcPr>
          <w:p>
            <w:pPr>
              <w:spacing w:after="20"/>
            </w:pPr>
            <w:r/>
            <w:r>
              <w:rPr>
                <w:b w:val="0"/>
                <w:i w:val="0"/>
                <w:sz w:val="17"/>
              </w:rPr>
              <w:t>“immediately and permanently forfeited”</w:t>
            </w:r>
          </w:p>
        </w:tc>
        <w:tc>
          <w:tcPr>
            <w:tcW w:type="dxa" w:w="2232"/>
          </w:tcPr>
          <w:p>
            <w:pPr>
              <w:spacing w:after="20"/>
            </w:pPr>
            <w:r/>
            <w:r>
              <w:rPr>
                <w:b w:val="0"/>
                <w:i w:val="0"/>
                <w:sz w:val="17"/>
              </w:rPr>
              <w:t>Consistent</w:t>
            </w:r>
          </w:p>
        </w:tc>
      </w:tr>
      <w:tr>
        <w:tc>
          <w:tcPr>
            <w:tcW w:type="dxa" w:w="1512"/>
          </w:tcPr>
          <w:p>
            <w:pPr>
              <w:spacing w:after="20"/>
            </w:pPr>
            <w:r/>
            <w:r>
              <w:rPr>
                <w:b w:val="0"/>
                <w:i w:val="0"/>
                <w:sz w:val="17"/>
              </w:rPr>
              <w:t>Repayment — scope</w:t>
            </w:r>
          </w:p>
        </w:tc>
        <w:tc>
          <w:tcPr>
            <w:tcW w:type="dxa" w:w="2880"/>
          </w:tcPr>
          <w:p>
            <w:pPr>
              <w:spacing w:after="20"/>
            </w:pPr>
            <w:r/>
            <w:r>
              <w:rPr>
                <w:b w:val="0"/>
                <w:i w:val="0"/>
                <w:sz w:val="17"/>
              </w:rPr>
              <w:t xml:space="preserve">“any amounts previously received under clauses (b), (c), and (d)” (salary continuation, pro-rated bonus, COBRA) — </w:t>
            </w:r>
            <w:r>
              <w:rPr>
                <w:b/>
                <w:i w:val="0"/>
                <w:sz w:val="17"/>
              </w:rPr>
              <w:t>no lookback limit</w:t>
            </w:r>
          </w:p>
        </w:tc>
        <w:tc>
          <w:tcPr>
            <w:tcW w:type="dxa" w:w="3024"/>
          </w:tcPr>
          <w:p>
            <w:pPr>
              <w:spacing w:after="20"/>
            </w:pPr>
            <w:r/>
            <w:r>
              <w:rPr>
                <w:b/>
                <w:i w:val="0"/>
                <w:sz w:val="17"/>
              </w:rPr>
              <w:t>100%</w:t>
            </w:r>
            <w:r>
              <w:rPr>
                <w:b w:val="0"/>
                <w:i w:val="0"/>
                <w:sz w:val="17"/>
              </w:rPr>
              <w:t xml:space="preserve"> of severance “previously received … during the twelve (12) month period preceding” the </w:t>
            </w:r>
            <w:r>
              <w:rPr>
                <w:b/>
                <w:i w:val="0"/>
                <w:sz w:val="17"/>
              </w:rPr>
              <w:t>Breach Determination Date</w:t>
            </w:r>
          </w:p>
        </w:tc>
        <w:tc>
          <w:tcPr>
            <w:tcW w:type="dxa" w:w="2232"/>
          </w:tcPr>
          <w:p>
            <w:pPr>
              <w:spacing w:after="20"/>
            </w:pPr>
            <w:r/>
            <w:r>
              <w:rPr>
                <w:b w:val="0"/>
                <w:i w:val="0"/>
                <w:sz w:val="17"/>
              </w:rPr>
              <w:t>Amendment imposes a 12-month lookback; if it controls, severance received &gt;12 months before the determination is not recoverable</w:t>
            </w:r>
          </w:p>
        </w:tc>
      </w:tr>
      <w:tr>
        <w:tc>
          <w:tcPr>
            <w:tcW w:type="dxa" w:w="1512"/>
          </w:tcPr>
          <w:p>
            <w:pPr>
              <w:spacing w:after="20"/>
            </w:pPr>
            <w:r/>
            <w:r>
              <w:rPr>
                <w:b w:val="0"/>
                <w:i w:val="0"/>
                <w:sz w:val="17"/>
              </w:rPr>
              <w:t>Repayment — measure</w:t>
            </w:r>
          </w:p>
        </w:tc>
        <w:tc>
          <w:tcPr>
            <w:tcW w:type="dxa" w:w="2880"/>
          </w:tcPr>
          <w:p>
            <w:pPr>
              <w:spacing w:after="20"/>
            </w:pPr>
            <w:r/>
            <w:r>
              <w:rPr>
                <w:b w:val="0"/>
                <w:i w:val="0"/>
                <w:sz w:val="17"/>
              </w:rPr>
              <w:t>“net of applicable taxes and withholdings”</w:t>
            </w:r>
          </w:p>
        </w:tc>
        <w:tc>
          <w:tcPr>
            <w:tcW w:type="dxa" w:w="3024"/>
          </w:tcPr>
          <w:p>
            <w:pPr>
              <w:spacing w:after="20"/>
            </w:pPr>
            <w:r/>
            <w:r>
              <w:rPr>
                <w:b w:val="0"/>
                <w:i w:val="0"/>
                <w:sz w:val="17"/>
              </w:rPr>
              <w:t>“one hundred percent (100%)” — arguably gross</w:t>
            </w:r>
          </w:p>
        </w:tc>
        <w:tc>
          <w:tcPr>
            <w:tcW w:type="dxa" w:w="2232"/>
          </w:tcPr>
          <w:p>
            <w:pPr>
              <w:spacing w:after="20"/>
            </w:pPr>
            <w:r/>
            <w:r>
              <w:rPr>
                <w:b w:val="0"/>
                <w:i w:val="0"/>
                <w:sz w:val="17"/>
              </w:rPr>
              <w:t>Direct conflict; Amendment controls in a conflict but ambiguity construed against Pinnacle</w:t>
            </w:r>
          </w:p>
        </w:tc>
      </w:tr>
      <w:tr>
        <w:tc>
          <w:tcPr>
            <w:tcW w:type="dxa" w:w="1512"/>
          </w:tcPr>
          <w:p>
            <w:pPr>
              <w:spacing w:after="20"/>
            </w:pPr>
            <w:r/>
            <w:r>
              <w:rPr>
                <w:b w:val="0"/>
                <w:i w:val="0"/>
                <w:sz w:val="17"/>
              </w:rPr>
              <w:t>Timing</w:t>
            </w:r>
          </w:p>
        </w:tc>
        <w:tc>
          <w:tcPr>
            <w:tcW w:type="dxa" w:w="2880"/>
          </w:tcPr>
          <w:p>
            <w:pPr>
              <w:spacing w:after="20"/>
            </w:pPr>
            <w:r/>
            <w:r>
              <w:rPr>
                <w:b w:val="0"/>
                <w:i w:val="0"/>
                <w:sz w:val="17"/>
              </w:rPr>
              <w:t>30 days after written demand</w:t>
            </w:r>
          </w:p>
        </w:tc>
        <w:tc>
          <w:tcPr>
            <w:tcW w:type="dxa" w:w="3024"/>
          </w:tcPr>
          <w:p>
            <w:pPr>
              <w:spacing w:after="20"/>
            </w:pPr>
            <w:r/>
            <w:r>
              <w:rPr>
                <w:b w:val="0"/>
                <w:i w:val="0"/>
                <w:sz w:val="17"/>
              </w:rPr>
              <w:t>30 days after written demand</w:t>
            </w:r>
          </w:p>
        </w:tc>
        <w:tc>
          <w:tcPr>
            <w:tcW w:type="dxa" w:w="2232"/>
          </w:tcPr>
          <w:p>
            <w:pPr>
              <w:spacing w:after="20"/>
            </w:pPr>
            <w:r/>
            <w:r>
              <w:rPr>
                <w:b w:val="0"/>
                <w:i w:val="0"/>
                <w:sz w:val="17"/>
              </w:rPr>
              <w:t>Same</w:t>
            </w:r>
          </w:p>
        </w:tc>
      </w:tr>
      <w:tr>
        <w:tc>
          <w:tcPr>
            <w:tcW w:type="dxa" w:w="1512"/>
          </w:tcPr>
          <w:p>
            <w:pPr>
              <w:spacing w:after="20"/>
            </w:pPr>
            <w:r/>
            <w:r>
              <w:rPr>
                <w:b w:val="0"/>
                <w:i w:val="0"/>
                <w:sz w:val="17"/>
              </w:rPr>
              <w:t>Equity</w:t>
            </w:r>
          </w:p>
        </w:tc>
        <w:tc>
          <w:tcPr>
            <w:tcW w:type="dxa" w:w="2880"/>
          </w:tcPr>
          <w:p>
            <w:pPr>
              <w:spacing w:after="20"/>
            </w:pPr>
            <w:r/>
            <w:r>
              <w:rPr>
                <w:b w:val="0"/>
                <w:i w:val="0"/>
                <w:sz w:val="17"/>
              </w:rPr>
              <w:t>Silent</w:t>
            </w:r>
          </w:p>
        </w:tc>
        <w:tc>
          <w:tcPr>
            <w:tcW w:type="dxa" w:w="3024"/>
          </w:tcPr>
          <w:p>
            <w:pPr>
              <w:spacing w:after="20"/>
            </w:pPr>
            <w:r/>
            <w:r>
              <w:rPr>
                <w:b w:val="0"/>
                <w:i w:val="0"/>
                <w:sz w:val="17"/>
              </w:rPr>
              <w:t>Expressly does not govern equity; equity governed “exclusively” by award agreements</w:t>
            </w:r>
          </w:p>
        </w:tc>
        <w:tc>
          <w:tcPr>
            <w:tcW w:type="dxa" w:w="2232"/>
          </w:tcPr>
          <w:p>
            <w:pPr>
              <w:spacing w:after="20"/>
            </w:pPr>
            <w:r/>
            <w:r>
              <w:rPr>
                <w:b w:val="0"/>
                <w:i w:val="0"/>
                <w:sz w:val="17"/>
              </w:rPr>
              <w:t>Confirms RSU Agreement is the sole equity remedy</w:t>
            </w:r>
          </w:p>
        </w:tc>
      </w:tr>
    </w:tbl>
    <w:p>
      <w:pPr>
        <w:spacing w:after="40"/>
      </w:pPr>
    </w:p>
    <w:p>
      <w:r>
        <w:rPr>
          <w:b/>
          <w:i w:val="0"/>
        </w:rPr>
        <w:t>Observations:</w:t>
      </w:r>
      <w:r>
        <w:rPr>
          <w:b w:val="0"/>
          <w:i w:val="0"/>
        </w:rPr>
        <w:t xml:space="preserve"> Pinnacle will argue the remedies are cumulative (Amendment § 9(c); EA § 6.2). The tax treatment of a gross repayment of amounts on which Manheim already paid tax (claim-of-right under IRC § 1341) will be a negotiating point. Note that the Original Agreement already conditioned severance on covenant compliance, so the forfeiture concept is not new — only the lookback and measure.</w:t>
      </w:r>
    </w:p>
    <w:p>
      <w:pPr>
        <w:pStyle w:val="Heading2"/>
      </w:pPr>
      <w:r>
        <w:t>I. Definition of “Cause” — Original § 1.3 vs. Amendment § 8</w:t>
      </w:r>
    </w:p>
    <w:tbl>
      <w:tblPr>
        <w:tblStyle w:val="TableGrid"/>
        <w:tblW w:type="auto" w:w="0"/>
        <w:jc w:val="center"/>
        <w:tblLayout w:type="fixed"/>
        <w:tblLook w:firstColumn="1" w:firstRow="1" w:lastColumn="0" w:lastRow="0" w:noHBand="0" w:noVBand="1" w:val="04A0"/>
      </w:tblPr>
      <w:tblGrid>
        <w:gridCol w:w="1584"/>
        <w:gridCol w:w="4031"/>
        <w:gridCol w:w="4031"/>
      </w:tblGrid>
      <w:tr>
        <w:trPr>
          <w:tblHeader w:val="true"/>
        </w:trPr>
        <w:tc>
          <w:tcPr>
            <w:tcW w:type="dxa" w:w="1584"/>
            <w:shd w:val="clear" w:color="auto" w:fill="D9E2F3"/>
          </w:tcPr>
          <w:p>
            <w:pPr>
              <w:spacing w:after="20"/>
            </w:pPr>
            <w:r/>
            <w:r>
              <w:rPr>
                <w:b/>
                <w:i w:val="0"/>
                <w:sz w:val="17"/>
              </w:rPr>
              <w:t>Element</w:t>
            </w:r>
          </w:p>
        </w:tc>
        <w:tc>
          <w:tcPr>
            <w:tcW w:type="dxa" w:w="4032"/>
            <w:shd w:val="clear" w:color="auto" w:fill="D9E2F3"/>
          </w:tcPr>
          <w:p>
            <w:pPr>
              <w:spacing w:after="20"/>
            </w:pPr>
            <w:r/>
            <w:r>
              <w:rPr>
                <w:b/>
                <w:i w:val="0"/>
                <w:sz w:val="17"/>
              </w:rPr>
              <w:t>Original § 1.3</w:t>
            </w:r>
          </w:p>
        </w:tc>
        <w:tc>
          <w:tcPr>
            <w:tcW w:type="dxa" w:w="4032"/>
            <w:shd w:val="clear" w:color="auto" w:fill="D9E2F3"/>
          </w:tcPr>
          <w:p>
            <w:pPr>
              <w:spacing w:after="20"/>
            </w:pPr>
            <w:r/>
            <w:r>
              <w:rPr>
                <w:b/>
                <w:i w:val="0"/>
                <w:sz w:val="17"/>
              </w:rPr>
              <w:t>Amendment § 8 (adds clause (vi) to “Section 5(c)”)</w:t>
            </w:r>
          </w:p>
        </w:tc>
      </w:tr>
      <w:tr>
        <w:tc>
          <w:tcPr>
            <w:tcW w:type="dxa" w:w="1584"/>
          </w:tcPr>
          <w:p>
            <w:pPr>
              <w:spacing w:after="20"/>
            </w:pPr>
            <w:r/>
            <w:r>
              <w:rPr>
                <w:b w:val="0"/>
                <w:i w:val="0"/>
                <w:sz w:val="17"/>
              </w:rPr>
              <w:t>Grounds</w:t>
            </w:r>
          </w:p>
        </w:tc>
        <w:tc>
          <w:tcPr>
            <w:tcW w:type="dxa" w:w="4032"/>
          </w:tcPr>
          <w:p>
            <w:pPr>
              <w:spacing w:after="20"/>
            </w:pPr>
            <w:r/>
            <w:r>
              <w:rPr>
                <w:b w:val="0"/>
                <w:i w:val="0"/>
                <w:sz w:val="17"/>
              </w:rPr>
              <w:t>(i) felony conviction/nolo plea; (ii) willful misconduct or gross negligence materially injurious; (iii) material breach of Agreement; (iv) fraud/embezzlement/misappropriation; (v) material violation of written policies</w:t>
            </w:r>
          </w:p>
        </w:tc>
        <w:tc>
          <w:tcPr>
            <w:tcW w:type="dxa" w:w="4032"/>
          </w:tcPr>
          <w:p>
            <w:pPr>
              <w:spacing w:after="20"/>
            </w:pPr>
            <w:r/>
            <w:r>
              <w:rPr>
                <w:b w:val="0"/>
                <w:i w:val="0"/>
                <w:sz w:val="17"/>
              </w:rPr>
              <w:t>Adds (vi): “failure to achieve minimum revenue targets for two (2) consecutive fiscal quarters, as determined by the Board of Directors in its reasonable discretion”</w:t>
            </w:r>
          </w:p>
        </w:tc>
      </w:tr>
      <w:tr>
        <w:tc>
          <w:tcPr>
            <w:tcW w:type="dxa" w:w="1584"/>
          </w:tcPr>
          <w:p>
            <w:pPr>
              <w:spacing w:after="20"/>
            </w:pPr>
            <w:r/>
            <w:r>
              <w:rPr>
                <w:b w:val="0"/>
                <w:i w:val="0"/>
                <w:sz w:val="17"/>
              </w:rPr>
              <w:t>Notice / cure</w:t>
            </w:r>
          </w:p>
        </w:tc>
        <w:tc>
          <w:tcPr>
            <w:tcW w:type="dxa" w:w="4032"/>
          </w:tcPr>
          <w:p>
            <w:pPr>
              <w:spacing w:after="20"/>
            </w:pPr>
            <w:r/>
            <w:r>
              <w:rPr>
                <w:b w:val="0"/>
                <w:i w:val="0"/>
                <w:sz w:val="17"/>
              </w:rPr>
              <w:t>Written notice and ≥30-day cure for (ii), (iii), (v) if curable</w:t>
            </w:r>
          </w:p>
        </w:tc>
        <w:tc>
          <w:tcPr>
            <w:tcW w:type="dxa" w:w="4032"/>
          </w:tcPr>
          <w:p>
            <w:pPr>
              <w:spacing w:after="20"/>
            </w:pPr>
            <w:r/>
            <w:r>
              <w:rPr>
                <w:b w:val="0"/>
                <w:i w:val="0"/>
                <w:sz w:val="17"/>
              </w:rPr>
              <w:t>Silent as to (vi); cure provisions in § 1.3 do not mention (vi)</w:t>
            </w:r>
          </w:p>
        </w:tc>
      </w:tr>
      <w:tr>
        <w:tc>
          <w:tcPr>
            <w:tcW w:type="dxa" w:w="1584"/>
          </w:tcPr>
          <w:p>
            <w:pPr>
              <w:spacing w:after="20"/>
            </w:pPr>
            <w:r/>
            <w:r>
              <w:rPr>
                <w:b w:val="0"/>
                <w:i w:val="0"/>
                <w:sz w:val="17"/>
              </w:rPr>
              <w:t>Relevance</w:t>
            </w:r>
          </w:p>
        </w:tc>
        <w:tc>
          <w:tcPr>
            <w:tcW w:type="dxa" w:w="4032"/>
          </w:tcPr>
          <w:p>
            <w:pPr>
              <w:spacing w:after="20"/>
            </w:pPr>
            <w:r/>
            <w:r>
              <w:rPr>
                <w:b w:val="0"/>
                <w:i w:val="0"/>
                <w:sz w:val="17"/>
              </w:rPr>
              <w:t xml:space="preserve">Cause termination: Accrued Obligations only; RSU unvested forfeiture (§ 2.2(a)/7.1) and </w:t>
            </w:r>
            <w:r>
              <w:rPr>
                <w:b/>
                <w:i w:val="0"/>
                <w:sz w:val="17"/>
              </w:rPr>
              <w:t>vested clawback</w:t>
            </w:r>
            <w:r>
              <w:rPr>
                <w:b w:val="0"/>
                <w:i w:val="0"/>
                <w:sz w:val="17"/>
              </w:rPr>
              <w:t xml:space="preserve"> measured from termination date (§ 7.2)</w:t>
            </w:r>
          </w:p>
        </w:tc>
        <w:tc>
          <w:tcPr>
            <w:tcW w:type="dxa" w:w="4032"/>
          </w:tcPr>
          <w:p>
            <w:pPr>
              <w:spacing w:after="20"/>
            </w:pPr>
            <w:r/>
            <w:r>
              <w:rPr>
                <w:b w:val="0"/>
                <w:i w:val="0"/>
                <w:sz w:val="17"/>
              </w:rPr>
              <w:t>Requires documented “minimum revenue targets”; “Section 5(c)” reference defect; consideration issue</w:t>
            </w:r>
          </w:p>
        </w:tc>
      </w:tr>
    </w:tbl>
    <w:p>
      <w:pPr>
        <w:spacing w:after="40"/>
      </w:pPr>
    </w:p>
    <w:p>
      <w:r>
        <w:rPr>
          <w:b w:val="0"/>
          <w:i w:val="0"/>
        </w:rPr>
        <w:t>Cause flows into the RSU Agreement (“as may be amended from time to time,” RSU §§ 2.2(a), 4.1(b)). A sustainable Cause termination would eliminate ~$554,000 of severance and trigger the RSU clawback of Tranche 2 (measured from the termination date) without any further breach. Per your instruction, we assume without Cause.</w:t>
      </w:r>
    </w:p>
    <w:p>
      <w:pPr>
        <w:pStyle w:val="Heading2"/>
      </w:pPr>
      <w:r>
        <w:t>J. Other Obligations Relevant to Separation</w:t>
      </w:r>
    </w:p>
    <w:tbl>
      <w:tblPr>
        <w:tblStyle w:val="TableGrid"/>
        <w:tblW w:type="auto" w:w="0"/>
        <w:jc w:val="center"/>
        <w:tblLayout w:type="fixed"/>
        <w:tblLook w:firstColumn="1" w:firstRow="1" w:lastColumn="0" w:lastRow="0" w:noHBand="0" w:noVBand="1" w:val="04A0"/>
      </w:tblPr>
      <w:tblGrid>
        <w:gridCol w:w="2160"/>
        <w:gridCol w:w="1512"/>
        <w:gridCol w:w="5976"/>
      </w:tblGrid>
      <w:tr>
        <w:trPr>
          <w:tblHeader w:val="true"/>
        </w:trPr>
        <w:tc>
          <w:tcPr>
            <w:tcW w:type="dxa" w:w="2160"/>
            <w:shd w:val="clear" w:color="auto" w:fill="D9E2F3"/>
          </w:tcPr>
          <w:p>
            <w:pPr>
              <w:spacing w:after="20"/>
            </w:pPr>
            <w:r/>
            <w:r>
              <w:rPr>
                <w:b/>
                <w:i w:val="0"/>
                <w:sz w:val="17"/>
              </w:rPr>
              <w:t>Provision</w:t>
            </w:r>
          </w:p>
        </w:tc>
        <w:tc>
          <w:tcPr>
            <w:tcW w:type="dxa" w:w="1512"/>
            <w:shd w:val="clear" w:color="auto" w:fill="D9E2F3"/>
          </w:tcPr>
          <w:p>
            <w:pPr>
              <w:spacing w:after="20"/>
            </w:pPr>
            <w:r/>
            <w:r>
              <w:rPr>
                <w:b/>
                <w:i w:val="0"/>
                <w:sz w:val="17"/>
              </w:rPr>
              <w:t>Source</w:t>
            </w:r>
          </w:p>
        </w:tc>
        <w:tc>
          <w:tcPr>
            <w:tcW w:type="dxa" w:w="5976"/>
            <w:shd w:val="clear" w:color="auto" w:fill="D9E2F3"/>
          </w:tcPr>
          <w:p>
            <w:pPr>
              <w:spacing w:after="20"/>
            </w:pPr>
            <w:r/>
            <w:r>
              <w:rPr>
                <w:b/>
                <w:i w:val="0"/>
                <w:sz w:val="17"/>
              </w:rPr>
              <w:t>Summary</w:t>
            </w:r>
          </w:p>
        </w:tc>
      </w:tr>
      <w:tr>
        <w:tc>
          <w:tcPr>
            <w:tcW w:type="dxa" w:w="2160"/>
          </w:tcPr>
          <w:p>
            <w:pPr>
              <w:spacing w:after="20"/>
            </w:pPr>
            <w:r/>
            <w:r>
              <w:rPr>
                <w:b w:val="0"/>
                <w:i w:val="0"/>
                <w:sz w:val="17"/>
              </w:rPr>
              <w:t>Outside activities (during employment)</w:t>
            </w:r>
          </w:p>
        </w:tc>
        <w:tc>
          <w:tcPr>
            <w:tcW w:type="dxa" w:w="1512"/>
          </w:tcPr>
          <w:p>
            <w:pPr>
              <w:spacing w:after="20"/>
            </w:pPr>
            <w:r/>
            <w:r>
              <w:rPr>
                <w:b w:val="0"/>
                <w:i w:val="0"/>
                <w:sz w:val="17"/>
              </w:rPr>
              <w:t>EA § 2.1</w:t>
            </w:r>
          </w:p>
        </w:tc>
        <w:tc>
          <w:tcPr>
            <w:tcW w:type="dxa" w:w="5976"/>
          </w:tcPr>
          <w:p>
            <w:pPr>
              <w:spacing w:after="20"/>
            </w:pPr>
            <w:r/>
            <w:r>
              <w:rPr>
                <w:b w:val="0"/>
                <w:i w:val="0"/>
                <w:sz w:val="17"/>
              </w:rPr>
              <w:t>Full business time; no other business activity without CEO consent; passive investments that do not involve Competitive Activity; ≤2 nonprofit boards; 1 for-profit board not engaged in Competitive Activity with Board approval. Relevant during any garden leave.</w:t>
            </w:r>
          </w:p>
        </w:tc>
      </w:tr>
      <w:tr>
        <w:tc>
          <w:tcPr>
            <w:tcW w:type="dxa" w:w="2160"/>
          </w:tcPr>
          <w:p>
            <w:pPr>
              <w:spacing w:after="20"/>
            </w:pPr>
            <w:r/>
            <w:r>
              <w:rPr>
                <w:b w:val="0"/>
                <w:i w:val="0"/>
                <w:sz w:val="17"/>
              </w:rPr>
              <w:t>Release requirement</w:t>
            </w:r>
          </w:p>
        </w:tc>
        <w:tc>
          <w:tcPr>
            <w:tcW w:type="dxa" w:w="1512"/>
          </w:tcPr>
          <w:p>
            <w:pPr>
              <w:spacing w:after="20"/>
            </w:pPr>
            <w:r/>
            <w:r>
              <w:rPr>
                <w:b w:val="0"/>
                <w:i w:val="0"/>
                <w:sz w:val="17"/>
              </w:rPr>
              <w:t>EA § 6.2(x)</w:t>
            </w:r>
          </w:p>
        </w:tc>
        <w:tc>
          <w:tcPr>
            <w:tcW w:type="dxa" w:w="5976"/>
          </w:tcPr>
          <w:p>
            <w:pPr>
              <w:spacing w:after="20"/>
            </w:pPr>
            <w:r/>
            <w:r>
              <w:rPr>
                <w:b w:val="0"/>
                <w:i w:val="0"/>
                <w:sz w:val="17"/>
              </w:rPr>
              <w:t>General release “in a form prescribed by the Company,” executed and irrevocable within 45 days after termination; first installment on first payroll date after effectiveness, with catch-up lump sum. If Manheim is 40+, OWBPA requires 21 days to consider + 7-day revocation (fits within 45 days).</w:t>
            </w:r>
          </w:p>
        </w:tc>
      </w:tr>
      <w:tr>
        <w:tc>
          <w:tcPr>
            <w:tcW w:type="dxa" w:w="2160"/>
          </w:tcPr>
          <w:p>
            <w:pPr>
              <w:spacing w:after="20"/>
            </w:pPr>
            <w:r/>
            <w:r>
              <w:rPr>
                <w:b w:val="0"/>
                <w:i w:val="0"/>
                <w:sz w:val="17"/>
              </w:rPr>
              <w:t>Reasonableness acknowledgments</w:t>
            </w:r>
          </w:p>
        </w:tc>
        <w:tc>
          <w:tcPr>
            <w:tcW w:type="dxa" w:w="1512"/>
          </w:tcPr>
          <w:p>
            <w:pPr>
              <w:spacing w:after="20"/>
            </w:pPr>
            <w:r/>
            <w:r>
              <w:rPr>
                <w:b w:val="0"/>
                <w:i w:val="0"/>
                <w:sz w:val="17"/>
              </w:rPr>
              <w:t>EA § 8.7; RSU § 6.1</w:t>
            </w:r>
          </w:p>
        </w:tc>
        <w:tc>
          <w:tcPr>
            <w:tcW w:type="dxa" w:w="5976"/>
          </w:tcPr>
          <w:p>
            <w:pPr>
              <w:spacing w:after="20"/>
            </w:pPr>
            <w:r/>
            <w:r>
              <w:rPr>
                <w:b w:val="0"/>
                <w:i w:val="0"/>
                <w:sz w:val="17"/>
              </w:rPr>
              <w:t>Executive acknowledges covenants are reasonable, supported by adequate consideration and not an undue hardship. Helpful but not dispositive; courts decide reasonableness independently.</w:t>
            </w:r>
          </w:p>
        </w:tc>
      </w:tr>
      <w:tr>
        <w:tc>
          <w:tcPr>
            <w:tcW w:type="dxa" w:w="2160"/>
          </w:tcPr>
          <w:p>
            <w:pPr>
              <w:spacing w:after="20"/>
            </w:pPr>
            <w:r/>
            <w:r>
              <w:rPr>
                <w:b w:val="0"/>
                <w:i w:val="0"/>
                <w:sz w:val="17"/>
              </w:rPr>
              <w:t>Injunctive relief / bond waiver</w:t>
            </w:r>
          </w:p>
        </w:tc>
        <w:tc>
          <w:tcPr>
            <w:tcW w:type="dxa" w:w="1512"/>
          </w:tcPr>
          <w:p>
            <w:pPr>
              <w:spacing w:after="20"/>
            </w:pPr>
            <w:r/>
            <w:r>
              <w:rPr>
                <w:b w:val="0"/>
                <w:i w:val="0"/>
                <w:sz w:val="17"/>
              </w:rPr>
              <w:t>EA § 8.8; RSU § 6.4</w:t>
            </w:r>
          </w:p>
        </w:tc>
        <w:tc>
          <w:tcPr>
            <w:tcW w:type="dxa" w:w="5976"/>
          </w:tcPr>
          <w:p>
            <w:pPr>
              <w:spacing w:after="20"/>
            </w:pPr>
            <w:r/>
            <w:r>
              <w:rPr>
                <w:b w:val="0"/>
                <w:i w:val="0"/>
                <w:sz w:val="17"/>
              </w:rPr>
              <w:t>Irreparable harm acknowledged; bond waived. N.C. R. Civ. P. 65(c) still requires security in the court’s discretion; courts often disregard bond waivers.</w:t>
            </w:r>
          </w:p>
        </w:tc>
      </w:tr>
      <w:tr>
        <w:tc>
          <w:tcPr>
            <w:tcW w:type="dxa" w:w="2160"/>
          </w:tcPr>
          <w:p>
            <w:pPr>
              <w:spacing w:after="20"/>
            </w:pPr>
            <w:r/>
            <w:r>
              <w:rPr>
                <w:b w:val="0"/>
                <w:i w:val="0"/>
                <w:sz w:val="17"/>
              </w:rPr>
              <w:t>Survival</w:t>
            </w:r>
          </w:p>
        </w:tc>
        <w:tc>
          <w:tcPr>
            <w:tcW w:type="dxa" w:w="1512"/>
          </w:tcPr>
          <w:p>
            <w:pPr>
              <w:spacing w:after="20"/>
            </w:pPr>
            <w:r/>
            <w:r>
              <w:rPr>
                <w:b w:val="0"/>
                <w:i w:val="0"/>
                <w:sz w:val="17"/>
              </w:rPr>
              <w:t>EA § 9.10; RSU § 7.2</w:t>
            </w:r>
          </w:p>
        </w:tc>
        <w:tc>
          <w:tcPr>
            <w:tcW w:type="dxa" w:w="5976"/>
          </w:tcPr>
          <w:p>
            <w:pPr>
              <w:spacing w:after="20"/>
            </w:pPr>
            <w:r/>
            <w:r>
              <w:rPr>
                <w:b w:val="0"/>
                <w:i w:val="0"/>
                <w:sz w:val="17"/>
              </w:rPr>
              <w:t>Article VIII survives termination; RSU clawback survives until satisfied or statute of limitations runs.</w:t>
            </w:r>
          </w:p>
        </w:tc>
      </w:tr>
      <w:tr>
        <w:tc>
          <w:tcPr>
            <w:tcW w:type="dxa" w:w="2160"/>
          </w:tcPr>
          <w:p>
            <w:pPr>
              <w:spacing w:after="20"/>
            </w:pPr>
            <w:r/>
            <w:r>
              <w:rPr>
                <w:b w:val="0"/>
                <w:i w:val="0"/>
                <w:sz w:val="17"/>
              </w:rPr>
              <w:t>Statutory clawback</w:t>
            </w:r>
          </w:p>
        </w:tc>
        <w:tc>
          <w:tcPr>
            <w:tcW w:type="dxa" w:w="1512"/>
          </w:tcPr>
          <w:p>
            <w:pPr>
              <w:spacing w:after="20"/>
            </w:pPr>
            <w:r/>
            <w:r>
              <w:rPr>
                <w:b w:val="0"/>
                <w:i w:val="0"/>
                <w:sz w:val="17"/>
              </w:rPr>
              <w:t>RSU § 7.4</w:t>
            </w:r>
          </w:p>
        </w:tc>
        <w:tc>
          <w:tcPr>
            <w:tcW w:type="dxa" w:w="5976"/>
          </w:tcPr>
          <w:p>
            <w:pPr>
              <w:spacing w:after="20"/>
            </w:pPr>
            <w:r/>
            <w:r>
              <w:rPr>
                <w:b w:val="0"/>
                <w:i w:val="0"/>
                <w:sz w:val="17"/>
              </w:rPr>
              <w:t>Section 10D / Rule 10D-1 and any Company clawback policy apply in addition. Time-vested RSUs are generally not “incentive-based compensation” under Rule 10D-1, so this is unlikely to add leverage here.</w:t>
            </w:r>
          </w:p>
        </w:tc>
      </w:tr>
      <w:tr>
        <w:tc>
          <w:tcPr>
            <w:tcW w:type="dxa" w:w="2160"/>
          </w:tcPr>
          <w:p>
            <w:pPr>
              <w:spacing w:after="20"/>
            </w:pPr>
            <w:r/>
            <w:r>
              <w:rPr>
                <w:b w:val="0"/>
                <w:i w:val="0"/>
                <w:sz w:val="17"/>
              </w:rPr>
              <w:t>Offset right</w:t>
            </w:r>
          </w:p>
        </w:tc>
        <w:tc>
          <w:tcPr>
            <w:tcW w:type="dxa" w:w="1512"/>
          </w:tcPr>
          <w:p>
            <w:pPr>
              <w:spacing w:after="20"/>
            </w:pPr>
            <w:r/>
            <w:r>
              <w:rPr>
                <w:b w:val="0"/>
                <w:i w:val="0"/>
                <w:sz w:val="17"/>
              </w:rPr>
              <w:t>RSU § 7.2 (last sentence)</w:t>
            </w:r>
          </w:p>
        </w:tc>
        <w:tc>
          <w:tcPr>
            <w:tcW w:type="dxa" w:w="5976"/>
          </w:tcPr>
          <w:p>
            <w:pPr>
              <w:spacing w:after="20"/>
            </w:pPr>
            <w:r/>
            <w:r>
              <w:rPr>
                <w:b w:val="0"/>
                <w:i w:val="0"/>
                <w:sz w:val="17"/>
              </w:rPr>
              <w:t>Company may offset clawback amounts against amounts otherwise payable (e.g., severance) “to the extent permitted by applicable law and Section 409A.” Offsetting against installment severance that is deferred compensation risks a 409A violation; the N.C. Wage and Hour Act (§ 95-25.8) limits wage withholdings without written authorization.</w:t>
            </w:r>
          </w:p>
        </w:tc>
      </w:tr>
      <w:tr>
        <w:tc>
          <w:tcPr>
            <w:tcW w:type="dxa" w:w="2160"/>
          </w:tcPr>
          <w:p>
            <w:pPr>
              <w:spacing w:after="20"/>
            </w:pPr>
            <w:r/>
            <w:r>
              <w:rPr>
                <w:b w:val="0"/>
                <w:i w:val="0"/>
                <w:sz w:val="17"/>
              </w:rPr>
              <w:t>Governing law / forum</w:t>
            </w:r>
          </w:p>
        </w:tc>
        <w:tc>
          <w:tcPr>
            <w:tcW w:type="dxa" w:w="1512"/>
          </w:tcPr>
          <w:p>
            <w:pPr>
              <w:spacing w:after="20"/>
            </w:pPr>
            <w:r/>
            <w:r>
              <w:rPr>
                <w:b w:val="0"/>
                <w:i w:val="0"/>
                <w:sz w:val="17"/>
              </w:rPr>
              <w:t>EA § 9.1–9.2; Amend. § 12; RSU § 8.2</w:t>
            </w:r>
          </w:p>
        </w:tc>
        <w:tc>
          <w:tcPr>
            <w:tcW w:type="dxa" w:w="5976"/>
          </w:tcPr>
          <w:p>
            <w:pPr>
              <w:spacing w:after="20"/>
            </w:pPr>
            <w:r/>
            <w:r>
              <w:rPr>
                <w:b w:val="0"/>
                <w:i w:val="0"/>
                <w:sz w:val="17"/>
              </w:rPr>
              <w:t>EA: N.C. law, exclusive Mecklenburg County forum. RSU: Delaware law, no forum clause.</w:t>
            </w:r>
          </w:p>
        </w:tc>
      </w:tr>
    </w:tbl>
    <w:p>
      <w:pPr>
        <w:spacing w:after="40"/>
      </w:pPr>
    </w:p>
    <w:p>
      <w:pPr>
        <w:pStyle w:val="Heading1"/>
      </w:pPr>
      <w:r>
        <w:t>V. RSU Award Agreement — Extraction and Comparison with the Employment Agreement</w:t>
      </w:r>
    </w:p>
    <w:p>
      <w:pPr>
        <w:pStyle w:val="Heading2"/>
      </w:pPr>
      <w:r>
        <w:t>A. RSU Covenants and Remedies</w:t>
      </w:r>
    </w:p>
    <w:p>
      <w:r>
        <w:rPr>
          <w:b/>
          <w:i w:val="0"/>
        </w:rPr>
        <w:t>1. Non-Competition — RSU § 6.2 (definitions §§ 4.1(c), 4.1(i))</w:t>
      </w:r>
    </w:p>
    <w:tbl>
      <w:tblPr>
        <w:tblStyle w:val="TableGrid"/>
        <w:tblW w:type="auto" w:w="0"/>
        <w:jc w:val="center"/>
        <w:tblLayout w:type="fixed"/>
        <w:tblLook w:firstColumn="1" w:firstRow="1" w:lastColumn="0" w:lastRow="0" w:noHBand="0" w:noVBand="1" w:val="04A0"/>
      </w:tblPr>
      <w:tblGrid>
        <w:gridCol w:w="2232"/>
        <w:gridCol w:w="7416"/>
      </w:tblGrid>
      <w:tr>
        <w:trPr>
          <w:tblHeader w:val="true"/>
        </w:trPr>
        <w:tc>
          <w:tcPr>
            <w:tcW w:type="dxa" w:w="2232"/>
            <w:shd w:val="clear" w:color="auto" w:fill="D9E2F3"/>
          </w:tcPr>
          <w:p>
            <w:pPr>
              <w:spacing w:after="20"/>
            </w:pPr>
            <w:r/>
            <w:r>
              <w:rPr>
                <w:b/>
                <w:i w:val="0"/>
                <w:sz w:val="18"/>
              </w:rPr>
              <w:t>Field</w:t>
            </w:r>
          </w:p>
        </w:tc>
        <w:tc>
          <w:tcPr>
            <w:tcW w:type="dxa" w:w="7416"/>
            <w:shd w:val="clear" w:color="auto" w:fill="D9E2F3"/>
          </w:tcPr>
          <w:p>
            <w:pPr>
              <w:spacing w:after="20"/>
            </w:pPr>
            <w:r/>
            <w:r>
              <w:rPr>
                <w:b/>
                <w:i w:val="0"/>
                <w:sz w:val="18"/>
              </w:rPr>
              <w:t>Extraction</w:t>
            </w:r>
          </w:p>
        </w:tc>
      </w:tr>
      <w:tr>
        <w:tc>
          <w:tcPr>
            <w:tcW w:type="dxa" w:w="2232"/>
            <w:shd w:val="clear" w:color="auto" w:fill="F2F2F2"/>
          </w:tcPr>
          <w:p>
            <w:pPr>
              <w:spacing w:after="20"/>
            </w:pPr>
            <w:r/>
            <w:r>
              <w:rPr>
                <w:b/>
                <w:i w:val="0"/>
                <w:sz w:val="18"/>
              </w:rPr>
              <w:t>Type</w:t>
            </w:r>
          </w:p>
        </w:tc>
        <w:tc>
          <w:tcPr>
            <w:tcW w:type="dxa" w:w="7416"/>
          </w:tcPr>
          <w:p>
            <w:pPr>
              <w:spacing w:after="20"/>
            </w:pPr>
            <w:r/>
            <w:r>
              <w:rPr>
                <w:b w:val="0"/>
                <w:i w:val="0"/>
                <w:sz w:val="18"/>
              </w:rPr>
              <w:t>Non-competition (equity-based)</w:t>
            </w:r>
          </w:p>
        </w:tc>
      </w:tr>
      <w:tr>
        <w:tc>
          <w:tcPr>
            <w:tcW w:type="dxa" w:w="2232"/>
            <w:shd w:val="clear" w:color="auto" w:fill="F2F2F2"/>
          </w:tcPr>
          <w:p>
            <w:pPr>
              <w:spacing w:after="20"/>
            </w:pPr>
            <w:r/>
            <w:r>
              <w:rPr>
                <w:b/>
                <w:i w:val="0"/>
                <w:sz w:val="18"/>
              </w:rPr>
              <w:t>Duration</w:t>
            </w:r>
          </w:p>
        </w:tc>
        <w:tc>
          <w:tcPr>
            <w:tcW w:type="dxa" w:w="7416"/>
          </w:tcPr>
          <w:p>
            <w:pPr>
              <w:spacing w:after="20"/>
            </w:pPr>
            <w:r/>
            <w:r>
              <w:rPr>
                <w:b w:val="0"/>
                <w:i w:val="0"/>
                <w:sz w:val="18"/>
              </w:rPr>
              <w:t xml:space="preserve">During employment + “Restricted Period” = the </w:t>
            </w:r>
            <w:r>
              <w:rPr>
                <w:b/>
                <w:i w:val="0"/>
                <w:sz w:val="18"/>
              </w:rPr>
              <w:t>12-month</w:t>
            </w:r>
            <w:r>
              <w:rPr>
                <w:b w:val="0"/>
                <w:i w:val="0"/>
                <w:sz w:val="18"/>
              </w:rPr>
              <w:t xml:space="preserve"> period commencing on termination for any reason (through ~</w:t>
            </w:r>
            <w:r>
              <w:rPr>
                <w:b/>
                <w:i w:val="0"/>
                <w:sz w:val="18"/>
              </w:rPr>
              <w:t>Feb. 27, 2026</w:t>
            </w:r>
            <w:r>
              <w:rPr>
                <w:b w:val="0"/>
                <w:i w:val="0"/>
                <w:sz w:val="18"/>
              </w:rPr>
              <w:t>).</w:t>
            </w:r>
          </w:p>
        </w:tc>
      </w:tr>
      <w:tr>
        <w:tc>
          <w:tcPr>
            <w:tcW w:type="dxa" w:w="2232"/>
            <w:shd w:val="clear" w:color="auto" w:fill="F2F2F2"/>
          </w:tcPr>
          <w:p>
            <w:pPr>
              <w:spacing w:after="20"/>
            </w:pPr>
            <w:r/>
            <w:r>
              <w:rPr>
                <w:b/>
                <w:i w:val="0"/>
                <w:sz w:val="18"/>
              </w:rPr>
              <w:t>Geography</w:t>
            </w:r>
          </w:p>
        </w:tc>
        <w:tc>
          <w:tcPr>
            <w:tcW w:type="dxa" w:w="7416"/>
          </w:tcPr>
          <w:p>
            <w:pPr>
              <w:spacing w:after="20"/>
            </w:pPr>
            <w:r/>
            <w:r>
              <w:rPr>
                <w:b w:val="0"/>
                <w:i w:val="0"/>
                <w:sz w:val="18"/>
              </w:rPr>
              <w:t>“anywhere in the United States and Canada”</w:t>
            </w:r>
          </w:p>
        </w:tc>
      </w:tr>
      <w:tr>
        <w:tc>
          <w:tcPr>
            <w:tcW w:type="dxa" w:w="2232"/>
            <w:shd w:val="clear" w:color="auto" w:fill="F2F2F2"/>
          </w:tcPr>
          <w:p>
            <w:pPr>
              <w:spacing w:after="20"/>
            </w:pPr>
            <w:r/>
            <w:r>
              <w:rPr>
                <w:b/>
                <w:i w:val="0"/>
                <w:sz w:val="18"/>
              </w:rPr>
              <w:t>Prohibited activity</w:t>
            </w:r>
          </w:p>
        </w:tc>
        <w:tc>
          <w:tcPr>
            <w:tcW w:type="dxa" w:w="7416"/>
          </w:tcPr>
          <w:p>
            <w:pPr>
              <w:spacing w:after="20"/>
            </w:pPr>
            <w:r/>
            <w:r>
              <w:rPr>
                <w:b w:val="0"/>
                <w:i w:val="0"/>
                <w:sz w:val="18"/>
              </w:rPr>
              <w:t xml:space="preserve">Shall not, “directly or indirectly, whether as an employee, officer, director, consultant, advisor, independent contractor, agent, partner, member, stockholder (other than … less than two percent (2%)) … or in any other capacity”: (a) “engage in, be employed by, perform services for, or have any ownership interest in any Competitive Business”; or (b) “assist any person … in engaging in a Competitive Business in competition with the Company or any of its Affiliates.” “Competitive Business” = “any business or enterprise that competes with the Company in the </w:t>
            </w:r>
            <w:r>
              <w:rPr>
                <w:b/>
                <w:i w:val="0"/>
                <w:sz w:val="18"/>
              </w:rPr>
              <w:t>household cleaning products industry</w:t>
            </w:r>
            <w:r>
              <w:rPr>
                <w:b w:val="0"/>
                <w:i w:val="0"/>
                <w:sz w:val="18"/>
              </w:rPr>
              <w:t>.”</w:t>
            </w:r>
          </w:p>
        </w:tc>
      </w:tr>
      <w:tr>
        <w:tc>
          <w:tcPr>
            <w:tcW w:type="dxa" w:w="2232"/>
            <w:shd w:val="clear" w:color="auto" w:fill="F2F2F2"/>
          </w:tcPr>
          <w:p>
            <w:pPr>
              <w:spacing w:after="20"/>
            </w:pPr>
            <w:r/>
            <w:r>
              <w:rPr>
                <w:b/>
                <w:i w:val="0"/>
                <w:sz w:val="18"/>
              </w:rPr>
              <w:t>Triggers</w:t>
            </w:r>
          </w:p>
        </w:tc>
        <w:tc>
          <w:tcPr>
            <w:tcW w:type="dxa" w:w="7416"/>
          </w:tcPr>
          <w:p>
            <w:pPr>
              <w:spacing w:after="20"/>
            </w:pPr>
            <w:r/>
            <w:r>
              <w:rPr>
                <w:b w:val="0"/>
                <w:i w:val="0"/>
                <w:sz w:val="18"/>
              </w:rPr>
              <w:t>Any termination; breach on prohibited activity.</w:t>
            </w:r>
          </w:p>
        </w:tc>
      </w:tr>
      <w:tr>
        <w:tc>
          <w:tcPr>
            <w:tcW w:type="dxa" w:w="2232"/>
            <w:shd w:val="clear" w:color="auto" w:fill="F2F2F2"/>
          </w:tcPr>
          <w:p>
            <w:pPr>
              <w:spacing w:after="20"/>
            </w:pPr>
            <w:r/>
            <w:r>
              <w:rPr>
                <w:b/>
                <w:i w:val="0"/>
                <w:sz w:val="18"/>
              </w:rPr>
              <w:t>Financial consequences</w:t>
            </w:r>
          </w:p>
        </w:tc>
        <w:tc>
          <w:tcPr>
            <w:tcW w:type="dxa" w:w="7416"/>
          </w:tcPr>
          <w:p>
            <w:pPr>
              <w:spacing w:after="20"/>
            </w:pPr>
            <w:r/>
            <w:r>
              <w:rPr>
                <w:b w:val="0"/>
                <w:i w:val="0"/>
                <w:sz w:val="18"/>
              </w:rPr>
              <w:t>Unvested RSU forfeiture (§ 7.1, as of the date the Company determines breach occurred); repayment in cash of pre-tax FMV of RSUs vested in the 18-month Clawback Period (§ 7.2); injunction without bond, damages including consequential and incidental (§§ 6.4, 7.3); offset right (§ 7.2).</w:t>
            </w:r>
          </w:p>
        </w:tc>
      </w:tr>
      <w:tr>
        <w:tc>
          <w:tcPr>
            <w:tcW w:type="dxa" w:w="2232"/>
            <w:shd w:val="clear" w:color="auto" w:fill="F2F2F2"/>
          </w:tcPr>
          <w:p>
            <w:pPr>
              <w:spacing w:after="20"/>
            </w:pPr>
            <w:r/>
            <w:r>
              <w:rPr>
                <w:b/>
                <w:i w:val="0"/>
                <w:sz w:val="18"/>
              </w:rPr>
              <w:t>Consideration</w:t>
            </w:r>
          </w:p>
        </w:tc>
        <w:tc>
          <w:tcPr>
            <w:tcW w:type="dxa" w:w="7416"/>
          </w:tcPr>
          <w:p>
            <w:pPr>
              <w:spacing w:after="20"/>
            </w:pPr>
            <w:r/>
            <w:r>
              <w:rPr>
                <w:b w:val="0"/>
                <w:i w:val="0"/>
                <w:sz w:val="18"/>
              </w:rPr>
              <w:t>RSU grant, continued employment, past/present/future services (§§ 1.3, 6.1(b)) — the RSU grant is genuinely new consideration.</w:t>
            </w:r>
          </w:p>
        </w:tc>
      </w:tr>
    </w:tbl>
    <w:p>
      <w:pPr>
        <w:spacing w:after="40"/>
      </w:pPr>
    </w:p>
    <w:p>
      <w:r>
        <w:rPr>
          <w:b/>
          <w:i w:val="0"/>
        </w:rPr>
        <w:t>2. Forfeiture of Unvested RSUs — RSU §§ 2.2, 7.1</w:t>
      </w:r>
    </w:p>
    <w:tbl>
      <w:tblPr>
        <w:tblStyle w:val="TableGrid"/>
        <w:tblW w:type="auto" w:w="0"/>
        <w:jc w:val="center"/>
        <w:tblLayout w:type="fixed"/>
        <w:tblLook w:firstColumn="1" w:firstRow="1" w:lastColumn="0" w:lastRow="0" w:noHBand="0" w:noVBand="1" w:val="04A0"/>
      </w:tblPr>
      <w:tblGrid>
        <w:gridCol w:w="2232"/>
        <w:gridCol w:w="7416"/>
      </w:tblGrid>
      <w:tr>
        <w:trPr>
          <w:tblHeader w:val="true"/>
        </w:trPr>
        <w:tc>
          <w:tcPr>
            <w:tcW w:type="dxa" w:w="2232"/>
            <w:shd w:val="clear" w:color="auto" w:fill="D9E2F3"/>
          </w:tcPr>
          <w:p>
            <w:pPr>
              <w:spacing w:after="20"/>
            </w:pPr>
            <w:r/>
            <w:r>
              <w:rPr>
                <w:b/>
                <w:i w:val="0"/>
                <w:sz w:val="18"/>
              </w:rPr>
              <w:t>Field</w:t>
            </w:r>
          </w:p>
        </w:tc>
        <w:tc>
          <w:tcPr>
            <w:tcW w:type="dxa" w:w="7416"/>
            <w:shd w:val="clear" w:color="auto" w:fill="D9E2F3"/>
          </w:tcPr>
          <w:p>
            <w:pPr>
              <w:spacing w:after="20"/>
            </w:pPr>
            <w:r/>
            <w:r>
              <w:rPr>
                <w:b/>
                <w:i w:val="0"/>
                <w:sz w:val="18"/>
              </w:rPr>
              <w:t>Extraction</w:t>
            </w:r>
          </w:p>
        </w:tc>
      </w:tr>
      <w:tr>
        <w:tc>
          <w:tcPr>
            <w:tcW w:type="dxa" w:w="2232"/>
            <w:shd w:val="clear" w:color="auto" w:fill="F2F2F2"/>
          </w:tcPr>
          <w:p>
            <w:pPr>
              <w:spacing w:after="20"/>
            </w:pPr>
            <w:r/>
            <w:r>
              <w:rPr>
                <w:b/>
                <w:i w:val="0"/>
                <w:sz w:val="18"/>
              </w:rPr>
              <w:t>Termination-based</w:t>
            </w:r>
          </w:p>
        </w:tc>
        <w:tc>
          <w:tcPr>
            <w:tcW w:type="dxa" w:w="7416"/>
          </w:tcPr>
          <w:p>
            <w:pPr>
              <w:spacing w:after="20"/>
            </w:pPr>
            <w:r/>
            <w:r>
              <w:rPr>
                <w:b w:val="0"/>
                <w:i w:val="0"/>
                <w:sz w:val="18"/>
              </w:rPr>
              <w:t xml:space="preserve">Unvested RSUs forfeited on termination for Cause (§ 2.2(a)), </w:t>
            </w:r>
            <w:r>
              <w:rPr>
                <w:b/>
                <w:i w:val="0"/>
                <w:sz w:val="18"/>
              </w:rPr>
              <w:t>without Cause</w:t>
            </w:r>
            <w:r>
              <w:rPr>
                <w:b w:val="0"/>
                <w:i w:val="0"/>
                <w:sz w:val="18"/>
              </w:rPr>
              <w:t xml:space="preserve"> (§ 2.2(b), “without prejudice to” Article VII), voluntary resignation </w:t>
            </w:r>
            <w:r>
              <w:rPr>
                <w:b/>
                <w:i w:val="0"/>
                <w:sz w:val="18"/>
              </w:rPr>
              <w:t>including Good Reason</w:t>
            </w:r>
            <w:r>
              <w:rPr>
                <w:b w:val="0"/>
                <w:i w:val="0"/>
                <w:sz w:val="18"/>
              </w:rPr>
              <w:t xml:space="preserve"> (§ 2.2(c)). Death/Disability: 12-month acceleration (§ 2.2(d)). No pro-rata vesting (§ 2.2(e)). Double-trigger CIC acceleration (§ 2.3).</w:t>
            </w:r>
          </w:p>
        </w:tc>
      </w:tr>
      <w:tr>
        <w:tc>
          <w:tcPr>
            <w:tcW w:type="dxa" w:w="2232"/>
            <w:shd w:val="clear" w:color="auto" w:fill="F2F2F2"/>
          </w:tcPr>
          <w:p>
            <w:pPr>
              <w:spacing w:after="20"/>
            </w:pPr>
            <w:r/>
            <w:r>
              <w:rPr>
                <w:b/>
                <w:i w:val="0"/>
                <w:sz w:val="18"/>
              </w:rPr>
              <w:t>Breach-based</w:t>
            </w:r>
          </w:p>
        </w:tc>
        <w:tc>
          <w:tcPr>
            <w:tcW w:type="dxa" w:w="7416"/>
          </w:tcPr>
          <w:p>
            <w:pPr>
              <w:spacing w:after="20"/>
            </w:pPr>
            <w:r/>
            <w:r>
              <w:rPr>
                <w:b w:val="0"/>
                <w:i w:val="0"/>
                <w:sz w:val="18"/>
              </w:rPr>
              <w:t>§ 7.1: unvested RSUs forfeited upon Cause termination or breach of Article VI (as of the Company’s breach determination date).</w:t>
            </w:r>
          </w:p>
        </w:tc>
      </w:tr>
      <w:tr>
        <w:tc>
          <w:tcPr>
            <w:tcW w:type="dxa" w:w="2232"/>
            <w:shd w:val="clear" w:color="auto" w:fill="F2F2F2"/>
          </w:tcPr>
          <w:p>
            <w:pPr>
              <w:spacing w:after="20"/>
            </w:pPr>
            <w:r/>
            <w:r>
              <w:rPr>
                <w:b/>
                <w:i w:val="0"/>
                <w:sz w:val="18"/>
              </w:rPr>
              <w:t>Application here</w:t>
            </w:r>
          </w:p>
        </w:tc>
        <w:tc>
          <w:tcPr>
            <w:tcW w:type="dxa" w:w="7416"/>
          </w:tcPr>
          <w:p>
            <w:pPr>
              <w:spacing w:after="20"/>
            </w:pPr>
            <w:r/>
            <w:r>
              <w:rPr>
                <w:b w:val="0"/>
                <w:i w:val="0"/>
                <w:sz w:val="18"/>
              </w:rPr>
              <w:t>February 2025 without-Cause termination: Tranches 3 and 4 (14,000 RSUs) forfeit automatically on the termination date. § 7.1 therefore adds nothing after a February termination.</w:t>
            </w:r>
          </w:p>
        </w:tc>
      </w:tr>
    </w:tbl>
    <w:p>
      <w:pPr>
        <w:spacing w:after="40"/>
      </w:pPr>
    </w:p>
    <w:p>
      <w:r>
        <w:rPr>
          <w:b/>
          <w:i w:val="0"/>
        </w:rPr>
        <w:t>3. Clawback of Vested RSUs — RSU § 7.2</w:t>
      </w:r>
    </w:p>
    <w:tbl>
      <w:tblPr>
        <w:tblStyle w:val="TableGrid"/>
        <w:tblW w:type="auto" w:w="0"/>
        <w:jc w:val="center"/>
        <w:tblLayout w:type="fixed"/>
        <w:tblLook w:firstColumn="1" w:firstRow="1" w:lastColumn="0" w:lastRow="0" w:noHBand="0" w:noVBand="1" w:val="04A0"/>
      </w:tblPr>
      <w:tblGrid>
        <w:gridCol w:w="2232"/>
        <w:gridCol w:w="7416"/>
      </w:tblGrid>
      <w:tr>
        <w:trPr>
          <w:tblHeader w:val="true"/>
        </w:trPr>
        <w:tc>
          <w:tcPr>
            <w:tcW w:type="dxa" w:w="2232"/>
            <w:shd w:val="clear" w:color="auto" w:fill="D9E2F3"/>
          </w:tcPr>
          <w:p>
            <w:pPr>
              <w:spacing w:after="20"/>
            </w:pPr>
            <w:r/>
            <w:r>
              <w:rPr>
                <w:b/>
                <w:i w:val="0"/>
                <w:sz w:val="18"/>
              </w:rPr>
              <w:t>Field</w:t>
            </w:r>
          </w:p>
        </w:tc>
        <w:tc>
          <w:tcPr>
            <w:tcW w:type="dxa" w:w="7416"/>
            <w:shd w:val="clear" w:color="auto" w:fill="D9E2F3"/>
          </w:tcPr>
          <w:p>
            <w:pPr>
              <w:spacing w:after="20"/>
            </w:pPr>
            <w:r/>
            <w:r>
              <w:rPr>
                <w:b/>
                <w:i w:val="0"/>
                <w:sz w:val="18"/>
              </w:rPr>
              <w:t>Extraction</w:t>
            </w:r>
          </w:p>
        </w:tc>
      </w:tr>
      <w:tr>
        <w:tc>
          <w:tcPr>
            <w:tcW w:type="dxa" w:w="2232"/>
            <w:shd w:val="clear" w:color="auto" w:fill="F2F2F2"/>
          </w:tcPr>
          <w:p>
            <w:pPr>
              <w:spacing w:after="20"/>
            </w:pPr>
            <w:r/>
            <w:r>
              <w:rPr>
                <w:b/>
                <w:i w:val="0"/>
                <w:sz w:val="18"/>
              </w:rPr>
              <w:t>Triggers</w:t>
            </w:r>
          </w:p>
        </w:tc>
        <w:tc>
          <w:tcPr>
            <w:tcW w:type="dxa" w:w="7416"/>
          </w:tcPr>
          <w:p>
            <w:pPr>
              <w:spacing w:after="20"/>
            </w:pPr>
            <w:r/>
            <w:r>
              <w:rPr>
                <w:b w:val="0"/>
                <w:i w:val="0"/>
                <w:sz w:val="18"/>
              </w:rPr>
              <w:t xml:space="preserve">(a) Termination for Cause; or (b) breach of “any restrictive covenant set forth in Article VI” (during or after employment). </w:t>
            </w:r>
            <w:r>
              <w:rPr>
                <w:b/>
                <w:i w:val="0"/>
                <w:sz w:val="18"/>
              </w:rPr>
              <w:t>Only the non-compete.</w:t>
            </w:r>
          </w:p>
        </w:tc>
      </w:tr>
      <w:tr>
        <w:tc>
          <w:tcPr>
            <w:tcW w:type="dxa" w:w="2232"/>
            <w:shd w:val="clear" w:color="auto" w:fill="F2F2F2"/>
          </w:tcPr>
          <w:p>
            <w:pPr>
              <w:spacing w:after="20"/>
            </w:pPr>
            <w:r/>
            <w:r>
              <w:rPr>
                <w:b/>
                <w:i w:val="0"/>
                <w:sz w:val="18"/>
              </w:rPr>
              <w:t>Lookback (“Clawback Period”)</w:t>
            </w:r>
          </w:p>
        </w:tc>
        <w:tc>
          <w:tcPr>
            <w:tcW w:type="dxa" w:w="7416"/>
          </w:tcPr>
          <w:p>
            <w:pPr>
              <w:spacing w:after="20"/>
            </w:pPr>
            <w:r/>
            <w:r>
              <w:rPr>
                <w:b w:val="0"/>
                <w:i w:val="0"/>
                <w:sz w:val="18"/>
              </w:rPr>
              <w:t xml:space="preserve">RSUs that vested during the </w:t>
            </w:r>
            <w:r>
              <w:rPr>
                <w:b/>
                <w:i w:val="0"/>
                <w:sz w:val="18"/>
              </w:rPr>
              <w:t>18 months</w:t>
            </w:r>
            <w:r>
              <w:rPr>
                <w:b w:val="0"/>
                <w:i w:val="0"/>
                <w:sz w:val="18"/>
              </w:rPr>
              <w:t xml:space="preserve"> immediately preceding (a) the termination date (Cause) or (b) “the date on which the breach is determined by the Company to have occurred.”</w:t>
            </w:r>
          </w:p>
        </w:tc>
      </w:tr>
      <w:tr>
        <w:tc>
          <w:tcPr>
            <w:tcW w:type="dxa" w:w="2232"/>
            <w:shd w:val="clear" w:color="auto" w:fill="F2F2F2"/>
          </w:tcPr>
          <w:p>
            <w:pPr>
              <w:spacing w:after="20"/>
            </w:pPr>
            <w:r/>
            <w:r>
              <w:rPr>
                <w:b/>
                <w:i w:val="0"/>
                <w:sz w:val="18"/>
              </w:rPr>
              <w:t>Measure</w:t>
            </w:r>
          </w:p>
        </w:tc>
        <w:tc>
          <w:tcPr>
            <w:tcW w:type="dxa" w:w="7416"/>
          </w:tcPr>
          <w:p>
            <w:pPr>
              <w:spacing w:after="20"/>
            </w:pPr>
            <w:r/>
            <w:r>
              <w:rPr>
                <w:b w:val="0"/>
                <w:i w:val="0"/>
                <w:sz w:val="18"/>
              </w:rPr>
              <w:t xml:space="preserve">Cash equal to aggregate </w:t>
            </w:r>
            <w:r>
              <w:rPr>
                <w:b/>
                <w:i w:val="0"/>
                <w:sz w:val="18"/>
              </w:rPr>
              <w:t>pre-tax</w:t>
            </w:r>
            <w:r>
              <w:rPr>
                <w:b w:val="0"/>
                <w:i w:val="0"/>
                <w:sz w:val="18"/>
              </w:rPr>
              <w:t xml:space="preserve"> Fair Market Value = closing price “on the applicable Vesting Date” × RSUs vested that date (not net shares delivered, not current value).</w:t>
            </w:r>
          </w:p>
        </w:tc>
      </w:tr>
      <w:tr>
        <w:tc>
          <w:tcPr>
            <w:tcW w:type="dxa" w:w="2232"/>
            <w:shd w:val="clear" w:color="auto" w:fill="F2F2F2"/>
          </w:tcPr>
          <w:p>
            <w:pPr>
              <w:spacing w:after="20"/>
            </w:pPr>
            <w:r/>
            <w:r>
              <w:rPr>
                <w:b/>
                <w:i w:val="0"/>
                <w:sz w:val="18"/>
              </w:rPr>
              <w:t>Timing / survival</w:t>
            </w:r>
          </w:p>
        </w:tc>
        <w:tc>
          <w:tcPr>
            <w:tcW w:type="dxa" w:w="7416"/>
          </w:tcPr>
          <w:p>
            <w:pPr>
              <w:spacing w:after="20"/>
            </w:pPr>
            <w:r/>
            <w:r>
              <w:rPr>
                <w:b w:val="0"/>
                <w:i w:val="0"/>
                <w:sz w:val="18"/>
              </w:rPr>
              <w:t>Within 30 days of written demand; survives until satisfied or statute of limitations expires; offset against amounts payable to the extent permitted by law and § 409A.</w:t>
            </w:r>
          </w:p>
        </w:tc>
      </w:tr>
    </w:tbl>
    <w:p>
      <w:pPr>
        <w:spacing w:after="40"/>
      </w:pPr>
    </w:p>
    <w:p>
      <w:r>
        <w:rPr>
          <w:b/>
          <w:i w:val="0"/>
        </w:rPr>
        <w:t>Not in the RSU Agreement:</w:t>
      </w:r>
      <w:r>
        <w:rPr>
          <w:b w:val="0"/>
          <w:i w:val="0"/>
        </w:rPr>
        <w:t xml:space="preserve"> customer or employee non-solicits, confidentiality covenant (it borrows the EA definition but imposes no covenant), non-disparagement, cooperation, tolling, forum selection, consent to jurisdiction, or fee shifting. RSU § 8.1: the 2019 Plan controls over the RSU Agreement except that Articles VI and VII control over inconsistent Plan provisions — we need the Plan to confirm there are no additional Plan-level forfeiture terms.</w:t>
      </w:r>
    </w:p>
    <w:p>
      <w:pPr>
        <w:pStyle w:val="Heading2"/>
      </w:pPr>
      <w:r>
        <w:t>B. Conflicts and Discrepancies Between the RSU Agreement and the Employment Agreement</w:t>
      </w:r>
    </w:p>
    <w:tbl>
      <w:tblPr>
        <w:tblStyle w:val="TableGrid"/>
        <w:tblW w:type="auto" w:w="0"/>
        <w:jc w:val="center"/>
        <w:tblLayout w:type="fixed"/>
        <w:tblLook w:firstColumn="1" w:firstRow="1" w:lastColumn="0" w:lastRow="0" w:noHBand="0" w:noVBand="1" w:val="04A0"/>
      </w:tblPr>
      <w:tblGrid>
        <w:gridCol w:w="1655"/>
        <w:gridCol w:w="2808"/>
        <w:gridCol w:w="2664"/>
        <w:gridCol w:w="2520"/>
      </w:tblGrid>
      <w:tr>
        <w:trPr>
          <w:tblHeader w:val="true"/>
        </w:trPr>
        <w:tc>
          <w:tcPr>
            <w:tcW w:type="dxa" w:w="1656"/>
            <w:shd w:val="clear" w:color="auto" w:fill="D9E2F3"/>
          </w:tcPr>
          <w:p>
            <w:pPr>
              <w:spacing w:after="20"/>
            </w:pPr>
            <w:r/>
            <w:r>
              <w:rPr>
                <w:b/>
                <w:i w:val="0"/>
                <w:sz w:val="17"/>
              </w:rPr>
              <w:t>Issue</w:t>
            </w:r>
          </w:p>
        </w:tc>
        <w:tc>
          <w:tcPr>
            <w:tcW w:type="dxa" w:w="2808"/>
            <w:shd w:val="clear" w:color="auto" w:fill="D9E2F3"/>
          </w:tcPr>
          <w:p>
            <w:pPr>
              <w:spacing w:after="20"/>
            </w:pPr>
            <w:r/>
            <w:r>
              <w:rPr>
                <w:b/>
                <w:i w:val="0"/>
                <w:sz w:val="17"/>
              </w:rPr>
              <w:t>Employment Agreement (as amended)</w:t>
            </w:r>
          </w:p>
        </w:tc>
        <w:tc>
          <w:tcPr>
            <w:tcW w:type="dxa" w:w="2664"/>
            <w:shd w:val="clear" w:color="auto" w:fill="D9E2F3"/>
          </w:tcPr>
          <w:p>
            <w:pPr>
              <w:spacing w:after="20"/>
            </w:pPr>
            <w:r/>
            <w:r>
              <w:rPr>
                <w:b/>
                <w:i w:val="0"/>
                <w:sz w:val="17"/>
              </w:rPr>
              <w:t>RSU Agreement</w:t>
            </w:r>
          </w:p>
        </w:tc>
        <w:tc>
          <w:tcPr>
            <w:tcW w:type="dxa" w:w="2520"/>
            <w:shd w:val="clear" w:color="auto" w:fill="D9E2F3"/>
          </w:tcPr>
          <w:p>
            <w:pPr>
              <w:spacing w:after="20"/>
            </w:pPr>
            <w:r/>
            <w:r>
              <w:rPr>
                <w:b/>
                <w:i w:val="0"/>
                <w:sz w:val="17"/>
              </w:rPr>
              <w:t>Significance</w:t>
            </w:r>
          </w:p>
        </w:tc>
      </w:tr>
      <w:tr>
        <w:tc>
          <w:tcPr>
            <w:tcW w:type="dxa" w:w="1656"/>
          </w:tcPr>
          <w:p>
            <w:pPr>
              <w:spacing w:after="20"/>
            </w:pPr>
            <w:r/>
            <w:r>
              <w:rPr>
                <w:b w:val="0"/>
                <w:i w:val="0"/>
                <w:sz w:val="17"/>
              </w:rPr>
              <w:t>Non-compete duration</w:t>
            </w:r>
          </w:p>
        </w:tc>
        <w:tc>
          <w:tcPr>
            <w:tcW w:type="dxa" w:w="2808"/>
          </w:tcPr>
          <w:p>
            <w:pPr>
              <w:spacing w:after="20"/>
            </w:pPr>
            <w:r/>
            <w:r>
              <w:rPr>
                <w:b w:val="0"/>
                <w:i w:val="0"/>
                <w:sz w:val="17"/>
              </w:rPr>
              <w:t>18 months (orig. § 8.1) / 24 months (Amend. § 5)</w:t>
            </w:r>
          </w:p>
        </w:tc>
        <w:tc>
          <w:tcPr>
            <w:tcW w:type="dxa" w:w="2664"/>
          </w:tcPr>
          <w:p>
            <w:pPr>
              <w:spacing w:after="20"/>
            </w:pPr>
            <w:r/>
            <w:r>
              <w:rPr>
                <w:b w:val="0"/>
                <w:i w:val="0"/>
                <w:sz w:val="17"/>
              </w:rPr>
              <w:t>12 months (§ 4.1(i))</w:t>
            </w:r>
          </w:p>
        </w:tc>
        <w:tc>
          <w:tcPr>
            <w:tcW w:type="dxa" w:w="2520"/>
          </w:tcPr>
          <w:p>
            <w:pPr>
              <w:spacing w:after="20"/>
            </w:pPr>
            <w:r/>
            <w:r>
              <w:rPr>
                <w:b w:val="0"/>
                <w:i w:val="0"/>
                <w:sz w:val="17"/>
              </w:rPr>
              <w:t>Three different post-employment periods</w:t>
            </w:r>
          </w:p>
        </w:tc>
      </w:tr>
      <w:tr>
        <w:tc>
          <w:tcPr>
            <w:tcW w:type="dxa" w:w="1656"/>
          </w:tcPr>
          <w:p>
            <w:pPr>
              <w:spacing w:after="20"/>
            </w:pPr>
            <w:r/>
            <w:r>
              <w:rPr>
                <w:b w:val="0"/>
                <w:i w:val="0"/>
                <w:sz w:val="17"/>
              </w:rPr>
              <w:t>Defined “Restricted Period”</w:t>
            </w:r>
          </w:p>
        </w:tc>
        <w:tc>
          <w:tcPr>
            <w:tcW w:type="dxa" w:w="2808"/>
          </w:tcPr>
          <w:p>
            <w:pPr>
              <w:spacing w:after="20"/>
            </w:pPr>
            <w:r/>
            <w:r>
              <w:rPr>
                <w:b w:val="0"/>
                <w:i w:val="0"/>
                <w:sz w:val="17"/>
              </w:rPr>
              <w:t>§ 1.9 (cross-refers to §§ 8.1–8.3); Amendment redefines for “§ 7(a)” as 24 months</w:t>
            </w:r>
          </w:p>
        </w:tc>
        <w:tc>
          <w:tcPr>
            <w:tcW w:type="dxa" w:w="2664"/>
          </w:tcPr>
          <w:p>
            <w:pPr>
              <w:spacing w:after="20"/>
            </w:pPr>
            <w:r/>
            <w:r>
              <w:rPr>
                <w:b w:val="0"/>
                <w:i w:val="0"/>
                <w:sz w:val="17"/>
              </w:rPr>
              <w:t>12 months from termination</w:t>
            </w:r>
          </w:p>
        </w:tc>
        <w:tc>
          <w:tcPr>
            <w:tcW w:type="dxa" w:w="2520"/>
          </w:tcPr>
          <w:p>
            <w:pPr>
              <w:spacing w:after="20"/>
            </w:pPr>
            <w:r/>
            <w:r>
              <w:rPr>
                <w:b w:val="0"/>
                <w:i w:val="0"/>
                <w:sz w:val="17"/>
              </w:rPr>
              <w:t>Same defined term, three meanings</w:t>
            </w:r>
          </w:p>
        </w:tc>
      </w:tr>
      <w:tr>
        <w:tc>
          <w:tcPr>
            <w:tcW w:type="dxa" w:w="1656"/>
          </w:tcPr>
          <w:p>
            <w:pPr>
              <w:spacing w:after="20"/>
            </w:pPr>
            <w:r/>
            <w:r>
              <w:rPr>
                <w:b w:val="0"/>
                <w:i w:val="0"/>
                <w:sz w:val="17"/>
              </w:rPr>
              <w:t>Competitor definition</w:t>
            </w:r>
          </w:p>
        </w:tc>
        <w:tc>
          <w:tcPr>
            <w:tcW w:type="dxa" w:w="2808"/>
          </w:tcPr>
          <w:p>
            <w:pPr>
              <w:spacing w:after="20"/>
            </w:pPr>
            <w:r/>
            <w:r>
              <w:rPr>
                <w:b w:val="0"/>
                <w:i w:val="0"/>
                <w:sz w:val="17"/>
              </w:rPr>
              <w:t>&gt;15% (orig.) / &gt;10% (amend.) of revenue from household cleaning, personal care (and home fragrance, amend.)</w:t>
            </w:r>
          </w:p>
        </w:tc>
        <w:tc>
          <w:tcPr>
            <w:tcW w:type="dxa" w:w="2664"/>
          </w:tcPr>
          <w:p>
            <w:pPr>
              <w:spacing w:after="20"/>
            </w:pPr>
            <w:r/>
            <w:r>
              <w:rPr>
                <w:b w:val="0"/>
                <w:i w:val="0"/>
                <w:sz w:val="17"/>
              </w:rPr>
              <w:t>Any business that “competes with the Company in the household cleaning products industry” — no threshold; no personal care/home fragrance</w:t>
            </w:r>
          </w:p>
        </w:tc>
        <w:tc>
          <w:tcPr>
            <w:tcW w:type="dxa" w:w="2520"/>
          </w:tcPr>
          <w:p>
            <w:pPr>
              <w:spacing w:after="20"/>
            </w:pPr>
            <w:r/>
            <w:r>
              <w:rPr>
                <w:b w:val="0"/>
                <w:i w:val="0"/>
                <w:sz w:val="17"/>
              </w:rPr>
              <w:t xml:space="preserve">RSU is </w:t>
            </w:r>
            <w:r>
              <w:rPr>
                <w:b/>
                <w:i w:val="0"/>
                <w:sz w:val="17"/>
              </w:rPr>
              <w:t>broader</w:t>
            </w:r>
            <w:r>
              <w:rPr>
                <w:b w:val="0"/>
                <w:i w:val="0"/>
                <w:sz w:val="17"/>
              </w:rPr>
              <w:t xml:space="preserve"> for diversified companies with small cleaning lines; </w:t>
            </w:r>
            <w:r>
              <w:rPr>
                <w:b/>
                <w:i w:val="0"/>
                <w:sz w:val="17"/>
              </w:rPr>
              <w:t>narrower</w:t>
            </w:r>
            <w:r>
              <w:rPr>
                <w:b w:val="0"/>
                <w:i w:val="0"/>
                <w:sz w:val="17"/>
              </w:rPr>
              <w:t xml:space="preserve"> for pure personal care/home fragrance companies</w:t>
            </w:r>
          </w:p>
        </w:tc>
      </w:tr>
      <w:tr>
        <w:tc>
          <w:tcPr>
            <w:tcW w:type="dxa" w:w="1656"/>
          </w:tcPr>
          <w:p>
            <w:pPr>
              <w:spacing w:after="20"/>
            </w:pPr>
            <w:r/>
            <w:r>
              <w:rPr>
                <w:b w:val="0"/>
                <w:i w:val="0"/>
                <w:sz w:val="17"/>
              </w:rPr>
              <w:t>Whose business is protected</w:t>
            </w:r>
          </w:p>
        </w:tc>
        <w:tc>
          <w:tcPr>
            <w:tcW w:type="dxa" w:w="2808"/>
          </w:tcPr>
          <w:p>
            <w:pPr>
              <w:spacing w:after="20"/>
            </w:pPr>
            <w:r/>
            <w:r>
              <w:rPr>
                <w:b w:val="0"/>
                <w:i w:val="0"/>
                <w:sz w:val="17"/>
              </w:rPr>
              <w:t>Company and Affiliates (via revenue test, product-based)</w:t>
            </w:r>
          </w:p>
        </w:tc>
        <w:tc>
          <w:tcPr>
            <w:tcW w:type="dxa" w:w="2664"/>
          </w:tcPr>
          <w:p>
            <w:pPr>
              <w:spacing w:after="20"/>
            </w:pPr>
            <w:r/>
            <w:r>
              <w:rPr>
                <w:b w:val="0"/>
                <w:i w:val="0"/>
                <w:sz w:val="17"/>
              </w:rPr>
              <w:t>“competes with the Company” (§ 4.1(c)); § 6.2(b) refers to “the Company or any of its Affiliates”</w:t>
            </w:r>
          </w:p>
        </w:tc>
        <w:tc>
          <w:tcPr>
            <w:tcW w:type="dxa" w:w="2520"/>
          </w:tcPr>
          <w:p>
            <w:pPr>
              <w:spacing w:after="20"/>
            </w:pPr>
            <w:r/>
            <w:r>
              <w:rPr>
                <w:b w:val="0"/>
                <w:i w:val="0"/>
                <w:sz w:val="17"/>
              </w:rPr>
              <w:t>Arguable that Lakeshore-only lines are outside § 6.2(a)</w:t>
            </w:r>
          </w:p>
        </w:tc>
      </w:tr>
      <w:tr>
        <w:tc>
          <w:tcPr>
            <w:tcW w:type="dxa" w:w="1656"/>
          </w:tcPr>
          <w:p>
            <w:pPr>
              <w:spacing w:after="20"/>
            </w:pPr>
            <w:r/>
            <w:r>
              <w:rPr>
                <w:b w:val="0"/>
                <w:i w:val="0"/>
                <w:sz w:val="17"/>
              </w:rPr>
              <w:t>Clawback trigger</w:t>
            </w:r>
          </w:p>
        </w:tc>
        <w:tc>
          <w:tcPr>
            <w:tcW w:type="dxa" w:w="2808"/>
          </w:tcPr>
          <w:p>
            <w:pPr>
              <w:spacing w:after="20"/>
            </w:pPr>
            <w:r/>
            <w:r>
              <w:rPr>
                <w:b w:val="0"/>
                <w:i w:val="0"/>
                <w:sz w:val="17"/>
              </w:rPr>
              <w:t>Severance forfeiture/repayment for breach of any covenant</w:t>
            </w:r>
          </w:p>
        </w:tc>
        <w:tc>
          <w:tcPr>
            <w:tcW w:type="dxa" w:w="2664"/>
          </w:tcPr>
          <w:p>
            <w:pPr>
              <w:spacing w:after="20"/>
            </w:pPr>
            <w:r/>
            <w:r>
              <w:rPr>
                <w:b w:val="0"/>
                <w:i w:val="0"/>
                <w:sz w:val="17"/>
              </w:rPr>
              <w:t>Equity clawback only for Cause or breach of Article VI non-compete</w:t>
            </w:r>
          </w:p>
        </w:tc>
        <w:tc>
          <w:tcPr>
            <w:tcW w:type="dxa" w:w="2520"/>
          </w:tcPr>
          <w:p>
            <w:pPr>
              <w:spacing w:after="20"/>
            </w:pPr>
            <w:r/>
            <w:r>
              <w:rPr>
                <w:b w:val="0"/>
                <w:i w:val="0"/>
                <w:sz w:val="17"/>
              </w:rPr>
              <w:t>Customer solicitation does not touch equity</w:t>
            </w:r>
          </w:p>
        </w:tc>
      </w:tr>
      <w:tr>
        <w:tc>
          <w:tcPr>
            <w:tcW w:type="dxa" w:w="1656"/>
          </w:tcPr>
          <w:p>
            <w:pPr>
              <w:spacing w:after="20"/>
            </w:pPr>
            <w:r/>
            <w:r>
              <w:rPr>
                <w:b w:val="0"/>
                <w:i w:val="0"/>
                <w:sz w:val="17"/>
              </w:rPr>
              <w:t>Repayment measure</w:t>
            </w:r>
          </w:p>
        </w:tc>
        <w:tc>
          <w:tcPr>
            <w:tcW w:type="dxa" w:w="2808"/>
          </w:tcPr>
          <w:p>
            <w:pPr>
              <w:spacing w:after="20"/>
            </w:pPr>
            <w:r/>
            <w:r>
              <w:rPr>
                <w:b w:val="0"/>
                <w:i w:val="0"/>
                <w:sz w:val="17"/>
              </w:rPr>
              <w:t>Net of taxes (§ 6.2) / 100% (Amend. § 9)</w:t>
            </w:r>
          </w:p>
        </w:tc>
        <w:tc>
          <w:tcPr>
            <w:tcW w:type="dxa" w:w="2664"/>
          </w:tcPr>
          <w:p>
            <w:pPr>
              <w:spacing w:after="20"/>
            </w:pPr>
            <w:r/>
            <w:r>
              <w:rPr>
                <w:b w:val="0"/>
                <w:i w:val="0"/>
                <w:sz w:val="17"/>
              </w:rPr>
              <w:t>Pre-tax FMV on vesting date</w:t>
            </w:r>
          </w:p>
        </w:tc>
        <w:tc>
          <w:tcPr>
            <w:tcW w:type="dxa" w:w="2520"/>
          </w:tcPr>
          <w:p>
            <w:pPr>
              <w:spacing w:after="20"/>
            </w:pPr>
            <w:r/>
            <w:r>
              <w:rPr>
                <w:b w:val="0"/>
                <w:i w:val="0"/>
                <w:sz w:val="17"/>
              </w:rPr>
              <w:t>Three different measures</w:t>
            </w:r>
          </w:p>
        </w:tc>
      </w:tr>
      <w:tr>
        <w:tc>
          <w:tcPr>
            <w:tcW w:type="dxa" w:w="1656"/>
          </w:tcPr>
          <w:p>
            <w:pPr>
              <w:spacing w:after="20"/>
            </w:pPr>
            <w:r/>
            <w:r>
              <w:rPr>
                <w:b w:val="0"/>
                <w:i w:val="0"/>
                <w:sz w:val="17"/>
              </w:rPr>
              <w:t>Lookback</w:t>
            </w:r>
          </w:p>
        </w:tc>
        <w:tc>
          <w:tcPr>
            <w:tcW w:type="dxa" w:w="2808"/>
          </w:tcPr>
          <w:p>
            <w:pPr>
              <w:spacing w:after="20"/>
            </w:pPr>
            <w:r/>
            <w:r>
              <w:rPr>
                <w:b w:val="0"/>
                <w:i w:val="0"/>
                <w:sz w:val="17"/>
              </w:rPr>
              <w:t>None (§ 6.2) / 12 months before Breach Determination Date (Amend. § 9)</w:t>
            </w:r>
          </w:p>
        </w:tc>
        <w:tc>
          <w:tcPr>
            <w:tcW w:type="dxa" w:w="2664"/>
          </w:tcPr>
          <w:p>
            <w:pPr>
              <w:spacing w:after="20"/>
            </w:pPr>
            <w:r/>
            <w:r>
              <w:rPr>
                <w:b w:val="0"/>
                <w:i w:val="0"/>
                <w:sz w:val="17"/>
              </w:rPr>
              <w:t>18 months before termination (Cause) or breach determination</w:t>
            </w:r>
          </w:p>
        </w:tc>
        <w:tc>
          <w:tcPr>
            <w:tcW w:type="dxa" w:w="2520"/>
          </w:tcPr>
          <w:p>
            <w:pPr>
              <w:spacing w:after="20"/>
            </w:pPr>
            <w:r/>
            <w:r>
              <w:rPr>
                <w:b w:val="0"/>
                <w:i w:val="0"/>
                <w:sz w:val="17"/>
              </w:rPr>
              <w:t>Different anchors and durations</w:t>
            </w:r>
          </w:p>
        </w:tc>
      </w:tr>
      <w:tr>
        <w:tc>
          <w:tcPr>
            <w:tcW w:type="dxa" w:w="1656"/>
          </w:tcPr>
          <w:p>
            <w:pPr>
              <w:spacing w:after="20"/>
            </w:pPr>
            <w:r/>
            <w:r>
              <w:rPr>
                <w:b w:val="0"/>
                <w:i w:val="0"/>
                <w:sz w:val="17"/>
              </w:rPr>
              <w:t>Good Reason</w:t>
            </w:r>
          </w:p>
        </w:tc>
        <w:tc>
          <w:tcPr>
            <w:tcW w:type="dxa" w:w="2808"/>
          </w:tcPr>
          <w:p>
            <w:pPr>
              <w:spacing w:after="20"/>
            </w:pPr>
            <w:r/>
            <w:r>
              <w:rPr>
                <w:b w:val="0"/>
                <w:i w:val="0"/>
                <w:sz w:val="17"/>
              </w:rPr>
              <w:t>Treated as without-Cause termination: severance payable (§ 6.4)</w:t>
            </w:r>
          </w:p>
        </w:tc>
        <w:tc>
          <w:tcPr>
            <w:tcW w:type="dxa" w:w="2664"/>
          </w:tcPr>
          <w:p>
            <w:pPr>
              <w:spacing w:after="20"/>
            </w:pPr>
            <w:r/>
            <w:r>
              <w:rPr>
                <w:b w:val="0"/>
                <w:i w:val="0"/>
                <w:sz w:val="17"/>
              </w:rPr>
              <w:t>Treated as voluntary resignation: unvested RSUs forfeited (§ 2.2(c)), except CIC double trigger</w:t>
            </w:r>
          </w:p>
        </w:tc>
        <w:tc>
          <w:tcPr>
            <w:tcW w:type="dxa" w:w="2520"/>
          </w:tcPr>
          <w:p>
            <w:pPr>
              <w:spacing w:after="20"/>
            </w:pPr>
            <w:r/>
            <w:r>
              <w:rPr>
                <w:b w:val="0"/>
                <w:i w:val="0"/>
                <w:sz w:val="17"/>
              </w:rPr>
              <w:t>Not a conflict per se, but must be explained to Board</w:t>
            </w:r>
          </w:p>
        </w:tc>
      </w:tr>
      <w:tr>
        <w:tc>
          <w:tcPr>
            <w:tcW w:type="dxa" w:w="1656"/>
          </w:tcPr>
          <w:p>
            <w:pPr>
              <w:spacing w:after="20"/>
            </w:pPr>
            <w:r/>
            <w:r>
              <w:rPr>
                <w:b w:val="0"/>
                <w:i w:val="0"/>
                <w:sz w:val="17"/>
              </w:rPr>
              <w:t>“Cause”</w:t>
            </w:r>
          </w:p>
        </w:tc>
        <w:tc>
          <w:tcPr>
            <w:tcW w:type="dxa" w:w="2808"/>
          </w:tcPr>
          <w:p>
            <w:pPr>
              <w:spacing w:after="20"/>
            </w:pPr>
            <w:r/>
            <w:r>
              <w:rPr>
                <w:b w:val="0"/>
                <w:i w:val="0"/>
                <w:sz w:val="17"/>
              </w:rPr>
              <w:t>§ 1.3 + Amendment clause (vi) (reference defect)</w:t>
            </w:r>
          </w:p>
        </w:tc>
        <w:tc>
          <w:tcPr>
            <w:tcW w:type="dxa" w:w="2664"/>
          </w:tcPr>
          <w:p>
            <w:pPr>
              <w:spacing w:after="20"/>
            </w:pPr>
            <w:r/>
            <w:r>
              <w:rPr>
                <w:b w:val="0"/>
                <w:i w:val="0"/>
                <w:sz w:val="17"/>
              </w:rPr>
              <w:t>Incorporates EA definition “as may be amended from time to time”</w:t>
            </w:r>
          </w:p>
        </w:tc>
        <w:tc>
          <w:tcPr>
            <w:tcW w:type="dxa" w:w="2520"/>
          </w:tcPr>
          <w:p>
            <w:pPr>
              <w:spacing w:after="20"/>
            </w:pPr>
            <w:r/>
            <w:r>
              <w:rPr>
                <w:b w:val="0"/>
                <w:i w:val="0"/>
                <w:sz w:val="17"/>
              </w:rPr>
              <w:t>Clause (vi) imported only if the Amendment validly amended § 1.3</w:t>
            </w:r>
          </w:p>
        </w:tc>
      </w:tr>
      <w:tr>
        <w:tc>
          <w:tcPr>
            <w:tcW w:type="dxa" w:w="1656"/>
          </w:tcPr>
          <w:p>
            <w:pPr>
              <w:spacing w:after="20"/>
            </w:pPr>
            <w:r/>
            <w:r>
              <w:rPr>
                <w:b w:val="0"/>
                <w:i w:val="0"/>
                <w:sz w:val="17"/>
              </w:rPr>
              <w:t>Governing law</w:t>
            </w:r>
          </w:p>
        </w:tc>
        <w:tc>
          <w:tcPr>
            <w:tcW w:type="dxa" w:w="2808"/>
          </w:tcPr>
          <w:p>
            <w:pPr>
              <w:spacing w:after="20"/>
            </w:pPr>
            <w:r/>
            <w:r>
              <w:rPr>
                <w:b w:val="0"/>
                <w:i w:val="0"/>
                <w:sz w:val="17"/>
              </w:rPr>
              <w:t>North Carolina</w:t>
            </w:r>
          </w:p>
        </w:tc>
        <w:tc>
          <w:tcPr>
            <w:tcW w:type="dxa" w:w="2664"/>
          </w:tcPr>
          <w:p>
            <w:pPr>
              <w:spacing w:after="20"/>
            </w:pPr>
            <w:r/>
            <w:r>
              <w:rPr>
                <w:b w:val="0"/>
                <w:i w:val="0"/>
                <w:sz w:val="17"/>
              </w:rPr>
              <w:t>Delaware</w:t>
            </w:r>
          </w:p>
        </w:tc>
        <w:tc>
          <w:tcPr>
            <w:tcW w:type="dxa" w:w="2520"/>
          </w:tcPr>
          <w:p>
            <w:pPr>
              <w:spacing w:after="20"/>
            </w:pPr>
            <w:r/>
            <w:r>
              <w:rPr>
                <w:b w:val="0"/>
                <w:i w:val="0"/>
                <w:sz w:val="17"/>
              </w:rPr>
              <w:t>Choice-of-law conflict (Part V.D)</w:t>
            </w:r>
          </w:p>
        </w:tc>
      </w:tr>
      <w:tr>
        <w:tc>
          <w:tcPr>
            <w:tcW w:type="dxa" w:w="1656"/>
          </w:tcPr>
          <w:p>
            <w:pPr>
              <w:spacing w:after="20"/>
            </w:pPr>
            <w:r/>
            <w:r>
              <w:rPr>
                <w:b w:val="0"/>
                <w:i w:val="0"/>
                <w:sz w:val="17"/>
              </w:rPr>
              <w:t>Forum</w:t>
            </w:r>
          </w:p>
        </w:tc>
        <w:tc>
          <w:tcPr>
            <w:tcW w:type="dxa" w:w="2808"/>
          </w:tcPr>
          <w:p>
            <w:pPr>
              <w:spacing w:after="20"/>
            </w:pPr>
            <w:r/>
            <w:r>
              <w:rPr>
                <w:b w:val="0"/>
                <w:i w:val="0"/>
                <w:sz w:val="17"/>
              </w:rPr>
              <w:t>Exclusive: Mecklenburg County, N.C. courts (EA § 9.2; Amend. § 12)</w:t>
            </w:r>
          </w:p>
        </w:tc>
        <w:tc>
          <w:tcPr>
            <w:tcW w:type="dxa" w:w="2664"/>
          </w:tcPr>
          <w:p>
            <w:pPr>
              <w:spacing w:after="20"/>
            </w:pPr>
            <w:r/>
            <w:r>
              <w:rPr>
                <w:b w:val="0"/>
                <w:i w:val="0"/>
                <w:sz w:val="17"/>
              </w:rPr>
              <w:t>None</w:t>
            </w:r>
          </w:p>
        </w:tc>
        <w:tc>
          <w:tcPr>
            <w:tcW w:type="dxa" w:w="2520"/>
          </w:tcPr>
          <w:p>
            <w:pPr>
              <w:spacing w:after="20"/>
            </w:pPr>
            <w:r/>
            <w:r>
              <w:rPr>
                <w:b w:val="0"/>
                <w:i w:val="0"/>
                <w:sz w:val="17"/>
              </w:rPr>
              <w:t>RSU claims likely litigated in N.C. alongside EA claims</w:t>
            </w:r>
          </w:p>
        </w:tc>
      </w:tr>
      <w:tr>
        <w:tc>
          <w:tcPr>
            <w:tcW w:type="dxa" w:w="1656"/>
          </w:tcPr>
          <w:p>
            <w:pPr>
              <w:spacing w:after="20"/>
            </w:pPr>
            <w:r/>
            <w:r>
              <w:rPr>
                <w:b w:val="0"/>
                <w:i w:val="0"/>
                <w:sz w:val="17"/>
              </w:rPr>
              <w:t>Precedence clause</w:t>
            </w:r>
          </w:p>
        </w:tc>
        <w:tc>
          <w:tcPr>
            <w:tcW w:type="dxa" w:w="2808"/>
          </w:tcPr>
          <w:p>
            <w:pPr>
              <w:spacing w:after="20"/>
            </w:pPr>
            <w:r/>
            <w:r>
              <w:rPr>
                <w:b w:val="0"/>
                <w:i w:val="0"/>
                <w:sz w:val="17"/>
              </w:rPr>
              <w:t>Amendment controls over Original Agreement</w:t>
            </w:r>
          </w:p>
        </w:tc>
        <w:tc>
          <w:tcPr>
            <w:tcW w:type="dxa" w:w="2664"/>
          </w:tcPr>
          <w:p>
            <w:pPr>
              <w:spacing w:after="20"/>
            </w:pPr>
            <w:r/>
            <w:r>
              <w:rPr>
                <w:b w:val="0"/>
                <w:i w:val="0"/>
                <w:sz w:val="17"/>
              </w:rPr>
              <w:t>§ 6.3: covenants are cumulative and “independently enforceable”; Participant must “comply with the more restrictive provision”; § 8.3: does not modify EA</w:t>
            </w:r>
          </w:p>
        </w:tc>
        <w:tc>
          <w:tcPr>
            <w:tcW w:type="dxa" w:w="2520"/>
          </w:tcPr>
          <w:p>
            <w:pPr>
              <w:spacing w:after="20"/>
            </w:pPr>
            <w:r/>
            <w:r>
              <w:rPr>
                <w:b w:val="0"/>
                <w:i w:val="0"/>
                <w:sz w:val="17"/>
              </w:rPr>
              <w:t>No instrument displaces another; Pinnacle may enforce each on its own terms</w:t>
            </w:r>
          </w:p>
        </w:tc>
      </w:tr>
    </w:tbl>
    <w:p>
      <w:pPr>
        <w:spacing w:after="40"/>
      </w:pPr>
    </w:p>
    <w:p>
      <w:pPr>
        <w:pStyle w:val="Heading2"/>
      </w:pPr>
      <w:r>
        <w:t>C. Which Instrument Controls — Scenario Matrix (Termination Feb. 28, 2025)</w:t>
      </w:r>
    </w:p>
    <w:tbl>
      <w:tblPr>
        <w:tblStyle w:val="TableGrid"/>
        <w:tblW w:type="auto" w:w="0"/>
        <w:jc w:val="center"/>
        <w:tblLayout w:type="fixed"/>
        <w:tblLook w:firstColumn="1" w:firstRow="1" w:lastColumn="0" w:lastRow="0" w:noHBand="0" w:noVBand="1" w:val="04A0"/>
      </w:tblPr>
      <w:tblGrid>
        <w:gridCol w:w="2520"/>
        <w:gridCol w:w="2304"/>
        <w:gridCol w:w="1800"/>
        <w:gridCol w:w="3024"/>
      </w:tblGrid>
      <w:tr>
        <w:trPr>
          <w:tblHeader w:val="true"/>
        </w:trPr>
        <w:tc>
          <w:tcPr>
            <w:tcW w:type="dxa" w:w="2520"/>
            <w:shd w:val="clear" w:color="auto" w:fill="D9E2F3"/>
          </w:tcPr>
          <w:p>
            <w:pPr>
              <w:spacing w:after="20"/>
            </w:pPr>
            <w:r/>
            <w:r>
              <w:rPr>
                <w:b/>
                <w:i w:val="0"/>
                <w:sz w:val="17"/>
              </w:rPr>
              <w:t>Post-termination conduct</w:t>
            </w:r>
          </w:p>
        </w:tc>
        <w:tc>
          <w:tcPr>
            <w:tcW w:type="dxa" w:w="2304"/>
            <w:shd w:val="clear" w:color="auto" w:fill="D9E2F3"/>
          </w:tcPr>
          <w:p>
            <w:pPr>
              <w:spacing w:after="20"/>
            </w:pPr>
            <w:r/>
            <w:r>
              <w:rPr>
                <w:b/>
                <w:i w:val="0"/>
                <w:sz w:val="17"/>
              </w:rPr>
              <w:t>EA non-compete (orig. 18 mo / amend. 24 mo)</w:t>
            </w:r>
          </w:p>
        </w:tc>
        <w:tc>
          <w:tcPr>
            <w:tcW w:type="dxa" w:w="1800"/>
            <w:shd w:val="clear" w:color="auto" w:fill="D9E2F3"/>
          </w:tcPr>
          <w:p>
            <w:pPr>
              <w:spacing w:after="20"/>
            </w:pPr>
            <w:r/>
            <w:r>
              <w:rPr>
                <w:b/>
                <w:i w:val="0"/>
                <w:sz w:val="17"/>
              </w:rPr>
              <w:t>RSU non-compete (12 mo)</w:t>
            </w:r>
          </w:p>
        </w:tc>
        <w:tc>
          <w:tcPr>
            <w:tcW w:type="dxa" w:w="3024"/>
            <w:shd w:val="clear" w:color="auto" w:fill="D9E2F3"/>
          </w:tcPr>
          <w:p>
            <w:pPr>
              <w:spacing w:after="20"/>
            </w:pPr>
            <w:r/>
            <w:r>
              <w:rPr>
                <w:b/>
                <w:i w:val="0"/>
                <w:sz w:val="17"/>
              </w:rPr>
              <w:t>Available remedies</w:t>
            </w:r>
          </w:p>
        </w:tc>
      </w:tr>
      <w:tr>
        <w:tc>
          <w:tcPr>
            <w:tcW w:type="dxa" w:w="2520"/>
          </w:tcPr>
          <w:p>
            <w:pPr>
              <w:spacing w:after="20"/>
            </w:pPr>
            <w:r/>
            <w:r>
              <w:rPr>
                <w:b w:val="0"/>
                <w:i w:val="0"/>
                <w:sz w:val="17"/>
              </w:rPr>
              <w:t>Joins a “big three” household cleaning/personal care competitor, months 0–6 (to ~Sept. 1, 2025)</w:t>
            </w:r>
          </w:p>
        </w:tc>
        <w:tc>
          <w:tcPr>
            <w:tcW w:type="dxa" w:w="2304"/>
          </w:tcPr>
          <w:p>
            <w:pPr>
              <w:spacing w:after="20"/>
            </w:pPr>
            <w:r/>
            <w:r>
              <w:rPr>
                <w:b w:val="0"/>
                <w:i w:val="0"/>
                <w:sz w:val="17"/>
              </w:rPr>
              <w:t>Breach (both versions)</w:t>
            </w:r>
          </w:p>
        </w:tc>
        <w:tc>
          <w:tcPr>
            <w:tcW w:type="dxa" w:w="1800"/>
          </w:tcPr>
          <w:p>
            <w:pPr>
              <w:spacing w:after="20"/>
            </w:pPr>
            <w:r/>
            <w:r>
              <w:rPr>
                <w:b w:val="0"/>
                <w:i w:val="0"/>
                <w:sz w:val="17"/>
              </w:rPr>
              <w:t>Breach</w:t>
            </w:r>
          </w:p>
        </w:tc>
        <w:tc>
          <w:tcPr>
            <w:tcW w:type="dxa" w:w="3024"/>
          </w:tcPr>
          <w:p>
            <w:pPr>
              <w:spacing w:after="20"/>
            </w:pPr>
            <w:r/>
            <w:r>
              <w:rPr>
                <w:b w:val="0"/>
                <w:i w:val="0"/>
                <w:sz w:val="17"/>
              </w:rPr>
              <w:t>Injunction under both; severance cessation + repayment; RSU clawback of Tranche 2 (~$105,700 at $15.10) if breach determined by Sept. 1, 2025</w:t>
            </w:r>
          </w:p>
        </w:tc>
      </w:tr>
      <w:tr>
        <w:tc>
          <w:tcPr>
            <w:tcW w:type="dxa" w:w="2520"/>
          </w:tcPr>
          <w:p>
            <w:pPr>
              <w:spacing w:after="20"/>
            </w:pPr>
            <w:r/>
            <w:r>
              <w:rPr>
                <w:b w:val="0"/>
                <w:i w:val="0"/>
                <w:sz w:val="17"/>
              </w:rPr>
              <w:t>Same, months 6–12 (Sept. 2025 – Feb. 2026)</w:t>
            </w:r>
          </w:p>
        </w:tc>
        <w:tc>
          <w:tcPr>
            <w:tcW w:type="dxa" w:w="2304"/>
          </w:tcPr>
          <w:p>
            <w:pPr>
              <w:spacing w:after="20"/>
            </w:pPr>
            <w:r/>
            <w:r>
              <w:rPr>
                <w:b w:val="0"/>
                <w:i w:val="0"/>
                <w:sz w:val="17"/>
              </w:rPr>
              <w:t>Breach</w:t>
            </w:r>
          </w:p>
        </w:tc>
        <w:tc>
          <w:tcPr>
            <w:tcW w:type="dxa" w:w="1800"/>
          </w:tcPr>
          <w:p>
            <w:pPr>
              <w:spacing w:after="20"/>
            </w:pPr>
            <w:r/>
            <w:r>
              <w:rPr>
                <w:b w:val="0"/>
                <w:i w:val="0"/>
                <w:sz w:val="17"/>
              </w:rPr>
              <w:t>Breach</w:t>
            </w:r>
          </w:p>
        </w:tc>
        <w:tc>
          <w:tcPr>
            <w:tcW w:type="dxa" w:w="3024"/>
          </w:tcPr>
          <w:p>
            <w:pPr>
              <w:spacing w:after="20"/>
            </w:pPr>
            <w:r/>
            <w:r>
              <w:rPr>
                <w:b w:val="0"/>
                <w:i w:val="0"/>
                <w:sz w:val="17"/>
              </w:rPr>
              <w:t xml:space="preserve">Injunction; severance cessation/repayment; </w:t>
            </w:r>
            <w:r>
              <w:rPr>
                <w:b/>
                <w:i w:val="0"/>
                <w:sz w:val="17"/>
              </w:rPr>
              <w:t>no</w:t>
            </w:r>
            <w:r>
              <w:rPr>
                <w:b w:val="0"/>
                <w:i w:val="0"/>
                <w:sz w:val="17"/>
              </w:rPr>
              <w:t xml:space="preserve"> RSU clawback (Clawback Period no longer reaches any vested tranche)</w:t>
            </w:r>
          </w:p>
        </w:tc>
      </w:tr>
      <w:tr>
        <w:tc>
          <w:tcPr>
            <w:tcW w:type="dxa" w:w="2520"/>
          </w:tcPr>
          <w:p>
            <w:pPr>
              <w:spacing w:after="20"/>
            </w:pPr>
            <w:r/>
            <w:r>
              <w:rPr>
                <w:b w:val="0"/>
                <w:i w:val="0"/>
                <w:sz w:val="17"/>
              </w:rPr>
              <w:t>Same, months 12–18 (Mar. – Aug. 2026)</w:t>
            </w:r>
          </w:p>
        </w:tc>
        <w:tc>
          <w:tcPr>
            <w:tcW w:type="dxa" w:w="2304"/>
          </w:tcPr>
          <w:p>
            <w:pPr>
              <w:spacing w:after="20"/>
            </w:pPr>
            <w:r/>
            <w:r>
              <w:rPr>
                <w:b w:val="0"/>
                <w:i w:val="0"/>
                <w:sz w:val="17"/>
              </w:rPr>
              <w:t>Breach (both versions)</w:t>
            </w:r>
          </w:p>
        </w:tc>
        <w:tc>
          <w:tcPr>
            <w:tcW w:type="dxa" w:w="1800"/>
          </w:tcPr>
          <w:p>
            <w:pPr>
              <w:spacing w:after="20"/>
            </w:pPr>
            <w:r/>
            <w:r>
              <w:rPr>
                <w:b w:val="0"/>
                <w:i w:val="0"/>
                <w:sz w:val="17"/>
              </w:rPr>
              <w:t>Expired</w:t>
            </w:r>
          </w:p>
        </w:tc>
        <w:tc>
          <w:tcPr>
            <w:tcW w:type="dxa" w:w="3024"/>
          </w:tcPr>
          <w:p>
            <w:pPr>
              <w:spacing w:after="20"/>
            </w:pPr>
            <w:r/>
            <w:r>
              <w:rPr>
                <w:b w:val="0"/>
                <w:i w:val="0"/>
                <w:sz w:val="17"/>
              </w:rPr>
              <w:t>EA remedies only; severance fully paid by then — repayment only (Amendment 12-month lookback erodes recovery)</w:t>
            </w:r>
          </w:p>
        </w:tc>
      </w:tr>
      <w:tr>
        <w:tc>
          <w:tcPr>
            <w:tcW w:type="dxa" w:w="2520"/>
          </w:tcPr>
          <w:p>
            <w:pPr>
              <w:spacing w:after="20"/>
            </w:pPr>
            <w:r/>
            <w:r>
              <w:rPr>
                <w:b w:val="0"/>
                <w:i w:val="0"/>
                <w:sz w:val="17"/>
              </w:rPr>
              <w:t>Same, months 18–24 (Sept. 2026 – Feb. 2027)</w:t>
            </w:r>
          </w:p>
        </w:tc>
        <w:tc>
          <w:tcPr>
            <w:tcW w:type="dxa" w:w="2304"/>
          </w:tcPr>
          <w:p>
            <w:pPr>
              <w:spacing w:after="20"/>
            </w:pPr>
            <w:r/>
            <w:r>
              <w:rPr>
                <w:b w:val="0"/>
                <w:i w:val="0"/>
                <w:sz w:val="17"/>
              </w:rPr>
              <w:t>Breach only if Amendment enforceable (high risk)</w:t>
            </w:r>
          </w:p>
        </w:tc>
        <w:tc>
          <w:tcPr>
            <w:tcW w:type="dxa" w:w="1800"/>
          </w:tcPr>
          <w:p>
            <w:pPr>
              <w:spacing w:after="20"/>
            </w:pPr>
            <w:r/>
            <w:r>
              <w:rPr>
                <w:b w:val="0"/>
                <w:i w:val="0"/>
                <w:sz w:val="17"/>
              </w:rPr>
              <w:t>Expired</w:t>
            </w:r>
          </w:p>
        </w:tc>
        <w:tc>
          <w:tcPr>
            <w:tcW w:type="dxa" w:w="3024"/>
          </w:tcPr>
          <w:p>
            <w:pPr>
              <w:spacing w:after="20"/>
            </w:pPr>
            <w:r/>
            <w:r>
              <w:rPr>
                <w:b w:val="0"/>
                <w:i w:val="0"/>
                <w:sz w:val="17"/>
              </w:rPr>
              <w:t>EA remedies only, dependent on Amendment</w:t>
            </w:r>
          </w:p>
        </w:tc>
      </w:tr>
      <w:tr>
        <w:tc>
          <w:tcPr>
            <w:tcW w:type="dxa" w:w="2520"/>
          </w:tcPr>
          <w:p>
            <w:pPr>
              <w:spacing w:after="20"/>
            </w:pPr>
            <w:r/>
            <w:r>
              <w:rPr>
                <w:b w:val="0"/>
                <w:i w:val="0"/>
                <w:sz w:val="17"/>
              </w:rPr>
              <w:t>Joins pure personal care company (&gt;15% of revenue)</w:t>
            </w:r>
          </w:p>
        </w:tc>
        <w:tc>
          <w:tcPr>
            <w:tcW w:type="dxa" w:w="2304"/>
          </w:tcPr>
          <w:p>
            <w:pPr>
              <w:spacing w:after="20"/>
            </w:pPr>
            <w:r/>
            <w:r>
              <w:rPr>
                <w:b w:val="0"/>
                <w:i w:val="0"/>
                <w:sz w:val="17"/>
              </w:rPr>
              <w:t>Breach</w:t>
            </w:r>
          </w:p>
        </w:tc>
        <w:tc>
          <w:tcPr>
            <w:tcW w:type="dxa" w:w="1800"/>
          </w:tcPr>
          <w:p>
            <w:pPr>
              <w:spacing w:after="20"/>
            </w:pPr>
            <w:r/>
            <w:r>
              <w:rPr>
                <w:b w:val="0"/>
                <w:i w:val="0"/>
                <w:sz w:val="17"/>
              </w:rPr>
              <w:t>Not a breach (not household cleaning)</w:t>
            </w:r>
          </w:p>
        </w:tc>
        <w:tc>
          <w:tcPr>
            <w:tcW w:type="dxa" w:w="3024"/>
          </w:tcPr>
          <w:p>
            <w:pPr>
              <w:spacing w:after="20"/>
            </w:pPr>
            <w:r/>
            <w:r>
              <w:rPr>
                <w:b w:val="0"/>
                <w:i w:val="0"/>
                <w:sz w:val="17"/>
              </w:rPr>
              <w:t>EA only; no RSU clawback</w:t>
            </w:r>
          </w:p>
        </w:tc>
      </w:tr>
      <w:tr>
        <w:tc>
          <w:tcPr>
            <w:tcW w:type="dxa" w:w="2520"/>
          </w:tcPr>
          <w:p>
            <w:pPr>
              <w:spacing w:after="20"/>
            </w:pPr>
            <w:r/>
            <w:r>
              <w:rPr>
                <w:b w:val="0"/>
                <w:i w:val="0"/>
                <w:sz w:val="17"/>
              </w:rPr>
              <w:t>Joins home fragrance company (no cleaning/personal care)</w:t>
            </w:r>
          </w:p>
        </w:tc>
        <w:tc>
          <w:tcPr>
            <w:tcW w:type="dxa" w:w="2304"/>
          </w:tcPr>
          <w:p>
            <w:pPr>
              <w:spacing w:after="20"/>
            </w:pPr>
            <w:r/>
            <w:r>
              <w:rPr>
                <w:b w:val="0"/>
                <w:i w:val="0"/>
                <w:sz w:val="17"/>
              </w:rPr>
              <w:t>Breach only under Amendment</w:t>
            </w:r>
          </w:p>
        </w:tc>
        <w:tc>
          <w:tcPr>
            <w:tcW w:type="dxa" w:w="1800"/>
          </w:tcPr>
          <w:p>
            <w:pPr>
              <w:spacing w:after="20"/>
            </w:pPr>
            <w:r/>
            <w:r>
              <w:rPr>
                <w:b w:val="0"/>
                <w:i w:val="0"/>
                <w:sz w:val="17"/>
              </w:rPr>
              <w:t>Not a breach</w:t>
            </w:r>
          </w:p>
        </w:tc>
        <w:tc>
          <w:tcPr>
            <w:tcW w:type="dxa" w:w="3024"/>
          </w:tcPr>
          <w:p>
            <w:pPr>
              <w:spacing w:after="20"/>
            </w:pPr>
            <w:r/>
            <w:r>
              <w:rPr>
                <w:b w:val="0"/>
                <w:i w:val="0"/>
                <w:sz w:val="17"/>
              </w:rPr>
              <w:t>EA only, dependent on Amendment</w:t>
            </w:r>
          </w:p>
        </w:tc>
      </w:tr>
      <w:tr>
        <w:tc>
          <w:tcPr>
            <w:tcW w:type="dxa" w:w="2520"/>
          </w:tcPr>
          <w:p>
            <w:pPr>
              <w:spacing w:after="20"/>
            </w:pPr>
            <w:r/>
            <w:r>
              <w:rPr>
                <w:b w:val="0"/>
                <w:i w:val="0"/>
                <w:sz w:val="17"/>
              </w:rPr>
              <w:t>Joins diversified company with household cleaning line at &lt;10% of revenue</w:t>
            </w:r>
          </w:p>
        </w:tc>
        <w:tc>
          <w:tcPr>
            <w:tcW w:type="dxa" w:w="2304"/>
          </w:tcPr>
          <w:p>
            <w:pPr>
              <w:spacing w:after="20"/>
            </w:pPr>
            <w:r/>
            <w:r>
              <w:rPr>
                <w:b w:val="0"/>
                <w:i w:val="0"/>
                <w:sz w:val="17"/>
              </w:rPr>
              <w:t>Not a breach</w:t>
            </w:r>
          </w:p>
        </w:tc>
        <w:tc>
          <w:tcPr>
            <w:tcW w:type="dxa" w:w="1800"/>
          </w:tcPr>
          <w:p>
            <w:pPr>
              <w:spacing w:after="20"/>
            </w:pPr>
            <w:r/>
            <w:r>
              <w:rPr>
                <w:b w:val="0"/>
                <w:i w:val="0"/>
                <w:sz w:val="17"/>
              </w:rPr>
              <w:t>Breach (competes in household cleaning industry)</w:t>
            </w:r>
          </w:p>
        </w:tc>
        <w:tc>
          <w:tcPr>
            <w:tcW w:type="dxa" w:w="3024"/>
          </w:tcPr>
          <w:p>
            <w:pPr>
              <w:spacing w:after="20"/>
            </w:pPr>
            <w:r/>
            <w:r>
              <w:rPr>
                <w:b w:val="0"/>
                <w:i w:val="0"/>
                <w:sz w:val="17"/>
              </w:rPr>
              <w:t>RSU only: injunction (Delaware-law covenant) and clawback if within window</w:t>
            </w:r>
          </w:p>
        </w:tc>
      </w:tr>
      <w:tr>
        <w:tc>
          <w:tcPr>
            <w:tcW w:type="dxa" w:w="2520"/>
          </w:tcPr>
          <w:p>
            <w:pPr>
              <w:spacing w:after="20"/>
            </w:pPr>
            <w:r/>
            <w:r>
              <w:rPr>
                <w:b w:val="0"/>
                <w:i w:val="0"/>
                <w:sz w:val="17"/>
              </w:rPr>
              <w:t>Joins company with 10–15% of revenue from covered products</w:t>
            </w:r>
          </w:p>
        </w:tc>
        <w:tc>
          <w:tcPr>
            <w:tcW w:type="dxa" w:w="2304"/>
          </w:tcPr>
          <w:p>
            <w:pPr>
              <w:spacing w:after="20"/>
            </w:pPr>
            <w:r/>
            <w:r>
              <w:rPr>
                <w:b w:val="0"/>
                <w:i w:val="0"/>
                <w:sz w:val="17"/>
              </w:rPr>
              <w:t>Breach only under Amendment</w:t>
            </w:r>
          </w:p>
        </w:tc>
        <w:tc>
          <w:tcPr>
            <w:tcW w:type="dxa" w:w="1800"/>
          </w:tcPr>
          <w:p>
            <w:pPr>
              <w:spacing w:after="20"/>
            </w:pPr>
            <w:r/>
            <w:r>
              <w:rPr>
                <w:b w:val="0"/>
                <w:i w:val="0"/>
                <w:sz w:val="17"/>
              </w:rPr>
              <w:t>Breach if it sells household cleaning products</w:t>
            </w:r>
          </w:p>
        </w:tc>
        <w:tc>
          <w:tcPr>
            <w:tcW w:type="dxa" w:w="3024"/>
          </w:tcPr>
          <w:p>
            <w:pPr>
              <w:spacing w:after="20"/>
            </w:pPr>
            <w:r/>
            <w:r>
              <w:rPr>
                <w:b w:val="0"/>
                <w:i w:val="0"/>
                <w:sz w:val="17"/>
              </w:rPr>
              <w:t>Mixed</w:t>
            </w:r>
          </w:p>
        </w:tc>
      </w:tr>
      <w:tr>
        <w:tc>
          <w:tcPr>
            <w:tcW w:type="dxa" w:w="2520"/>
          </w:tcPr>
          <w:p>
            <w:pPr>
              <w:spacing w:after="20"/>
            </w:pPr>
            <w:r/>
            <w:r>
              <w:rPr>
                <w:b w:val="0"/>
                <w:i w:val="0"/>
                <w:sz w:val="17"/>
              </w:rPr>
              <w:t>Solicits a top-50 account he managed (months 0–24)</w:t>
            </w:r>
          </w:p>
        </w:tc>
        <w:tc>
          <w:tcPr>
            <w:tcW w:type="dxa" w:w="2304"/>
          </w:tcPr>
          <w:p>
            <w:pPr>
              <w:spacing w:after="20"/>
            </w:pPr>
            <w:r/>
            <w:r>
              <w:rPr>
                <w:b w:val="0"/>
                <w:i w:val="0"/>
                <w:sz w:val="17"/>
              </w:rPr>
              <w:t>Customer non-solicit § 8.2 (24 months) — breach regardless of employer</w:t>
            </w:r>
          </w:p>
        </w:tc>
        <w:tc>
          <w:tcPr>
            <w:tcW w:type="dxa" w:w="1800"/>
          </w:tcPr>
          <w:p>
            <w:pPr>
              <w:spacing w:after="20"/>
            </w:pPr>
            <w:r/>
            <w:r>
              <w:rPr>
                <w:b w:val="0"/>
                <w:i w:val="0"/>
                <w:sz w:val="17"/>
              </w:rPr>
              <w:t>Not covered</w:t>
            </w:r>
          </w:p>
        </w:tc>
        <w:tc>
          <w:tcPr>
            <w:tcW w:type="dxa" w:w="3024"/>
          </w:tcPr>
          <w:p>
            <w:pPr>
              <w:spacing w:after="20"/>
            </w:pPr>
            <w:r/>
            <w:r>
              <w:rPr>
                <w:b w:val="0"/>
                <w:i w:val="0"/>
                <w:sz w:val="17"/>
              </w:rPr>
              <w:t>EA severance remedies; injunction; no RSU clawback</w:t>
            </w:r>
          </w:p>
        </w:tc>
      </w:tr>
      <w:tr>
        <w:tc>
          <w:tcPr>
            <w:tcW w:type="dxa" w:w="2520"/>
          </w:tcPr>
          <w:p>
            <w:pPr>
              <w:spacing w:after="20"/>
            </w:pPr>
            <w:r/>
            <w:r>
              <w:rPr>
                <w:b w:val="0"/>
                <w:i w:val="0"/>
                <w:sz w:val="17"/>
              </w:rPr>
              <w:t>Recruits Pinnacle/Lakeshore sales staff</w:t>
            </w:r>
          </w:p>
        </w:tc>
        <w:tc>
          <w:tcPr>
            <w:tcW w:type="dxa" w:w="2304"/>
          </w:tcPr>
          <w:p>
            <w:pPr>
              <w:spacing w:after="20"/>
            </w:pPr>
            <w:r/>
            <w:r>
              <w:rPr>
                <w:b w:val="0"/>
                <w:i w:val="0"/>
                <w:sz w:val="17"/>
              </w:rPr>
              <w:t>§ 8.3 (18 mo) or Amend. § 6 (12 mo; adds no-hire)</w:t>
            </w:r>
          </w:p>
        </w:tc>
        <w:tc>
          <w:tcPr>
            <w:tcW w:type="dxa" w:w="1800"/>
          </w:tcPr>
          <w:p>
            <w:pPr>
              <w:spacing w:after="20"/>
            </w:pPr>
            <w:r/>
            <w:r>
              <w:rPr>
                <w:b w:val="0"/>
                <w:i w:val="0"/>
                <w:sz w:val="17"/>
              </w:rPr>
              <w:t>Not covered</w:t>
            </w:r>
          </w:p>
        </w:tc>
        <w:tc>
          <w:tcPr>
            <w:tcW w:type="dxa" w:w="3024"/>
          </w:tcPr>
          <w:p>
            <w:pPr>
              <w:spacing w:after="20"/>
            </w:pPr>
            <w:r/>
            <w:r>
              <w:rPr>
                <w:b w:val="0"/>
                <w:i w:val="0"/>
                <w:sz w:val="17"/>
              </w:rPr>
              <w:t>EA remedies; no RSU clawback</w:t>
            </w:r>
          </w:p>
        </w:tc>
      </w:tr>
      <w:tr>
        <w:tc>
          <w:tcPr>
            <w:tcW w:type="dxa" w:w="2520"/>
          </w:tcPr>
          <w:p>
            <w:pPr>
              <w:spacing w:after="20"/>
            </w:pPr>
            <w:r/>
            <w:r>
              <w:rPr>
                <w:b w:val="0"/>
                <w:i w:val="0"/>
                <w:sz w:val="17"/>
              </w:rPr>
              <w:t>Uses pricing/pipeline/supply-chain information</w:t>
            </w:r>
          </w:p>
        </w:tc>
        <w:tc>
          <w:tcPr>
            <w:tcW w:type="dxa" w:w="2304"/>
          </w:tcPr>
          <w:p>
            <w:pPr>
              <w:spacing w:after="20"/>
            </w:pPr>
            <w:r/>
            <w:r>
              <w:rPr>
                <w:b w:val="0"/>
                <w:i w:val="0"/>
                <w:sz w:val="17"/>
              </w:rPr>
              <w:t>§ 8.4 (perpetual) + NCTSPA/DTSA</w:t>
            </w:r>
          </w:p>
        </w:tc>
        <w:tc>
          <w:tcPr>
            <w:tcW w:type="dxa" w:w="1800"/>
          </w:tcPr>
          <w:p>
            <w:pPr>
              <w:spacing w:after="20"/>
            </w:pPr>
            <w:r/>
            <w:r>
              <w:rPr>
                <w:b w:val="0"/>
                <w:i w:val="0"/>
                <w:sz w:val="17"/>
              </w:rPr>
              <w:t>Not covered (definition only)</w:t>
            </w:r>
          </w:p>
        </w:tc>
        <w:tc>
          <w:tcPr>
            <w:tcW w:type="dxa" w:w="3024"/>
          </w:tcPr>
          <w:p>
            <w:pPr>
              <w:spacing w:after="20"/>
            </w:pPr>
            <w:r/>
            <w:r>
              <w:rPr>
                <w:b w:val="0"/>
                <w:i w:val="0"/>
                <w:sz w:val="17"/>
              </w:rPr>
              <w:t>EA remedies, trade secret damages, DTSA exemplary damages/fees</w:t>
            </w:r>
          </w:p>
        </w:tc>
      </w:tr>
    </w:tbl>
    <w:p>
      <w:pPr>
        <w:spacing w:after="40"/>
      </w:pPr>
    </w:p>
    <w:p>
      <w:pPr>
        <w:pStyle w:val="Heading2"/>
      </w:pPr>
      <w:r>
        <w:t>D. Choice of Law and Forum for the RSU Covenants</w:t>
      </w:r>
    </w:p>
    <w:p>
      <w:r>
        <w:rPr>
          <w:b w:val="0"/>
          <w:i w:val="0"/>
        </w:rPr>
        <w:t>The RSU Agreement selects Delaware law; the EA selects North Carolina law and an exclusive Mecklenburg County forum. Because the RSU Agreement contains no forum clause or consent to jurisdiction, and because Manheim resides and works in North Carolina, we expect any RSU dispute to be litigated in North Carolina together with the EA claims. A North Carolina court will generally honor a contractual choice of law where the chosen state has a substantial relationship to the parties (Delaware incorporation suffices) unless application of that law would violate a fundamental North Carolina public policy (see, e.g., *Torres v. McClain*, 140 N.C. App. 238 (2000); Restatement (Second) of Conflict of Laws § 187). North Carolina’s strict regime for non-competes (requirement of new consideration, reasonableness, and no judicial rewriting) is a plausible “fundamental policy” argument, and North Carolina has the materially greater interest (resident employee, Charlotte headquarters, North Carolina-based work).</w:t>
      </w:r>
    </w:p>
    <w:p>
      <w:r>
        <w:rPr>
          <w:b w:val="0"/>
          <w:i w:val="0"/>
        </w:rPr>
        <w:t xml:space="preserve">If Delaware law applies, two recent developments matter. </w:t>
      </w:r>
      <w:r>
        <w:rPr>
          <w:b/>
          <w:i w:val="0"/>
        </w:rPr>
        <w:t>First</w:t>
      </w:r>
      <w:r>
        <w:rPr>
          <w:b w:val="0"/>
          <w:i w:val="0"/>
        </w:rPr>
        <w:t xml:space="preserve">, the Delaware Court of Chancery has become markedly less willing to enforce or “blue pencil” overbroad non-competes (e.g., *Kodiak Building Partners, LLC v. Adams* (Del. Ch. 2022); *Sunder Energy, LLC v. Jackson* (Del. Ch. 2023), aff’d (Del. 2024)), and in multi-state situations has declined to apply Delaware law where another state has a materially greater interest (e.g., *Cabela’s LLC v. Highby* (Del. Ch. 2018), aff’d (Del. 2019); *NuVasive, Inc. v. Miles* (Del. Ch. 2019)). The RSU non-compete’s “in any other capacity” language faces the same overbreadth risk as the EA covenant. </w:t>
      </w:r>
      <w:r>
        <w:rPr>
          <w:b/>
          <w:i w:val="0"/>
        </w:rPr>
        <w:t>Second</w:t>
      </w:r>
      <w:r>
        <w:rPr>
          <w:b w:val="0"/>
          <w:i w:val="0"/>
        </w:rPr>
        <w:t xml:space="preserve">, the Delaware Supreme Court held in *Cantor Fitzgerald, L.P. v. Ainslie*, 312 A.3d 674 (Del. 2024), and extended outside the partnership context in *LKQ Corp. v. Rutledge* (Del. Dec. 2024) (answering a certified question from the Seventh Circuit), that forfeiture-for-competition provisions — including clawbacks of previously paid compensation — are not restraints of trade subject to reasonableness review. That favors enforcing the RSU § 7.2 clawback under Delaware law even if the injunctive covenant itself is overbroad, although RSU § 7.2 is framed as a remedy for “breach” of a restrictive covenant rather than a pure condition, which Manheim will argue subjects it to reasonableness review. North Carolina law on forfeiture-for-competition provisions is less developed, and a North Carolina court may apply its reasonableness analysis to the clawback as well. We rate the RSU clawback’s enforceability as </w:t>
      </w:r>
      <w:r>
        <w:rPr>
          <w:b/>
          <w:i w:val="0"/>
        </w:rPr>
        <w:t>moderate</w:t>
      </w:r>
      <w:r>
        <w:rPr>
          <w:b w:val="0"/>
          <w:i w:val="0"/>
        </w:rPr>
        <w:t xml:space="preserve"> and its practical value as </w:t>
      </w:r>
      <w:r>
        <w:rPr>
          <w:b/>
          <w:i w:val="0"/>
        </w:rPr>
        <w:t>time-limited</w:t>
      </w:r>
      <w:r>
        <w:rPr>
          <w:b w:val="0"/>
          <w:i w:val="0"/>
        </w:rPr>
        <w:t xml:space="preserve"> (Part VI.A).</w:t>
      </w:r>
    </w:p>
    <w:p>
      <w:pPr>
        <w:pStyle w:val="Heading1"/>
      </w:pPr>
      <w:r>
        <w:t>VI. Financial Analysis</w:t>
      </w:r>
    </w:p>
    <w:p>
      <w:pPr>
        <w:pStyle w:val="Heading2"/>
      </w:pPr>
      <w:r>
        <w:t>A. RSU Forfeiture and Clawback (Termination Without Cause, February 2025; $15.10 proxy price)</w:t>
      </w:r>
    </w:p>
    <w:tbl>
      <w:tblPr>
        <w:tblStyle w:val="TableGrid"/>
        <w:tblW w:type="auto" w:w="0"/>
        <w:jc w:val="center"/>
        <w:tblLayout w:type="fixed"/>
        <w:tblLook w:firstColumn="1" w:firstRow="1" w:lastColumn="0" w:lastRow="0" w:noHBand="0" w:noVBand="1" w:val="04A0"/>
      </w:tblPr>
      <w:tblGrid>
        <w:gridCol w:w="792"/>
        <w:gridCol w:w="792"/>
        <w:gridCol w:w="1440"/>
        <w:gridCol w:w="2232"/>
        <w:gridCol w:w="2664"/>
        <w:gridCol w:w="1728"/>
      </w:tblGrid>
      <w:tr>
        <w:trPr>
          <w:tblHeader w:val="true"/>
        </w:trPr>
        <w:tc>
          <w:tcPr>
            <w:tcW w:type="dxa" w:w="792"/>
            <w:shd w:val="clear" w:color="auto" w:fill="D9E2F3"/>
          </w:tcPr>
          <w:p>
            <w:pPr>
              <w:spacing w:after="20"/>
            </w:pPr>
            <w:r/>
            <w:r>
              <w:rPr>
                <w:b/>
                <w:i w:val="0"/>
                <w:sz w:val="17"/>
              </w:rPr>
              <w:t>Tranche</w:t>
            </w:r>
          </w:p>
        </w:tc>
        <w:tc>
          <w:tcPr>
            <w:tcW w:type="dxa" w:w="792"/>
            <w:shd w:val="clear" w:color="auto" w:fill="D9E2F3"/>
          </w:tcPr>
          <w:p>
            <w:pPr>
              <w:spacing w:after="20"/>
            </w:pPr>
            <w:r/>
            <w:r>
              <w:rPr>
                <w:b/>
                <w:i w:val="0"/>
                <w:sz w:val="17"/>
              </w:rPr>
              <w:t>RSUs</w:t>
            </w:r>
          </w:p>
        </w:tc>
        <w:tc>
          <w:tcPr>
            <w:tcW w:type="dxa" w:w="1440"/>
            <w:shd w:val="clear" w:color="auto" w:fill="D9E2F3"/>
          </w:tcPr>
          <w:p>
            <w:pPr>
              <w:spacing w:after="20"/>
            </w:pPr>
            <w:r/>
            <w:r>
              <w:rPr>
                <w:b/>
                <w:i w:val="0"/>
                <w:sz w:val="17"/>
              </w:rPr>
              <w:t>Vesting Date</w:t>
            </w:r>
          </w:p>
        </w:tc>
        <w:tc>
          <w:tcPr>
            <w:tcW w:type="dxa" w:w="2232"/>
            <w:shd w:val="clear" w:color="auto" w:fill="D9E2F3"/>
          </w:tcPr>
          <w:p>
            <w:pPr>
              <w:spacing w:after="20"/>
            </w:pPr>
            <w:r/>
            <w:r>
              <w:rPr>
                <w:b/>
                <w:i w:val="0"/>
                <w:sz w:val="17"/>
              </w:rPr>
              <w:t>Status at Feb. 14 or Feb. 28, 2025 termination</w:t>
            </w:r>
          </w:p>
        </w:tc>
        <w:tc>
          <w:tcPr>
            <w:tcW w:type="dxa" w:w="2664"/>
            <w:shd w:val="clear" w:color="auto" w:fill="D9E2F3"/>
          </w:tcPr>
          <w:p>
            <w:pPr>
              <w:spacing w:after="20"/>
            </w:pPr>
            <w:r/>
            <w:r>
              <w:rPr>
                <w:b/>
                <w:i w:val="0"/>
                <w:sz w:val="17"/>
              </w:rPr>
              <w:t>Within 18-month Clawback Period?</w:t>
            </w:r>
          </w:p>
        </w:tc>
        <w:tc>
          <w:tcPr>
            <w:tcW w:type="dxa" w:w="1728"/>
            <w:shd w:val="clear" w:color="auto" w:fill="D9E2F3"/>
          </w:tcPr>
          <w:p>
            <w:pPr>
              <w:spacing w:after="20"/>
            </w:pPr>
            <w:r/>
            <w:r>
              <w:rPr>
                <w:b/>
                <w:i w:val="0"/>
                <w:sz w:val="17"/>
              </w:rPr>
              <w:t>Value at $15.10</w:t>
            </w:r>
          </w:p>
        </w:tc>
      </w:tr>
      <w:tr>
        <w:tc>
          <w:tcPr>
            <w:tcW w:type="dxa" w:w="792"/>
          </w:tcPr>
          <w:p>
            <w:pPr>
              <w:spacing w:after="20"/>
            </w:pPr>
            <w:r/>
            <w:r>
              <w:rPr>
                <w:b w:val="0"/>
                <w:i w:val="0"/>
                <w:sz w:val="17"/>
              </w:rPr>
              <w:t>1</w:t>
            </w:r>
          </w:p>
        </w:tc>
        <w:tc>
          <w:tcPr>
            <w:tcW w:type="dxa" w:w="792"/>
          </w:tcPr>
          <w:p>
            <w:pPr>
              <w:spacing w:after="20"/>
            </w:pPr>
            <w:r/>
            <w:r>
              <w:rPr>
                <w:b w:val="0"/>
                <w:i w:val="0"/>
                <w:sz w:val="17"/>
              </w:rPr>
              <w:t>7,000</w:t>
            </w:r>
          </w:p>
        </w:tc>
        <w:tc>
          <w:tcPr>
            <w:tcW w:type="dxa" w:w="1440"/>
          </w:tcPr>
          <w:p>
            <w:pPr>
              <w:spacing w:after="20"/>
            </w:pPr>
            <w:r/>
            <w:r>
              <w:rPr>
                <w:b w:val="0"/>
                <w:i w:val="0"/>
                <w:sz w:val="17"/>
              </w:rPr>
              <w:t>Wed., Mar. 1, 2023</w:t>
            </w:r>
          </w:p>
        </w:tc>
        <w:tc>
          <w:tcPr>
            <w:tcW w:type="dxa" w:w="2232"/>
          </w:tcPr>
          <w:p>
            <w:pPr>
              <w:spacing w:after="20"/>
            </w:pPr>
            <w:r/>
            <w:r>
              <w:rPr>
                <w:b w:val="0"/>
                <w:i w:val="0"/>
                <w:sz w:val="17"/>
              </w:rPr>
              <w:t>Vested and settled</w:t>
            </w:r>
          </w:p>
        </w:tc>
        <w:tc>
          <w:tcPr>
            <w:tcW w:type="dxa" w:w="2664"/>
          </w:tcPr>
          <w:p>
            <w:pPr>
              <w:spacing w:after="20"/>
            </w:pPr>
            <w:r/>
            <w:r>
              <w:rPr>
                <w:b/>
                <w:i w:val="0"/>
                <w:sz w:val="17"/>
              </w:rPr>
              <w:t>No.</w:t>
            </w:r>
            <w:r>
              <w:rPr>
                <w:b w:val="0"/>
                <w:i w:val="0"/>
                <w:sz w:val="17"/>
              </w:rPr>
              <w:t xml:space="preserve"> An 18-month window measured from any date after Sept. 1, 2024 begins after Mar. 1, 2023 (from Feb. 28, 2025 it begins Aug. 28, 2023)</w:t>
            </w:r>
          </w:p>
        </w:tc>
        <w:tc>
          <w:tcPr>
            <w:tcW w:type="dxa" w:w="1728"/>
          </w:tcPr>
          <w:p>
            <w:pPr>
              <w:spacing w:after="20"/>
            </w:pPr>
            <w:r/>
            <w:r>
              <w:rPr>
                <w:b w:val="0"/>
                <w:i w:val="0"/>
                <w:sz w:val="17"/>
              </w:rPr>
              <w:t xml:space="preserve">$105,700 notional — </w:t>
            </w:r>
            <w:r>
              <w:rPr>
                <w:b/>
                <w:i w:val="0"/>
                <w:sz w:val="17"/>
              </w:rPr>
              <w:t>not recoverable</w:t>
            </w:r>
          </w:p>
        </w:tc>
      </w:tr>
      <w:tr>
        <w:tc>
          <w:tcPr>
            <w:tcW w:type="dxa" w:w="792"/>
          </w:tcPr>
          <w:p>
            <w:pPr>
              <w:spacing w:after="20"/>
            </w:pPr>
            <w:r/>
            <w:r>
              <w:rPr>
                <w:b w:val="0"/>
                <w:i w:val="0"/>
                <w:sz w:val="17"/>
              </w:rPr>
              <w:t>2</w:t>
            </w:r>
          </w:p>
        </w:tc>
        <w:tc>
          <w:tcPr>
            <w:tcW w:type="dxa" w:w="792"/>
          </w:tcPr>
          <w:p>
            <w:pPr>
              <w:spacing w:after="20"/>
            </w:pPr>
            <w:r/>
            <w:r>
              <w:rPr>
                <w:b w:val="0"/>
                <w:i w:val="0"/>
                <w:sz w:val="17"/>
              </w:rPr>
              <w:t>7,000</w:t>
            </w:r>
          </w:p>
        </w:tc>
        <w:tc>
          <w:tcPr>
            <w:tcW w:type="dxa" w:w="1440"/>
          </w:tcPr>
          <w:p>
            <w:pPr>
              <w:spacing w:after="20"/>
            </w:pPr>
            <w:r/>
            <w:r>
              <w:rPr>
                <w:b w:val="0"/>
                <w:i w:val="0"/>
                <w:sz w:val="17"/>
              </w:rPr>
              <w:t>Fri., Mar. 1, 2024</w:t>
            </w:r>
          </w:p>
        </w:tc>
        <w:tc>
          <w:tcPr>
            <w:tcW w:type="dxa" w:w="2232"/>
          </w:tcPr>
          <w:p>
            <w:pPr>
              <w:spacing w:after="20"/>
            </w:pPr>
            <w:r/>
            <w:r>
              <w:rPr>
                <w:b w:val="0"/>
                <w:i w:val="0"/>
                <w:sz w:val="17"/>
              </w:rPr>
              <w:t>Vested and settled</w:t>
            </w:r>
          </w:p>
        </w:tc>
        <w:tc>
          <w:tcPr>
            <w:tcW w:type="dxa" w:w="2664"/>
          </w:tcPr>
          <w:p>
            <w:pPr>
              <w:spacing w:after="20"/>
            </w:pPr>
            <w:r/>
            <w:r>
              <w:rPr>
                <w:b/>
                <w:i w:val="0"/>
                <w:sz w:val="17"/>
              </w:rPr>
              <w:t>Yes</w:t>
            </w:r>
            <w:r>
              <w:rPr>
                <w:b w:val="0"/>
                <w:i w:val="0"/>
                <w:sz w:val="17"/>
              </w:rPr>
              <w:t xml:space="preserve">, if the Company’s breach determination (or a Cause termination) occurs </w:t>
            </w:r>
            <w:r>
              <w:rPr>
                <w:b/>
                <w:i w:val="0"/>
                <w:sz w:val="17"/>
              </w:rPr>
              <w:t>on or before Sept. 1, 2025</w:t>
            </w:r>
          </w:p>
        </w:tc>
        <w:tc>
          <w:tcPr>
            <w:tcW w:type="dxa" w:w="1728"/>
          </w:tcPr>
          <w:p>
            <w:pPr>
              <w:spacing w:after="20"/>
            </w:pPr>
            <w:r/>
            <w:r>
              <w:rPr>
                <w:b/>
                <w:i w:val="0"/>
                <w:sz w:val="17"/>
              </w:rPr>
              <w:t>$105,700</w:t>
            </w:r>
            <w:r>
              <w:rPr>
                <w:b w:val="0"/>
                <w:i w:val="0"/>
                <w:sz w:val="17"/>
              </w:rPr>
              <w:t xml:space="preserve"> (actual = 7,000 × Mar. 1, 2024 closing price)</w:t>
            </w:r>
          </w:p>
        </w:tc>
      </w:tr>
      <w:tr>
        <w:tc>
          <w:tcPr>
            <w:tcW w:type="dxa" w:w="792"/>
          </w:tcPr>
          <w:p>
            <w:pPr>
              <w:spacing w:after="20"/>
            </w:pPr>
            <w:r/>
            <w:r>
              <w:rPr>
                <w:b w:val="0"/>
                <w:i w:val="0"/>
                <w:sz w:val="17"/>
              </w:rPr>
              <w:t>3</w:t>
            </w:r>
          </w:p>
        </w:tc>
        <w:tc>
          <w:tcPr>
            <w:tcW w:type="dxa" w:w="792"/>
          </w:tcPr>
          <w:p>
            <w:pPr>
              <w:spacing w:after="20"/>
            </w:pPr>
            <w:r/>
            <w:r>
              <w:rPr>
                <w:b w:val="0"/>
                <w:i w:val="0"/>
                <w:sz w:val="17"/>
              </w:rPr>
              <w:t>7,000</w:t>
            </w:r>
          </w:p>
        </w:tc>
        <w:tc>
          <w:tcPr>
            <w:tcW w:type="dxa" w:w="1440"/>
          </w:tcPr>
          <w:p>
            <w:pPr>
              <w:spacing w:after="20"/>
            </w:pPr>
            <w:r/>
            <w:r>
              <w:rPr>
                <w:b w:val="0"/>
                <w:i w:val="0"/>
                <w:sz w:val="17"/>
              </w:rPr>
              <w:t>Sat., Mar. 1, 2025</w:t>
            </w:r>
          </w:p>
        </w:tc>
        <w:tc>
          <w:tcPr>
            <w:tcW w:type="dxa" w:w="2232"/>
          </w:tcPr>
          <w:p>
            <w:pPr>
              <w:spacing w:after="20"/>
            </w:pPr>
            <w:r/>
            <w:r>
              <w:rPr>
                <w:b w:val="0"/>
                <w:i w:val="0"/>
                <w:sz w:val="17"/>
              </w:rPr>
              <w:t xml:space="preserve">Unvested — </w:t>
            </w:r>
            <w:r>
              <w:rPr>
                <w:b/>
                <w:i w:val="0"/>
                <w:sz w:val="17"/>
              </w:rPr>
              <w:t>forfeited</w:t>
            </w:r>
            <w:r>
              <w:rPr>
                <w:b w:val="0"/>
                <w:i w:val="0"/>
                <w:sz w:val="17"/>
              </w:rPr>
              <w:t xml:space="preserve"> on termination (§ 2.2(b))</w:t>
            </w:r>
          </w:p>
        </w:tc>
        <w:tc>
          <w:tcPr>
            <w:tcW w:type="dxa" w:w="2664"/>
          </w:tcPr>
          <w:p>
            <w:pPr>
              <w:spacing w:after="20"/>
            </w:pPr>
            <w:r/>
            <w:r>
              <w:rPr>
                <w:b w:val="0"/>
                <w:i w:val="0"/>
                <w:sz w:val="17"/>
              </w:rPr>
              <w:t>N/A</w:t>
            </w:r>
          </w:p>
        </w:tc>
        <w:tc>
          <w:tcPr>
            <w:tcW w:type="dxa" w:w="1728"/>
          </w:tcPr>
          <w:p>
            <w:pPr>
              <w:spacing w:after="20"/>
            </w:pPr>
            <w:r/>
            <w:r>
              <w:rPr>
                <w:b w:val="0"/>
                <w:i w:val="0"/>
                <w:sz w:val="17"/>
              </w:rPr>
              <w:t>$105,700 forfeited</w:t>
            </w:r>
          </w:p>
        </w:tc>
      </w:tr>
      <w:tr>
        <w:tc>
          <w:tcPr>
            <w:tcW w:type="dxa" w:w="792"/>
          </w:tcPr>
          <w:p>
            <w:pPr>
              <w:spacing w:after="20"/>
            </w:pPr>
            <w:r/>
            <w:r>
              <w:rPr>
                <w:b w:val="0"/>
                <w:i w:val="0"/>
                <w:sz w:val="17"/>
              </w:rPr>
              <w:t>4</w:t>
            </w:r>
          </w:p>
        </w:tc>
        <w:tc>
          <w:tcPr>
            <w:tcW w:type="dxa" w:w="792"/>
          </w:tcPr>
          <w:p>
            <w:pPr>
              <w:spacing w:after="20"/>
            </w:pPr>
            <w:r/>
            <w:r>
              <w:rPr>
                <w:b w:val="0"/>
                <w:i w:val="0"/>
                <w:sz w:val="17"/>
              </w:rPr>
              <w:t>7,000</w:t>
            </w:r>
          </w:p>
        </w:tc>
        <w:tc>
          <w:tcPr>
            <w:tcW w:type="dxa" w:w="1440"/>
          </w:tcPr>
          <w:p>
            <w:pPr>
              <w:spacing w:after="20"/>
            </w:pPr>
            <w:r/>
            <w:r>
              <w:rPr>
                <w:b w:val="0"/>
                <w:i w:val="0"/>
                <w:sz w:val="17"/>
              </w:rPr>
              <w:t>Sun., Mar. 1, 2026</w:t>
            </w:r>
          </w:p>
        </w:tc>
        <w:tc>
          <w:tcPr>
            <w:tcW w:type="dxa" w:w="2232"/>
          </w:tcPr>
          <w:p>
            <w:pPr>
              <w:spacing w:after="20"/>
            </w:pPr>
            <w:r/>
            <w:r>
              <w:rPr>
                <w:b w:val="0"/>
                <w:i w:val="0"/>
                <w:sz w:val="17"/>
              </w:rPr>
              <w:t xml:space="preserve">Unvested — </w:t>
            </w:r>
            <w:r>
              <w:rPr>
                <w:b/>
                <w:i w:val="0"/>
                <w:sz w:val="17"/>
              </w:rPr>
              <w:t>forfeited</w:t>
            </w:r>
            <w:r>
              <w:rPr>
                <w:b w:val="0"/>
                <w:i w:val="0"/>
                <w:sz w:val="17"/>
              </w:rPr>
              <w:t xml:space="preserve"> on termination (§ 2.2(b))</w:t>
            </w:r>
          </w:p>
        </w:tc>
        <w:tc>
          <w:tcPr>
            <w:tcW w:type="dxa" w:w="2664"/>
          </w:tcPr>
          <w:p>
            <w:pPr>
              <w:spacing w:after="20"/>
            </w:pPr>
            <w:r/>
            <w:r>
              <w:rPr>
                <w:b w:val="0"/>
                <w:i w:val="0"/>
                <w:sz w:val="17"/>
              </w:rPr>
              <w:t>N/A</w:t>
            </w:r>
          </w:p>
        </w:tc>
        <w:tc>
          <w:tcPr>
            <w:tcW w:type="dxa" w:w="1728"/>
          </w:tcPr>
          <w:p>
            <w:pPr>
              <w:spacing w:after="20"/>
            </w:pPr>
            <w:r/>
            <w:r>
              <w:rPr>
                <w:b w:val="0"/>
                <w:i w:val="0"/>
                <w:sz w:val="17"/>
              </w:rPr>
              <w:t>$105,700 forfeited</w:t>
            </w:r>
          </w:p>
        </w:tc>
      </w:tr>
      <w:tr>
        <w:tc>
          <w:tcPr>
            <w:tcW w:type="dxa" w:w="792"/>
          </w:tcPr>
          <w:p>
            <w:pPr>
              <w:spacing w:after="20"/>
            </w:pPr>
            <w:r/>
            <w:r>
              <w:rPr>
                <w:b w:val="0"/>
                <w:i w:val="0"/>
                <w:sz w:val="17"/>
              </w:rPr>
              <w:t>Total</w:t>
            </w:r>
          </w:p>
        </w:tc>
        <w:tc>
          <w:tcPr>
            <w:tcW w:type="dxa" w:w="792"/>
          </w:tcPr>
          <w:p>
            <w:pPr>
              <w:spacing w:after="20"/>
            </w:pPr>
            <w:r/>
            <w:r>
              <w:rPr>
                <w:b w:val="0"/>
                <w:i w:val="0"/>
                <w:sz w:val="17"/>
              </w:rPr>
              <w:t>28,000</w:t>
            </w:r>
          </w:p>
        </w:tc>
        <w:tc>
          <w:tcPr>
            <w:tcW w:type="dxa" w:w="1440"/>
          </w:tcPr>
          <w:p>
            <w:pPr>
              <w:spacing w:after="20"/>
            </w:pPr>
            <w:r/>
          </w:p>
        </w:tc>
        <w:tc>
          <w:tcPr>
            <w:tcW w:type="dxa" w:w="2232"/>
          </w:tcPr>
          <w:p>
            <w:pPr>
              <w:spacing w:after="20"/>
            </w:pPr>
            <w:r/>
            <w:r>
              <w:rPr>
                <w:b w:val="0"/>
                <w:i w:val="0"/>
                <w:sz w:val="17"/>
              </w:rPr>
              <w:t>Forfeited automatically: 14,000 RSUs</w:t>
            </w:r>
          </w:p>
        </w:tc>
        <w:tc>
          <w:tcPr>
            <w:tcW w:type="dxa" w:w="2664"/>
          </w:tcPr>
          <w:p>
            <w:pPr>
              <w:spacing w:after="20"/>
            </w:pPr>
            <w:r/>
            <w:r>
              <w:rPr>
                <w:b w:val="0"/>
                <w:i w:val="0"/>
                <w:sz w:val="17"/>
              </w:rPr>
              <w:t>Recoverable on breach: 7,000 RSUs</w:t>
            </w:r>
          </w:p>
        </w:tc>
        <w:tc>
          <w:tcPr>
            <w:tcW w:type="dxa" w:w="1728"/>
          </w:tcPr>
          <w:p>
            <w:pPr>
              <w:spacing w:after="20"/>
            </w:pPr>
            <w:r/>
            <w:r>
              <w:rPr>
                <w:b w:val="0"/>
                <w:i w:val="0"/>
                <w:sz w:val="17"/>
              </w:rPr>
              <w:t xml:space="preserve">Forfeited: </w:t>
            </w:r>
            <w:r>
              <w:rPr>
                <w:b/>
                <w:i w:val="0"/>
                <w:sz w:val="17"/>
              </w:rPr>
              <w:t>$211,400</w:t>
            </w:r>
            <w:r>
              <w:rPr>
                <w:b w:val="0"/>
                <w:i w:val="0"/>
                <w:sz w:val="17"/>
              </w:rPr>
              <w:t xml:space="preserve">; clawback: </w:t>
            </w:r>
            <w:r>
              <w:rPr>
                <w:b/>
                <w:i w:val="0"/>
                <w:sz w:val="17"/>
              </w:rPr>
              <w:t>$105,700</w:t>
            </w:r>
          </w:p>
        </w:tc>
      </w:tr>
    </w:tbl>
    <w:p>
      <w:pPr>
        <w:spacing w:after="40"/>
      </w:pPr>
    </w:p>
    <w:p>
      <w:r>
        <w:rPr>
          <w:b/>
          <w:i w:val="0"/>
        </w:rPr>
        <w:t>Key observations:</w:t>
      </w:r>
    </w:p>
    <w:p>
      <w:pPr>
        <w:pStyle w:val="ListBullet"/>
      </w:pPr>
      <w:r>
        <w:rPr>
          <w:b w:val="0"/>
          <w:i w:val="0"/>
        </w:rPr>
        <w:t xml:space="preserve">The clawback is measured at the </w:t>
      </w:r>
      <w:r>
        <w:rPr>
          <w:b/>
          <w:i w:val="0"/>
        </w:rPr>
        <w:t>March 1, 2024 closing price</w:t>
      </w:r>
      <w:r>
        <w:rPr>
          <w:b w:val="0"/>
          <w:i w:val="0"/>
        </w:rPr>
        <w:t xml:space="preserve">, not the current $15.10. The Board figure of ~$1.23 million total 2024 compensation may imply a materially different vesting-date value; we need the actual price before presenting dollar figures as final. The clawback also demands the </w:t>
      </w:r>
      <w:r>
        <w:rPr>
          <w:b/>
          <w:i w:val="0"/>
        </w:rPr>
        <w:t>pre-tax</w:t>
      </w:r>
      <w:r>
        <w:rPr>
          <w:b w:val="0"/>
          <w:i w:val="0"/>
        </w:rPr>
        <w:t xml:space="preserve"> value even though shares were presumably net-settled for withholding (RSU § 3.2), so Manheim will be asked to repay more than he received — expect a penalty argument.</w:t>
      </w:r>
    </w:p>
    <w:p>
      <w:pPr>
        <w:pStyle w:val="ListBullet"/>
      </w:pPr>
      <w:r>
        <w:rPr>
          <w:b w:val="0"/>
          <w:i w:val="0"/>
        </w:rPr>
        <w:t xml:space="preserve">The window is anchored to the Company’s </w:t>
      </w:r>
      <w:r>
        <w:rPr>
          <w:b/>
          <w:i w:val="0"/>
        </w:rPr>
        <w:t>breach determination date</w:t>
      </w:r>
      <w:r>
        <w:rPr>
          <w:b w:val="0"/>
          <w:i w:val="0"/>
        </w:rPr>
        <w:t xml:space="preserve">, not the termination date (except for Cause). A sophisticated executive who delays joining a competitor until after </w:t>
      </w:r>
      <w:r>
        <w:rPr>
          <w:b/>
          <w:i w:val="0"/>
        </w:rPr>
        <w:t>September 1, 2025</w:t>
      </w:r>
      <w:r>
        <w:rPr>
          <w:b w:val="0"/>
          <w:i w:val="0"/>
        </w:rPr>
        <w:t xml:space="preserve"> eliminates all equity clawback exposure while the RSU non-compete still has ~6 months to run and the EA non-compete 12–18 months.</w:t>
      </w:r>
    </w:p>
    <w:p>
      <w:pPr>
        <w:pStyle w:val="ListBullet"/>
      </w:pPr>
      <w:r>
        <w:rPr>
          <w:b w:val="0"/>
          <w:i w:val="0"/>
        </w:rPr>
        <w:t xml:space="preserve">Forfeiture of Tranches 3 and 4 ($211,400) occurs automatically on a February termination and is </w:t>
      </w:r>
      <w:r>
        <w:rPr>
          <w:b/>
          <w:i w:val="0"/>
        </w:rPr>
        <w:t>not</w:t>
      </w:r>
      <w:r>
        <w:rPr>
          <w:b w:val="0"/>
          <w:i w:val="0"/>
        </w:rPr>
        <w:t xml:space="preserve"> leverage for covenant compliance. Manheim may claim the February timing was designed to defeat the March 1 vesting; at-will status and the express no-pro-rata clause (§ 2.2(e)) make such a claim weak, but the optics should be considered.</w:t>
      </w:r>
    </w:p>
    <w:p>
      <w:pPr>
        <w:pStyle w:val="ListBullet"/>
      </w:pPr>
      <w:r>
        <w:rPr>
          <w:b/>
          <w:i w:val="0"/>
        </w:rPr>
        <w:t>Timing alternative.</w:t>
      </w:r>
      <w:r>
        <w:rPr>
          <w:b w:val="0"/>
          <w:i w:val="0"/>
        </w:rPr>
        <w:t xml:space="preserve"> If the termination date is on or after March 1, 2025 (the vesting date falls on a Saturday; RSU § 4.1(f) uses the most recent prior trading day for FMV, but § 7.2 refers to the closing price “on the applicable Vesting Date” — another ambiguity), Tranche 3 vests (cost: ~$105,700 in equity delivered). In exchange, the Clawback Period would cover Tranches 2 and 3 (~$211,400) through Sept. 1, 2025 and Tranche 3 (~$105,700) through </w:t>
      </w:r>
      <w:r>
        <w:rPr>
          <w:b/>
          <w:i w:val="0"/>
        </w:rPr>
        <w:t>Sept. 1, 2026</w:t>
      </w:r>
      <w:r>
        <w:rPr>
          <w:b w:val="0"/>
          <w:i w:val="0"/>
        </w:rPr>
        <w:t xml:space="preserve"> — i.e., for the </w:t>
      </w:r>
      <w:r>
        <w:rPr>
          <w:b/>
          <w:i w:val="0"/>
        </w:rPr>
        <w:t>entire</w:t>
      </w:r>
      <w:r>
        <w:rPr>
          <w:b w:val="0"/>
          <w:i w:val="0"/>
        </w:rPr>
        <w:t xml:space="preserve"> 12-month RSU Restricted Period. Delaying termination by a few days thus converts dead forfeiture value into live clawback leverage. A negotiated separation agreement can achieve the same result more cleanly (Part IX).</w:t>
      </w:r>
    </w:p>
    <w:p>
      <w:pPr>
        <w:pStyle w:val="ListBullet"/>
      </w:pPr>
      <w:r>
        <w:rPr>
          <w:b w:val="0"/>
          <w:i w:val="0"/>
        </w:rPr>
        <w:t>Cause scenario (if clause (vi) can be substantiated): the 18-month window is measured from the termination date, so Tranche 2 (~$105,700) becomes repayable immediately without any covenant breach, and no severance is owed.</w:t>
      </w:r>
    </w:p>
    <w:p>
      <w:pPr>
        <w:pStyle w:val="Heading2"/>
      </w:pPr>
      <w:r>
        <w:t>B. Severance and the Garden Leave Offset</w:t>
      </w:r>
    </w:p>
    <w:tbl>
      <w:tblPr>
        <w:tblStyle w:val="TableGrid"/>
        <w:tblW w:type="auto" w:w="0"/>
        <w:jc w:val="center"/>
        <w:tblLayout w:type="fixed"/>
        <w:tblLook w:firstColumn="1" w:firstRow="1" w:lastColumn="0" w:lastRow="0" w:noHBand="0" w:noVBand="1" w:val="04A0"/>
      </w:tblPr>
      <w:tblGrid>
        <w:gridCol w:w="2304"/>
        <w:gridCol w:w="1224"/>
        <w:gridCol w:w="1655"/>
        <w:gridCol w:w="1655"/>
        <w:gridCol w:w="2808"/>
      </w:tblGrid>
      <w:tr>
        <w:trPr>
          <w:tblHeader w:val="true"/>
        </w:trPr>
        <w:tc>
          <w:tcPr>
            <w:tcW w:type="dxa" w:w="2304"/>
            <w:shd w:val="clear" w:color="auto" w:fill="D9E2F3"/>
          </w:tcPr>
          <w:p>
            <w:pPr>
              <w:spacing w:after="20"/>
            </w:pPr>
            <w:r/>
            <w:r>
              <w:rPr>
                <w:b/>
                <w:i w:val="0"/>
                <w:sz w:val="17"/>
              </w:rPr>
              <w:t>Component</w:t>
            </w:r>
          </w:p>
        </w:tc>
        <w:tc>
          <w:tcPr>
            <w:tcW w:type="dxa" w:w="1224"/>
            <w:shd w:val="clear" w:color="auto" w:fill="D9E2F3"/>
          </w:tcPr>
          <w:p>
            <w:pPr>
              <w:spacing w:after="20"/>
            </w:pPr>
            <w:r/>
            <w:r>
              <w:rPr>
                <w:b/>
                <w:i w:val="0"/>
                <w:sz w:val="17"/>
              </w:rPr>
              <w:t>Source</w:t>
            </w:r>
          </w:p>
        </w:tc>
        <w:tc>
          <w:tcPr>
            <w:tcW w:type="dxa" w:w="1656"/>
            <w:shd w:val="clear" w:color="auto" w:fill="D9E2F3"/>
          </w:tcPr>
          <w:p>
            <w:pPr>
              <w:spacing w:after="20"/>
            </w:pPr>
            <w:r/>
            <w:r>
              <w:rPr>
                <w:b/>
                <w:i w:val="0"/>
                <w:sz w:val="17"/>
              </w:rPr>
              <w:t>Termination Feb. 14, 2025</w:t>
            </w:r>
          </w:p>
        </w:tc>
        <w:tc>
          <w:tcPr>
            <w:tcW w:type="dxa" w:w="1656"/>
            <w:shd w:val="clear" w:color="auto" w:fill="D9E2F3"/>
          </w:tcPr>
          <w:p>
            <w:pPr>
              <w:spacing w:after="20"/>
            </w:pPr>
            <w:r/>
            <w:r>
              <w:rPr>
                <w:b/>
                <w:i w:val="0"/>
                <w:sz w:val="17"/>
              </w:rPr>
              <w:t>Termination Feb. 28, 2025</w:t>
            </w:r>
          </w:p>
        </w:tc>
        <w:tc>
          <w:tcPr>
            <w:tcW w:type="dxa" w:w="2808"/>
            <w:shd w:val="clear" w:color="auto" w:fill="D9E2F3"/>
          </w:tcPr>
          <w:p>
            <w:pPr>
              <w:spacing w:after="20"/>
            </w:pPr>
            <w:r/>
            <w:r>
              <w:rPr>
                <w:b/>
                <w:i w:val="0"/>
                <w:sz w:val="17"/>
              </w:rPr>
              <w:t>Notes</w:t>
            </w:r>
          </w:p>
        </w:tc>
      </w:tr>
      <w:tr>
        <w:tc>
          <w:tcPr>
            <w:tcW w:type="dxa" w:w="2304"/>
          </w:tcPr>
          <w:p>
            <w:pPr>
              <w:spacing w:after="20"/>
            </w:pPr>
            <w:r/>
            <w:r>
              <w:rPr>
                <w:b w:val="0"/>
                <w:i w:val="0"/>
                <w:sz w:val="17"/>
              </w:rPr>
              <w:t>Base salary continuation (12 months)</w:t>
            </w:r>
          </w:p>
        </w:tc>
        <w:tc>
          <w:tcPr>
            <w:tcW w:type="dxa" w:w="1224"/>
          </w:tcPr>
          <w:p>
            <w:pPr>
              <w:spacing w:after="20"/>
            </w:pPr>
            <w:r/>
            <w:r>
              <w:rPr>
                <w:b w:val="0"/>
                <w:i w:val="0"/>
                <w:sz w:val="17"/>
              </w:rPr>
              <w:t>EA § 6.2(b)</w:t>
            </w:r>
          </w:p>
        </w:tc>
        <w:tc>
          <w:tcPr>
            <w:tcW w:type="dxa" w:w="1656"/>
          </w:tcPr>
          <w:p>
            <w:pPr>
              <w:spacing w:after="20"/>
            </w:pPr>
            <w:r/>
            <w:r>
              <w:rPr>
                <w:b w:val="0"/>
                <w:i w:val="0"/>
                <w:sz w:val="17"/>
              </w:rPr>
              <w:t>$475,000</w:t>
            </w:r>
          </w:p>
        </w:tc>
        <w:tc>
          <w:tcPr>
            <w:tcW w:type="dxa" w:w="1656"/>
          </w:tcPr>
          <w:p>
            <w:pPr>
              <w:spacing w:after="20"/>
            </w:pPr>
            <w:r/>
            <w:r>
              <w:rPr>
                <w:b w:val="0"/>
                <w:i w:val="0"/>
                <w:sz w:val="17"/>
              </w:rPr>
              <w:t>$475,000</w:t>
            </w:r>
          </w:p>
        </w:tc>
        <w:tc>
          <w:tcPr>
            <w:tcW w:type="dxa" w:w="2808"/>
          </w:tcPr>
          <w:p>
            <w:pPr>
              <w:spacing w:after="20"/>
            </w:pPr>
            <w:r/>
            <w:r>
              <w:rPr>
                <w:b w:val="0"/>
                <w:i w:val="0"/>
                <w:sz w:val="17"/>
              </w:rPr>
              <w:t>Installments; first payment after Release irrevocable (≤45 days) with catch-up</w:t>
            </w:r>
          </w:p>
        </w:tc>
      </w:tr>
      <w:tr>
        <w:tc>
          <w:tcPr>
            <w:tcW w:type="dxa" w:w="2304"/>
          </w:tcPr>
          <w:p>
            <w:pPr>
              <w:spacing w:after="20"/>
            </w:pPr>
            <w:r/>
            <w:r>
              <w:rPr>
                <w:b w:val="0"/>
                <w:i w:val="0"/>
                <w:sz w:val="17"/>
              </w:rPr>
              <w:t>Pro-rated FY2025 bonus — at target (70% = $332,500)</w:t>
            </w:r>
          </w:p>
        </w:tc>
        <w:tc>
          <w:tcPr>
            <w:tcW w:type="dxa" w:w="1224"/>
          </w:tcPr>
          <w:p>
            <w:pPr>
              <w:spacing w:after="20"/>
            </w:pPr>
            <w:r/>
            <w:r>
              <w:rPr>
                <w:b w:val="0"/>
                <w:i w:val="0"/>
                <w:sz w:val="17"/>
              </w:rPr>
              <w:t>EA § 6.2(c)</w:t>
            </w:r>
          </w:p>
        </w:tc>
        <w:tc>
          <w:tcPr>
            <w:tcW w:type="dxa" w:w="1656"/>
          </w:tcPr>
          <w:p>
            <w:pPr>
              <w:spacing w:after="20"/>
            </w:pPr>
            <w:r/>
            <w:r>
              <w:rPr>
                <w:b w:val="0"/>
                <w:i w:val="0"/>
                <w:sz w:val="17"/>
              </w:rPr>
              <w:t>$40,993 (45/365)</w:t>
            </w:r>
          </w:p>
        </w:tc>
        <w:tc>
          <w:tcPr>
            <w:tcW w:type="dxa" w:w="1656"/>
          </w:tcPr>
          <w:p>
            <w:pPr>
              <w:spacing w:after="20"/>
            </w:pPr>
            <w:r/>
            <w:r>
              <w:rPr>
                <w:b w:val="0"/>
                <w:i w:val="0"/>
                <w:sz w:val="17"/>
              </w:rPr>
              <w:t>$53,747 (59/365)</w:t>
            </w:r>
          </w:p>
        </w:tc>
        <w:tc>
          <w:tcPr>
            <w:tcW w:type="dxa" w:w="2808"/>
          </w:tcPr>
          <w:p>
            <w:pPr>
              <w:spacing w:after="20"/>
            </w:pPr>
            <w:r/>
            <w:r>
              <w:rPr>
                <w:b w:val="0"/>
                <w:i w:val="0"/>
                <w:sz w:val="17"/>
              </w:rPr>
              <w:t xml:space="preserve">Based on actual </w:t>
            </w:r>
            <w:r>
              <w:rPr>
                <w:b/>
                <w:i w:val="0"/>
                <w:sz w:val="17"/>
              </w:rPr>
              <w:t>Company</w:t>
            </w:r>
            <w:r>
              <w:rPr>
                <w:b w:val="0"/>
                <w:i w:val="0"/>
                <w:sz w:val="17"/>
              </w:rPr>
              <w:t xml:space="preserve"> performance; range 0–150% (Amend. § 4): $0–$61,490 / $0–$80,620. Paid when other executives are paid, by Mar. 15, 2026</w:t>
            </w:r>
          </w:p>
        </w:tc>
      </w:tr>
      <w:tr>
        <w:tc>
          <w:tcPr>
            <w:tcW w:type="dxa" w:w="2304"/>
          </w:tcPr>
          <w:p>
            <w:pPr>
              <w:spacing w:after="20"/>
            </w:pPr>
            <w:r/>
            <w:r>
              <w:rPr>
                <w:b w:val="0"/>
                <w:i w:val="0"/>
                <w:sz w:val="17"/>
              </w:rPr>
              <w:t>COBRA premium reimbursement</w:t>
            </w:r>
          </w:p>
        </w:tc>
        <w:tc>
          <w:tcPr>
            <w:tcW w:type="dxa" w:w="1224"/>
          </w:tcPr>
          <w:p>
            <w:pPr>
              <w:spacing w:after="20"/>
            </w:pPr>
            <w:r/>
            <w:r>
              <w:rPr>
                <w:b w:val="0"/>
                <w:i w:val="0"/>
                <w:sz w:val="17"/>
              </w:rPr>
              <w:t>EA § 6.2(d)</w:t>
            </w:r>
          </w:p>
        </w:tc>
        <w:tc>
          <w:tcPr>
            <w:tcW w:type="dxa" w:w="1656"/>
          </w:tcPr>
          <w:p>
            <w:pPr>
              <w:spacing w:after="20"/>
            </w:pPr>
            <w:r/>
            <w:r>
              <w:rPr>
                <w:b w:val="0"/>
                <w:i w:val="0"/>
                <w:sz w:val="17"/>
              </w:rPr>
              <w:t>up to $25,200</w:t>
            </w:r>
          </w:p>
        </w:tc>
        <w:tc>
          <w:tcPr>
            <w:tcW w:type="dxa" w:w="1656"/>
          </w:tcPr>
          <w:p>
            <w:pPr>
              <w:spacing w:after="20"/>
            </w:pPr>
            <w:r/>
            <w:r>
              <w:rPr>
                <w:b w:val="0"/>
                <w:i w:val="0"/>
                <w:sz w:val="17"/>
              </w:rPr>
              <w:t>up to $25,200</w:t>
            </w:r>
          </w:p>
        </w:tc>
        <w:tc>
          <w:tcPr>
            <w:tcW w:type="dxa" w:w="2808"/>
          </w:tcPr>
          <w:p>
            <w:pPr>
              <w:spacing w:after="20"/>
            </w:pPr>
            <w:r/>
            <w:r>
              <w:rPr>
                <w:b w:val="0"/>
                <w:i w:val="0"/>
                <w:sz w:val="17"/>
              </w:rPr>
              <w:t>~$2,100/month; ends earlier on eligibility for new employer coverage</w:t>
            </w:r>
          </w:p>
        </w:tc>
      </w:tr>
      <w:tr>
        <w:tc>
          <w:tcPr>
            <w:tcW w:type="dxa" w:w="2304"/>
          </w:tcPr>
          <w:p>
            <w:pPr>
              <w:spacing w:after="20"/>
            </w:pPr>
            <w:r/>
            <w:r>
              <w:rPr>
                <w:b/>
                <w:i w:val="0"/>
                <w:sz w:val="17"/>
              </w:rPr>
              <w:t>Gross severance (target bonus)</w:t>
            </w:r>
          </w:p>
        </w:tc>
        <w:tc>
          <w:tcPr>
            <w:tcW w:type="dxa" w:w="1224"/>
          </w:tcPr>
          <w:p>
            <w:pPr>
              <w:spacing w:after="20"/>
            </w:pPr>
            <w:r/>
          </w:p>
        </w:tc>
        <w:tc>
          <w:tcPr>
            <w:tcW w:type="dxa" w:w="1656"/>
          </w:tcPr>
          <w:p>
            <w:pPr>
              <w:spacing w:after="20"/>
            </w:pPr>
            <w:r/>
            <w:r>
              <w:rPr>
                <w:b/>
                <w:i w:val="0"/>
                <w:sz w:val="17"/>
              </w:rPr>
              <w:t>$541,193</w:t>
            </w:r>
          </w:p>
        </w:tc>
        <w:tc>
          <w:tcPr>
            <w:tcW w:type="dxa" w:w="1656"/>
          </w:tcPr>
          <w:p>
            <w:pPr>
              <w:spacing w:after="20"/>
            </w:pPr>
            <w:r/>
            <w:r>
              <w:rPr>
                <w:b/>
                <w:i w:val="0"/>
                <w:sz w:val="17"/>
              </w:rPr>
              <w:t>$553,947</w:t>
            </w:r>
          </w:p>
        </w:tc>
        <w:tc>
          <w:tcPr>
            <w:tcW w:type="dxa" w:w="2808"/>
          </w:tcPr>
          <w:p>
            <w:pPr>
              <w:spacing w:after="20"/>
            </w:pPr>
            <w:r/>
            <w:r>
              <w:rPr>
                <w:b w:val="0"/>
                <w:i w:val="0"/>
                <w:sz w:val="17"/>
              </w:rPr>
              <w:t>Plus Accrued Obligations (salary through termination, accrued unused PTO, vested benefits)</w:t>
            </w:r>
          </w:p>
        </w:tc>
      </w:tr>
      <w:tr>
        <w:tc>
          <w:tcPr>
            <w:tcW w:type="dxa" w:w="2304"/>
          </w:tcPr>
          <w:p>
            <w:pPr>
              <w:spacing w:after="20"/>
            </w:pPr>
            <w:r/>
            <w:r>
              <w:rPr>
                <w:b w:val="0"/>
                <w:i w:val="0"/>
                <w:sz w:val="17"/>
              </w:rPr>
              <w:t>Garden leave credit</w:t>
            </w:r>
          </w:p>
        </w:tc>
        <w:tc>
          <w:tcPr>
            <w:tcW w:type="dxa" w:w="1224"/>
          </w:tcPr>
          <w:p>
            <w:pPr>
              <w:spacing w:after="20"/>
            </w:pPr>
            <w:r/>
            <w:r>
              <w:rPr>
                <w:b w:val="0"/>
                <w:i w:val="0"/>
                <w:sz w:val="17"/>
              </w:rPr>
              <w:t>Amend. § 7(iv)</w:t>
            </w:r>
          </w:p>
        </w:tc>
        <w:tc>
          <w:tcPr>
            <w:tcW w:type="dxa" w:w="1656"/>
          </w:tcPr>
          <w:p>
            <w:pPr>
              <w:spacing w:after="20"/>
            </w:pPr>
            <w:r/>
            <w:r>
              <w:rPr>
                <w:b w:val="0"/>
                <w:i w:val="0"/>
                <w:sz w:val="17"/>
              </w:rPr>
              <w:t>$0</w:t>
            </w:r>
          </w:p>
        </w:tc>
        <w:tc>
          <w:tcPr>
            <w:tcW w:type="dxa" w:w="1656"/>
          </w:tcPr>
          <w:p>
            <w:pPr>
              <w:spacing w:after="20"/>
            </w:pPr>
            <w:r/>
            <w:r>
              <w:rPr>
                <w:b w:val="0"/>
                <w:i w:val="0"/>
                <w:sz w:val="17"/>
              </w:rPr>
              <w:t>$0</w:t>
            </w:r>
          </w:p>
        </w:tc>
        <w:tc>
          <w:tcPr>
            <w:tcW w:type="dxa" w:w="2808"/>
          </w:tcPr>
          <w:p>
            <w:pPr>
              <w:spacing w:after="20"/>
            </w:pPr>
            <w:r/>
            <w:r>
              <w:rPr>
                <w:b w:val="0"/>
                <w:i w:val="0"/>
                <w:sz w:val="17"/>
              </w:rPr>
              <w:t>Not available: no resignation notice, no Notice Period, no garden leave election</w:t>
            </w:r>
          </w:p>
        </w:tc>
      </w:tr>
      <w:tr>
        <w:tc>
          <w:tcPr>
            <w:tcW w:type="dxa" w:w="2304"/>
          </w:tcPr>
          <w:p>
            <w:pPr>
              <w:spacing w:after="20"/>
            </w:pPr>
            <w:r/>
            <w:r>
              <w:rPr>
                <w:b/>
                <w:i w:val="0"/>
                <w:sz w:val="17"/>
              </w:rPr>
              <w:t>Net severance</w:t>
            </w:r>
          </w:p>
        </w:tc>
        <w:tc>
          <w:tcPr>
            <w:tcW w:type="dxa" w:w="1224"/>
          </w:tcPr>
          <w:p>
            <w:pPr>
              <w:spacing w:after="20"/>
            </w:pPr>
            <w:r/>
          </w:p>
        </w:tc>
        <w:tc>
          <w:tcPr>
            <w:tcW w:type="dxa" w:w="1656"/>
          </w:tcPr>
          <w:p>
            <w:pPr>
              <w:spacing w:after="20"/>
            </w:pPr>
            <w:r/>
            <w:r>
              <w:rPr>
                <w:b/>
                <w:i w:val="0"/>
                <w:sz w:val="17"/>
              </w:rPr>
              <w:t>$541,193</w:t>
            </w:r>
          </w:p>
        </w:tc>
        <w:tc>
          <w:tcPr>
            <w:tcW w:type="dxa" w:w="1656"/>
          </w:tcPr>
          <w:p>
            <w:pPr>
              <w:spacing w:after="20"/>
            </w:pPr>
            <w:r/>
            <w:r>
              <w:rPr>
                <w:b/>
                <w:i w:val="0"/>
                <w:sz w:val="17"/>
              </w:rPr>
              <w:t>$553,947</w:t>
            </w:r>
          </w:p>
        </w:tc>
        <w:tc>
          <w:tcPr>
            <w:tcW w:type="dxa" w:w="2808"/>
          </w:tcPr>
          <w:p>
            <w:pPr>
              <w:spacing w:after="20"/>
            </w:pPr>
            <w:r/>
            <w:r>
              <w:rPr>
                <w:b w:val="0"/>
                <w:i w:val="0"/>
                <w:sz w:val="17"/>
              </w:rPr>
              <w:t>Same as gross</w:t>
            </w:r>
          </w:p>
        </w:tc>
      </w:tr>
    </w:tbl>
    <w:p>
      <w:pPr>
        <w:spacing w:after="40"/>
      </w:pPr>
    </w:p>
    <w:p>
      <w:r>
        <w:rPr>
          <w:b/>
          <w:i w:val="0"/>
        </w:rPr>
        <w:t>Your read of the garden leave clause.</w:t>
      </w:r>
      <w:r>
        <w:rPr>
          <w:b w:val="0"/>
          <w:i w:val="0"/>
        </w:rPr>
        <w:t xml:space="preserve"> You are correct that clause (iv) operates dollar-for-dollar, but it applies only in a narrow sequence: (1) Manheim gives notice of voluntary resignation; (2) Pinnacle elects garden leave in writing within 10 business days; and (3) Pinnacle then terminates him without Cause during the Notice Period. In a Company-initiated February 2025 termination, the clause is not engaged and there is no offset. Nor can Pinnacle manufacture the offset by putting Manheim on paid leave before terminating him — that is not a contractual garden leave, and stripping a CRO of duties risks a Good Reason claim (§ 1.6(b)), which would carry the same severance.</w:t>
      </w:r>
    </w:p>
    <w:p>
      <w:r>
        <w:rPr>
          <w:b/>
          <w:i w:val="0"/>
        </w:rPr>
        <w:t>Even where the offset applies, it does not reduce Pinnacle’s cost.</w:t>
      </w:r>
      <w:r>
        <w:rPr>
          <w:b w:val="0"/>
          <w:i w:val="0"/>
        </w:rPr>
        <w:t xml:space="preserve"> Illustration (full 90-day garden leave at $475,000): garden leave salary $117,123 + reduced salary continuation $357,877 = </w:t>
      </w:r>
      <w:r>
        <w:rPr>
          <w:b/>
          <w:i w:val="0"/>
        </w:rPr>
        <w:t>$475,000</w:t>
      </w:r>
      <w:r>
        <w:rPr>
          <w:b w:val="0"/>
          <w:i w:val="0"/>
        </w:rPr>
        <w:t xml:space="preserve">, the same total base-salary outlay as a straight without-Cause termination, plus 90 days of benefits during garden leave, the pro-rated bonus and COBRA. The clause prevents double payment; it does not create savings. Its strategic value is different: if Manheim resigns first, Pinnacle can keep him off the market for up to 90 days on salary (time that counts toward the 24-month non-compete) and owes </w:t>
      </w:r>
      <w:r>
        <w:rPr>
          <w:b/>
          <w:i w:val="0"/>
        </w:rPr>
        <w:t>no</w:t>
      </w:r>
      <w:r>
        <w:rPr>
          <w:b w:val="0"/>
          <w:i w:val="0"/>
        </w:rPr>
        <w:t xml:space="preserve"> severance unless it chooses to terminate without Cause. The offset therefore does not “reduce Pinnacle’s leverage”; if anything, the provision is irrelevant to Pinnacle’s leverage in a Company-initiated termination.</w:t>
      </w:r>
    </w:p>
    <w:p>
      <w:r>
        <w:rPr>
          <w:b/>
          <w:i w:val="0"/>
        </w:rPr>
        <w:t>FY2024 bonus.</w:t>
      </w:r>
      <w:r>
        <w:rPr>
          <w:b w:val="0"/>
          <w:i w:val="0"/>
        </w:rPr>
        <w:t xml:space="preserve"> EA § 3.2 (and amended bonus provision) makes the annual bonus earned only if Executive is employed on the payment date (no later than March 15), and § 6.2(c) pays only a pro-rated bonus for the year </w:t>
      </w:r>
      <w:r>
        <w:rPr>
          <w:b/>
          <w:i w:val="0"/>
        </w:rPr>
        <w:t>of</w:t>
      </w:r>
      <w:r>
        <w:rPr>
          <w:b w:val="0"/>
          <w:i w:val="0"/>
        </w:rPr>
        <w:t xml:space="preserve"> termination. A February 2025 termination before FY2024 bonuses are paid would therefore forfeit any FY2024 bonus. Given the performance concerns the FY2024 amount may be modest, but Manheim will raise this (including under the N.C. Wage and Hour Act, N.C. Gen. Stat. § 95-25.7) and it is a natural bargaining chip.</w:t>
      </w:r>
    </w:p>
    <w:p>
      <w:pPr>
        <w:pStyle w:val="Heading2"/>
      </w:pPr>
      <w:r>
        <w:t>C. Total Financial Leverage Over Time (Termination Feb. 28, 2025)</w:t>
      </w:r>
    </w:p>
    <w:tbl>
      <w:tblPr>
        <w:tblStyle w:val="TableGrid"/>
        <w:tblW w:type="auto" w:w="0"/>
        <w:jc w:val="center"/>
        <w:tblLayout w:type="fixed"/>
        <w:tblLook w:firstColumn="1" w:firstRow="1" w:lastColumn="0" w:lastRow="0" w:noHBand="0" w:noVBand="1" w:val="04A0"/>
      </w:tblPr>
      <w:tblGrid>
        <w:gridCol w:w="2015"/>
        <w:gridCol w:w="2736"/>
        <w:gridCol w:w="2015"/>
        <w:gridCol w:w="2880"/>
      </w:tblGrid>
      <w:tr>
        <w:trPr>
          <w:tblHeader w:val="true"/>
        </w:trPr>
        <w:tc>
          <w:tcPr>
            <w:tcW w:type="dxa" w:w="2016"/>
            <w:shd w:val="clear" w:color="auto" w:fill="D9E2F3"/>
          </w:tcPr>
          <w:p>
            <w:pPr>
              <w:spacing w:after="20"/>
            </w:pPr>
            <w:r/>
            <w:r>
              <w:rPr>
                <w:b/>
                <w:i w:val="0"/>
                <w:sz w:val="17"/>
              </w:rPr>
              <w:t>Period after termination</w:t>
            </w:r>
          </w:p>
        </w:tc>
        <w:tc>
          <w:tcPr>
            <w:tcW w:type="dxa" w:w="2736"/>
            <w:shd w:val="clear" w:color="auto" w:fill="D9E2F3"/>
          </w:tcPr>
          <w:p>
            <w:pPr>
              <w:spacing w:after="20"/>
            </w:pPr>
            <w:r/>
            <w:r>
              <w:rPr>
                <w:b/>
                <w:i w:val="0"/>
                <w:sz w:val="17"/>
              </w:rPr>
              <w:t>Severance at stake</w:t>
            </w:r>
          </w:p>
        </w:tc>
        <w:tc>
          <w:tcPr>
            <w:tcW w:type="dxa" w:w="2016"/>
            <w:shd w:val="clear" w:color="auto" w:fill="D9E2F3"/>
          </w:tcPr>
          <w:p>
            <w:pPr>
              <w:spacing w:after="20"/>
            </w:pPr>
            <w:r/>
            <w:r>
              <w:rPr>
                <w:b/>
                <w:i w:val="0"/>
                <w:sz w:val="17"/>
              </w:rPr>
              <w:t>RSU clawback at stake</w:t>
            </w:r>
          </w:p>
        </w:tc>
        <w:tc>
          <w:tcPr>
            <w:tcW w:type="dxa" w:w="2880"/>
            <w:shd w:val="clear" w:color="auto" w:fill="D9E2F3"/>
          </w:tcPr>
          <w:p>
            <w:pPr>
              <w:spacing w:after="20"/>
            </w:pPr>
            <w:r/>
            <w:r>
              <w:rPr>
                <w:b/>
                <w:i w:val="0"/>
                <w:sz w:val="17"/>
              </w:rPr>
              <w:t>Covenants in force</w:t>
            </w:r>
          </w:p>
        </w:tc>
      </w:tr>
      <w:tr>
        <w:tc>
          <w:tcPr>
            <w:tcW w:type="dxa" w:w="2016"/>
          </w:tcPr>
          <w:p>
            <w:pPr>
              <w:spacing w:after="20"/>
            </w:pPr>
            <w:r/>
            <w:r>
              <w:rPr>
                <w:b w:val="0"/>
                <w:i w:val="0"/>
                <w:sz w:val="17"/>
              </w:rPr>
              <w:t>Mar. 2025 – Sept. 1, 2025</w:t>
            </w:r>
          </w:p>
        </w:tc>
        <w:tc>
          <w:tcPr>
            <w:tcW w:type="dxa" w:w="2736"/>
          </w:tcPr>
          <w:p>
            <w:pPr>
              <w:spacing w:after="20"/>
            </w:pPr>
            <w:r/>
            <w:r>
              <w:rPr>
                <w:b w:val="0"/>
                <w:i w:val="0"/>
                <w:sz w:val="17"/>
              </w:rPr>
              <w:t>Unpaid balance (declining from ~$554k) + repayment of amounts received</w:t>
            </w:r>
          </w:p>
        </w:tc>
        <w:tc>
          <w:tcPr>
            <w:tcW w:type="dxa" w:w="2016"/>
          </w:tcPr>
          <w:p>
            <w:pPr>
              <w:spacing w:after="20"/>
            </w:pPr>
            <w:r/>
            <w:r>
              <w:rPr>
                <w:b w:val="0"/>
                <w:i w:val="0"/>
                <w:sz w:val="17"/>
              </w:rPr>
              <w:t>Tranche 2 (~$105,700) — non-compete breach only</w:t>
            </w:r>
          </w:p>
        </w:tc>
        <w:tc>
          <w:tcPr>
            <w:tcW w:type="dxa" w:w="2880"/>
          </w:tcPr>
          <w:p>
            <w:pPr>
              <w:spacing w:after="20"/>
            </w:pPr>
            <w:r/>
            <w:r>
              <w:rPr>
                <w:b w:val="0"/>
                <w:i w:val="0"/>
                <w:sz w:val="17"/>
              </w:rPr>
              <w:t>All: EA non-compete, customer and employee non-solicits, RSU non-compete, confidentiality, non-disparagement, cooperation</w:t>
            </w:r>
          </w:p>
        </w:tc>
      </w:tr>
      <w:tr>
        <w:tc>
          <w:tcPr>
            <w:tcW w:type="dxa" w:w="2016"/>
          </w:tcPr>
          <w:p>
            <w:pPr>
              <w:spacing w:after="20"/>
            </w:pPr>
            <w:r/>
            <w:r>
              <w:rPr>
                <w:b w:val="0"/>
                <w:i w:val="0"/>
                <w:sz w:val="17"/>
              </w:rPr>
              <w:t>Sept. 2, 2025 – Feb. 2026</w:t>
            </w:r>
          </w:p>
        </w:tc>
        <w:tc>
          <w:tcPr>
            <w:tcW w:type="dxa" w:w="2736"/>
          </w:tcPr>
          <w:p>
            <w:pPr>
              <w:spacing w:after="20"/>
            </w:pPr>
            <w:r/>
            <w:r>
              <w:rPr>
                <w:b w:val="0"/>
                <w:i w:val="0"/>
                <w:sz w:val="17"/>
              </w:rPr>
              <w:t>Unpaid balance + repayment</w:t>
            </w:r>
          </w:p>
        </w:tc>
        <w:tc>
          <w:tcPr>
            <w:tcW w:type="dxa" w:w="2016"/>
          </w:tcPr>
          <w:p>
            <w:pPr>
              <w:spacing w:after="20"/>
            </w:pPr>
            <w:r/>
            <w:r>
              <w:rPr>
                <w:b/>
                <w:i w:val="0"/>
                <w:sz w:val="17"/>
              </w:rPr>
              <w:t>None</w:t>
            </w:r>
          </w:p>
        </w:tc>
        <w:tc>
          <w:tcPr>
            <w:tcW w:type="dxa" w:w="2880"/>
          </w:tcPr>
          <w:p>
            <w:pPr>
              <w:spacing w:after="20"/>
            </w:pPr>
            <w:r/>
            <w:r>
              <w:rPr>
                <w:b w:val="0"/>
                <w:i w:val="0"/>
                <w:sz w:val="17"/>
              </w:rPr>
              <w:t>Same</w:t>
            </w:r>
          </w:p>
        </w:tc>
      </w:tr>
      <w:tr>
        <w:tc>
          <w:tcPr>
            <w:tcW w:type="dxa" w:w="2016"/>
          </w:tcPr>
          <w:p>
            <w:pPr>
              <w:spacing w:after="20"/>
            </w:pPr>
            <w:r/>
            <w:r>
              <w:rPr>
                <w:b w:val="0"/>
                <w:i w:val="0"/>
                <w:sz w:val="17"/>
              </w:rPr>
              <w:t>Mar. 2026 – Aug. 2026</w:t>
            </w:r>
          </w:p>
        </w:tc>
        <w:tc>
          <w:tcPr>
            <w:tcW w:type="dxa" w:w="2736"/>
          </w:tcPr>
          <w:p>
            <w:pPr>
              <w:spacing w:after="20"/>
            </w:pPr>
            <w:r/>
            <w:r>
              <w:rPr>
                <w:b w:val="0"/>
                <w:i w:val="0"/>
                <w:sz w:val="17"/>
              </w:rPr>
              <w:t>Repayment only (all paid); under Amend. § 9 only amounts received within 12 months before the determination</w:t>
            </w:r>
          </w:p>
        </w:tc>
        <w:tc>
          <w:tcPr>
            <w:tcW w:type="dxa" w:w="2016"/>
          </w:tcPr>
          <w:p>
            <w:pPr>
              <w:spacing w:after="20"/>
            </w:pPr>
            <w:r/>
            <w:r>
              <w:rPr>
                <w:b w:val="0"/>
                <w:i w:val="0"/>
                <w:sz w:val="17"/>
              </w:rPr>
              <w:t>None</w:t>
            </w:r>
          </w:p>
        </w:tc>
        <w:tc>
          <w:tcPr>
            <w:tcW w:type="dxa" w:w="2880"/>
          </w:tcPr>
          <w:p>
            <w:pPr>
              <w:spacing w:after="20"/>
            </w:pPr>
            <w:r/>
            <w:r>
              <w:rPr>
                <w:b w:val="0"/>
                <w:i w:val="0"/>
                <w:sz w:val="17"/>
              </w:rPr>
              <w:t>EA non-compete (orig. and amended), customer non-solicit, orig. employee non-solicit (if not superseded), confidentiality, non-disparagement, cooperation</w:t>
            </w:r>
          </w:p>
        </w:tc>
      </w:tr>
      <w:tr>
        <w:tc>
          <w:tcPr>
            <w:tcW w:type="dxa" w:w="2016"/>
          </w:tcPr>
          <w:p>
            <w:pPr>
              <w:spacing w:after="20"/>
            </w:pPr>
            <w:r/>
            <w:r>
              <w:rPr>
                <w:b w:val="0"/>
                <w:i w:val="0"/>
                <w:sz w:val="17"/>
              </w:rPr>
              <w:t>Sept. 2026 – Feb. 2027</w:t>
            </w:r>
          </w:p>
        </w:tc>
        <w:tc>
          <w:tcPr>
            <w:tcW w:type="dxa" w:w="2736"/>
          </w:tcPr>
          <w:p>
            <w:pPr>
              <w:spacing w:after="20"/>
            </w:pPr>
            <w:r/>
            <w:r>
              <w:rPr>
                <w:b w:val="0"/>
                <w:i w:val="0"/>
                <w:sz w:val="17"/>
              </w:rPr>
              <w:t>Repayment, shrinking under 12-month lookback</w:t>
            </w:r>
          </w:p>
        </w:tc>
        <w:tc>
          <w:tcPr>
            <w:tcW w:type="dxa" w:w="2016"/>
          </w:tcPr>
          <w:p>
            <w:pPr>
              <w:spacing w:after="20"/>
            </w:pPr>
            <w:r/>
            <w:r>
              <w:rPr>
                <w:b w:val="0"/>
                <w:i w:val="0"/>
                <w:sz w:val="17"/>
              </w:rPr>
              <w:t>None</w:t>
            </w:r>
          </w:p>
        </w:tc>
        <w:tc>
          <w:tcPr>
            <w:tcW w:type="dxa" w:w="2880"/>
          </w:tcPr>
          <w:p>
            <w:pPr>
              <w:spacing w:after="20"/>
            </w:pPr>
            <w:r/>
            <w:r>
              <w:rPr>
                <w:b w:val="0"/>
                <w:i w:val="0"/>
                <w:sz w:val="17"/>
              </w:rPr>
              <w:t>Amended non-compete (if enforceable), customer non-solicit, perpetual covenants, cooperation</w:t>
            </w:r>
          </w:p>
        </w:tc>
      </w:tr>
      <w:tr>
        <w:tc>
          <w:tcPr>
            <w:tcW w:type="dxa" w:w="2016"/>
          </w:tcPr>
          <w:p>
            <w:pPr>
              <w:spacing w:after="20"/>
            </w:pPr>
            <w:r/>
            <w:r>
              <w:rPr>
                <w:b w:val="0"/>
                <w:i w:val="0"/>
                <w:sz w:val="17"/>
              </w:rPr>
              <w:t>After Feb. 28, 2027</w:t>
            </w:r>
          </w:p>
        </w:tc>
        <w:tc>
          <w:tcPr>
            <w:tcW w:type="dxa" w:w="2736"/>
          </w:tcPr>
          <w:p>
            <w:pPr>
              <w:spacing w:after="20"/>
            </w:pPr>
            <w:r/>
            <w:r>
              <w:rPr>
                <w:b w:val="0"/>
                <w:i w:val="0"/>
                <w:sz w:val="17"/>
              </w:rPr>
              <w:t>Little or none</w:t>
            </w:r>
          </w:p>
        </w:tc>
        <w:tc>
          <w:tcPr>
            <w:tcW w:type="dxa" w:w="2016"/>
          </w:tcPr>
          <w:p>
            <w:pPr>
              <w:spacing w:after="20"/>
            </w:pPr>
            <w:r/>
            <w:r>
              <w:rPr>
                <w:b w:val="0"/>
                <w:i w:val="0"/>
                <w:sz w:val="17"/>
              </w:rPr>
              <w:t>None</w:t>
            </w:r>
          </w:p>
        </w:tc>
        <w:tc>
          <w:tcPr>
            <w:tcW w:type="dxa" w:w="2880"/>
          </w:tcPr>
          <w:p>
            <w:pPr>
              <w:spacing w:after="20"/>
            </w:pPr>
            <w:r/>
            <w:r>
              <w:rPr>
                <w:b w:val="0"/>
                <w:i w:val="0"/>
                <w:sz w:val="17"/>
              </w:rPr>
              <w:t>Confidentiality, non-disparagement (perpetual); cooperation to Feb. 28, 2028</w:t>
            </w:r>
          </w:p>
        </w:tc>
      </w:tr>
    </w:tbl>
    <w:p>
      <w:pPr>
        <w:spacing w:after="40"/>
      </w:pPr>
    </w:p>
    <w:p>
      <w:pPr>
        <w:pStyle w:val="Heading1"/>
      </w:pPr>
      <w:r>
        <w:t>VII. Consolidated Side-by-Side: Every First Amendment Change</w:t>
      </w:r>
    </w:p>
    <w:tbl>
      <w:tblPr>
        <w:tblStyle w:val="TableGrid"/>
        <w:tblW w:type="auto" w:w="0"/>
        <w:jc w:val="center"/>
        <w:tblLayout w:type="fixed"/>
        <w:tblLook w:firstColumn="1" w:firstRow="1" w:lastColumn="0" w:lastRow="0" w:noHBand="0" w:noVBand="1" w:val="04A0"/>
      </w:tblPr>
      <w:tblGrid>
        <w:gridCol w:w="1655"/>
        <w:gridCol w:w="2808"/>
        <w:gridCol w:w="3311"/>
        <w:gridCol w:w="1872"/>
      </w:tblGrid>
      <w:tr>
        <w:trPr>
          <w:tblHeader w:val="true"/>
        </w:trPr>
        <w:tc>
          <w:tcPr>
            <w:tcW w:type="dxa" w:w="1656"/>
            <w:shd w:val="clear" w:color="auto" w:fill="D9E2F3"/>
          </w:tcPr>
          <w:p>
            <w:pPr>
              <w:spacing w:after="20"/>
            </w:pPr>
            <w:r/>
            <w:r>
              <w:rPr>
                <w:b/>
                <w:i w:val="0"/>
                <w:sz w:val="17"/>
              </w:rPr>
              <w:t>Term</w:t>
            </w:r>
          </w:p>
        </w:tc>
        <w:tc>
          <w:tcPr>
            <w:tcW w:type="dxa" w:w="2808"/>
            <w:shd w:val="clear" w:color="auto" w:fill="D9E2F3"/>
          </w:tcPr>
          <w:p>
            <w:pPr>
              <w:spacing w:after="20"/>
            </w:pPr>
            <w:r/>
            <w:r>
              <w:rPr>
                <w:b/>
                <w:i w:val="0"/>
                <w:sz w:val="17"/>
              </w:rPr>
              <w:t>Original Agreement</w:t>
            </w:r>
          </w:p>
        </w:tc>
        <w:tc>
          <w:tcPr>
            <w:tcW w:type="dxa" w:w="3312"/>
            <w:shd w:val="clear" w:color="auto" w:fill="D9E2F3"/>
          </w:tcPr>
          <w:p>
            <w:pPr>
              <w:spacing w:after="20"/>
            </w:pPr>
            <w:r/>
            <w:r>
              <w:rPr>
                <w:b/>
                <w:i w:val="0"/>
                <w:sz w:val="17"/>
              </w:rPr>
              <w:t>As Amended (Jan. 18, 2023)</w:t>
            </w:r>
          </w:p>
        </w:tc>
        <w:tc>
          <w:tcPr>
            <w:tcW w:type="dxa" w:w="1872"/>
            <w:shd w:val="clear" w:color="auto" w:fill="D9E2F3"/>
          </w:tcPr>
          <w:p>
            <w:pPr>
              <w:spacing w:after="20"/>
            </w:pPr>
            <w:r/>
            <w:r>
              <w:rPr>
                <w:b/>
                <w:i w:val="0"/>
                <w:sz w:val="17"/>
              </w:rPr>
              <w:t>Direction</w:t>
            </w:r>
          </w:p>
        </w:tc>
      </w:tr>
      <w:tr>
        <w:tc>
          <w:tcPr>
            <w:tcW w:type="dxa" w:w="1656"/>
          </w:tcPr>
          <w:p>
            <w:pPr>
              <w:spacing w:after="20"/>
            </w:pPr>
            <w:r/>
            <w:r>
              <w:rPr>
                <w:b w:val="0"/>
                <w:i w:val="0"/>
                <w:sz w:val="17"/>
              </w:rPr>
              <w:t>Title</w:t>
            </w:r>
          </w:p>
        </w:tc>
        <w:tc>
          <w:tcPr>
            <w:tcW w:type="dxa" w:w="2808"/>
          </w:tcPr>
          <w:p>
            <w:pPr>
              <w:spacing w:after="20"/>
            </w:pPr>
            <w:r/>
            <w:r>
              <w:rPr>
                <w:b w:val="0"/>
                <w:i w:val="0"/>
                <w:sz w:val="17"/>
              </w:rPr>
              <w:t>CRO, reporting to CEO (§ 2.1)</w:t>
            </w:r>
          </w:p>
        </w:tc>
        <w:tc>
          <w:tcPr>
            <w:tcW w:type="dxa" w:w="3312"/>
          </w:tcPr>
          <w:p>
            <w:pPr>
              <w:spacing w:after="20"/>
            </w:pPr>
            <w:r/>
            <w:r>
              <w:rPr>
                <w:b w:val="0"/>
                <w:i w:val="0"/>
                <w:sz w:val="17"/>
              </w:rPr>
              <w:t>CRO, reporting to CEO, with oversight of all revenue functions incl. Lakeshore (Amend. § 2)</w:t>
            </w:r>
          </w:p>
        </w:tc>
        <w:tc>
          <w:tcPr>
            <w:tcW w:type="dxa" w:w="1872"/>
          </w:tcPr>
          <w:p>
            <w:pPr>
              <w:spacing w:after="20"/>
            </w:pPr>
            <w:r/>
            <w:r>
              <w:rPr>
                <w:b w:val="0"/>
                <w:i w:val="0"/>
                <w:sz w:val="17"/>
              </w:rPr>
              <w:t>Expanded duties; no new title</w:t>
            </w:r>
          </w:p>
        </w:tc>
      </w:tr>
      <w:tr>
        <w:tc>
          <w:tcPr>
            <w:tcW w:type="dxa" w:w="1656"/>
          </w:tcPr>
          <w:p>
            <w:pPr>
              <w:spacing w:after="20"/>
            </w:pPr>
            <w:r/>
            <w:r>
              <w:rPr>
                <w:b w:val="0"/>
                <w:i w:val="0"/>
                <w:sz w:val="17"/>
              </w:rPr>
              <w:t>Base salary</w:t>
            </w:r>
          </w:p>
        </w:tc>
        <w:tc>
          <w:tcPr>
            <w:tcW w:type="dxa" w:w="2808"/>
          </w:tcPr>
          <w:p>
            <w:pPr>
              <w:spacing w:after="20"/>
            </w:pPr>
            <w:r/>
            <w:r>
              <w:rPr>
                <w:b w:val="0"/>
                <w:i w:val="0"/>
                <w:sz w:val="17"/>
              </w:rPr>
              <w:t>$475,000; no reduction below initial without consent, except uniform ≤10% (§ 3.1)</w:t>
            </w:r>
          </w:p>
        </w:tc>
        <w:tc>
          <w:tcPr>
            <w:tcW w:type="dxa" w:w="3312"/>
          </w:tcPr>
          <w:p>
            <w:pPr>
              <w:spacing w:after="20"/>
            </w:pPr>
            <w:r/>
            <w:r>
              <w:rPr>
                <w:b w:val="0"/>
                <w:i w:val="0"/>
                <w:sz w:val="17"/>
              </w:rPr>
              <w:t>$475,000; no reduction below $475,000 without consent (Amend. § 3)</w:t>
            </w:r>
          </w:p>
        </w:tc>
        <w:tc>
          <w:tcPr>
            <w:tcW w:type="dxa" w:w="1872"/>
          </w:tcPr>
          <w:p>
            <w:pPr>
              <w:spacing w:after="20"/>
            </w:pPr>
            <w:r/>
            <w:r>
              <w:rPr>
                <w:b w:val="0"/>
                <w:i w:val="0"/>
                <w:sz w:val="17"/>
              </w:rPr>
              <w:t>Unchanged amount; carve-out removed</w:t>
            </w:r>
          </w:p>
        </w:tc>
      </w:tr>
      <w:tr>
        <w:tc>
          <w:tcPr>
            <w:tcW w:type="dxa" w:w="1656"/>
          </w:tcPr>
          <w:p>
            <w:pPr>
              <w:spacing w:after="20"/>
            </w:pPr>
            <w:r/>
            <w:r>
              <w:rPr>
                <w:b w:val="0"/>
                <w:i w:val="0"/>
                <w:sz w:val="17"/>
              </w:rPr>
              <w:t>Bonus</w:t>
            </w:r>
          </w:p>
        </w:tc>
        <w:tc>
          <w:tcPr>
            <w:tcW w:type="dxa" w:w="2808"/>
          </w:tcPr>
          <w:p>
            <w:pPr>
              <w:spacing w:after="20"/>
            </w:pPr>
            <w:r/>
            <w:r>
              <w:rPr>
                <w:b w:val="0"/>
                <w:i w:val="0"/>
                <w:sz w:val="17"/>
              </w:rPr>
              <w:t>Target 70%; range 0–200%; metrics set within first 90 days of FY and communicated in writing (§ 3.2)</w:t>
            </w:r>
          </w:p>
        </w:tc>
        <w:tc>
          <w:tcPr>
            <w:tcW w:type="dxa" w:w="3312"/>
          </w:tcPr>
          <w:p>
            <w:pPr>
              <w:spacing w:after="20"/>
            </w:pPr>
            <w:r/>
            <w:r>
              <w:rPr>
                <w:b w:val="0"/>
                <w:i w:val="0"/>
                <w:sz w:val="17"/>
              </w:rPr>
              <w:t>Target 70%; range 0–150%; metrics set by Board/Committee (no 90-day timing) (Amend. § 4)</w:t>
            </w:r>
          </w:p>
        </w:tc>
        <w:tc>
          <w:tcPr>
            <w:tcW w:type="dxa" w:w="1872"/>
          </w:tcPr>
          <w:p>
            <w:pPr>
              <w:spacing w:after="20"/>
            </w:pPr>
            <w:r/>
            <w:r>
              <w:rPr>
                <w:b/>
                <w:i w:val="0"/>
                <w:sz w:val="17"/>
              </w:rPr>
              <w:t>Reduced</w:t>
            </w:r>
            <w:r>
              <w:rPr>
                <w:b w:val="0"/>
                <w:i w:val="0"/>
                <w:sz w:val="17"/>
              </w:rPr>
              <w:t xml:space="preserve"> upside to Executive</w:t>
            </w:r>
          </w:p>
        </w:tc>
      </w:tr>
      <w:tr>
        <w:tc>
          <w:tcPr>
            <w:tcW w:type="dxa" w:w="1656"/>
          </w:tcPr>
          <w:p>
            <w:pPr>
              <w:spacing w:after="20"/>
            </w:pPr>
            <w:r/>
            <w:r>
              <w:rPr>
                <w:b w:val="0"/>
                <w:i w:val="0"/>
                <w:sz w:val="17"/>
              </w:rPr>
              <w:t>Cause</w:t>
            </w:r>
          </w:p>
        </w:tc>
        <w:tc>
          <w:tcPr>
            <w:tcW w:type="dxa" w:w="2808"/>
          </w:tcPr>
          <w:p>
            <w:pPr>
              <w:spacing w:after="20"/>
            </w:pPr>
            <w:r/>
            <w:r>
              <w:rPr>
                <w:b w:val="0"/>
                <w:i w:val="0"/>
                <w:sz w:val="17"/>
              </w:rPr>
              <w:t>Five grounds (§ 1.3)</w:t>
            </w:r>
          </w:p>
        </w:tc>
        <w:tc>
          <w:tcPr>
            <w:tcW w:type="dxa" w:w="3312"/>
          </w:tcPr>
          <w:p>
            <w:pPr>
              <w:spacing w:after="20"/>
            </w:pPr>
            <w:r/>
            <w:r>
              <w:rPr>
                <w:b w:val="0"/>
                <w:i w:val="0"/>
                <w:sz w:val="17"/>
              </w:rPr>
              <w:t>Adds clause (vi) revenue-target failure for two consecutive quarters (Amend. § 8)</w:t>
            </w:r>
          </w:p>
        </w:tc>
        <w:tc>
          <w:tcPr>
            <w:tcW w:type="dxa" w:w="1872"/>
          </w:tcPr>
          <w:p>
            <w:pPr>
              <w:spacing w:after="20"/>
            </w:pPr>
            <w:r/>
            <w:r>
              <w:rPr>
                <w:b w:val="0"/>
                <w:i w:val="0"/>
                <w:sz w:val="17"/>
              </w:rPr>
              <w:t>Pro-Company</w:t>
            </w:r>
          </w:p>
        </w:tc>
      </w:tr>
      <w:tr>
        <w:tc>
          <w:tcPr>
            <w:tcW w:type="dxa" w:w="1656"/>
          </w:tcPr>
          <w:p>
            <w:pPr>
              <w:spacing w:after="20"/>
            </w:pPr>
            <w:r/>
            <w:r>
              <w:rPr>
                <w:b w:val="0"/>
                <w:i w:val="0"/>
                <w:sz w:val="17"/>
              </w:rPr>
              <w:t>Non-compete</w:t>
            </w:r>
          </w:p>
        </w:tc>
        <w:tc>
          <w:tcPr>
            <w:tcW w:type="dxa" w:w="2808"/>
          </w:tcPr>
          <w:p>
            <w:pPr>
              <w:spacing w:after="20"/>
            </w:pPr>
            <w:r/>
            <w:r>
              <w:rPr>
                <w:b w:val="0"/>
                <w:i w:val="0"/>
                <w:sz w:val="17"/>
              </w:rPr>
              <w:t>18 months; &gt;15% U.S. revenue; cleaning/personal care</w:t>
            </w:r>
          </w:p>
        </w:tc>
        <w:tc>
          <w:tcPr>
            <w:tcW w:type="dxa" w:w="3312"/>
          </w:tcPr>
          <w:p>
            <w:pPr>
              <w:spacing w:after="20"/>
            </w:pPr>
            <w:r/>
            <w:r>
              <w:rPr>
                <w:b w:val="0"/>
                <w:i w:val="0"/>
                <w:sz w:val="17"/>
              </w:rPr>
              <w:t>24 months; &gt;10% U.S./Canada gross revenue; adds home fragrance and marketing</w:t>
            </w:r>
          </w:p>
        </w:tc>
        <w:tc>
          <w:tcPr>
            <w:tcW w:type="dxa" w:w="1872"/>
          </w:tcPr>
          <w:p>
            <w:pPr>
              <w:spacing w:after="20"/>
            </w:pPr>
            <w:r/>
            <w:r>
              <w:rPr>
                <w:b w:val="0"/>
                <w:i w:val="0"/>
                <w:sz w:val="17"/>
              </w:rPr>
              <w:t>Pro-Company (broader)</w:t>
            </w:r>
          </w:p>
        </w:tc>
      </w:tr>
      <w:tr>
        <w:tc>
          <w:tcPr>
            <w:tcW w:type="dxa" w:w="1656"/>
          </w:tcPr>
          <w:p>
            <w:pPr>
              <w:spacing w:after="20"/>
            </w:pPr>
            <w:r/>
            <w:r>
              <w:rPr>
                <w:b w:val="0"/>
                <w:i w:val="0"/>
                <w:sz w:val="17"/>
              </w:rPr>
              <w:t>Customer non-solicit</w:t>
            </w:r>
          </w:p>
        </w:tc>
        <w:tc>
          <w:tcPr>
            <w:tcW w:type="dxa" w:w="2808"/>
          </w:tcPr>
          <w:p>
            <w:pPr>
              <w:spacing w:after="20"/>
            </w:pPr>
            <w:r/>
            <w:r>
              <w:rPr>
                <w:b w:val="0"/>
                <w:i w:val="0"/>
                <w:sz w:val="17"/>
              </w:rPr>
              <w:t>24 months, Material Contact (§ 8.2)</w:t>
            </w:r>
          </w:p>
        </w:tc>
        <w:tc>
          <w:tcPr>
            <w:tcW w:type="dxa" w:w="3312"/>
          </w:tcPr>
          <w:p>
            <w:pPr>
              <w:spacing w:after="20"/>
            </w:pPr>
            <w:r/>
            <w:r>
              <w:rPr>
                <w:b w:val="0"/>
                <w:i w:val="0"/>
                <w:sz w:val="17"/>
              </w:rPr>
              <w:t>Unchanged</w:t>
            </w:r>
          </w:p>
        </w:tc>
        <w:tc>
          <w:tcPr>
            <w:tcW w:type="dxa" w:w="1872"/>
          </w:tcPr>
          <w:p>
            <w:pPr>
              <w:spacing w:after="20"/>
            </w:pPr>
            <w:r/>
            <w:r>
              <w:rPr>
                <w:b w:val="0"/>
                <w:i w:val="0"/>
                <w:sz w:val="17"/>
              </w:rPr>
              <w:t>—</w:t>
            </w:r>
          </w:p>
        </w:tc>
      </w:tr>
      <w:tr>
        <w:tc>
          <w:tcPr>
            <w:tcW w:type="dxa" w:w="1656"/>
          </w:tcPr>
          <w:p>
            <w:pPr>
              <w:spacing w:after="20"/>
            </w:pPr>
            <w:r/>
            <w:r>
              <w:rPr>
                <w:b w:val="0"/>
                <w:i w:val="0"/>
                <w:sz w:val="17"/>
              </w:rPr>
              <w:t>Employee non-solicit</w:t>
            </w:r>
          </w:p>
        </w:tc>
        <w:tc>
          <w:tcPr>
            <w:tcW w:type="dxa" w:w="2808"/>
          </w:tcPr>
          <w:p>
            <w:pPr>
              <w:spacing w:after="20"/>
            </w:pPr>
            <w:r/>
            <w:r>
              <w:rPr>
                <w:b w:val="0"/>
                <w:i w:val="0"/>
                <w:sz w:val="17"/>
              </w:rPr>
              <w:t>18 months; carve-outs</w:t>
            </w:r>
          </w:p>
        </w:tc>
        <w:tc>
          <w:tcPr>
            <w:tcW w:type="dxa" w:w="3312"/>
          </w:tcPr>
          <w:p>
            <w:pPr>
              <w:spacing w:after="20"/>
            </w:pPr>
            <w:r/>
            <w:r>
              <w:rPr>
                <w:b w:val="0"/>
                <w:i w:val="0"/>
                <w:sz w:val="17"/>
              </w:rPr>
              <w:t>12 months; adds no-hire and 6-month former-employee prong; no carve-outs</w:t>
            </w:r>
          </w:p>
        </w:tc>
        <w:tc>
          <w:tcPr>
            <w:tcW w:type="dxa" w:w="1872"/>
          </w:tcPr>
          <w:p>
            <w:pPr>
              <w:spacing w:after="20"/>
            </w:pPr>
            <w:r/>
            <w:r>
              <w:rPr>
                <w:b w:val="0"/>
                <w:i w:val="0"/>
                <w:sz w:val="17"/>
              </w:rPr>
              <w:t>Mixed</w:t>
            </w:r>
          </w:p>
        </w:tc>
      </w:tr>
      <w:tr>
        <w:tc>
          <w:tcPr>
            <w:tcW w:type="dxa" w:w="1656"/>
          </w:tcPr>
          <w:p>
            <w:pPr>
              <w:spacing w:after="20"/>
            </w:pPr>
            <w:r/>
            <w:r>
              <w:rPr>
                <w:b w:val="0"/>
                <w:i w:val="0"/>
                <w:sz w:val="17"/>
              </w:rPr>
              <w:t>Resignation notice</w:t>
            </w:r>
          </w:p>
        </w:tc>
        <w:tc>
          <w:tcPr>
            <w:tcW w:type="dxa" w:w="2808"/>
          </w:tcPr>
          <w:p>
            <w:pPr>
              <w:spacing w:after="20"/>
            </w:pPr>
            <w:r/>
            <w:r>
              <w:rPr>
                <w:b w:val="0"/>
                <w:i w:val="0"/>
                <w:sz w:val="17"/>
              </w:rPr>
              <w:t>30 days (§ 6.3)</w:t>
            </w:r>
          </w:p>
        </w:tc>
        <w:tc>
          <w:tcPr>
            <w:tcW w:type="dxa" w:w="3312"/>
          </w:tcPr>
          <w:p>
            <w:pPr>
              <w:spacing w:after="20"/>
            </w:pPr>
            <w:r/>
            <w:r>
              <w:rPr>
                <w:b w:val="0"/>
                <w:i w:val="0"/>
                <w:sz w:val="17"/>
              </w:rPr>
              <w:t>90 days; failure is material breach (Amend. § 7(i))</w:t>
            </w:r>
          </w:p>
        </w:tc>
        <w:tc>
          <w:tcPr>
            <w:tcW w:type="dxa" w:w="1872"/>
          </w:tcPr>
          <w:p>
            <w:pPr>
              <w:spacing w:after="20"/>
            </w:pPr>
            <w:r/>
            <w:r>
              <w:rPr>
                <w:b w:val="0"/>
                <w:i w:val="0"/>
                <w:sz w:val="17"/>
              </w:rPr>
              <w:t>Pro-Company</w:t>
            </w:r>
          </w:p>
        </w:tc>
      </w:tr>
      <w:tr>
        <w:tc>
          <w:tcPr>
            <w:tcW w:type="dxa" w:w="1656"/>
          </w:tcPr>
          <w:p>
            <w:pPr>
              <w:spacing w:after="20"/>
            </w:pPr>
            <w:r/>
            <w:r>
              <w:rPr>
                <w:b w:val="0"/>
                <w:i w:val="0"/>
                <w:sz w:val="17"/>
              </w:rPr>
              <w:t>Garden leave</w:t>
            </w:r>
          </w:p>
        </w:tc>
        <w:tc>
          <w:tcPr>
            <w:tcW w:type="dxa" w:w="2808"/>
          </w:tcPr>
          <w:p>
            <w:pPr>
              <w:spacing w:after="20"/>
            </w:pPr>
            <w:r/>
            <w:r>
              <w:rPr>
                <w:b w:val="0"/>
                <w:i w:val="0"/>
                <w:sz w:val="17"/>
              </w:rPr>
              <w:t>None</w:t>
            </w:r>
          </w:p>
        </w:tc>
        <w:tc>
          <w:tcPr>
            <w:tcW w:type="dxa" w:w="3312"/>
          </w:tcPr>
          <w:p>
            <w:pPr>
              <w:spacing w:after="20"/>
            </w:pPr>
            <w:r/>
            <w:r>
              <w:rPr>
                <w:b w:val="0"/>
                <w:i w:val="0"/>
                <w:sz w:val="17"/>
              </w:rPr>
              <w:t>Up to 90 days at Company election; credit against severance; counts toward Restricted Period</w:t>
            </w:r>
          </w:p>
        </w:tc>
        <w:tc>
          <w:tcPr>
            <w:tcW w:type="dxa" w:w="1872"/>
          </w:tcPr>
          <w:p>
            <w:pPr>
              <w:spacing w:after="20"/>
            </w:pPr>
            <w:r/>
            <w:r>
              <w:rPr>
                <w:b w:val="0"/>
                <w:i w:val="0"/>
                <w:sz w:val="17"/>
              </w:rPr>
              <w:t>Pro-Company</w:t>
            </w:r>
          </w:p>
        </w:tc>
      </w:tr>
      <w:tr>
        <w:tc>
          <w:tcPr>
            <w:tcW w:type="dxa" w:w="1656"/>
          </w:tcPr>
          <w:p>
            <w:pPr>
              <w:spacing w:after="20"/>
            </w:pPr>
            <w:r/>
            <w:r>
              <w:rPr>
                <w:b w:val="0"/>
                <w:i w:val="0"/>
                <w:sz w:val="17"/>
              </w:rPr>
              <w:t>Forfeiture/repayment</w:t>
            </w:r>
          </w:p>
        </w:tc>
        <w:tc>
          <w:tcPr>
            <w:tcW w:type="dxa" w:w="2808"/>
          </w:tcPr>
          <w:p>
            <w:pPr>
              <w:spacing w:after="20"/>
            </w:pPr>
            <w:r/>
            <w:r>
              <w:rPr>
                <w:b w:val="0"/>
                <w:i w:val="0"/>
                <w:sz w:val="17"/>
              </w:rPr>
              <w:t>Cessation + repayment net of taxes (§ 6.2)</w:t>
            </w:r>
          </w:p>
        </w:tc>
        <w:tc>
          <w:tcPr>
            <w:tcW w:type="dxa" w:w="3312"/>
          </w:tcPr>
          <w:p>
            <w:pPr>
              <w:spacing w:after="20"/>
            </w:pPr>
            <w:r/>
            <w:r>
              <w:rPr>
                <w:b w:val="0"/>
                <w:i w:val="0"/>
                <w:sz w:val="17"/>
              </w:rPr>
              <w:t>Adds forfeiture + 100% repayment of severance received in 12 months before Breach Determination Date (Amend. § 9)</w:t>
            </w:r>
          </w:p>
        </w:tc>
        <w:tc>
          <w:tcPr>
            <w:tcW w:type="dxa" w:w="1872"/>
          </w:tcPr>
          <w:p>
            <w:pPr>
              <w:spacing w:after="20"/>
            </w:pPr>
            <w:r/>
            <w:r>
              <w:rPr>
                <w:b w:val="0"/>
                <w:i w:val="0"/>
                <w:sz w:val="17"/>
              </w:rPr>
              <w:t>Pro-Company (but lookback may limit)</w:t>
            </w:r>
          </w:p>
        </w:tc>
      </w:tr>
      <w:tr>
        <w:tc>
          <w:tcPr>
            <w:tcW w:type="dxa" w:w="1656"/>
          </w:tcPr>
          <w:p>
            <w:pPr>
              <w:spacing w:after="20"/>
            </w:pPr>
            <w:r/>
            <w:r>
              <w:rPr>
                <w:b w:val="0"/>
                <w:i w:val="0"/>
                <w:sz w:val="17"/>
              </w:rPr>
              <w:t>DTSA notice</w:t>
            </w:r>
          </w:p>
        </w:tc>
        <w:tc>
          <w:tcPr>
            <w:tcW w:type="dxa" w:w="2808"/>
          </w:tcPr>
          <w:p>
            <w:pPr>
              <w:spacing w:after="20"/>
            </w:pPr>
            <w:r/>
            <w:r>
              <w:rPr>
                <w:b w:val="0"/>
                <w:i w:val="0"/>
                <w:sz w:val="17"/>
              </w:rPr>
              <w:t>None</w:t>
            </w:r>
          </w:p>
        </w:tc>
        <w:tc>
          <w:tcPr>
            <w:tcW w:type="dxa" w:w="3312"/>
          </w:tcPr>
          <w:p>
            <w:pPr>
              <w:spacing w:after="20"/>
            </w:pPr>
            <w:r/>
            <w:r>
              <w:rPr>
                <w:b w:val="0"/>
                <w:i w:val="0"/>
                <w:sz w:val="17"/>
              </w:rPr>
              <w:t>Added (Amend. § 10)</w:t>
            </w:r>
          </w:p>
        </w:tc>
        <w:tc>
          <w:tcPr>
            <w:tcW w:type="dxa" w:w="1872"/>
          </w:tcPr>
          <w:p>
            <w:pPr>
              <w:spacing w:after="20"/>
            </w:pPr>
            <w:r/>
            <w:r>
              <w:rPr>
                <w:b w:val="0"/>
                <w:i w:val="0"/>
                <w:sz w:val="17"/>
              </w:rPr>
              <w:t>Pro-Company (unlocks DTSA exemplary damages/fees)</w:t>
            </w:r>
          </w:p>
        </w:tc>
      </w:tr>
      <w:tr>
        <w:tc>
          <w:tcPr>
            <w:tcW w:type="dxa" w:w="1656"/>
          </w:tcPr>
          <w:p>
            <w:pPr>
              <w:spacing w:after="20"/>
            </w:pPr>
            <w:r/>
            <w:r>
              <w:rPr>
                <w:b w:val="0"/>
                <w:i w:val="0"/>
                <w:sz w:val="17"/>
              </w:rPr>
              <w:t>Governing law / forum</w:t>
            </w:r>
          </w:p>
        </w:tc>
        <w:tc>
          <w:tcPr>
            <w:tcW w:type="dxa" w:w="2808"/>
          </w:tcPr>
          <w:p>
            <w:pPr>
              <w:spacing w:after="20"/>
            </w:pPr>
            <w:r/>
            <w:r>
              <w:rPr>
                <w:b w:val="0"/>
                <w:i w:val="0"/>
                <w:sz w:val="17"/>
              </w:rPr>
              <w:t>N.C.; Mecklenburg County</w:t>
            </w:r>
          </w:p>
        </w:tc>
        <w:tc>
          <w:tcPr>
            <w:tcW w:type="dxa" w:w="3312"/>
          </w:tcPr>
          <w:p>
            <w:pPr>
              <w:spacing w:after="20"/>
            </w:pPr>
            <w:r/>
            <w:r>
              <w:rPr>
                <w:b w:val="0"/>
                <w:i w:val="0"/>
                <w:sz w:val="17"/>
              </w:rPr>
              <w:t>Reaffirmed (Amend. § 12)</w:t>
            </w:r>
          </w:p>
        </w:tc>
        <w:tc>
          <w:tcPr>
            <w:tcW w:type="dxa" w:w="1872"/>
          </w:tcPr>
          <w:p>
            <w:pPr>
              <w:spacing w:after="20"/>
            </w:pPr>
            <w:r/>
            <w:r>
              <w:rPr>
                <w:b w:val="0"/>
                <w:i w:val="0"/>
                <w:sz w:val="17"/>
              </w:rPr>
              <w:t>—</w:t>
            </w:r>
          </w:p>
        </w:tc>
      </w:tr>
    </w:tbl>
    <w:p>
      <w:pPr>
        <w:spacing w:after="40"/>
      </w:pPr>
    </w:p>
    <w:p>
      <w:r>
        <w:rPr>
          <w:b w:val="0"/>
          <w:i w:val="0"/>
        </w:rPr>
        <w:t>The pattern is significant for the consideration analysis: apart from removal of the 10% uniform salary-reduction carve-out and the shorter employee non-solicit, every change favors Pinnacle, and Manheim received no raise, bonus increase, equity grant or other new payment.</w:t>
      </w:r>
    </w:p>
    <w:p>
      <w:pPr>
        <w:pStyle w:val="Heading1"/>
      </w:pPr>
      <w:r>
        <w:t>VIII. Enforceability Risks, Drafting Gaps and Ambiguities</w:t>
      </w:r>
    </w:p>
    <w:p>
      <w:pPr>
        <w:pStyle w:val="Heading2"/>
      </w:pPr>
      <w:r>
        <w:t>A. Consideration for the First Amendment (Your First Concern)</w:t>
      </w:r>
    </w:p>
    <w:p>
      <w:r>
        <w:rPr>
          <w:b w:val="0"/>
          <w:i w:val="0"/>
        </w:rPr>
        <w:t xml:space="preserve">North Carolina enforces a non-compete only if it is (1) in writing, (2) part of an employment contract, (3) based on valuable consideration, (4) reasonable as to time and territory, and (5) not against public policy. *United Laboratories, Inc. v. Kuykendall*, 322 N.C. 643 (1988); N.C. Gen. Stat. § 75-4. When a covenant is signed at the start of employment, the employment itself is sufficient consideration. When a covenant is entered into — or materially expanded — after employment has begun, it must be supported by </w:t>
      </w:r>
      <w:r>
        <w:rPr>
          <w:b/>
          <w:i w:val="0"/>
        </w:rPr>
        <w:t>new</w:t>
      </w:r>
      <w:r>
        <w:rPr>
          <w:b w:val="0"/>
          <w:i w:val="0"/>
        </w:rPr>
        <w:t xml:space="preserve"> consideration, such as a raise, a promotion, a bonus or other new benefit; continued at-will employment is not enough. *Kadis v. Britt*, 224 N.C. 154 (1944); *Young v. Mastrom, Inc.*, 99 N.C. App. 120 (1990); see also *Whittaker General Medical Corp. v. Daniel*, 324 N.C. 523 (1989).</w:t>
      </w:r>
    </w:p>
    <w:p>
      <w:r>
        <w:rPr>
          <w:b w:val="0"/>
          <w:i w:val="0"/>
        </w:rPr>
        <w:t xml:space="preserve">Here, the Amendment recites only “continued employment” and “the designation of Executive as Chief Revenue Officer.” Manheim has been CRO since August 15, 2021 (EA § 2.1), so the “designation” confers nothing new. His salary and target bonus stayed the same, and his maximum bonus fell from 200% to 150%. Pinnacle’s best arguments are (i) the removal of the 10% uniform salary-reduction carve-out (Amend. § 3), (ii) the shorter 12-month employee non-solicit, and (iii) the expanded responsibilities and enhanced profile from overseeing Lakeshore. None is likely to be persuasive: (i) and (ii) are marginal, and expanded duties are an additional burden on the employee, not a benefit to him. Generic “other good and valuable consideration” recitals do not cure the problem. </w:t>
      </w:r>
      <w:r>
        <w:rPr>
          <w:b/>
          <w:i w:val="0"/>
        </w:rPr>
        <w:t>Risk: High</w:t>
      </w:r>
      <w:r>
        <w:rPr>
          <w:b w:val="0"/>
          <w:i w:val="0"/>
        </w:rPr>
        <w:t xml:space="preserve"> that the broadened non-compete (24 months; 10% threshold; home fragrance; Canada revenue), the no-hire/former-employee prongs of the employee non-solicit, and arguably Cause clause (vi), the 90-day notice and the forfeiture-for-breach terms are unenforceable for lack of consideration.</w:t>
      </w:r>
    </w:p>
    <w:p>
      <w:r>
        <w:rPr>
          <w:b/>
          <w:i w:val="0"/>
        </w:rPr>
        <w:t>Fallback.</w:t>
      </w:r>
      <w:r>
        <w:rPr>
          <w:b w:val="0"/>
          <w:i w:val="0"/>
        </w:rPr>
        <w:t xml:space="preserve"> If the Amendment fails, Pinnacle should be able to rely on the Original Agreement’s covenants (supported by initial-hire consideration) and the RSU covenant (supported by the RSU grant). Manheim may argue the Amendment “amended and restated” — i.e., extinguished — the original non-compete, leaving no non-compete if the replacement is void; Pinnacle has the better of that argument (a failed amendment should not destroy the original bargain, and the Amendment’s numbering never actually referenced § 8.1), but the issue should be anticipated. </w:t>
      </w:r>
      <w:r>
        <w:rPr>
          <w:b/>
          <w:i w:val="0"/>
        </w:rPr>
        <w:t>Planning assumption: an 18-month EA non-compete and a 12-month RSU non-compete.</w:t>
      </w:r>
    </w:p>
    <w:p>
      <w:pPr>
        <w:pStyle w:val="Heading2"/>
      </w:pPr>
      <w:r>
        <w:t>B. Scope of the Non-Competes (Activity, Territory and Duration)</w:t>
      </w:r>
    </w:p>
    <w:p>
      <w:pPr>
        <w:pStyle w:val="ListBullet"/>
      </w:pPr>
      <w:r>
        <w:rPr>
          <w:b/>
          <w:i w:val="0"/>
        </w:rPr>
        <w:t>“Any capacity” overbreadth.</w:t>
      </w:r>
      <w:r>
        <w:rPr>
          <w:b w:val="0"/>
          <w:i w:val="0"/>
        </w:rPr>
        <w:t xml:space="preserve"> Both EA versions prohibit employment by a qualifying Person in any capacity, and RSU § 6.2 bars working for a Competitive Business “in any other capacity.” North Carolina courts have repeatedly refused to enforce covenants that would bar an employee from working for a competitor in any role, including roles unrelated to what he did for the employer. *E.g.*, *Okuma America Corp. v. Bowers*, 181 N.C. App. 85 (2007); *VisionAIR, Inc. v. James*, 167 N.C. App. 504 (2004); *Hartman v. W.H. Odell &amp; Assocs., Inc.*, 117 N.C. App. 307 (1994). Applied to multi-segment “big three” competitors, the clause would bar Manheim from, e.g., a non-sales role in an unrelated division. </w:t>
      </w:r>
      <w:r>
        <w:rPr>
          <w:b/>
          <w:i w:val="0"/>
        </w:rPr>
        <w:t>Risk: Moderate–High.</w:t>
      </w:r>
    </w:p>
    <w:p>
      <w:pPr>
        <w:pStyle w:val="ListBullet"/>
      </w:pPr>
      <w:r>
        <w:rPr>
          <w:b/>
          <w:i w:val="0"/>
        </w:rPr>
        <w:t>No judicial rewriting.</w:t>
      </w:r>
      <w:r>
        <w:rPr>
          <w:b w:val="0"/>
          <w:i w:val="0"/>
        </w:rPr>
        <w:t xml:space="preserve"> North Carolina follows a strict blue-pencil rule: a court may strike distinctly separable provisions but may not rewrite or narrow an overbroad covenant, and parties cannot contractually authorize a court to do so. *Whittaker*, 324 N.C. 523; *Beverage Systems of the Carolinas, LLC v. Associated Beverage Repair, LLC*, 368 N.C. 693 (2016). EA § 9.4 provides only for severance, and there is no reformation clause. An overbroad covenant therefore fails in its entirety.</w:t>
      </w:r>
    </w:p>
    <w:p>
      <w:pPr>
        <w:pStyle w:val="ListBullet"/>
      </w:pPr>
      <w:r>
        <w:rPr>
          <w:b/>
          <w:i w:val="0"/>
        </w:rPr>
        <w:t>Territory and duration.</w:t>
      </w:r>
      <w:r>
        <w:rPr>
          <w:b w:val="0"/>
          <w:i w:val="0"/>
        </w:rPr>
        <w:t xml:space="preserve"> U.S. and Canada is defensible for a CRO with national account responsibility, but time and territory are considered together, and North Carolina courts examine where the employee actually worked and had customer contact. 18 months is within the range North Carolina courts routinely enforce; 24 months nationwide-plus-Canada increases risk. </w:t>
      </w:r>
      <w:r>
        <w:rPr>
          <w:b/>
          <w:i w:val="0"/>
        </w:rPr>
        <w:t>Risk: Moderate.</w:t>
      </w:r>
      <w:r>
        <w:rPr>
          <w:b w:val="0"/>
          <w:i w:val="0"/>
        </w:rPr>
        <w:t xml:space="preserve"> The entity-based revenue test (rather than a competing-products or competing-role test) also captures companies whose relevant business does not compete with Pinnacle’s premium segment.</w:t>
      </w:r>
    </w:p>
    <w:p>
      <w:pPr>
        <w:pStyle w:val="ListBullet"/>
      </w:pPr>
      <w:r>
        <w:rPr>
          <w:b/>
          <w:i w:val="0"/>
        </w:rPr>
        <w:t>Customer non-solicit</w:t>
      </w:r>
      <w:r>
        <w:rPr>
          <w:b w:val="0"/>
          <w:i w:val="0"/>
        </w:rPr>
        <w:t xml:space="preserve"> is the most defensible covenant (tied to accounts with Material Contact), although the combined 24-month lookback and 24-month restriction will be weighed together (cf. *Farr Associates, Inc. v. Baskin*, 138 N.C. App. 276 (2000)) and the “knowledge of” prospective-customer prong is broad. </w:t>
      </w:r>
      <w:r>
        <w:rPr>
          <w:b/>
          <w:i w:val="0"/>
        </w:rPr>
        <w:t>Risk: Low–Moderate.</w:t>
      </w:r>
    </w:p>
    <w:p>
      <w:pPr>
        <w:pStyle w:val="ListBullet"/>
      </w:pPr>
      <w:r>
        <w:rPr>
          <w:b/>
          <w:i w:val="0"/>
        </w:rPr>
        <w:t>FTC Non-Compete Rule.</w:t>
      </w:r>
      <w:r>
        <w:rPr>
          <w:b w:val="0"/>
          <w:i w:val="0"/>
        </w:rPr>
        <w:t xml:space="preserve"> The FTC rule was set aside nationwide in *Ryan LLC v. FTC* (N.D. Tex. Aug. 20, 2024), and in any event would have grandfathered existing non-competes with “senior executives” such as Manheim. It does not affect this analysis, though the new Administration’s position and any appeal should be monitored.</w:t>
      </w:r>
    </w:p>
    <w:p>
      <w:pPr>
        <w:pStyle w:val="Heading2"/>
      </w:pPr>
      <w:r>
        <w:t>C. Overlapping Covenants and Equity Interplay (Your Second Concern)</w:t>
      </w:r>
    </w:p>
    <w:p>
      <w:r>
        <w:rPr>
          <w:b w:val="0"/>
          <w:i w:val="0"/>
        </w:rPr>
        <w:t>See Part V.B–C. In short: (1) the instruments do not supersede one another — RSU § 6.3 makes them cumulative and RSU § 8.3 confirms the EA is unmodified; (2) the RSU non-compete is the most defensible on consideration but is the shortest and is limited to household cleaning; (3) only the RSU non-compete triggers the equity clawback; (4) the differing “Restricted Period” definitions and competitor tests invite a construction-against-drafter argument that the shortest/narrowest version reflects the parties’ intent; and (5) the Delaware choice of law is likely to be tested in a North Carolina court. The inconsistency also undermines the reasonableness narrative: Pinnacle itself drafted a 12-month household-cleaning-only restriction in March 2022, which Manheim will cite as evidence that 24 months and a broader product scope were not necessary to protect Pinnacle’s interests.</w:t>
      </w:r>
    </w:p>
    <w:p>
      <w:pPr>
        <w:pStyle w:val="Heading2"/>
      </w:pPr>
      <w:r>
        <w:t>D. Non-Disparagement and Confidentiality — NLRB and Other Public-Policy Limits (Your Fourth Concern)</w:t>
      </w:r>
    </w:p>
    <w:p>
      <w:pPr>
        <w:pStyle w:val="ListBullet"/>
      </w:pPr>
      <w:r>
        <w:rPr>
          <w:b/>
          <w:i w:val="0"/>
        </w:rPr>
        <w:t>McLaren Macomb, 372 NLRB No. 58 (Feb. 21, 2023)</w:t>
      </w:r>
      <w:r>
        <w:rPr>
          <w:b w:val="0"/>
          <w:i w:val="0"/>
        </w:rPr>
        <w:t xml:space="preserve">, held that merely proffering a severance agreement with broad confidentiality and non-disparagement terms to an NLRA-covered “employee” violates Section 8(a)(1). The NLRA excludes supervisors (29 U.S.C. § 152(3), (11)) and managerial employees (*NLRB v. Bell Aerospace Co.*, 416 U.S. 267 (1974)), and the General Counsel’s implementing guidance (GC 23-05, Mar. 22, 2023) acknowledged that supervisors are generally not covered. As an officer reporting to the CEO with authority over the sales organization, Manheim is almost certainly excluded. </w:t>
      </w:r>
      <w:r>
        <w:rPr>
          <w:b/>
          <w:i w:val="0"/>
        </w:rPr>
        <w:t>Direct risk as to Manheim: Low.</w:t>
      </w:r>
      <w:r>
        <w:rPr>
          <w:b w:val="0"/>
          <w:i w:val="0"/>
        </w:rPr>
        <w:t xml:space="preserve"> The doctrine’s status is also in flux with the change in Administration.</w:t>
      </w:r>
    </w:p>
    <w:p>
      <w:pPr>
        <w:pStyle w:val="ListBullet"/>
      </w:pPr>
      <w:r>
        <w:rPr>
          <w:b/>
          <w:i w:val="0"/>
        </w:rPr>
        <w:t>Residual NLRA risk:</w:t>
      </w:r>
      <w:r>
        <w:rPr>
          <w:b w:val="0"/>
          <w:i w:val="0"/>
        </w:rPr>
        <w:t xml:space="preserve"> (i) if the same non-disparagement language appears in agreements with non-supervisory sales staff (including Lakeshore employees), those provisions are exposed; (ii) a narrow exception exists where a supervisor is disciplined for refusing to commit an unfair labor practice or for testifying in Board proceedings; and (iii) any provision preventing Manheim from assisting employees in Board proceedings could be challenged.</w:t>
      </w:r>
    </w:p>
    <w:p>
      <w:pPr>
        <w:pStyle w:val="ListBullet"/>
      </w:pPr>
      <w:r>
        <w:rPr>
          <w:b/>
          <w:i w:val="0"/>
        </w:rPr>
        <w:t>SEC Rule 21F-17 (17 C.F.R. § 240.21F-17).</w:t>
      </w:r>
      <w:r>
        <w:rPr>
          <w:b w:val="0"/>
          <w:i w:val="0"/>
        </w:rPr>
        <w:t xml:space="preserve"> Pinnacle appears to be publicly traded (the RSU Agreement references a national securities exchange and Section 10D). The SEC has repeatedly brought settled enforcement actions against issuers whose confidentiality, non-disparagement and release terms lacked an express carve-out for communicating with the SEC. Neither EA § 8.4 nor § 8.5 contains one, and the DTSA notice expressly declines to modify them. </w:t>
      </w:r>
      <w:r>
        <w:rPr>
          <w:b/>
          <w:i w:val="0"/>
        </w:rPr>
        <w:t>Risk: Moderate</w:t>
      </w:r>
      <w:r>
        <w:rPr>
          <w:b w:val="0"/>
          <w:i w:val="0"/>
        </w:rPr>
        <w:t xml:space="preserve"> — fix in the separation agreement and in future forms.</w:t>
      </w:r>
    </w:p>
    <w:p>
      <w:pPr>
        <w:pStyle w:val="ListBullet"/>
      </w:pPr>
      <w:r>
        <w:rPr>
          <w:b/>
          <w:i w:val="0"/>
        </w:rPr>
        <w:t>Speak Out Act (42 U.S.C. §§ 19401–19404).</w:t>
      </w:r>
      <w:r>
        <w:rPr>
          <w:b w:val="0"/>
          <w:i w:val="0"/>
        </w:rPr>
        <w:t xml:space="preserve"> A pre-dispute non-disparagement or non-disclosure clause such as § 8.5 is unenforceable with respect to sexual assault and sexual harassment disputes.</w:t>
      </w:r>
    </w:p>
    <w:p>
      <w:pPr>
        <w:pStyle w:val="ListBullet"/>
      </w:pPr>
      <w:r>
        <w:rPr>
          <w:b/>
          <w:i w:val="0"/>
        </w:rPr>
        <w:t>Drafting issues.</w:t>
      </w:r>
      <w:r>
        <w:rPr>
          <w:b w:val="0"/>
          <w:i w:val="0"/>
        </w:rPr>
        <w:t xml:space="preserve"> The “casts in an unfavorable light” standard is vague and extends to past and present employees, shareholders and products; it is perpetual; it contains no exception for truthful testimony, legal process or statements required by law (in tension with the cooperation duty in § 8.6); and the Company’s reciprocal obligation is merely to “instruct” current officers and directors (no liability for their statements, no coverage of future officers, no corporate statements). Courts are reluctant to enjoin speech, so the practical remedy is severance forfeiture, which itself depends on resolving the Amendment’s “Section 7” reference defect.</w:t>
      </w:r>
    </w:p>
    <w:p>
      <w:pPr>
        <w:pStyle w:val="ListBullet"/>
      </w:pPr>
      <w:r>
        <w:rPr>
          <w:b/>
          <w:i w:val="0"/>
        </w:rPr>
        <w:t>Separation agreement recommendation:</w:t>
      </w:r>
      <w:r>
        <w:rPr>
          <w:b w:val="0"/>
          <w:i w:val="0"/>
        </w:rPr>
        <w:t xml:space="preserve"> include an express protected-activity carve-out (SEC, EEOC, NLRB, OSHA and other agencies; truthful testimony; Speak Out Act; NLRA Section 7 rights to the extent applicable), a 409A-compliant structure, and, if Manheim is 40 or older, OWBPA-compliant 21/7-day periods.</w:t>
      </w:r>
    </w:p>
    <w:p>
      <w:pPr>
        <w:pStyle w:val="Heading2"/>
      </w:pPr>
      <w:r>
        <w:t>E. Garden Leave (Your Third Concern)</w:t>
      </w:r>
    </w:p>
    <w:p>
      <w:r>
        <w:rPr>
          <w:b w:val="0"/>
          <w:i w:val="0"/>
        </w:rPr>
        <w:t>See Parts IV.G and VI.B. The offset is unavailable in a Company-initiated termination; where it does apply, it prevents double payment rather than creating savings. Additional gaps: wrong cross-references (“Section 5(c)/(d)”); conflict between “remain an employee for all purposes” and crediting garden leave against a post-termination period; no garden leave right in a Company-initiated termination (Pinnacle cannot impose a pre-termination quiet period without Good Reason risk); and uncertainty whether the 90-day notice requirement applies to a Good Reason resignation. If Manheim learns of the planned termination and resigns first, the 90-day notice/garden leave mechanism becomes valuable to Pinnacle; your team should be ready to issue a garden leave election within 10 business days.</w:t>
      </w:r>
    </w:p>
    <w:p>
      <w:pPr>
        <w:pStyle w:val="Heading2"/>
      </w:pPr>
      <w:r>
        <w:t>F. Clawback Gaps</w:t>
      </w:r>
    </w:p>
    <w:p>
      <w:pPr>
        <w:pStyle w:val="ListBullet"/>
      </w:pPr>
      <w:r>
        <w:rPr>
          <w:b w:val="0"/>
          <w:i w:val="0"/>
        </w:rPr>
        <w:t>RSU clawback reaches only non-compete breaches; customer solicitation, employee raiding, confidentiality breaches and disparagement carry no equity consequence.</w:t>
      </w:r>
    </w:p>
    <w:p>
      <w:pPr>
        <w:pStyle w:val="ListBullet"/>
      </w:pPr>
      <w:r>
        <w:rPr>
          <w:b w:val="0"/>
          <w:i w:val="0"/>
        </w:rPr>
        <w:t>The 18-month lookback anchored to the breach determination date reaches only Tranche 2 and expires on September 1, 2025 — before the RSU and EA restricted periods end.</w:t>
      </w:r>
    </w:p>
    <w:p>
      <w:pPr>
        <w:pStyle w:val="ListBullet"/>
      </w:pPr>
      <w:r>
        <w:rPr>
          <w:b w:val="0"/>
          <w:i w:val="0"/>
        </w:rPr>
        <w:t>Measurement at pre-tax vesting-date value invites a penalty challenge; the offset right is constrained by § 409A and N.C. wage law.</w:t>
      </w:r>
    </w:p>
    <w:p>
      <w:pPr>
        <w:pStyle w:val="ListBullet"/>
      </w:pPr>
      <w:r>
        <w:rPr>
          <w:b w:val="0"/>
          <w:i w:val="0"/>
        </w:rPr>
        <w:t>The EA (§ 6.2: net of taxes, no lookback) and Amendment (§ 9: 100%, 12-month lookback) repayment measures conflict; if the Amendment controls, recovery of severance shrinks the later a breach is discovered.</w:t>
      </w:r>
    </w:p>
    <w:p>
      <w:pPr>
        <w:pStyle w:val="ListBullet"/>
      </w:pPr>
      <w:r>
        <w:rPr>
          <w:b w:val="0"/>
          <w:i w:val="0"/>
        </w:rPr>
        <w:t>No tolling provision in any instrument: restricted periods continue to run during a breach and during litigation, so speed of enforcement matters.</w:t>
      </w:r>
    </w:p>
    <w:p>
      <w:pPr>
        <w:pStyle w:val="Heading2"/>
      </w:pPr>
      <w:r>
        <w:t>G. “Cause” Clause (vi) — Revenue Targets</w:t>
      </w:r>
    </w:p>
    <w:p>
      <w:r>
        <w:rPr>
          <w:b w:val="0"/>
          <w:i w:val="0"/>
        </w:rPr>
        <w:t xml:space="preserve">Clause (vi) requires failure “to achieve minimum revenue targets for two (2) consecutive fiscal quarters, as determined by the Board … in its reasonable discretion.” To rely on it, Pinnacle must show (i) the Amendment validly added clause (vi) to § 1.3 despite the “Section 5(c)” reference and the consideration issue, (ii) the Board actually established </w:t>
      </w:r>
      <w:r>
        <w:rPr>
          <w:b/>
          <w:i w:val="0"/>
        </w:rPr>
        <w:t>minimum</w:t>
      </w:r>
      <w:r>
        <w:rPr>
          <w:b w:val="0"/>
          <w:i w:val="0"/>
        </w:rPr>
        <w:t xml:space="preserve"> revenue targets (as opposed to plan or stretch targets) with sufficient specificity and communicated them, (iii) two consecutive quarterly misses, and (iv) a reasonable Board determination. The § 1.3 notice-and-cure provisions do not reference clause (vi), which helps Pinnacle (no cure right) but Manheim will argue a cure period by analogy to clause (iii). Given your concern about documentation, we agree that a without-Cause posture is prudent; a contested Cause termination would put the full severance and the RSU clawback in dispute and invite a breach-of-contract and wage claim.</w:t>
      </w:r>
    </w:p>
    <w:p>
      <w:pPr>
        <w:pStyle w:val="Heading2"/>
      </w:pPr>
      <w:r>
        <w:t>H. Other Drafting Gaps and Ambiguities</w:t>
      </w:r>
    </w:p>
    <w:p>
      <w:pPr>
        <w:pStyle w:val="ListBullet"/>
      </w:pPr>
      <w:r>
        <w:rPr>
          <w:b/>
          <w:i w:val="0"/>
        </w:rPr>
        <w:t>No tolling, notice-to-new-employer, or disclosure obligation:</w:t>
      </w:r>
      <w:r>
        <w:rPr>
          <w:b w:val="0"/>
          <w:i w:val="0"/>
        </w:rPr>
        <w:t xml:space="preserve"> Manheim is not required to tell Pinnacle where he is going or to show the covenants to a new employer.</w:t>
      </w:r>
    </w:p>
    <w:p>
      <w:pPr>
        <w:pStyle w:val="ListBullet"/>
      </w:pPr>
      <w:r>
        <w:rPr>
          <w:b/>
          <w:i w:val="0"/>
        </w:rPr>
        <w:t>No supplier/vendor non-solicit or non-interference,</w:t>
      </w:r>
      <w:r>
        <w:rPr>
          <w:b w:val="0"/>
          <w:i w:val="0"/>
        </w:rPr>
        <w:t xml:space="preserve"> despite the Board’s concern about supply-chain knowledge; protection depends on the confidentiality covenant and trade secret law.</w:t>
      </w:r>
    </w:p>
    <w:p>
      <w:pPr>
        <w:pStyle w:val="ListBullet"/>
      </w:pPr>
      <w:r>
        <w:rPr>
          <w:b/>
          <w:i w:val="0"/>
        </w:rPr>
        <w:t>No invention assignment / work product clause</w:t>
      </w:r>
      <w:r>
        <w:rPr>
          <w:b w:val="0"/>
          <w:i w:val="0"/>
        </w:rPr>
        <w:t xml:space="preserve"> in the documents reviewed (outside the scope of this memo but a gap worth confirming).</w:t>
      </w:r>
    </w:p>
    <w:p>
      <w:pPr>
        <w:pStyle w:val="ListBullet"/>
      </w:pPr>
      <w:r>
        <w:rPr>
          <w:b/>
          <w:i w:val="0"/>
        </w:rPr>
        <w:t>Two definitions of “Competitive Activity”</w:t>
      </w:r>
      <w:r>
        <w:rPr>
          <w:b w:val="0"/>
          <w:i w:val="0"/>
        </w:rPr>
        <w:t xml:space="preserve"> (EA § 1.4 Agreement-wide; Amendment § 5 limited to “Section 7(a)”) — unclear which applies to EA § 2.1, garden leave clause (iii)(E) and employee non-solicit prong (ii). Amended definition drops the revenue-measurement year and “as of” date.</w:t>
      </w:r>
    </w:p>
    <w:p>
      <w:pPr>
        <w:pStyle w:val="ListBullet"/>
      </w:pPr>
      <w:r>
        <w:rPr>
          <w:b/>
          <w:i w:val="0"/>
        </w:rPr>
        <w:t>Bonus cross-reference</w:t>
      </w:r>
      <w:r>
        <w:rPr>
          <w:b w:val="0"/>
          <w:i w:val="0"/>
        </w:rPr>
        <w:t xml:space="preserve"> in amended bonus clause to “Section 5” (should be §§ 6.2/6.4); amended bonus drops the 90-day metric-setting requirement but § 6.2(c) still pays on “actual Company performance.”</w:t>
      </w:r>
    </w:p>
    <w:p>
      <w:pPr>
        <w:pStyle w:val="ListBullet"/>
      </w:pPr>
      <w:r>
        <w:rPr>
          <w:b/>
          <w:i w:val="0"/>
        </w:rPr>
        <w:t>Good Reason asymmetry:</w:t>
      </w:r>
      <w:r>
        <w:rPr>
          <w:b w:val="0"/>
          <w:i w:val="0"/>
        </w:rPr>
        <w:t xml:space="preserve"> EA treats Good Reason like a without-Cause termination; RSU treats it as a voluntary resignation (forfeiture). Not a conflict, but Manheim may assert that a Good Reason resignation in response to pre-termination steps (e.g., stripping duties) entitles him to severance.</w:t>
      </w:r>
    </w:p>
    <w:p>
      <w:pPr>
        <w:pStyle w:val="ListBullet"/>
      </w:pPr>
      <w:r>
        <w:rPr>
          <w:b/>
          <w:i w:val="0"/>
        </w:rPr>
        <w:t>RSU vesting dates fall on non-trading days in 2025 and 2026</w:t>
      </w:r>
      <w:r>
        <w:rPr>
          <w:b w:val="0"/>
          <w:i w:val="0"/>
        </w:rPr>
        <w:t xml:space="preserve"> (Saturday, March 1, 2025; Sunday, March 1, 2026), creating ambiguity in § 7.2’s “closing price … on the applicable Vesting Date.”</w:t>
      </w:r>
    </w:p>
    <w:p>
      <w:pPr>
        <w:pStyle w:val="ListBullet"/>
      </w:pPr>
      <w:r>
        <w:rPr>
          <w:b/>
          <w:i w:val="0"/>
        </w:rPr>
        <w:t>Lakeshore structure (Part II, assumption 7):</w:t>
      </w:r>
      <w:r>
        <w:rPr>
          <w:b w:val="0"/>
          <w:i w:val="0"/>
        </w:rPr>
        <w:t xml:space="preserve"> the Amendment recites an “Asset Purchase Agreement” but also states Lakeshore “is now a wholly-owned subsidiary.” Those are inconsistent; if Pinnacle bought assets, the LLC may not be an “Affiliate,” though the customer relationships would then belong to Pinnacle directly. Confirm the structure and whether any Lakeshore-era covenant binds Manheim (EA § 5.1(a) represents there was none).</w:t>
      </w:r>
    </w:p>
    <w:p>
      <w:pPr>
        <w:pStyle w:val="ListBullet"/>
      </w:pPr>
      <w:r>
        <w:rPr>
          <w:b/>
          <w:i w:val="0"/>
        </w:rPr>
        <w:t>Unsigned copies:</w:t>
      </w:r>
      <w:r>
        <w:rPr>
          <w:b w:val="0"/>
          <w:i w:val="0"/>
        </w:rPr>
        <w:t xml:space="preserve"> confirm execution (N.C. Gen. Stat. § 75-4).</w:t>
      </w:r>
    </w:p>
    <w:p>
      <w:pPr>
        <w:pStyle w:val="ListBullet"/>
      </w:pPr>
      <w:r>
        <w:rPr>
          <w:b/>
          <w:i w:val="0"/>
        </w:rPr>
        <w:t>Bond waiver</w:t>
      </w:r>
      <w:r>
        <w:rPr>
          <w:b w:val="0"/>
          <w:i w:val="0"/>
        </w:rPr>
        <w:t xml:space="preserve"> (EA § 8.8; RSU § 6.4) is not binding on the court (N.C. R. Civ. P. 65(c)).</w:t>
      </w:r>
    </w:p>
    <w:p>
      <w:pPr>
        <w:pStyle w:val="Heading2"/>
      </w:pPr>
      <w:r>
        <w:t>I. Risk Summary</w:t>
      </w:r>
    </w:p>
    <w:tbl>
      <w:tblPr>
        <w:tblStyle w:val="TableGrid"/>
        <w:tblW w:type="auto" w:w="0"/>
        <w:jc w:val="center"/>
        <w:tblLayout w:type="fixed"/>
        <w:tblLook w:firstColumn="1" w:firstRow="1" w:lastColumn="0" w:lastRow="0" w:noHBand="0" w:noVBand="1" w:val="04A0"/>
      </w:tblPr>
      <w:tblGrid>
        <w:gridCol w:w="2880"/>
        <w:gridCol w:w="4896"/>
        <w:gridCol w:w="1872"/>
      </w:tblGrid>
      <w:tr>
        <w:trPr>
          <w:tblHeader w:val="true"/>
        </w:trPr>
        <w:tc>
          <w:tcPr>
            <w:tcW w:type="dxa" w:w="2880"/>
            <w:shd w:val="clear" w:color="auto" w:fill="D9E2F3"/>
          </w:tcPr>
          <w:p>
            <w:pPr>
              <w:spacing w:after="20"/>
            </w:pPr>
            <w:r/>
            <w:r>
              <w:rPr>
                <w:b/>
                <w:i w:val="0"/>
                <w:sz w:val="17"/>
              </w:rPr>
              <w:t>Provision</w:t>
            </w:r>
          </w:p>
        </w:tc>
        <w:tc>
          <w:tcPr>
            <w:tcW w:type="dxa" w:w="4896"/>
            <w:shd w:val="clear" w:color="auto" w:fill="D9E2F3"/>
          </w:tcPr>
          <w:p>
            <w:pPr>
              <w:spacing w:after="20"/>
            </w:pPr>
            <w:r/>
            <w:r>
              <w:rPr>
                <w:b/>
                <w:i w:val="0"/>
                <w:sz w:val="17"/>
              </w:rPr>
              <w:t>Key risk</w:t>
            </w:r>
          </w:p>
        </w:tc>
        <w:tc>
          <w:tcPr>
            <w:tcW w:type="dxa" w:w="1872"/>
            <w:shd w:val="clear" w:color="auto" w:fill="D9E2F3"/>
          </w:tcPr>
          <w:p>
            <w:pPr>
              <w:spacing w:after="20"/>
            </w:pPr>
            <w:r/>
            <w:r>
              <w:rPr>
                <w:b/>
                <w:i w:val="0"/>
                <w:sz w:val="17"/>
              </w:rPr>
              <w:t>Rating</w:t>
            </w:r>
          </w:p>
        </w:tc>
      </w:tr>
      <w:tr>
        <w:tc>
          <w:tcPr>
            <w:tcW w:type="dxa" w:w="2880"/>
          </w:tcPr>
          <w:p>
            <w:pPr>
              <w:spacing w:after="20"/>
            </w:pPr>
            <w:r/>
            <w:r>
              <w:rPr>
                <w:b w:val="0"/>
                <w:i w:val="0"/>
                <w:sz w:val="17"/>
              </w:rPr>
              <w:t>Amended non-compete (24 mo / 10% / fragrance)</w:t>
            </w:r>
          </w:p>
        </w:tc>
        <w:tc>
          <w:tcPr>
            <w:tcW w:type="dxa" w:w="4896"/>
          </w:tcPr>
          <w:p>
            <w:pPr>
              <w:spacing w:after="20"/>
            </w:pPr>
            <w:r/>
            <w:r>
              <w:rPr>
                <w:b w:val="0"/>
                <w:i w:val="0"/>
                <w:sz w:val="17"/>
              </w:rPr>
              <w:t>No new consideration; numbering defect; “any capacity”</w:t>
            </w:r>
          </w:p>
        </w:tc>
        <w:tc>
          <w:tcPr>
            <w:tcW w:type="dxa" w:w="1872"/>
          </w:tcPr>
          <w:p>
            <w:pPr>
              <w:spacing w:after="20"/>
            </w:pPr>
            <w:r/>
            <w:r>
              <w:rPr>
                <w:b w:val="0"/>
                <w:i w:val="0"/>
                <w:sz w:val="17"/>
              </w:rPr>
              <w:t>High</w:t>
            </w:r>
          </w:p>
        </w:tc>
      </w:tr>
      <w:tr>
        <w:tc>
          <w:tcPr>
            <w:tcW w:type="dxa" w:w="2880"/>
          </w:tcPr>
          <w:p>
            <w:pPr>
              <w:spacing w:after="20"/>
            </w:pPr>
            <w:r/>
            <w:r>
              <w:rPr>
                <w:b w:val="0"/>
                <w:i w:val="0"/>
                <w:sz w:val="17"/>
              </w:rPr>
              <w:t>Original non-compete (18 mo / 15%)</w:t>
            </w:r>
          </w:p>
        </w:tc>
        <w:tc>
          <w:tcPr>
            <w:tcW w:type="dxa" w:w="4896"/>
          </w:tcPr>
          <w:p>
            <w:pPr>
              <w:spacing w:after="20"/>
            </w:pPr>
            <w:r/>
            <w:r>
              <w:rPr>
                <w:b w:val="0"/>
                <w:i w:val="0"/>
                <w:sz w:val="17"/>
              </w:rPr>
              <w:t>“Any capacity” overbreadth; strict blue pencil; possible “extinguished by Amendment” argument</w:t>
            </w:r>
          </w:p>
        </w:tc>
        <w:tc>
          <w:tcPr>
            <w:tcW w:type="dxa" w:w="1872"/>
          </w:tcPr>
          <w:p>
            <w:pPr>
              <w:spacing w:after="20"/>
            </w:pPr>
            <w:r/>
            <w:r>
              <w:rPr>
                <w:b w:val="0"/>
                <w:i w:val="0"/>
                <w:sz w:val="17"/>
              </w:rPr>
              <w:t>Moderate–High</w:t>
            </w:r>
          </w:p>
        </w:tc>
      </w:tr>
      <w:tr>
        <w:tc>
          <w:tcPr>
            <w:tcW w:type="dxa" w:w="2880"/>
          </w:tcPr>
          <w:p>
            <w:pPr>
              <w:spacing w:after="20"/>
            </w:pPr>
            <w:r/>
            <w:r>
              <w:rPr>
                <w:b w:val="0"/>
                <w:i w:val="0"/>
                <w:sz w:val="17"/>
              </w:rPr>
              <w:t>RSU non-compete (12 mo)</w:t>
            </w:r>
          </w:p>
        </w:tc>
        <w:tc>
          <w:tcPr>
            <w:tcW w:type="dxa" w:w="4896"/>
          </w:tcPr>
          <w:p>
            <w:pPr>
              <w:spacing w:after="20"/>
            </w:pPr>
            <w:r/>
            <w:r>
              <w:rPr>
                <w:b w:val="0"/>
                <w:i w:val="0"/>
                <w:sz w:val="17"/>
              </w:rPr>
              <w:t>Delaware v. N.C. law; “any other capacity”; household cleaning only</w:t>
            </w:r>
          </w:p>
        </w:tc>
        <w:tc>
          <w:tcPr>
            <w:tcW w:type="dxa" w:w="1872"/>
          </w:tcPr>
          <w:p>
            <w:pPr>
              <w:spacing w:after="20"/>
            </w:pPr>
            <w:r/>
            <w:r>
              <w:rPr>
                <w:b w:val="0"/>
                <w:i w:val="0"/>
                <w:sz w:val="17"/>
              </w:rPr>
              <w:t>Moderate</w:t>
            </w:r>
          </w:p>
        </w:tc>
      </w:tr>
      <w:tr>
        <w:tc>
          <w:tcPr>
            <w:tcW w:type="dxa" w:w="2880"/>
          </w:tcPr>
          <w:p>
            <w:pPr>
              <w:spacing w:after="20"/>
            </w:pPr>
            <w:r/>
            <w:r>
              <w:rPr>
                <w:b w:val="0"/>
                <w:i w:val="0"/>
                <w:sz w:val="17"/>
              </w:rPr>
              <w:t>Customer non-solicit (24 mo)</w:t>
            </w:r>
          </w:p>
        </w:tc>
        <w:tc>
          <w:tcPr>
            <w:tcW w:type="dxa" w:w="4896"/>
          </w:tcPr>
          <w:p>
            <w:pPr>
              <w:spacing w:after="20"/>
            </w:pPr>
            <w:r/>
            <w:r>
              <w:rPr>
                <w:b w:val="0"/>
                <w:i w:val="0"/>
                <w:sz w:val="17"/>
              </w:rPr>
              <w:t>Lookback + restriction; broad prospective-customer prong</w:t>
            </w:r>
          </w:p>
        </w:tc>
        <w:tc>
          <w:tcPr>
            <w:tcW w:type="dxa" w:w="1872"/>
          </w:tcPr>
          <w:p>
            <w:pPr>
              <w:spacing w:after="20"/>
            </w:pPr>
            <w:r/>
            <w:r>
              <w:rPr>
                <w:b w:val="0"/>
                <w:i w:val="0"/>
                <w:sz w:val="17"/>
              </w:rPr>
              <w:t>Low–Moderate</w:t>
            </w:r>
          </w:p>
        </w:tc>
      </w:tr>
      <w:tr>
        <w:tc>
          <w:tcPr>
            <w:tcW w:type="dxa" w:w="2880"/>
          </w:tcPr>
          <w:p>
            <w:pPr>
              <w:spacing w:after="20"/>
            </w:pPr>
            <w:r/>
            <w:r>
              <w:rPr>
                <w:b w:val="0"/>
                <w:i w:val="0"/>
                <w:sz w:val="17"/>
              </w:rPr>
              <w:t>Employee non-solicit</w:t>
            </w:r>
          </w:p>
        </w:tc>
        <w:tc>
          <w:tcPr>
            <w:tcW w:type="dxa" w:w="4896"/>
          </w:tcPr>
          <w:p>
            <w:pPr>
              <w:spacing w:after="20"/>
            </w:pPr>
            <w:r/>
            <w:r>
              <w:rPr>
                <w:b w:val="0"/>
                <w:i w:val="0"/>
                <w:sz w:val="17"/>
              </w:rPr>
              <w:t>Which version controls; no-hire prong lacks consideration</w:t>
            </w:r>
          </w:p>
        </w:tc>
        <w:tc>
          <w:tcPr>
            <w:tcW w:type="dxa" w:w="1872"/>
          </w:tcPr>
          <w:p>
            <w:pPr>
              <w:spacing w:after="20"/>
            </w:pPr>
            <w:r/>
            <w:r>
              <w:rPr>
                <w:b w:val="0"/>
                <w:i w:val="0"/>
                <w:sz w:val="17"/>
              </w:rPr>
              <w:t>Moderate</w:t>
            </w:r>
          </w:p>
        </w:tc>
      </w:tr>
      <w:tr>
        <w:tc>
          <w:tcPr>
            <w:tcW w:type="dxa" w:w="2880"/>
          </w:tcPr>
          <w:p>
            <w:pPr>
              <w:spacing w:after="20"/>
            </w:pPr>
            <w:r/>
            <w:r>
              <w:rPr>
                <w:b w:val="0"/>
                <w:i w:val="0"/>
                <w:sz w:val="17"/>
              </w:rPr>
              <w:t>Confidentiality / trade secrets</w:t>
            </w:r>
          </w:p>
        </w:tc>
        <w:tc>
          <w:tcPr>
            <w:tcW w:type="dxa" w:w="4896"/>
          </w:tcPr>
          <w:p>
            <w:pPr>
              <w:spacing w:after="20"/>
            </w:pPr>
            <w:r/>
            <w:r>
              <w:rPr>
                <w:b w:val="0"/>
                <w:i w:val="0"/>
                <w:sz w:val="17"/>
              </w:rPr>
              <w:t>No whistleblower carve-out (Rule 21F-17)</w:t>
            </w:r>
          </w:p>
        </w:tc>
        <w:tc>
          <w:tcPr>
            <w:tcW w:type="dxa" w:w="1872"/>
          </w:tcPr>
          <w:p>
            <w:pPr>
              <w:spacing w:after="20"/>
            </w:pPr>
            <w:r/>
            <w:r>
              <w:rPr>
                <w:b w:val="0"/>
                <w:i w:val="0"/>
                <w:sz w:val="17"/>
              </w:rPr>
              <w:t>Low (enforceability) / Moderate (regulatory)</w:t>
            </w:r>
          </w:p>
        </w:tc>
      </w:tr>
      <w:tr>
        <w:tc>
          <w:tcPr>
            <w:tcW w:type="dxa" w:w="2880"/>
          </w:tcPr>
          <w:p>
            <w:pPr>
              <w:spacing w:after="20"/>
            </w:pPr>
            <w:r/>
            <w:r>
              <w:rPr>
                <w:b w:val="0"/>
                <w:i w:val="0"/>
                <w:sz w:val="17"/>
              </w:rPr>
              <w:t>Non-disparagement</w:t>
            </w:r>
          </w:p>
        </w:tc>
        <w:tc>
          <w:tcPr>
            <w:tcW w:type="dxa" w:w="4896"/>
          </w:tcPr>
          <w:p>
            <w:pPr>
              <w:spacing w:after="20"/>
            </w:pPr>
            <w:r/>
            <w:r>
              <w:rPr>
                <w:b w:val="0"/>
                <w:i w:val="0"/>
                <w:sz w:val="17"/>
              </w:rPr>
              <w:t>Vague, perpetual, no carve-outs; Speak Out Act; NLRA risk for non-supervisory forms</w:t>
            </w:r>
          </w:p>
        </w:tc>
        <w:tc>
          <w:tcPr>
            <w:tcW w:type="dxa" w:w="1872"/>
          </w:tcPr>
          <w:p>
            <w:pPr>
              <w:spacing w:after="20"/>
            </w:pPr>
            <w:r/>
            <w:r>
              <w:rPr>
                <w:b w:val="0"/>
                <w:i w:val="0"/>
                <w:sz w:val="17"/>
              </w:rPr>
              <w:t>Moderate (Low NLRA risk as to Manheim)</w:t>
            </w:r>
          </w:p>
        </w:tc>
      </w:tr>
      <w:tr>
        <w:tc>
          <w:tcPr>
            <w:tcW w:type="dxa" w:w="2880"/>
          </w:tcPr>
          <w:p>
            <w:pPr>
              <w:spacing w:after="20"/>
            </w:pPr>
            <w:r/>
            <w:r>
              <w:rPr>
                <w:b w:val="0"/>
                <w:i w:val="0"/>
                <w:sz w:val="17"/>
              </w:rPr>
              <w:t>Severance forfeiture/repayment</w:t>
            </w:r>
          </w:p>
        </w:tc>
        <w:tc>
          <w:tcPr>
            <w:tcW w:type="dxa" w:w="4896"/>
          </w:tcPr>
          <w:p>
            <w:pPr>
              <w:spacing w:after="20"/>
            </w:pPr>
            <w:r/>
            <w:r>
              <w:rPr>
                <w:b w:val="0"/>
                <w:i w:val="0"/>
                <w:sz w:val="17"/>
              </w:rPr>
              <w:t>EA vs. Amendment measure and lookback conflict</w:t>
            </w:r>
          </w:p>
        </w:tc>
        <w:tc>
          <w:tcPr>
            <w:tcW w:type="dxa" w:w="1872"/>
          </w:tcPr>
          <w:p>
            <w:pPr>
              <w:spacing w:after="20"/>
            </w:pPr>
            <w:r/>
            <w:r>
              <w:rPr>
                <w:b w:val="0"/>
                <w:i w:val="0"/>
                <w:sz w:val="17"/>
              </w:rPr>
              <w:t>Moderate</w:t>
            </w:r>
          </w:p>
        </w:tc>
      </w:tr>
      <w:tr>
        <w:tc>
          <w:tcPr>
            <w:tcW w:type="dxa" w:w="2880"/>
          </w:tcPr>
          <w:p>
            <w:pPr>
              <w:spacing w:after="20"/>
            </w:pPr>
            <w:r/>
            <w:r>
              <w:rPr>
                <w:b w:val="0"/>
                <w:i w:val="0"/>
                <w:sz w:val="17"/>
              </w:rPr>
              <w:t>RSU clawback</w:t>
            </w:r>
          </w:p>
        </w:tc>
        <w:tc>
          <w:tcPr>
            <w:tcW w:type="dxa" w:w="4896"/>
          </w:tcPr>
          <w:p>
            <w:pPr>
              <w:spacing w:after="20"/>
            </w:pPr>
            <w:r/>
            <w:r>
              <w:rPr>
                <w:b w:val="0"/>
                <w:i w:val="0"/>
                <w:sz w:val="17"/>
              </w:rPr>
              <w:t>Only Tranche 2; expires Sept. 1, 2025; pre-tax measure; non-compete trigger only</w:t>
            </w:r>
          </w:p>
        </w:tc>
        <w:tc>
          <w:tcPr>
            <w:tcW w:type="dxa" w:w="1872"/>
          </w:tcPr>
          <w:p>
            <w:pPr>
              <w:spacing w:after="20"/>
            </w:pPr>
            <w:r/>
            <w:r>
              <w:rPr>
                <w:b w:val="0"/>
                <w:i w:val="0"/>
                <w:sz w:val="17"/>
              </w:rPr>
              <w:t>Moderate (enforceability) / High (limited value)</w:t>
            </w:r>
          </w:p>
        </w:tc>
      </w:tr>
      <w:tr>
        <w:tc>
          <w:tcPr>
            <w:tcW w:type="dxa" w:w="2880"/>
          </w:tcPr>
          <w:p>
            <w:pPr>
              <w:spacing w:after="20"/>
            </w:pPr>
            <w:r/>
            <w:r>
              <w:rPr>
                <w:b w:val="0"/>
                <w:i w:val="0"/>
                <w:sz w:val="17"/>
              </w:rPr>
              <w:t>Garden leave offset</w:t>
            </w:r>
          </w:p>
        </w:tc>
        <w:tc>
          <w:tcPr>
            <w:tcW w:type="dxa" w:w="4896"/>
          </w:tcPr>
          <w:p>
            <w:pPr>
              <w:spacing w:after="20"/>
            </w:pPr>
            <w:r/>
            <w:r>
              <w:rPr>
                <w:b w:val="0"/>
                <w:i w:val="0"/>
                <w:sz w:val="17"/>
              </w:rPr>
              <w:t>Not available in Company-initiated termination</w:t>
            </w:r>
          </w:p>
        </w:tc>
        <w:tc>
          <w:tcPr>
            <w:tcW w:type="dxa" w:w="1872"/>
          </w:tcPr>
          <w:p>
            <w:pPr>
              <w:spacing w:after="20"/>
            </w:pPr>
            <w:r/>
            <w:r>
              <w:rPr>
                <w:b w:val="0"/>
                <w:i w:val="0"/>
                <w:sz w:val="17"/>
              </w:rPr>
              <w:t>N/A — no savings</w:t>
            </w:r>
          </w:p>
        </w:tc>
      </w:tr>
      <w:tr>
        <w:tc>
          <w:tcPr>
            <w:tcW w:type="dxa" w:w="2880"/>
          </w:tcPr>
          <w:p>
            <w:pPr>
              <w:spacing w:after="20"/>
            </w:pPr>
            <w:r/>
            <w:r>
              <w:rPr>
                <w:b w:val="0"/>
                <w:i w:val="0"/>
                <w:sz w:val="17"/>
              </w:rPr>
              <w:t>Cause clause (vi)</w:t>
            </w:r>
          </w:p>
        </w:tc>
        <w:tc>
          <w:tcPr>
            <w:tcW w:type="dxa" w:w="4896"/>
          </w:tcPr>
          <w:p>
            <w:pPr>
              <w:spacing w:after="20"/>
            </w:pPr>
            <w:r/>
            <w:r>
              <w:rPr>
                <w:b w:val="0"/>
                <w:i w:val="0"/>
                <w:sz w:val="17"/>
              </w:rPr>
              <w:t>Documentation; numbering; consideration</w:t>
            </w:r>
          </w:p>
        </w:tc>
        <w:tc>
          <w:tcPr>
            <w:tcW w:type="dxa" w:w="1872"/>
          </w:tcPr>
          <w:p>
            <w:pPr>
              <w:spacing w:after="20"/>
            </w:pPr>
            <w:r/>
            <w:r>
              <w:rPr>
                <w:b w:val="0"/>
                <w:i w:val="0"/>
                <w:sz w:val="17"/>
              </w:rPr>
              <w:t>High (if relied on)</w:t>
            </w:r>
          </w:p>
        </w:tc>
      </w:tr>
    </w:tbl>
    <w:p>
      <w:pPr>
        <w:spacing w:after="40"/>
      </w:pPr>
    </w:p>
    <w:p>
      <w:pPr>
        <w:pStyle w:val="Heading1"/>
      </w:pPr>
      <w:r>
        <w:t>IX. Recommendations and Next Steps</w:t>
      </w:r>
    </w:p>
    <w:p>
      <w:pPr>
        <w:pStyle w:val="ListNumber"/>
      </w:pPr>
      <w:r>
        <w:rPr>
          <w:b/>
          <w:i w:val="0"/>
        </w:rPr>
        <w:t>Use the separation agreement to cure the defects.</w:t>
      </w:r>
      <w:r>
        <w:rPr>
          <w:b w:val="0"/>
          <w:i w:val="0"/>
        </w:rPr>
        <w:t xml:space="preserve"> Offer fresh, clearly identified consideration (e.g., cash equal to or acceleration of Tranche 3, ~$105,700 at $15.10, and/or payment of the FY2024 bonus) in exchange for: a re-executed, correctly numbered covenant package governed by North Carolina law; a </w:t>
      </w:r>
      <w:r>
        <w:rPr>
          <w:b/>
          <w:i w:val="0"/>
        </w:rPr>
        <w:t>role-based</w:t>
      </w:r>
      <w:r>
        <w:rPr>
          <w:b w:val="0"/>
          <w:i w:val="0"/>
        </w:rPr>
        <w:t xml:space="preserve"> non-compete (e.g., sales/revenue leadership roles for named or defined competitors) of 12–18 months; reaffirmation of the 24-month customer non-solicit and a 12–18-month employee non-solicit; supplier non-interference; tolling during breach; notice-to-new-employer and disclosure obligations; a clear, single severance repayment measure; extension of the RSU clawback (or a new cash clawback) to cover the full restricted period and solicitation breaches; and protected-activity carve-outs.</w:t>
      </w:r>
    </w:p>
    <w:p>
      <w:pPr>
        <w:pStyle w:val="ListNumber"/>
      </w:pPr>
      <w:r>
        <w:rPr>
          <w:b/>
          <w:i w:val="0"/>
        </w:rPr>
        <w:t>Decide the termination date deliberately.</w:t>
      </w:r>
      <w:r>
        <w:rPr>
          <w:b w:val="0"/>
          <w:i w:val="0"/>
        </w:rPr>
        <w:t xml:space="preserve"> Compare (a) terminating before March 1, 2025 (Tranche 3 forfeited; clawback leverage limited to Tranche 2 through Sept. 1, 2025) with (b) a termination date shortly after March 1, 2025 (Tranche 3 vests at ~$105,700 cost but supports clawback leverage through Sept. 1, 2026), or (c) option (1), which achieves the same leverage by agreement.</w:t>
      </w:r>
    </w:p>
    <w:p>
      <w:pPr>
        <w:pStyle w:val="ListNumber"/>
      </w:pPr>
      <w:r>
        <w:rPr>
          <w:b/>
          <w:i w:val="0"/>
        </w:rPr>
        <w:t>Do not count on the garden leave offset.</w:t>
      </w:r>
      <w:r>
        <w:rPr>
          <w:b w:val="0"/>
          <w:i w:val="0"/>
        </w:rPr>
        <w:t xml:space="preserve"> Budget the full ~$554,000 gross severance (target bonus) plus Accrued Obligations. Be prepared to issue a garden leave election within 10 business days if Manheim resigns first.</w:t>
      </w:r>
    </w:p>
    <w:p>
      <w:pPr>
        <w:pStyle w:val="ListNumber"/>
      </w:pPr>
      <w:r>
        <w:rPr>
          <w:b/>
          <w:i w:val="0"/>
        </w:rPr>
        <w:t>Preserve the evidence now.</w:t>
      </w:r>
      <w:r>
        <w:rPr>
          <w:b w:val="0"/>
          <w:i w:val="0"/>
        </w:rPr>
        <w:t xml:space="preserve"> Account-level Material Contact records for the top-50 accounts; access logs for pricing, contract, pipeline and supply-chain data; device and cloud inventory for return-of-property certification at separation; forensic imaging protocol.</w:t>
      </w:r>
    </w:p>
    <w:p>
      <w:pPr>
        <w:pStyle w:val="ListNumber"/>
      </w:pPr>
      <w:r>
        <w:rPr>
          <w:b/>
          <w:i w:val="0"/>
        </w:rPr>
        <w:t>Obtain:</w:t>
      </w:r>
      <w:r>
        <w:rPr>
          <w:b w:val="0"/>
          <w:i w:val="0"/>
        </w:rPr>
        <w:t xml:space="preserve"> executed copies of all three instruments; the 2019 Omnibus Plan; the Company clawback policy; March 1, 2023 and March 1, 2024 closing prices and settlement/withholding records; Board/Committee records of any minimum revenue targets; FY2024 bonus status; Manheim’s age; the Lakeshore APA and closing structure.</w:t>
      </w:r>
    </w:p>
    <w:p>
      <w:pPr>
        <w:pStyle w:val="ListNumber"/>
      </w:pPr>
      <w:r>
        <w:rPr>
          <w:b/>
          <w:i w:val="0"/>
        </w:rPr>
        <w:t>Litigation readiness.</w:t>
      </w:r>
      <w:r>
        <w:rPr>
          <w:b w:val="0"/>
          <w:i w:val="0"/>
        </w:rPr>
        <w:t xml:space="preserve"> If Manheim joins a competitor, move quickly (no tolling) in Mecklenburg County (or the N.C. Business Court), leading with the customer non-solicit, confidentiality/trade secret claims and the 18-month original non-compete, pleading the amended covenant and the RSU covenant in the alternative; make any RSU breach determination in writing promptly and in any event before September 1, 2025.</w:t>
      </w:r>
    </w:p>
    <w:p>
      <w:pPr>
        <w:pStyle w:val="ListNumber"/>
      </w:pPr>
      <w:r>
        <w:rPr>
          <w:b/>
          <w:i w:val="0"/>
        </w:rPr>
        <w:t>Fix the forms prospectively.</w:t>
      </w:r>
      <w:r>
        <w:rPr>
          <w:b w:val="0"/>
          <w:i w:val="0"/>
        </w:rPr>
        <w:t xml:space="preserve"> Conform the employment, equity and severance templates (consistent definitions, numbering, carve-outs, choice of law and forum) and audit non-supervisory separation agreements for *McLaren Macomb* compliance.</w:t>
      </w:r>
    </w:p>
    <w:p>
      <w:r>
        <w:rPr>
          <w:b w:val="0"/>
          <w:i/>
        </w:rPr>
        <w:t>Case citations above are provided for orientation and should be cite-checked and updated before being relied upon in any filing. We are happy to walk the Board through this analysis before January 23.</w:t>
      </w:r>
    </w:p>
    <w:p>
      <w:pPr>
        <w:pStyle w:val="Heading1"/>
      </w:pPr>
      <w:r>
        <w:t>Appendix A — Key Dates (Assumed Termination Feb. 28, 2025)</w:t>
      </w:r>
    </w:p>
    <w:tbl>
      <w:tblPr>
        <w:tblStyle w:val="TableGrid"/>
        <w:tblW w:type="auto" w:w="0"/>
        <w:jc w:val="center"/>
        <w:tblLayout w:type="fixed"/>
        <w:tblLook w:firstColumn="1" w:firstRow="1" w:lastColumn="0" w:lastRow="0" w:noHBand="0" w:noVBand="1" w:val="04A0"/>
      </w:tblPr>
      <w:tblGrid>
        <w:gridCol w:w="1872"/>
        <w:gridCol w:w="5616"/>
        <w:gridCol w:w="2160"/>
      </w:tblGrid>
      <w:tr>
        <w:trPr>
          <w:tblHeader w:val="true"/>
        </w:trPr>
        <w:tc>
          <w:tcPr>
            <w:tcW w:type="dxa" w:w="1872"/>
            <w:shd w:val="clear" w:color="auto" w:fill="D9E2F3"/>
          </w:tcPr>
          <w:p>
            <w:pPr>
              <w:spacing w:after="20"/>
            </w:pPr>
            <w:r/>
            <w:r>
              <w:rPr>
                <w:b/>
                <w:i w:val="0"/>
                <w:sz w:val="17"/>
              </w:rPr>
              <w:t>Date</w:t>
            </w:r>
          </w:p>
        </w:tc>
        <w:tc>
          <w:tcPr>
            <w:tcW w:type="dxa" w:w="5616"/>
            <w:shd w:val="clear" w:color="auto" w:fill="D9E2F3"/>
          </w:tcPr>
          <w:p>
            <w:pPr>
              <w:spacing w:after="20"/>
            </w:pPr>
            <w:r/>
            <w:r>
              <w:rPr>
                <w:b/>
                <w:i w:val="0"/>
                <w:sz w:val="17"/>
              </w:rPr>
              <w:t>Event</w:t>
            </w:r>
          </w:p>
        </w:tc>
        <w:tc>
          <w:tcPr>
            <w:tcW w:type="dxa" w:w="2160"/>
            <w:shd w:val="clear" w:color="auto" w:fill="D9E2F3"/>
          </w:tcPr>
          <w:p>
            <w:pPr>
              <w:spacing w:after="20"/>
            </w:pPr>
            <w:r/>
            <w:r>
              <w:rPr>
                <w:b/>
                <w:i w:val="0"/>
                <w:sz w:val="17"/>
              </w:rPr>
              <w:t>Source</w:t>
            </w:r>
          </w:p>
        </w:tc>
      </w:tr>
      <w:tr>
        <w:tc>
          <w:tcPr>
            <w:tcW w:type="dxa" w:w="1872"/>
          </w:tcPr>
          <w:p>
            <w:pPr>
              <w:spacing w:after="20"/>
            </w:pPr>
            <w:r/>
            <w:r>
              <w:rPr>
                <w:b w:val="0"/>
                <w:i w:val="0"/>
                <w:sz w:val="17"/>
              </w:rPr>
              <w:t>Aug. 15, 2021</w:t>
            </w:r>
          </w:p>
        </w:tc>
        <w:tc>
          <w:tcPr>
            <w:tcW w:type="dxa" w:w="5616"/>
          </w:tcPr>
          <w:p>
            <w:pPr>
              <w:spacing w:after="20"/>
            </w:pPr>
            <w:r/>
            <w:r>
              <w:rPr>
                <w:b w:val="0"/>
                <w:i w:val="0"/>
                <w:sz w:val="17"/>
              </w:rPr>
              <w:t>Employment effective; CRO</w:t>
            </w:r>
          </w:p>
        </w:tc>
        <w:tc>
          <w:tcPr>
            <w:tcW w:type="dxa" w:w="2160"/>
          </w:tcPr>
          <w:p>
            <w:pPr>
              <w:spacing w:after="20"/>
            </w:pPr>
            <w:r/>
            <w:r>
              <w:rPr>
                <w:b w:val="0"/>
                <w:i w:val="0"/>
                <w:sz w:val="17"/>
              </w:rPr>
              <w:t>EA</w:t>
            </w:r>
          </w:p>
        </w:tc>
      </w:tr>
      <w:tr>
        <w:tc>
          <w:tcPr>
            <w:tcW w:type="dxa" w:w="1872"/>
          </w:tcPr>
          <w:p>
            <w:pPr>
              <w:spacing w:after="20"/>
            </w:pPr>
            <w:r/>
            <w:r>
              <w:rPr>
                <w:b w:val="0"/>
                <w:i w:val="0"/>
                <w:sz w:val="17"/>
              </w:rPr>
              <w:t>Mar. 1, 2022</w:t>
            </w:r>
          </w:p>
        </w:tc>
        <w:tc>
          <w:tcPr>
            <w:tcW w:type="dxa" w:w="5616"/>
          </w:tcPr>
          <w:p>
            <w:pPr>
              <w:spacing w:after="20"/>
            </w:pPr>
            <w:r/>
            <w:r>
              <w:rPr>
                <w:b w:val="0"/>
                <w:i w:val="0"/>
                <w:sz w:val="17"/>
              </w:rPr>
              <w:t>RSU grant (28,000)</w:t>
            </w:r>
          </w:p>
        </w:tc>
        <w:tc>
          <w:tcPr>
            <w:tcW w:type="dxa" w:w="2160"/>
          </w:tcPr>
          <w:p>
            <w:pPr>
              <w:spacing w:after="20"/>
            </w:pPr>
            <w:r/>
            <w:r>
              <w:rPr>
                <w:b w:val="0"/>
                <w:i w:val="0"/>
                <w:sz w:val="17"/>
              </w:rPr>
              <w:t>RSU § 1.1</w:t>
            </w:r>
          </w:p>
        </w:tc>
      </w:tr>
      <w:tr>
        <w:tc>
          <w:tcPr>
            <w:tcW w:type="dxa" w:w="1872"/>
          </w:tcPr>
          <w:p>
            <w:pPr>
              <w:spacing w:after="20"/>
            </w:pPr>
            <w:r/>
            <w:r>
              <w:rPr>
                <w:b w:val="0"/>
                <w:i w:val="0"/>
                <w:sz w:val="17"/>
              </w:rPr>
              <w:t>Jan. 18, 2023</w:t>
            </w:r>
          </w:p>
        </w:tc>
        <w:tc>
          <w:tcPr>
            <w:tcW w:type="dxa" w:w="5616"/>
          </w:tcPr>
          <w:p>
            <w:pPr>
              <w:spacing w:after="20"/>
            </w:pPr>
            <w:r/>
            <w:r>
              <w:rPr>
                <w:b w:val="0"/>
                <w:i w:val="0"/>
                <w:sz w:val="17"/>
              </w:rPr>
              <w:t>Lakeshore closing; First Amendment</w:t>
            </w:r>
          </w:p>
        </w:tc>
        <w:tc>
          <w:tcPr>
            <w:tcW w:type="dxa" w:w="2160"/>
          </w:tcPr>
          <w:p>
            <w:pPr>
              <w:spacing w:after="20"/>
            </w:pPr>
            <w:r/>
            <w:r>
              <w:rPr>
                <w:b w:val="0"/>
                <w:i w:val="0"/>
                <w:sz w:val="17"/>
              </w:rPr>
              <w:t>Amendment</w:t>
            </w:r>
          </w:p>
        </w:tc>
      </w:tr>
      <w:tr>
        <w:tc>
          <w:tcPr>
            <w:tcW w:type="dxa" w:w="1872"/>
          </w:tcPr>
          <w:p>
            <w:pPr>
              <w:spacing w:after="20"/>
            </w:pPr>
            <w:r/>
            <w:r>
              <w:rPr>
                <w:b w:val="0"/>
                <w:i w:val="0"/>
                <w:sz w:val="17"/>
              </w:rPr>
              <w:t>Mar. 1, 2023</w:t>
            </w:r>
          </w:p>
        </w:tc>
        <w:tc>
          <w:tcPr>
            <w:tcW w:type="dxa" w:w="5616"/>
          </w:tcPr>
          <w:p>
            <w:pPr>
              <w:spacing w:after="20"/>
            </w:pPr>
            <w:r/>
            <w:r>
              <w:rPr>
                <w:b w:val="0"/>
                <w:i w:val="0"/>
                <w:sz w:val="17"/>
              </w:rPr>
              <w:t>Tranche 1 vests (7,000) — outside clawback window</w:t>
            </w:r>
          </w:p>
        </w:tc>
        <w:tc>
          <w:tcPr>
            <w:tcW w:type="dxa" w:w="2160"/>
          </w:tcPr>
          <w:p>
            <w:pPr>
              <w:spacing w:after="20"/>
            </w:pPr>
            <w:r/>
            <w:r>
              <w:rPr>
                <w:b w:val="0"/>
                <w:i w:val="0"/>
                <w:sz w:val="17"/>
              </w:rPr>
              <w:t>RSU § 2.1(a)</w:t>
            </w:r>
          </w:p>
        </w:tc>
      </w:tr>
      <w:tr>
        <w:tc>
          <w:tcPr>
            <w:tcW w:type="dxa" w:w="1872"/>
          </w:tcPr>
          <w:p>
            <w:pPr>
              <w:spacing w:after="20"/>
            </w:pPr>
            <w:r/>
            <w:r>
              <w:rPr>
                <w:b w:val="0"/>
                <w:i w:val="0"/>
                <w:sz w:val="17"/>
              </w:rPr>
              <w:t>Mar. 1, 2024</w:t>
            </w:r>
          </w:p>
        </w:tc>
        <w:tc>
          <w:tcPr>
            <w:tcW w:type="dxa" w:w="5616"/>
          </w:tcPr>
          <w:p>
            <w:pPr>
              <w:spacing w:after="20"/>
            </w:pPr>
            <w:r/>
            <w:r>
              <w:rPr>
                <w:b w:val="0"/>
                <w:i w:val="0"/>
                <w:sz w:val="17"/>
              </w:rPr>
              <w:t>Tranche 2 vests (7,000) — within clawback window until Sept. 1, 2025</w:t>
            </w:r>
          </w:p>
        </w:tc>
        <w:tc>
          <w:tcPr>
            <w:tcW w:type="dxa" w:w="2160"/>
          </w:tcPr>
          <w:p>
            <w:pPr>
              <w:spacing w:after="20"/>
            </w:pPr>
            <w:r/>
            <w:r>
              <w:rPr>
                <w:b w:val="0"/>
                <w:i w:val="0"/>
                <w:sz w:val="17"/>
              </w:rPr>
              <w:t>RSU § 2.1(b)</w:t>
            </w:r>
          </w:p>
        </w:tc>
      </w:tr>
      <w:tr>
        <w:tc>
          <w:tcPr>
            <w:tcW w:type="dxa" w:w="1872"/>
          </w:tcPr>
          <w:p>
            <w:pPr>
              <w:spacing w:after="20"/>
            </w:pPr>
            <w:r/>
            <w:r>
              <w:rPr>
                <w:b w:val="0"/>
                <w:i w:val="0"/>
                <w:sz w:val="17"/>
              </w:rPr>
              <w:t>Feb. 28, 2025</w:t>
            </w:r>
          </w:p>
        </w:tc>
        <w:tc>
          <w:tcPr>
            <w:tcW w:type="dxa" w:w="5616"/>
          </w:tcPr>
          <w:p>
            <w:pPr>
              <w:spacing w:after="20"/>
            </w:pPr>
            <w:r/>
            <w:r>
              <w:rPr>
                <w:b w:val="0"/>
                <w:i w:val="0"/>
                <w:sz w:val="17"/>
              </w:rPr>
              <w:t>Assumed termination without Cause; unvested RSUs forfeit</w:t>
            </w:r>
          </w:p>
        </w:tc>
        <w:tc>
          <w:tcPr>
            <w:tcW w:type="dxa" w:w="2160"/>
          </w:tcPr>
          <w:p>
            <w:pPr>
              <w:spacing w:after="20"/>
            </w:pPr>
            <w:r/>
            <w:r>
              <w:rPr>
                <w:b w:val="0"/>
                <w:i w:val="0"/>
                <w:sz w:val="17"/>
              </w:rPr>
              <w:t>RSU § 2.2(b)</w:t>
            </w:r>
          </w:p>
        </w:tc>
      </w:tr>
      <w:tr>
        <w:tc>
          <w:tcPr>
            <w:tcW w:type="dxa" w:w="1872"/>
          </w:tcPr>
          <w:p>
            <w:pPr>
              <w:spacing w:after="20"/>
            </w:pPr>
            <w:r/>
            <w:r>
              <w:rPr>
                <w:b w:val="0"/>
                <w:i w:val="0"/>
                <w:sz w:val="17"/>
              </w:rPr>
              <w:t>Mar. 1, 2025</w:t>
            </w:r>
          </w:p>
        </w:tc>
        <w:tc>
          <w:tcPr>
            <w:tcW w:type="dxa" w:w="5616"/>
          </w:tcPr>
          <w:p>
            <w:pPr>
              <w:spacing w:after="20"/>
            </w:pPr>
            <w:r/>
            <w:r>
              <w:rPr>
                <w:b w:val="0"/>
                <w:i w:val="0"/>
                <w:sz w:val="17"/>
              </w:rPr>
              <w:t>Tranche 3 scheduled vest (forfeited if terminated before)</w:t>
            </w:r>
          </w:p>
        </w:tc>
        <w:tc>
          <w:tcPr>
            <w:tcW w:type="dxa" w:w="2160"/>
          </w:tcPr>
          <w:p>
            <w:pPr>
              <w:spacing w:after="20"/>
            </w:pPr>
            <w:r/>
            <w:r>
              <w:rPr>
                <w:b w:val="0"/>
                <w:i w:val="0"/>
                <w:sz w:val="17"/>
              </w:rPr>
              <w:t>RSU § 2.1(c)</w:t>
            </w:r>
          </w:p>
        </w:tc>
      </w:tr>
      <w:tr>
        <w:tc>
          <w:tcPr>
            <w:tcW w:type="dxa" w:w="1872"/>
          </w:tcPr>
          <w:p>
            <w:pPr>
              <w:spacing w:after="20"/>
            </w:pPr>
            <w:r/>
            <w:r>
              <w:rPr>
                <w:b w:val="0"/>
                <w:i w:val="0"/>
                <w:sz w:val="17"/>
              </w:rPr>
              <w:t>Apr. 14, 2025</w:t>
            </w:r>
          </w:p>
        </w:tc>
        <w:tc>
          <w:tcPr>
            <w:tcW w:type="dxa" w:w="5616"/>
          </w:tcPr>
          <w:p>
            <w:pPr>
              <w:spacing w:after="20"/>
            </w:pPr>
            <w:r/>
            <w:r>
              <w:rPr>
                <w:b w:val="0"/>
                <w:i w:val="0"/>
                <w:sz w:val="17"/>
              </w:rPr>
              <w:t>Release must be executed and irrevocable (45 days)</w:t>
            </w:r>
          </w:p>
        </w:tc>
        <w:tc>
          <w:tcPr>
            <w:tcW w:type="dxa" w:w="2160"/>
          </w:tcPr>
          <w:p>
            <w:pPr>
              <w:spacing w:after="20"/>
            </w:pPr>
            <w:r/>
            <w:r>
              <w:rPr>
                <w:b w:val="0"/>
                <w:i w:val="0"/>
                <w:sz w:val="17"/>
              </w:rPr>
              <w:t>EA § 6.2</w:t>
            </w:r>
          </w:p>
        </w:tc>
      </w:tr>
      <w:tr>
        <w:tc>
          <w:tcPr>
            <w:tcW w:type="dxa" w:w="1872"/>
          </w:tcPr>
          <w:p>
            <w:pPr>
              <w:spacing w:after="20"/>
            </w:pPr>
            <w:r/>
            <w:r>
              <w:rPr>
                <w:b w:val="0"/>
                <w:i w:val="0"/>
                <w:sz w:val="17"/>
              </w:rPr>
              <w:t>Sept. 1, 2025</w:t>
            </w:r>
          </w:p>
        </w:tc>
        <w:tc>
          <w:tcPr>
            <w:tcW w:type="dxa" w:w="5616"/>
          </w:tcPr>
          <w:p>
            <w:pPr>
              <w:spacing w:after="20"/>
            </w:pPr>
            <w:r/>
            <w:r>
              <w:rPr>
                <w:b w:val="0"/>
                <w:i w:val="0"/>
                <w:sz w:val="17"/>
              </w:rPr>
              <w:t>Last breach-determination date that reaches Tranche 2</w:t>
            </w:r>
          </w:p>
        </w:tc>
        <w:tc>
          <w:tcPr>
            <w:tcW w:type="dxa" w:w="2160"/>
          </w:tcPr>
          <w:p>
            <w:pPr>
              <w:spacing w:after="20"/>
            </w:pPr>
            <w:r/>
            <w:r>
              <w:rPr>
                <w:b w:val="0"/>
                <w:i w:val="0"/>
                <w:sz w:val="17"/>
              </w:rPr>
              <w:t>RSU § 7.2</w:t>
            </w:r>
          </w:p>
        </w:tc>
      </w:tr>
      <w:tr>
        <w:tc>
          <w:tcPr>
            <w:tcW w:type="dxa" w:w="1872"/>
          </w:tcPr>
          <w:p>
            <w:pPr>
              <w:spacing w:after="20"/>
            </w:pPr>
            <w:r/>
            <w:r>
              <w:rPr>
                <w:b w:val="0"/>
                <w:i w:val="0"/>
                <w:sz w:val="17"/>
              </w:rPr>
              <w:t>~Feb. 27–28, 2026</w:t>
            </w:r>
          </w:p>
        </w:tc>
        <w:tc>
          <w:tcPr>
            <w:tcW w:type="dxa" w:w="5616"/>
          </w:tcPr>
          <w:p>
            <w:pPr>
              <w:spacing w:after="20"/>
            </w:pPr>
            <w:r/>
            <w:r>
              <w:rPr>
                <w:b w:val="0"/>
                <w:i w:val="0"/>
                <w:sz w:val="17"/>
              </w:rPr>
              <w:t>RSU Restricted Period ends; amended employee non-solicit ends; salary continuation ends</w:t>
            </w:r>
          </w:p>
        </w:tc>
        <w:tc>
          <w:tcPr>
            <w:tcW w:type="dxa" w:w="2160"/>
          </w:tcPr>
          <w:p>
            <w:pPr>
              <w:spacing w:after="20"/>
            </w:pPr>
            <w:r/>
            <w:r>
              <w:rPr>
                <w:b w:val="0"/>
                <w:i w:val="0"/>
                <w:sz w:val="17"/>
              </w:rPr>
              <w:t>RSU § 4.1(i); Amend. § 6; EA § 6.2(b)</w:t>
            </w:r>
          </w:p>
        </w:tc>
      </w:tr>
      <w:tr>
        <w:tc>
          <w:tcPr>
            <w:tcW w:type="dxa" w:w="1872"/>
          </w:tcPr>
          <w:p>
            <w:pPr>
              <w:spacing w:after="20"/>
            </w:pPr>
            <w:r/>
            <w:r>
              <w:rPr>
                <w:b w:val="0"/>
                <w:i w:val="0"/>
                <w:sz w:val="17"/>
              </w:rPr>
              <w:t>Mar. 1, 2026</w:t>
            </w:r>
          </w:p>
        </w:tc>
        <w:tc>
          <w:tcPr>
            <w:tcW w:type="dxa" w:w="5616"/>
          </w:tcPr>
          <w:p>
            <w:pPr>
              <w:spacing w:after="20"/>
            </w:pPr>
            <w:r/>
            <w:r>
              <w:rPr>
                <w:b w:val="0"/>
                <w:i w:val="0"/>
                <w:sz w:val="17"/>
              </w:rPr>
              <w:t>Tranche 4 scheduled vest (forfeited)</w:t>
            </w:r>
          </w:p>
        </w:tc>
        <w:tc>
          <w:tcPr>
            <w:tcW w:type="dxa" w:w="2160"/>
          </w:tcPr>
          <w:p>
            <w:pPr>
              <w:spacing w:after="20"/>
            </w:pPr>
            <w:r/>
            <w:r>
              <w:rPr>
                <w:b w:val="0"/>
                <w:i w:val="0"/>
                <w:sz w:val="17"/>
              </w:rPr>
              <w:t>RSU § 2.1(d)</w:t>
            </w:r>
          </w:p>
        </w:tc>
      </w:tr>
      <w:tr>
        <w:tc>
          <w:tcPr>
            <w:tcW w:type="dxa" w:w="1872"/>
          </w:tcPr>
          <w:p>
            <w:pPr>
              <w:spacing w:after="20"/>
            </w:pPr>
            <w:r/>
            <w:r>
              <w:rPr>
                <w:b w:val="0"/>
                <w:i w:val="0"/>
                <w:sz w:val="17"/>
              </w:rPr>
              <w:t>By Mar. 15, 2026</w:t>
            </w:r>
          </w:p>
        </w:tc>
        <w:tc>
          <w:tcPr>
            <w:tcW w:type="dxa" w:w="5616"/>
          </w:tcPr>
          <w:p>
            <w:pPr>
              <w:spacing w:after="20"/>
            </w:pPr>
            <w:r/>
            <w:r>
              <w:rPr>
                <w:b w:val="0"/>
                <w:i w:val="0"/>
                <w:sz w:val="17"/>
              </w:rPr>
              <w:t>Pro-rated FY2025 bonus payable</w:t>
            </w:r>
          </w:p>
        </w:tc>
        <w:tc>
          <w:tcPr>
            <w:tcW w:type="dxa" w:w="2160"/>
          </w:tcPr>
          <w:p>
            <w:pPr>
              <w:spacing w:after="20"/>
            </w:pPr>
            <w:r/>
            <w:r>
              <w:rPr>
                <w:b w:val="0"/>
                <w:i w:val="0"/>
                <w:sz w:val="17"/>
              </w:rPr>
              <w:t>EA § 6.2(c)</w:t>
            </w:r>
          </w:p>
        </w:tc>
      </w:tr>
      <w:tr>
        <w:tc>
          <w:tcPr>
            <w:tcW w:type="dxa" w:w="1872"/>
          </w:tcPr>
          <w:p>
            <w:pPr>
              <w:spacing w:after="20"/>
            </w:pPr>
            <w:r/>
            <w:r>
              <w:rPr>
                <w:b w:val="0"/>
                <w:i w:val="0"/>
                <w:sz w:val="17"/>
              </w:rPr>
              <w:t>Aug. 28, 2026</w:t>
            </w:r>
          </w:p>
        </w:tc>
        <w:tc>
          <w:tcPr>
            <w:tcW w:type="dxa" w:w="5616"/>
          </w:tcPr>
          <w:p>
            <w:pPr>
              <w:spacing w:after="20"/>
            </w:pPr>
            <w:r/>
            <w:r>
              <w:rPr>
                <w:b w:val="0"/>
                <w:i w:val="0"/>
                <w:sz w:val="17"/>
              </w:rPr>
              <w:t>Original non-compete and original employee non-solicit end (18 months)</w:t>
            </w:r>
          </w:p>
        </w:tc>
        <w:tc>
          <w:tcPr>
            <w:tcW w:type="dxa" w:w="2160"/>
          </w:tcPr>
          <w:p>
            <w:pPr>
              <w:spacing w:after="20"/>
            </w:pPr>
            <w:r/>
            <w:r>
              <w:rPr>
                <w:b w:val="0"/>
                <w:i w:val="0"/>
                <w:sz w:val="17"/>
              </w:rPr>
              <w:t>EA §§ 8.1, 8.3</w:t>
            </w:r>
          </w:p>
        </w:tc>
      </w:tr>
      <w:tr>
        <w:tc>
          <w:tcPr>
            <w:tcW w:type="dxa" w:w="1872"/>
          </w:tcPr>
          <w:p>
            <w:pPr>
              <w:spacing w:after="20"/>
            </w:pPr>
            <w:r/>
            <w:r>
              <w:rPr>
                <w:b w:val="0"/>
                <w:i w:val="0"/>
                <w:sz w:val="17"/>
              </w:rPr>
              <w:t>Feb. 28, 2027</w:t>
            </w:r>
          </w:p>
        </w:tc>
        <w:tc>
          <w:tcPr>
            <w:tcW w:type="dxa" w:w="5616"/>
          </w:tcPr>
          <w:p>
            <w:pPr>
              <w:spacing w:after="20"/>
            </w:pPr>
            <w:r/>
            <w:r>
              <w:rPr>
                <w:b w:val="0"/>
                <w:i w:val="0"/>
                <w:sz w:val="17"/>
              </w:rPr>
              <w:t>Amended non-compete and customer non-solicit end (24 months)</w:t>
            </w:r>
          </w:p>
        </w:tc>
        <w:tc>
          <w:tcPr>
            <w:tcW w:type="dxa" w:w="2160"/>
          </w:tcPr>
          <w:p>
            <w:pPr>
              <w:spacing w:after="20"/>
            </w:pPr>
            <w:r/>
            <w:r>
              <w:rPr>
                <w:b w:val="0"/>
                <w:i w:val="0"/>
                <w:sz w:val="17"/>
              </w:rPr>
              <w:t>Amend. § 5; EA § 8.2</w:t>
            </w:r>
          </w:p>
        </w:tc>
      </w:tr>
      <w:tr>
        <w:tc>
          <w:tcPr>
            <w:tcW w:type="dxa" w:w="1872"/>
          </w:tcPr>
          <w:p>
            <w:pPr>
              <w:spacing w:after="20"/>
            </w:pPr>
            <w:r/>
            <w:r>
              <w:rPr>
                <w:b w:val="0"/>
                <w:i w:val="0"/>
                <w:sz w:val="17"/>
              </w:rPr>
              <w:t>Feb. 28, 2028</w:t>
            </w:r>
          </w:p>
        </w:tc>
        <w:tc>
          <w:tcPr>
            <w:tcW w:type="dxa" w:w="5616"/>
          </w:tcPr>
          <w:p>
            <w:pPr>
              <w:spacing w:after="20"/>
            </w:pPr>
            <w:r/>
            <w:r>
              <w:rPr>
                <w:b w:val="0"/>
                <w:i w:val="0"/>
                <w:sz w:val="17"/>
              </w:rPr>
              <w:t>Cooperation obligation ends (36 months)</w:t>
            </w:r>
          </w:p>
        </w:tc>
        <w:tc>
          <w:tcPr>
            <w:tcW w:type="dxa" w:w="2160"/>
          </w:tcPr>
          <w:p>
            <w:pPr>
              <w:spacing w:after="20"/>
            </w:pPr>
            <w:r/>
            <w:r>
              <w:rPr>
                <w:b w:val="0"/>
                <w:i w:val="0"/>
                <w:sz w:val="17"/>
              </w:rPr>
              <w:t>EA § 8.6</w:t>
            </w:r>
          </w:p>
        </w:tc>
      </w:tr>
      <w:tr>
        <w:tc>
          <w:tcPr>
            <w:tcW w:type="dxa" w:w="1872"/>
          </w:tcPr>
          <w:p>
            <w:pPr>
              <w:spacing w:after="20"/>
            </w:pPr>
            <w:r/>
            <w:r>
              <w:rPr>
                <w:b w:val="0"/>
                <w:i w:val="0"/>
                <w:sz w:val="17"/>
              </w:rPr>
              <w:t>Perpetual</w:t>
            </w:r>
          </w:p>
        </w:tc>
        <w:tc>
          <w:tcPr>
            <w:tcW w:type="dxa" w:w="5616"/>
          </w:tcPr>
          <w:p>
            <w:pPr>
              <w:spacing w:after="20"/>
            </w:pPr>
            <w:r/>
            <w:r>
              <w:rPr>
                <w:b w:val="0"/>
                <w:i w:val="0"/>
                <w:sz w:val="17"/>
              </w:rPr>
              <w:t>Confidentiality; non-disparagement</w:t>
            </w:r>
          </w:p>
        </w:tc>
        <w:tc>
          <w:tcPr>
            <w:tcW w:type="dxa" w:w="2160"/>
          </w:tcPr>
          <w:p>
            <w:pPr>
              <w:spacing w:after="20"/>
            </w:pPr>
            <w:r/>
            <w:r>
              <w:rPr>
                <w:b w:val="0"/>
                <w:i w:val="0"/>
                <w:sz w:val="17"/>
              </w:rPr>
              <w:t>EA §§ 8.4, 8.5</w:t>
            </w:r>
          </w:p>
        </w:tc>
      </w:tr>
    </w:tbl>
    <w:p>
      <w:pPr>
        <w:spacing w:after="4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