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eastAsia="Times New Roman"/>
          <w:b/>
          <w:i w:val="0"/>
          <w:sz w:val="28"/>
          <w:u w:val="none"/>
        </w:rPr>
        <w:t>MEMORANDUM</w:t>
      </w:r>
    </w:p>
    <w:p>
      <w:pPr>
        <w:spacing w:before="0" w:after="40"/>
        <w:jc w:val="left"/>
      </w:pPr>
      <w:r>
        <w:rPr>
          <w:rFonts w:ascii="Times New Roman" w:hAnsi="Times New Roman" w:eastAsia="Times New Roman"/>
          <w:b/>
          <w:i w:val="0"/>
          <w:sz w:val="22"/>
          <w:u w:val="none"/>
        </w:rPr>
        <w:t>TO:</w:t>
      </w:r>
      <w:r>
        <w:rPr>
          <w:rFonts w:ascii="Times New Roman" w:hAnsi="Times New Roman" w:eastAsia="Times New Roman"/>
          <w:b w:val="0"/>
          <w:i w:val="0"/>
          <w:sz w:val="22"/>
          <w:u w:val="none"/>
        </w:rPr>
        <w:tab/>
        <w:t>[Supervising Partner]</w:t>
      </w:r>
    </w:p>
    <w:p>
      <w:pPr>
        <w:spacing w:before="0" w:after="40"/>
        <w:jc w:val="left"/>
      </w:pPr>
      <w:r>
        <w:rPr>
          <w:rFonts w:ascii="Times New Roman" w:hAnsi="Times New Roman" w:eastAsia="Times New Roman"/>
          <w:b/>
          <w:i w:val="0"/>
          <w:sz w:val="22"/>
          <w:u w:val="none"/>
        </w:rPr>
        <w:t>FROM:</w:t>
      </w:r>
      <w:r>
        <w:rPr>
          <w:rFonts w:ascii="Times New Roman" w:hAnsi="Times New Roman" w:eastAsia="Times New Roman"/>
          <w:b w:val="0"/>
          <w:i w:val="0"/>
          <w:sz w:val="22"/>
          <w:u w:val="none"/>
        </w:rPr>
        <w:tab/>
        <w:t>[Associate]</w:t>
      </w:r>
    </w:p>
    <w:p>
      <w:pPr>
        <w:spacing w:before="0" w:after="40"/>
        <w:jc w:val="left"/>
      </w:pPr>
      <w:r>
        <w:rPr>
          <w:rFonts w:ascii="Times New Roman" w:hAnsi="Times New Roman" w:eastAsia="Times New Roman"/>
          <w:b/>
          <w:i w:val="0"/>
          <w:sz w:val="22"/>
          <w:u w:val="none"/>
        </w:rPr>
        <w:t>DATE:</w:t>
      </w:r>
      <w:r>
        <w:rPr>
          <w:rFonts w:ascii="Times New Roman" w:hAnsi="Times New Roman" w:eastAsia="Times New Roman"/>
          <w:b w:val="0"/>
          <w:i w:val="0"/>
          <w:sz w:val="22"/>
          <w:u w:val="none"/>
        </w:rPr>
        <w:tab/>
        <w:t>[●]</w:t>
      </w:r>
    </w:p>
    <w:p>
      <w:pPr>
        <w:spacing w:before="0" w:after="40"/>
        <w:jc w:val="left"/>
      </w:pPr>
      <w:r>
        <w:rPr>
          <w:rFonts w:ascii="Times New Roman" w:hAnsi="Times New Roman" w:eastAsia="Times New Roman"/>
          <w:b/>
          <w:i w:val="0"/>
          <w:sz w:val="22"/>
          <w:u w:val="none"/>
        </w:rPr>
        <w:t>CLIENT:</w:t>
      </w:r>
      <w:r>
        <w:rPr>
          <w:rFonts w:ascii="Times New Roman" w:hAnsi="Times New Roman" w:eastAsia="Times New Roman"/>
          <w:b w:val="0"/>
          <w:i w:val="0"/>
          <w:sz w:val="22"/>
          <w:u w:val="none"/>
        </w:rPr>
        <w:tab/>
        <w:t>Castellan Technologies, Inc. (the “Company”)</w:t>
      </w:r>
    </w:p>
    <w:p>
      <w:pPr>
        <w:spacing w:before="0" w:after="40"/>
        <w:jc w:val="left"/>
      </w:pPr>
      <w:r>
        <w:rPr>
          <w:rFonts w:ascii="Times New Roman" w:hAnsi="Times New Roman" w:eastAsia="Times New Roman"/>
          <w:b/>
          <w:i w:val="0"/>
          <w:sz w:val="22"/>
          <w:u w:val="none"/>
        </w:rPr>
        <w:t>RE:</w:t>
      </w:r>
      <w:r>
        <w:rPr>
          <w:rFonts w:ascii="Times New Roman" w:hAnsi="Times New Roman" w:eastAsia="Times New Roman"/>
          <w:b w:val="0"/>
          <w:i w:val="0"/>
          <w:sz w:val="22"/>
          <w:u w:val="none"/>
        </w:rPr>
        <w:tab/>
        <w:t>Draft Employment Agreement for Priya Venkataraman (Senior Vice President, Engineering) – Conforming Changes, Legal Issues, and Open Items</w:t>
      </w:r>
    </w:p>
    <w:p>
      <w:pPr>
        <w:spacing w:before="0" w:after="160"/>
        <w:jc w:val="center"/>
      </w:pPr>
      <w:r>
        <w:rPr>
          <w:rFonts w:ascii="Times New Roman" w:hAnsi="Times New Roman" w:eastAsia="Times New Roman"/>
          <w:b w:val="0"/>
          <w:i w:val="0"/>
          <w:sz w:val="22"/>
          <w:u w:val="none"/>
        </w:rPr>
        <w:t>────────────────────────────────────────────────────</w:t>
      </w:r>
    </w:p>
    <w:p>
      <w:pPr>
        <w:keepNext/>
        <w:spacing w:before="160" w:after="120"/>
        <w:jc w:val="left"/>
      </w:pPr>
      <w:r>
        <w:rPr>
          <w:rFonts w:ascii="Times New Roman" w:hAnsi="Times New Roman" w:eastAsia="Times New Roman"/>
          <w:b/>
          <w:i w:val="0"/>
          <w:sz w:val="23"/>
          <w:u w:val="single"/>
        </w:rPr>
        <w:t>I. Summary</w:t>
      </w:r>
    </w:p>
    <w:p>
      <w:pPr>
        <w:spacing w:before="0" w:after="120"/>
        <w:jc w:val="both"/>
      </w:pPr>
      <w:r>
        <w:rPr>
          <w:rFonts w:ascii="Times New Roman" w:hAnsi="Times New Roman" w:eastAsia="Times New Roman"/>
          <w:b w:val="0"/>
          <w:i w:val="0"/>
          <w:sz w:val="22"/>
          <w:u w:val="none"/>
        </w:rPr>
        <w:t xml:space="preserve">You asked me to prepare an employment agreement for Priya Venkataraman using the Company’s form Employment Agreement (the “Template”) and her executed offer letter dated June 9, 2025 (countersigned June 12, 2025) (the “Offer Letter”), and to flag changes, issues, and open items. The draft is delivered as </w:t>
      </w:r>
      <w:r>
        <w:rPr>
          <w:rFonts w:ascii="Times New Roman" w:hAnsi="Times New Roman" w:eastAsia="Times New Roman"/>
          <w:b/>
          <w:i w:val="0"/>
          <w:sz w:val="22"/>
          <w:u w:val="none"/>
        </w:rPr>
        <w:t>employment-agreement-draft.docx</w:t>
      </w:r>
      <w:r>
        <w:rPr>
          <w:rFonts w:ascii="Times New Roman" w:hAnsi="Times New Roman" w:eastAsia="Times New Roman"/>
          <w:b w:val="0"/>
          <w:i w:val="0"/>
          <w:sz w:val="22"/>
          <w:u w:val="none"/>
        </w:rPr>
        <w:t xml:space="preserve"> (the “Draft”). The Draft (1) conforms every economic and structural term to the Offer Letter, (2) supplies the definitions of “Cause,” “Good Reason,” and “Change of Control” that the Offer Letter expressly deferred to the Employment Agreement, and (3) removes or revises Template provisions that are unenforceable, or affirmatively unlawful, for a California-based employee. Bracketed text in the Draft marks items requiring client confirmation. The most significant points are:</w:t>
      </w:r>
    </w:p>
    <w:p>
      <w:pPr>
        <w:spacing w:before="0" w:after="120"/>
        <w:ind w:left="360"/>
        <w:jc w:val="both"/>
      </w:pPr>
      <w:r>
        <w:rPr>
          <w:rFonts w:ascii="Times New Roman" w:hAnsi="Times New Roman" w:eastAsia="Times New Roman"/>
          <w:b w:val="0"/>
          <w:i w:val="0"/>
          <w:sz w:val="22"/>
          <w:u w:val="none"/>
        </w:rPr>
        <w:t xml:space="preserve">•  </w:t>
      </w:r>
      <w:r>
        <w:rPr>
          <w:rFonts w:ascii="Times New Roman" w:hAnsi="Times New Roman" w:eastAsia="Times New Roman"/>
          <w:b/>
          <w:i w:val="0"/>
          <w:sz w:val="22"/>
          <w:u w:val="none"/>
        </w:rPr>
        <w:t>The Template materially under-delivers on the signed Offer Letter.</w:t>
      </w:r>
      <w:r>
        <w:rPr>
          <w:rFonts w:ascii="Times New Roman" w:hAnsi="Times New Roman" w:eastAsia="Times New Roman"/>
          <w:b w:val="0"/>
          <w:i w:val="0"/>
          <w:sz w:val="22"/>
          <w:u w:val="none"/>
        </w:rPr>
        <w:t xml:space="preserve"> It provides 6 months of salary continuation only on a without-Cause termination, no COBRA, no Good Reason protection, no change of control severance, and a placeholder for equity acceleration. The Offer Letter commits to 9 months’ salary and COBRA on a without-Cause or Good Reason termination, and an enhanced 12-month package (12 months’ salary, a lump-sum target bonus, 12 months’ COBRA, and 50% double-trigger equity acceleration) within 12 months after a Change of Control. Using the Template as-is would breach the Offer Letter and the supersession clause would purport to extinguish those rights. All have been conformed (Draft §§ 4.3, 7.2–7.5, 7.8).</w:t>
      </w:r>
    </w:p>
    <w:p>
      <w:pPr>
        <w:spacing w:before="0" w:after="120"/>
        <w:ind w:left="360"/>
        <w:jc w:val="both"/>
      </w:pPr>
      <w:r>
        <w:rPr>
          <w:rFonts w:ascii="Times New Roman" w:hAnsi="Times New Roman" w:eastAsia="Times New Roman"/>
          <w:b w:val="0"/>
          <w:i w:val="0"/>
          <w:sz w:val="22"/>
          <w:u w:val="none"/>
        </w:rPr>
        <w:t xml:space="preserve">•  </w:t>
      </w:r>
      <w:r>
        <w:rPr>
          <w:rFonts w:ascii="Times New Roman" w:hAnsi="Times New Roman" w:eastAsia="Times New Roman"/>
          <w:b/>
          <w:i w:val="0"/>
          <w:sz w:val="22"/>
          <w:u w:val="none"/>
        </w:rPr>
        <w:t>The Template’s equity terms are wrong.</w:t>
      </w:r>
      <w:r>
        <w:rPr>
          <w:rFonts w:ascii="Times New Roman" w:hAnsi="Times New Roman" w:eastAsia="Times New Roman"/>
          <w:b w:val="0"/>
          <w:i w:val="0"/>
          <w:sz w:val="22"/>
          <w:u w:val="none"/>
        </w:rPr>
        <w:t xml:space="preserve"> It references a “2017 Stock Option Plan” (the Offer Letter grants under the </w:t>
      </w:r>
      <w:r>
        <w:rPr>
          <w:rFonts w:ascii="Times New Roman" w:hAnsi="Times New Roman" w:eastAsia="Times New Roman"/>
          <w:b/>
          <w:i w:val="0"/>
          <w:sz w:val="22"/>
          <w:u w:val="none"/>
        </w:rPr>
        <w:t>2021 Equity Incentive Plan</w:t>
      </w:r>
      <w:r>
        <w:rPr>
          <w:rFonts w:ascii="Times New Roman" w:hAnsi="Times New Roman" w:eastAsia="Times New Roman"/>
          <w:b w:val="0"/>
          <w:i w:val="0"/>
          <w:sz w:val="22"/>
          <w:u w:val="none"/>
        </w:rPr>
        <w:t>, and RSUs cannot be granted under a stock option plan) and provides monthly 1/48th vesting with no cliff for both awards. The Offer Letter provides a one-year cliff for both awards, then monthly vesting for the Option and quarterly vesting for the RSUs. Corrected (Draft §§ 4.1, 4.2).</w:t>
      </w:r>
    </w:p>
    <w:p>
      <w:pPr>
        <w:spacing w:before="0" w:after="120"/>
        <w:ind w:left="360"/>
        <w:jc w:val="both"/>
      </w:pPr>
      <w:r>
        <w:rPr>
          <w:rFonts w:ascii="Times New Roman" w:hAnsi="Times New Roman" w:eastAsia="Times New Roman"/>
          <w:b w:val="0"/>
          <w:i w:val="0"/>
          <w:sz w:val="22"/>
          <w:u w:val="none"/>
        </w:rPr>
        <w:t xml:space="preserve">•  </w:t>
      </w:r>
      <w:r>
        <w:rPr>
          <w:rFonts w:ascii="Times New Roman" w:hAnsi="Times New Roman" w:eastAsia="Times New Roman"/>
          <w:b/>
          <w:i w:val="0"/>
          <w:sz w:val="22"/>
          <w:u w:val="none"/>
        </w:rPr>
        <w:t>Several Template provisions are unlawful or unenforceable in California and create affirmative liability</w:t>
      </w:r>
      <w:r>
        <w:rPr>
          <w:rFonts w:ascii="Times New Roman" w:hAnsi="Times New Roman" w:eastAsia="Times New Roman"/>
          <w:b w:val="0"/>
          <w:i w:val="0"/>
          <w:sz w:val="22"/>
          <w:u w:val="none"/>
        </w:rPr>
        <w:t>, most importantly the 12-month nationwide post-employment non-compete (void under Bus. &amp; Prof. Code § 16600; including it is itself unlawful under § 16600.5 and exposes the Company to a private action and attorneys’ fees), the post-employment employee and customer non-solicits, an invention assignment without the Labor Code § 2870 carve-out and notice, a 6-month post-termination garden leave, and an arbitration agreement that designates an unrecognized provider (“National Arbitration Council”), Wilmington, Delaware as the venue, equal cost-sharing, and confidential proceedings. Each is a recognized basis for a court to refuse enforcement of the entire arbitration agreement. All have been revised (Draft § 6; Exhibits A and C).</w:t>
      </w:r>
    </w:p>
    <w:p>
      <w:pPr>
        <w:spacing w:before="0" w:after="120"/>
        <w:ind w:left="360"/>
        <w:jc w:val="both"/>
      </w:pPr>
      <w:r>
        <w:rPr>
          <w:rFonts w:ascii="Times New Roman" w:hAnsi="Times New Roman" w:eastAsia="Times New Roman"/>
          <w:b w:val="0"/>
          <w:i w:val="0"/>
          <w:sz w:val="22"/>
          <w:u w:val="none"/>
        </w:rPr>
        <w:t xml:space="preserve">•  </w:t>
      </w:r>
      <w:r>
        <w:rPr>
          <w:rFonts w:ascii="Times New Roman" w:hAnsi="Times New Roman" w:eastAsia="Times New Roman"/>
          <w:b/>
          <w:i w:val="0"/>
          <w:sz w:val="22"/>
          <w:u w:val="none"/>
        </w:rPr>
        <w:t>The Offer Letter overstates the 401(k) match.</w:t>
      </w:r>
      <w:r>
        <w:rPr>
          <w:rFonts w:ascii="Times New Roman" w:hAnsi="Times New Roman" w:eastAsia="Times New Roman"/>
          <w:b w:val="0"/>
          <w:i w:val="0"/>
          <w:sz w:val="22"/>
          <w:u w:val="none"/>
        </w:rPr>
        <w:t xml:space="preserve"> It quotes a maximum annual Company match of $14,550 (3% of $485,000). Because the Code § 401(a)(17) compensation limit for 2025 is $350,000, the maximum match is approximately $10,500 (3% × $350,000), and lower if Ms. Venkataraman does not defer at least $21,000. The Draft omits the dollar figure and references IRS limits (§ 5.2). We recommend the Company correct this with her in writing before signing.</w:t>
      </w:r>
    </w:p>
    <w:p>
      <w:pPr>
        <w:spacing w:before="0" w:after="120"/>
        <w:ind w:left="360"/>
        <w:jc w:val="both"/>
      </w:pPr>
      <w:r>
        <w:rPr>
          <w:rFonts w:ascii="Times New Roman" w:hAnsi="Times New Roman" w:eastAsia="Times New Roman"/>
          <w:b w:val="0"/>
          <w:i w:val="0"/>
          <w:sz w:val="22"/>
          <w:u w:val="none"/>
        </w:rPr>
        <w:t xml:space="preserve">•  </w:t>
      </w:r>
      <w:r>
        <w:rPr>
          <w:rFonts w:ascii="Times New Roman" w:hAnsi="Times New Roman" w:eastAsia="Times New Roman"/>
          <w:b/>
          <w:i w:val="0"/>
          <w:sz w:val="22"/>
          <w:u w:val="none"/>
        </w:rPr>
        <w:t>Timing.</w:t>
      </w:r>
      <w:r>
        <w:rPr>
          <w:rFonts w:ascii="Times New Roman" w:hAnsi="Times New Roman" w:eastAsia="Times New Roman"/>
          <w:b w:val="0"/>
          <w:i w:val="0"/>
          <w:sz w:val="22"/>
          <w:u w:val="none"/>
        </w:rPr>
        <w:t xml:space="preserve"> The Offer Letter contemplates execution “prior to or on” the July 14, 2025 Start Date and states the Employment Agreement “will” be finalized before the start date. Please confirm where we are in that timeline. If she has already started, the effective date, the consideration recital, and the vesting commencement mechanics should be revisited (see Open Item 1).</w:t>
      </w:r>
    </w:p>
    <w:p>
      <w:pPr>
        <w:keepNext/>
        <w:spacing w:before="160" w:after="120"/>
        <w:jc w:val="left"/>
      </w:pPr>
      <w:r>
        <w:rPr>
          <w:rFonts w:ascii="Times New Roman" w:hAnsi="Times New Roman" w:eastAsia="Times New Roman"/>
          <w:b/>
          <w:i w:val="0"/>
          <w:sz w:val="23"/>
          <w:u w:val="single"/>
        </w:rPr>
        <w:t>II. Documents Reviewed and Approach</w:t>
      </w:r>
    </w:p>
    <w:p>
      <w:pPr>
        <w:spacing w:before="0" w:after="120"/>
        <w:jc w:val="both"/>
      </w:pPr>
      <w:r>
        <w:rPr>
          <w:rFonts w:ascii="Times New Roman" w:hAnsi="Times New Roman" w:eastAsia="Times New Roman"/>
          <w:b w:val="0"/>
          <w:i w:val="0"/>
          <w:sz w:val="22"/>
          <w:u w:val="none"/>
        </w:rPr>
        <w:t>I reviewed (a) the Offer Letter, which Marcus Whitfield (CEO) signed June 9, 2025 and Ms. Venkataraman accepted June 12, 2025, before the June 16, 2025 acceptance deadline; and (b) the Template, including Exhibit A (Confidentiality, IP Assignment, and Restrictive Covenant Agreement), Exhibit B (Prior Inventions), Exhibit C (Arbitration Agreement), and Exhibit D (Reserved). I have not reviewed the 2021 Equity Incentive Plan, the Company’s form award agreements, its benefit plan documents, its flexible time off policy, or any agreements between Ms. Venkataraman and prior employers. Several open items below depend on those documents.</w:t>
      </w:r>
    </w:p>
    <w:p>
      <w:pPr>
        <w:spacing w:before="0" w:after="120"/>
        <w:jc w:val="both"/>
      </w:pPr>
      <w:r>
        <w:rPr>
          <w:rFonts w:ascii="Times New Roman" w:hAnsi="Times New Roman" w:eastAsia="Times New Roman"/>
          <w:b w:val="0"/>
          <w:i w:val="0"/>
          <w:sz w:val="22"/>
          <w:u w:val="none"/>
        </w:rPr>
        <w:t>Ms. Venkataraman will work at the San Jose headquarters and lives in Cupertino. California law therefore governs the employment relationship regardless of the Company’s Delaware incorporation, and the Offer Letter itself selects California law. I treated the Offer Letter as the controlling commercial deal. Where the Offer Letter is silent, I generally kept the Template language unless it was unlawful, internally inconsistent, or inconsistent with the Offer Letter. Where I added protective or clarifying language not found in either document, it is flagged below. A tracked-changes comparison against the Template can be generated on request.</w:t>
      </w:r>
    </w:p>
    <w:p>
      <w:pPr>
        <w:keepNext/>
        <w:spacing w:before="160" w:after="120"/>
        <w:jc w:val="left"/>
      </w:pPr>
      <w:r>
        <w:rPr>
          <w:rFonts w:ascii="Times New Roman" w:hAnsi="Times New Roman" w:eastAsia="Times New Roman"/>
          <w:b/>
          <w:i w:val="0"/>
          <w:sz w:val="23"/>
          <w:u w:val="single"/>
        </w:rPr>
        <w:t>III. Conforming Changes: Offer Letter Terms Implemented in the Draft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shd w:val="clear" w:color="auto" w:fill="D9E2F3"/>
          </w:tcPr>
          <w:p>
            <w:r/>
            <w:r>
              <w:rPr>
                <w:rFonts w:ascii="Times New Roman" w:hAnsi="Times New Roman" w:eastAsia="Times New Roman"/>
                <w:b/>
                <w:i w:val="0"/>
                <w:sz w:val="17"/>
                <w:u w:val="none"/>
              </w:rPr>
              <w:t>Term</w:t>
            </w:r>
          </w:p>
        </w:tc>
        <w:tc>
          <w:tcPr>
            <w:tcW w:type="dxa" w:w="2808"/>
            <w:shd w:val="clear" w:color="auto" w:fill="D9E2F3"/>
          </w:tcPr>
          <w:p>
            <w:r/>
            <w:r>
              <w:rPr>
                <w:rFonts w:ascii="Times New Roman" w:hAnsi="Times New Roman" w:eastAsia="Times New Roman"/>
                <w:b/>
                <w:i w:val="0"/>
                <w:sz w:val="17"/>
                <w:u w:val="none"/>
              </w:rPr>
              <w:t>Offer Letter</w:t>
            </w:r>
          </w:p>
        </w:tc>
        <w:tc>
          <w:tcPr>
            <w:tcW w:type="dxa" w:w="2304"/>
            <w:shd w:val="clear" w:color="auto" w:fill="D9E2F3"/>
          </w:tcPr>
          <w:p>
            <w:r/>
            <w:r>
              <w:rPr>
                <w:rFonts w:ascii="Times New Roman" w:hAnsi="Times New Roman" w:eastAsia="Times New Roman"/>
                <w:b/>
                <w:i w:val="0"/>
                <w:sz w:val="17"/>
                <w:u w:val="none"/>
              </w:rPr>
              <w:t>Template</w:t>
            </w:r>
          </w:p>
        </w:tc>
        <w:tc>
          <w:tcPr>
            <w:tcW w:type="dxa" w:w="2808"/>
            <w:shd w:val="clear" w:color="auto" w:fill="D9E2F3"/>
          </w:tcPr>
          <w:p>
            <w:r/>
            <w:r>
              <w:rPr>
                <w:rFonts w:ascii="Times New Roman" w:hAnsi="Times New Roman" w:eastAsia="Times New Roman"/>
                <w:b/>
                <w:i w:val="0"/>
                <w:sz w:val="17"/>
                <w:u w:val="none"/>
              </w:rPr>
              <w:t>Draft Treatment</w:t>
            </w:r>
          </w:p>
        </w:tc>
      </w:tr>
      <w:tr>
        <w:tc>
          <w:tcPr>
            <w:tcW w:type="dxa" w:w="1440"/>
          </w:tcPr>
          <w:p>
            <w:r/>
            <w:r>
              <w:rPr>
                <w:rFonts w:ascii="Times New Roman" w:hAnsi="Times New Roman" w:eastAsia="Times New Roman"/>
                <w:b w:val="0"/>
                <w:i w:val="0"/>
                <w:sz w:val="17"/>
                <w:u w:val="none"/>
              </w:rPr>
              <w:t>Title / reporting</w:t>
            </w:r>
          </w:p>
        </w:tc>
        <w:tc>
          <w:tcPr>
            <w:tcW w:type="dxa" w:w="2808"/>
          </w:tcPr>
          <w:p>
            <w:r/>
            <w:r>
              <w:rPr>
                <w:rFonts w:ascii="Times New Roman" w:hAnsi="Times New Roman" w:eastAsia="Times New Roman"/>
                <w:b w:val="0"/>
                <w:i w:val="0"/>
                <w:sz w:val="17"/>
                <w:u w:val="none"/>
              </w:rPr>
              <w:t>SVP, Engineering; reports directly to CEO (§ I)</w:t>
            </w:r>
          </w:p>
        </w:tc>
        <w:tc>
          <w:tcPr>
            <w:tcW w:type="dxa" w:w="2304"/>
          </w:tcPr>
          <w:p>
            <w:r/>
            <w:r>
              <w:rPr>
                <w:rFonts w:ascii="Times New Roman" w:hAnsi="Times New Roman" w:eastAsia="Times New Roman"/>
                <w:b w:val="0"/>
                <w:i w:val="0"/>
                <w:sz w:val="17"/>
                <w:u w:val="none"/>
              </w:rPr>
              <w:t>[TITLE]; [REPORTING MANAGER]; Company may modify title, duties, and reporting at its discretion</w:t>
            </w:r>
          </w:p>
        </w:tc>
        <w:tc>
          <w:tcPr>
            <w:tcW w:type="dxa" w:w="2808"/>
          </w:tcPr>
          <w:p>
            <w:r/>
            <w:r>
              <w:rPr>
                <w:rFonts w:ascii="Times New Roman" w:hAnsi="Times New Roman" w:eastAsia="Times New Roman"/>
                <w:b w:val="0"/>
                <w:i w:val="0"/>
                <w:sz w:val="17"/>
                <w:u w:val="none"/>
              </w:rPr>
              <w:t>§ 1.1: SVP, Engineering, reporting directly to CEO; modification right made “subject to” Good Reason</w:t>
            </w:r>
          </w:p>
        </w:tc>
      </w:tr>
      <w:tr>
        <w:tc>
          <w:tcPr>
            <w:tcW w:type="dxa" w:w="1440"/>
          </w:tcPr>
          <w:p>
            <w:r/>
            <w:r>
              <w:rPr>
                <w:rFonts w:ascii="Times New Roman" w:hAnsi="Times New Roman" w:eastAsia="Times New Roman"/>
                <w:b w:val="0"/>
                <w:i w:val="0"/>
                <w:sz w:val="17"/>
                <w:u w:val="none"/>
              </w:rPr>
              <w:t>Location / hybrid</w:t>
            </w:r>
          </w:p>
        </w:tc>
        <w:tc>
          <w:tcPr>
            <w:tcW w:type="dxa" w:w="2808"/>
          </w:tcPr>
          <w:p>
            <w:r/>
            <w:r>
              <w:rPr>
                <w:rFonts w:ascii="Times New Roman" w:hAnsi="Times New Roman" w:eastAsia="Times New Roman"/>
                <w:b w:val="0"/>
                <w:i w:val="0"/>
                <w:sz w:val="17"/>
                <w:u w:val="none"/>
              </w:rPr>
              <w:t>1900 Technology Pkwy, Ste. 400, San Jose; minimum 3 days/week in office</w:t>
            </w:r>
          </w:p>
        </w:tc>
        <w:tc>
          <w:tcPr>
            <w:tcW w:type="dxa" w:w="2304"/>
          </w:tcPr>
          <w:p>
            <w:r/>
            <w:r>
              <w:rPr>
                <w:rFonts w:ascii="Times New Roman" w:hAnsi="Times New Roman" w:eastAsia="Times New Roman"/>
                <w:b w:val="0"/>
                <w:i w:val="0"/>
                <w:sz w:val="17"/>
                <w:u w:val="none"/>
              </w:rPr>
              <w:t>Bracketed</w:t>
            </w:r>
          </w:p>
        </w:tc>
        <w:tc>
          <w:tcPr>
            <w:tcW w:type="dxa" w:w="2808"/>
          </w:tcPr>
          <w:p>
            <w:r/>
            <w:r>
              <w:rPr>
                <w:rFonts w:ascii="Times New Roman" w:hAnsi="Times New Roman" w:eastAsia="Times New Roman"/>
                <w:b w:val="0"/>
                <w:i w:val="0"/>
                <w:sz w:val="17"/>
                <w:u w:val="none"/>
              </w:rPr>
              <w:t>§ 1.2: conformed; schedule changes subject to Good Reason (35-mile relocation trigger)</w:t>
            </w:r>
          </w:p>
        </w:tc>
      </w:tr>
      <w:tr>
        <w:tc>
          <w:tcPr>
            <w:tcW w:type="dxa" w:w="1440"/>
          </w:tcPr>
          <w:p>
            <w:r/>
            <w:r>
              <w:rPr>
                <w:rFonts w:ascii="Times New Roman" w:hAnsi="Times New Roman" w:eastAsia="Times New Roman"/>
                <w:b w:val="0"/>
                <w:i w:val="0"/>
                <w:sz w:val="17"/>
                <w:u w:val="none"/>
              </w:rPr>
              <w:t>Start date; FLSA status</w:t>
            </w:r>
          </w:p>
        </w:tc>
        <w:tc>
          <w:tcPr>
            <w:tcW w:type="dxa" w:w="2808"/>
          </w:tcPr>
          <w:p>
            <w:r/>
            <w:r>
              <w:rPr>
                <w:rFonts w:ascii="Times New Roman" w:hAnsi="Times New Roman" w:eastAsia="Times New Roman"/>
                <w:b w:val="0"/>
                <w:i w:val="0"/>
                <w:sz w:val="17"/>
                <w:u w:val="none"/>
              </w:rPr>
              <w:t>July 14, 2025; full-time, exempt</w:t>
            </w:r>
          </w:p>
        </w:tc>
        <w:tc>
          <w:tcPr>
            <w:tcW w:type="dxa" w:w="2304"/>
          </w:tcPr>
          <w:p>
            <w:r/>
            <w:r>
              <w:rPr>
                <w:rFonts w:ascii="Times New Roman" w:hAnsi="Times New Roman" w:eastAsia="Times New Roman"/>
                <w:b w:val="0"/>
                <w:i w:val="0"/>
                <w:sz w:val="17"/>
                <w:u w:val="none"/>
              </w:rPr>
              <w:t>Bracketed; no exempt-status clause</w:t>
            </w:r>
          </w:p>
        </w:tc>
        <w:tc>
          <w:tcPr>
            <w:tcW w:type="dxa" w:w="2808"/>
          </w:tcPr>
          <w:p>
            <w:r/>
            <w:r>
              <w:rPr>
                <w:rFonts w:ascii="Times New Roman" w:hAnsi="Times New Roman" w:eastAsia="Times New Roman"/>
                <w:b w:val="0"/>
                <w:i w:val="0"/>
                <w:sz w:val="17"/>
                <w:u w:val="none"/>
              </w:rPr>
              <w:t>§§ 1.4, 1.5</w:t>
            </w:r>
          </w:p>
        </w:tc>
      </w:tr>
      <w:tr>
        <w:tc>
          <w:tcPr>
            <w:tcW w:type="dxa" w:w="1440"/>
          </w:tcPr>
          <w:p>
            <w:r/>
            <w:r>
              <w:rPr>
                <w:rFonts w:ascii="Times New Roman" w:hAnsi="Times New Roman" w:eastAsia="Times New Roman"/>
                <w:b w:val="0"/>
                <w:i w:val="0"/>
                <w:sz w:val="17"/>
                <w:u w:val="none"/>
              </w:rPr>
              <w:t>Contingencies</w:t>
            </w:r>
          </w:p>
        </w:tc>
        <w:tc>
          <w:tcPr>
            <w:tcW w:type="dxa" w:w="2808"/>
          </w:tcPr>
          <w:p>
            <w:r/>
            <w:r>
              <w:rPr>
                <w:rFonts w:ascii="Times New Roman" w:hAnsi="Times New Roman" w:eastAsia="Times New Roman"/>
                <w:b w:val="0"/>
                <w:i w:val="0"/>
                <w:sz w:val="17"/>
                <w:u w:val="none"/>
              </w:rPr>
              <w:t>Background check; execution of Employment Agreement (confidentiality, IP, arbitration); I-9</w:t>
            </w:r>
          </w:p>
        </w:tc>
        <w:tc>
          <w:tcPr>
            <w:tcW w:type="dxa" w:w="2304"/>
          </w:tcPr>
          <w:p>
            <w:r/>
            <w:r>
              <w:rPr>
                <w:rFonts w:ascii="Times New Roman" w:hAnsi="Times New Roman" w:eastAsia="Times New Roman"/>
                <w:b w:val="0"/>
                <w:i w:val="0"/>
                <w:sz w:val="17"/>
                <w:u w:val="none"/>
              </w:rPr>
              <w:t>Not addressed</w:t>
            </w:r>
          </w:p>
        </w:tc>
        <w:tc>
          <w:tcPr>
            <w:tcW w:type="dxa" w:w="2808"/>
          </w:tcPr>
          <w:p>
            <w:r/>
            <w:r>
              <w:rPr>
                <w:rFonts w:ascii="Times New Roman" w:hAnsi="Times New Roman" w:eastAsia="Times New Roman"/>
                <w:b w:val="0"/>
                <w:i w:val="0"/>
                <w:sz w:val="17"/>
                <w:u w:val="none"/>
              </w:rPr>
              <w:t>§ 1.6 added, including FCRA / ICRAA / Fair Chance Act compliance</w:t>
            </w:r>
          </w:p>
        </w:tc>
      </w:tr>
      <w:tr>
        <w:tc>
          <w:tcPr>
            <w:tcW w:type="dxa" w:w="1440"/>
          </w:tcPr>
          <w:p>
            <w:r/>
            <w:r>
              <w:rPr>
                <w:rFonts w:ascii="Times New Roman" w:hAnsi="Times New Roman" w:eastAsia="Times New Roman"/>
                <w:b w:val="0"/>
                <w:i w:val="0"/>
                <w:sz w:val="17"/>
                <w:u w:val="none"/>
              </w:rPr>
              <w:t>Base salary</w:t>
            </w:r>
          </w:p>
        </w:tc>
        <w:tc>
          <w:tcPr>
            <w:tcW w:type="dxa" w:w="2808"/>
          </w:tcPr>
          <w:p>
            <w:r/>
            <w:r>
              <w:rPr>
                <w:rFonts w:ascii="Times New Roman" w:hAnsi="Times New Roman" w:eastAsia="Times New Roman"/>
                <w:b w:val="0"/>
                <w:i w:val="0"/>
                <w:sz w:val="17"/>
                <w:u w:val="none"/>
              </w:rPr>
              <w:t>$485,000; semi-monthly (24 pay periods)</w:t>
            </w:r>
          </w:p>
        </w:tc>
        <w:tc>
          <w:tcPr>
            <w:tcW w:type="dxa" w:w="2304"/>
          </w:tcPr>
          <w:p>
            <w:r/>
            <w:r>
              <w:rPr>
                <w:rFonts w:ascii="Times New Roman" w:hAnsi="Times New Roman" w:eastAsia="Times New Roman"/>
                <w:b w:val="0"/>
                <w:i w:val="0"/>
                <w:sz w:val="17"/>
                <w:u w:val="none"/>
              </w:rPr>
              <w:t>Bracketed; no-reduction protection</w:t>
            </w:r>
          </w:p>
        </w:tc>
        <w:tc>
          <w:tcPr>
            <w:tcW w:type="dxa" w:w="2808"/>
          </w:tcPr>
          <w:p>
            <w:r/>
            <w:r>
              <w:rPr>
                <w:rFonts w:ascii="Times New Roman" w:hAnsi="Times New Roman" w:eastAsia="Times New Roman"/>
                <w:b w:val="0"/>
                <w:i w:val="0"/>
                <w:sz w:val="17"/>
                <w:u w:val="none"/>
              </w:rPr>
              <w:t>§ 3.1: conformed; Template no-reduction protection retained</w:t>
            </w:r>
          </w:p>
        </w:tc>
      </w:tr>
      <w:tr>
        <w:tc>
          <w:tcPr>
            <w:tcW w:type="dxa" w:w="1440"/>
          </w:tcPr>
          <w:p>
            <w:r/>
            <w:r>
              <w:rPr>
                <w:rFonts w:ascii="Times New Roman" w:hAnsi="Times New Roman" w:eastAsia="Times New Roman"/>
                <w:b w:val="0"/>
                <w:i w:val="0"/>
                <w:sz w:val="17"/>
                <w:u w:val="none"/>
              </w:rPr>
              <w:t>Signing bonus</w:t>
            </w:r>
          </w:p>
        </w:tc>
        <w:tc>
          <w:tcPr>
            <w:tcW w:type="dxa" w:w="2808"/>
          </w:tcPr>
          <w:p>
            <w:r/>
            <w:r>
              <w:rPr>
                <w:rFonts w:ascii="Times New Roman" w:hAnsi="Times New Roman" w:eastAsia="Times New Roman"/>
                <w:b w:val="0"/>
                <w:i w:val="0"/>
                <w:sz w:val="17"/>
                <w:u w:val="none"/>
              </w:rPr>
              <w:t>$150,000 within 30 days of start; no repayment obligation</w:t>
            </w:r>
          </w:p>
        </w:tc>
        <w:tc>
          <w:tcPr>
            <w:tcW w:type="dxa" w:w="2304"/>
          </w:tcPr>
          <w:p>
            <w:r/>
            <w:r>
              <w:rPr>
                <w:rFonts w:ascii="Times New Roman" w:hAnsi="Times New Roman" w:eastAsia="Times New Roman"/>
                <w:b w:val="0"/>
                <w:i w:val="0"/>
                <w:sz w:val="17"/>
                <w:u w:val="none"/>
              </w:rPr>
              <w:t>Bracketed; requires active employment on payment date</w:t>
            </w:r>
          </w:p>
        </w:tc>
        <w:tc>
          <w:tcPr>
            <w:tcW w:type="dxa" w:w="2808"/>
          </w:tcPr>
          <w:p>
            <w:r/>
            <w:r>
              <w:rPr>
                <w:rFonts w:ascii="Times New Roman" w:hAnsi="Times New Roman" w:eastAsia="Times New Roman"/>
                <w:b w:val="0"/>
                <w:i w:val="0"/>
                <w:sz w:val="17"/>
                <w:u w:val="none"/>
              </w:rPr>
              <w:t>§ 3.2: conformed. Active-employment condition retained (not in Offer Letter, but low risk given the 30-day window). Clarified that the bonus is not repayable, consistent with the Offer Letter</w:t>
            </w:r>
          </w:p>
        </w:tc>
      </w:tr>
      <w:tr>
        <w:tc>
          <w:tcPr>
            <w:tcW w:type="dxa" w:w="1440"/>
          </w:tcPr>
          <w:p>
            <w:r/>
            <w:r>
              <w:rPr>
                <w:rFonts w:ascii="Times New Roman" w:hAnsi="Times New Roman" w:eastAsia="Times New Roman"/>
                <w:b w:val="0"/>
                <w:i w:val="0"/>
                <w:sz w:val="17"/>
                <w:u w:val="none"/>
              </w:rPr>
              <w:t>Annual bonus</w:t>
            </w:r>
          </w:p>
        </w:tc>
        <w:tc>
          <w:tcPr>
            <w:tcW w:type="dxa" w:w="2808"/>
          </w:tcPr>
          <w:p>
            <w:r/>
            <w:r>
              <w:rPr>
                <w:rFonts w:ascii="Times New Roman" w:hAnsi="Times New Roman" w:eastAsia="Times New Roman"/>
                <w:b w:val="0"/>
                <w:i w:val="0"/>
                <w:sz w:val="17"/>
                <w:u w:val="none"/>
              </w:rPr>
              <w:t>Target 40% ($194,000); max 60% ($291,000); discretionary, set by CEO and Board; 2025 pro-rated; paid in Q1 of the following year; must be employed on payment date</w:t>
            </w:r>
          </w:p>
        </w:tc>
        <w:tc>
          <w:tcPr>
            <w:tcW w:type="dxa" w:w="2304"/>
          </w:tcPr>
          <w:p>
            <w:r/>
            <w:r>
              <w:rPr>
                <w:rFonts w:ascii="Times New Roman" w:hAnsi="Times New Roman" w:eastAsia="Times New Roman"/>
                <w:b w:val="0"/>
                <w:i w:val="0"/>
                <w:sz w:val="17"/>
                <w:u w:val="none"/>
              </w:rPr>
              <w:t>Target bracketed; no maximum; set by Board/Comp Committee; paid by March 15; pro-rated by days/365</w:t>
            </w:r>
          </w:p>
        </w:tc>
        <w:tc>
          <w:tcPr>
            <w:tcW w:type="dxa" w:w="2808"/>
          </w:tcPr>
          <w:p>
            <w:r/>
            <w:r>
              <w:rPr>
                <w:rFonts w:ascii="Times New Roman" w:hAnsi="Times New Roman" w:eastAsia="Times New Roman"/>
                <w:b w:val="0"/>
                <w:i w:val="0"/>
                <w:sz w:val="17"/>
                <w:u w:val="none"/>
              </w:rPr>
              <w:t>§ 3.3: added 60% maximum and dollar figures; Board/Comp Committee “in consultation with the CEO”; paid in Q1 and no later than March 15 (keeps short-term deferral treatment). Estimated 2025 pro-ration: 171/365 days × $194,000 ≈ $90,888 at target</w:t>
            </w:r>
          </w:p>
        </w:tc>
      </w:tr>
      <w:tr>
        <w:tc>
          <w:tcPr>
            <w:tcW w:type="dxa" w:w="1440"/>
          </w:tcPr>
          <w:p>
            <w:r/>
            <w:r>
              <w:rPr>
                <w:rFonts w:ascii="Times New Roman" w:hAnsi="Times New Roman" w:eastAsia="Times New Roman"/>
                <w:b w:val="0"/>
                <w:i w:val="0"/>
                <w:sz w:val="17"/>
                <w:u w:val="none"/>
              </w:rPr>
              <w:t>RSUs</w:t>
            </w:r>
          </w:p>
        </w:tc>
        <w:tc>
          <w:tcPr>
            <w:tcW w:type="dxa" w:w="2808"/>
          </w:tcPr>
          <w:p>
            <w:r/>
            <w:r>
              <w:rPr>
                <w:rFonts w:ascii="Times New Roman" w:hAnsi="Times New Roman" w:eastAsia="Times New Roman"/>
                <w:b w:val="0"/>
                <w:i w:val="0"/>
                <w:sz w:val="17"/>
                <w:u w:val="none"/>
              </w:rPr>
              <w:t>120,000 under 2021 Plan; 25% (30,000) at 1-year cliff, then 7,500 per quarter for 12 quarters</w:t>
            </w:r>
          </w:p>
        </w:tc>
        <w:tc>
          <w:tcPr>
            <w:tcW w:type="dxa" w:w="2304"/>
          </w:tcPr>
          <w:p>
            <w:r/>
            <w:r>
              <w:rPr>
                <w:rFonts w:ascii="Times New Roman" w:hAnsi="Times New Roman" w:eastAsia="Times New Roman"/>
                <w:b w:val="0"/>
                <w:i w:val="0"/>
                <w:sz w:val="17"/>
                <w:u w:val="none"/>
              </w:rPr>
              <w:t>“2017 Stock Option Plan”; 1/48 monthly vesting, no cliff</w:t>
            </w:r>
          </w:p>
        </w:tc>
        <w:tc>
          <w:tcPr>
            <w:tcW w:type="dxa" w:w="2808"/>
          </w:tcPr>
          <w:p>
            <w:r/>
            <w:r>
              <w:rPr>
                <w:rFonts w:ascii="Times New Roman" w:hAnsi="Times New Roman" w:eastAsia="Times New Roman"/>
                <w:b w:val="0"/>
                <w:i w:val="0"/>
                <w:sz w:val="17"/>
                <w:u w:val="none"/>
              </w:rPr>
              <w:t>§ 4.2: corrected plan name and schedule (30,000 + 12 × 7,500 = 120,000; fully vested August 1, 2029)</w:t>
            </w:r>
          </w:p>
        </w:tc>
      </w:tr>
      <w:tr>
        <w:tc>
          <w:tcPr>
            <w:tcW w:type="dxa" w:w="1440"/>
          </w:tcPr>
          <w:p>
            <w:r/>
            <w:r>
              <w:rPr>
                <w:rFonts w:ascii="Times New Roman" w:hAnsi="Times New Roman" w:eastAsia="Times New Roman"/>
                <w:b w:val="0"/>
                <w:i w:val="0"/>
                <w:sz w:val="17"/>
                <w:u w:val="none"/>
              </w:rPr>
              <w:t>Stock options</w:t>
            </w:r>
          </w:p>
        </w:tc>
        <w:tc>
          <w:tcPr>
            <w:tcW w:type="dxa" w:w="2808"/>
          </w:tcPr>
          <w:p>
            <w:r/>
            <w:r>
              <w:rPr>
                <w:rFonts w:ascii="Times New Roman" w:hAnsi="Times New Roman" w:eastAsia="Times New Roman"/>
                <w:b w:val="0"/>
                <w:i w:val="0"/>
                <w:sz w:val="17"/>
                <w:u w:val="none"/>
              </w:rPr>
              <w:t>60,000 shares; ISO to the extent permitted, otherwise NSO; FMV exercise price; 1-year cliff (15,000), then 1,250 per month for 36 months</w:t>
            </w:r>
          </w:p>
        </w:tc>
        <w:tc>
          <w:tcPr>
            <w:tcW w:type="dxa" w:w="2304"/>
          </w:tcPr>
          <w:p>
            <w:r/>
            <w:r>
              <w:rPr>
                <w:rFonts w:ascii="Times New Roman" w:hAnsi="Times New Roman" w:eastAsia="Times New Roman"/>
                <w:b w:val="0"/>
                <w:i w:val="0"/>
                <w:sz w:val="17"/>
                <w:u w:val="none"/>
              </w:rPr>
              <w:t>Monthly 1/48 vesting, no cliff</w:t>
            </w:r>
          </w:p>
        </w:tc>
        <w:tc>
          <w:tcPr>
            <w:tcW w:type="dxa" w:w="2808"/>
          </w:tcPr>
          <w:p>
            <w:r/>
            <w:r>
              <w:rPr>
                <w:rFonts w:ascii="Times New Roman" w:hAnsi="Times New Roman" w:eastAsia="Times New Roman"/>
                <w:b w:val="0"/>
                <w:i w:val="0"/>
                <w:sz w:val="17"/>
                <w:u w:val="none"/>
              </w:rPr>
              <w:t>§ 4.1: corrected (15,000 + 36 × 1,250 = 60,000); express § 422(d) $100,000 limitation reference; grant recommended at the first Board/Committee action after the Start Date</w:t>
            </w:r>
          </w:p>
        </w:tc>
      </w:tr>
      <w:tr>
        <w:tc>
          <w:tcPr>
            <w:tcW w:type="dxa" w:w="1440"/>
          </w:tcPr>
          <w:p>
            <w:r/>
            <w:r>
              <w:rPr>
                <w:rFonts w:ascii="Times New Roman" w:hAnsi="Times New Roman" w:eastAsia="Times New Roman"/>
                <w:b w:val="0"/>
                <w:i w:val="0"/>
                <w:sz w:val="17"/>
                <w:u w:val="none"/>
              </w:rPr>
              <w:t>Vesting Commencement Date</w:t>
            </w:r>
          </w:p>
        </w:tc>
        <w:tc>
          <w:tcPr>
            <w:tcW w:type="dxa" w:w="2808"/>
          </w:tcPr>
          <w:p>
            <w:r/>
            <w:r>
              <w:rPr>
                <w:rFonts w:ascii="Times New Roman" w:hAnsi="Times New Roman" w:eastAsia="Times New Roman"/>
                <w:b w:val="0"/>
                <w:i w:val="0"/>
                <w:sz w:val="17"/>
                <w:u w:val="none"/>
              </w:rPr>
              <w:t>August 1, 2025 (first of month after start)</w:t>
            </w:r>
          </w:p>
        </w:tc>
        <w:tc>
          <w:tcPr>
            <w:tcW w:type="dxa" w:w="2304"/>
          </w:tcPr>
          <w:p>
            <w:r/>
            <w:r>
              <w:rPr>
                <w:rFonts w:ascii="Times New Roman" w:hAnsi="Times New Roman" w:eastAsia="Times New Roman"/>
                <w:b w:val="0"/>
                <w:i w:val="0"/>
                <w:sz w:val="17"/>
                <w:u w:val="none"/>
              </w:rPr>
              <w:t>Bracketed</w:t>
            </w:r>
          </w:p>
        </w:tc>
        <w:tc>
          <w:tcPr>
            <w:tcW w:type="dxa" w:w="2808"/>
          </w:tcPr>
          <w:p>
            <w:r/>
            <w:r>
              <w:rPr>
                <w:rFonts w:ascii="Times New Roman" w:hAnsi="Times New Roman" w:eastAsia="Times New Roman"/>
                <w:b w:val="0"/>
                <w:i w:val="0"/>
                <w:sz w:val="17"/>
                <w:u w:val="none"/>
              </w:rPr>
              <w:t>§ 4.1 (applies to both awards)</w:t>
            </w:r>
          </w:p>
        </w:tc>
      </w:tr>
      <w:tr>
        <w:tc>
          <w:tcPr>
            <w:tcW w:type="dxa" w:w="1440"/>
          </w:tcPr>
          <w:p>
            <w:r/>
            <w:r>
              <w:rPr>
                <w:rFonts w:ascii="Times New Roman" w:hAnsi="Times New Roman" w:eastAsia="Times New Roman"/>
                <w:b w:val="0"/>
                <w:i w:val="0"/>
                <w:sz w:val="17"/>
                <w:u w:val="none"/>
              </w:rPr>
              <w:t>CoC acceleration</w:t>
            </w:r>
          </w:p>
        </w:tc>
        <w:tc>
          <w:tcPr>
            <w:tcW w:type="dxa" w:w="2808"/>
          </w:tcPr>
          <w:p>
            <w:r/>
            <w:r>
              <w:rPr>
                <w:rFonts w:ascii="Times New Roman" w:hAnsi="Times New Roman" w:eastAsia="Times New Roman"/>
                <w:b w:val="0"/>
                <w:i w:val="0"/>
                <w:sz w:val="17"/>
                <w:u w:val="none"/>
              </w:rPr>
              <w:t>Double-trigger: 50% of then-unvested equity on a termination without Cause or resignation for Good Reason within 12 months after a CoC</w:t>
            </w:r>
          </w:p>
        </w:tc>
        <w:tc>
          <w:tcPr>
            <w:tcW w:type="dxa" w:w="2304"/>
          </w:tcPr>
          <w:p>
            <w:r/>
            <w:r>
              <w:rPr>
                <w:rFonts w:ascii="Times New Roman" w:hAnsi="Times New Roman" w:eastAsia="Times New Roman"/>
                <w:b w:val="0"/>
                <w:i w:val="0"/>
                <w:sz w:val="17"/>
                <w:u w:val="none"/>
              </w:rPr>
              <w:t>Placeholder (“single-trigger, double-trigger, percentage”); CoC definition missing</w:t>
            </w:r>
          </w:p>
        </w:tc>
        <w:tc>
          <w:tcPr>
            <w:tcW w:type="dxa" w:w="2808"/>
          </w:tcPr>
          <w:p>
            <w:r/>
            <w:r>
              <w:rPr>
                <w:rFonts w:ascii="Times New Roman" w:hAnsi="Times New Roman" w:eastAsia="Times New Roman"/>
                <w:b w:val="0"/>
                <w:i w:val="0"/>
                <w:sz w:val="17"/>
                <w:u w:val="none"/>
              </w:rPr>
              <w:t>§ 4.3: 50% of all then-unvested outstanding awards, conditioned on release; awards stay outstanding through the release period; [performance awards at target] bracketed; CoC definition in § 7.8(a)</w:t>
            </w:r>
          </w:p>
        </w:tc>
      </w:tr>
      <w:tr>
        <w:tc>
          <w:tcPr>
            <w:tcW w:type="dxa" w:w="1440"/>
          </w:tcPr>
          <w:p>
            <w:r/>
            <w:r>
              <w:rPr>
                <w:rFonts w:ascii="Times New Roman" w:hAnsi="Times New Roman" w:eastAsia="Times New Roman"/>
                <w:b w:val="0"/>
                <w:i w:val="0"/>
                <w:sz w:val="17"/>
                <w:u w:val="none"/>
              </w:rPr>
              <w:t>Non-CoC severance</w:t>
            </w:r>
          </w:p>
        </w:tc>
        <w:tc>
          <w:tcPr>
            <w:tcW w:type="dxa" w:w="2808"/>
          </w:tcPr>
          <w:p>
            <w:r/>
            <w:r>
              <w:rPr>
                <w:rFonts w:ascii="Times New Roman" w:hAnsi="Times New Roman" w:eastAsia="Times New Roman"/>
                <w:b w:val="0"/>
                <w:i w:val="0"/>
                <w:sz w:val="17"/>
                <w:u w:val="none"/>
              </w:rPr>
              <w:t>Without Cause / Good Reason: 9 months’ salary continuation ($363,750) + up to 9 months’ COBRA reimbursement; release within 60 days</w:t>
            </w:r>
          </w:p>
        </w:tc>
        <w:tc>
          <w:tcPr>
            <w:tcW w:type="dxa" w:w="2304"/>
          </w:tcPr>
          <w:p>
            <w:r/>
            <w:r>
              <w:rPr>
                <w:rFonts w:ascii="Times New Roman" w:hAnsi="Times New Roman" w:eastAsia="Times New Roman"/>
                <w:b w:val="0"/>
                <w:i w:val="0"/>
                <w:sz w:val="17"/>
                <w:u w:val="none"/>
              </w:rPr>
              <w:t>6 months’ salary only; without Cause only; no COBRA</w:t>
            </w:r>
          </w:p>
        </w:tc>
        <w:tc>
          <w:tcPr>
            <w:tcW w:type="dxa" w:w="2808"/>
          </w:tcPr>
          <w:p>
            <w:r/>
            <w:r>
              <w:rPr>
                <w:rFonts w:ascii="Times New Roman" w:hAnsi="Times New Roman" w:eastAsia="Times New Roman"/>
                <w:b w:val="0"/>
                <w:i w:val="0"/>
                <w:sz w:val="17"/>
                <w:u w:val="none"/>
              </w:rPr>
              <w:t>§§ 7.2, 7.4, 7.5: conformed</w:t>
            </w:r>
          </w:p>
        </w:tc>
      </w:tr>
      <w:tr>
        <w:tc>
          <w:tcPr>
            <w:tcW w:type="dxa" w:w="1440"/>
          </w:tcPr>
          <w:p>
            <w:r/>
            <w:r>
              <w:rPr>
                <w:rFonts w:ascii="Times New Roman" w:hAnsi="Times New Roman" w:eastAsia="Times New Roman"/>
                <w:b w:val="0"/>
                <w:i w:val="0"/>
                <w:sz w:val="17"/>
                <w:u w:val="none"/>
              </w:rPr>
              <w:t>CoC severance</w:t>
            </w:r>
          </w:p>
        </w:tc>
        <w:tc>
          <w:tcPr>
            <w:tcW w:type="dxa" w:w="2808"/>
          </w:tcPr>
          <w:p>
            <w:r/>
            <w:r>
              <w:rPr>
                <w:rFonts w:ascii="Times New Roman" w:hAnsi="Times New Roman" w:eastAsia="Times New Roman"/>
                <w:b w:val="0"/>
                <w:i w:val="0"/>
                <w:sz w:val="17"/>
                <w:u w:val="none"/>
              </w:rPr>
              <w:t>Within 12 months after CoC, in lieu of non-CoC: 12 months’ salary ($485,000) + lump-sum target bonus ($194,000) + 12 months’ COBRA + 50% acceleration; total cash $679,000; release required</w:t>
            </w:r>
          </w:p>
        </w:tc>
        <w:tc>
          <w:tcPr>
            <w:tcW w:type="dxa" w:w="2304"/>
          </w:tcPr>
          <w:p>
            <w:r/>
            <w:r>
              <w:rPr>
                <w:rFonts w:ascii="Times New Roman" w:hAnsi="Times New Roman" w:eastAsia="Times New Roman"/>
                <w:b w:val="0"/>
                <w:i w:val="0"/>
                <w:sz w:val="17"/>
                <w:u w:val="none"/>
              </w:rPr>
              <w:t>Not addressed</w:t>
            </w:r>
          </w:p>
        </w:tc>
        <w:tc>
          <w:tcPr>
            <w:tcW w:type="dxa" w:w="2808"/>
          </w:tcPr>
          <w:p>
            <w:r/>
            <w:r>
              <w:rPr>
                <w:rFonts w:ascii="Times New Roman" w:hAnsi="Times New Roman" w:eastAsia="Times New Roman"/>
                <w:b w:val="0"/>
                <w:i w:val="0"/>
                <w:sz w:val="17"/>
                <w:u w:val="none"/>
              </w:rPr>
              <w:t>§ 7.3: conformed; non-duplication in §§ 7.3 and 7.9</w:t>
            </w:r>
          </w:p>
        </w:tc>
      </w:tr>
      <w:tr>
        <w:tc>
          <w:tcPr>
            <w:tcW w:type="dxa" w:w="1440"/>
          </w:tcPr>
          <w:p>
            <w:r/>
            <w:r>
              <w:rPr>
                <w:rFonts w:ascii="Times New Roman" w:hAnsi="Times New Roman" w:eastAsia="Times New Roman"/>
                <w:b w:val="0"/>
                <w:i w:val="0"/>
                <w:sz w:val="17"/>
                <w:u w:val="none"/>
              </w:rPr>
              <w:t>Health plan</w:t>
            </w:r>
          </w:p>
        </w:tc>
        <w:tc>
          <w:tcPr>
            <w:tcW w:type="dxa" w:w="2808"/>
          </w:tcPr>
          <w:p>
            <w:r/>
            <w:r>
              <w:rPr>
                <w:rFonts w:ascii="Times New Roman" w:hAnsi="Times New Roman" w:eastAsia="Times New Roman"/>
                <w:b w:val="0"/>
                <w:i w:val="0"/>
                <w:sz w:val="17"/>
                <w:u w:val="none"/>
              </w:rPr>
              <w:t>Castellan Wellness Plus Plan from start date; Greystone Benefits Administration, Inc.</w:t>
            </w:r>
          </w:p>
        </w:tc>
        <w:tc>
          <w:tcPr>
            <w:tcW w:type="dxa" w:w="2304"/>
          </w:tcPr>
          <w:p>
            <w:r/>
            <w:r>
              <w:rPr>
                <w:rFonts w:ascii="Times New Roman" w:hAnsi="Times New Roman" w:eastAsia="Times New Roman"/>
                <w:b w:val="0"/>
                <w:i w:val="0"/>
                <w:sz w:val="17"/>
                <w:u w:val="none"/>
              </w:rPr>
              <w:t>Generic</w:t>
            </w:r>
          </w:p>
        </w:tc>
        <w:tc>
          <w:tcPr>
            <w:tcW w:type="dxa" w:w="2808"/>
          </w:tcPr>
          <w:p>
            <w:r/>
            <w:r>
              <w:rPr>
                <w:rFonts w:ascii="Times New Roman" w:hAnsi="Times New Roman" w:eastAsia="Times New Roman"/>
                <w:b w:val="0"/>
                <w:i w:val="0"/>
                <w:sz w:val="17"/>
                <w:u w:val="none"/>
              </w:rPr>
              <w:t>§ 5.1: named as current plan; Company’s amendment rights retained</w:t>
            </w:r>
          </w:p>
        </w:tc>
      </w:tr>
      <w:tr>
        <w:tc>
          <w:tcPr>
            <w:tcW w:type="dxa" w:w="1440"/>
          </w:tcPr>
          <w:p>
            <w:r/>
            <w:r>
              <w:rPr>
                <w:rFonts w:ascii="Times New Roman" w:hAnsi="Times New Roman" w:eastAsia="Times New Roman"/>
                <w:b w:val="0"/>
                <w:i w:val="0"/>
                <w:sz w:val="17"/>
                <w:u w:val="none"/>
              </w:rPr>
              <w:t>401(k)</w:t>
            </w:r>
          </w:p>
        </w:tc>
        <w:tc>
          <w:tcPr>
            <w:tcW w:type="dxa" w:w="2808"/>
          </w:tcPr>
          <w:p>
            <w:r/>
            <w:r>
              <w:rPr>
                <w:rFonts w:ascii="Times New Roman" w:hAnsi="Times New Roman" w:eastAsia="Times New Roman"/>
                <w:b w:val="0"/>
                <w:i w:val="0"/>
                <w:sz w:val="17"/>
                <w:u w:val="none"/>
              </w:rPr>
              <w:t>50% match up to 6% of base salary (stated maximum $14,550)</w:t>
            </w:r>
          </w:p>
        </w:tc>
        <w:tc>
          <w:tcPr>
            <w:tcW w:type="dxa" w:w="2304"/>
          </w:tcPr>
          <w:p>
            <w:r/>
            <w:r>
              <w:rPr>
                <w:rFonts w:ascii="Times New Roman" w:hAnsi="Times New Roman" w:eastAsia="Times New Roman"/>
                <w:b w:val="0"/>
                <w:i w:val="0"/>
                <w:sz w:val="17"/>
                <w:u w:val="none"/>
              </w:rPr>
              <w:t>Bracketed percentages; subject to IRS limits</w:t>
            </w:r>
          </w:p>
        </w:tc>
        <w:tc>
          <w:tcPr>
            <w:tcW w:type="dxa" w:w="2808"/>
          </w:tcPr>
          <w:p>
            <w:r/>
            <w:r>
              <w:rPr>
                <w:rFonts w:ascii="Times New Roman" w:hAnsi="Times New Roman" w:eastAsia="Times New Roman"/>
                <w:b w:val="0"/>
                <w:i w:val="0"/>
                <w:sz w:val="17"/>
                <w:u w:val="none"/>
              </w:rPr>
              <w:t>§ 5.2: 50% / 6%; dollar figure omitted (see Part V.1)</w:t>
            </w:r>
          </w:p>
        </w:tc>
      </w:tr>
      <w:tr>
        <w:tc>
          <w:tcPr>
            <w:tcW w:type="dxa" w:w="1440"/>
          </w:tcPr>
          <w:p>
            <w:r/>
            <w:r>
              <w:rPr>
                <w:rFonts w:ascii="Times New Roman" w:hAnsi="Times New Roman" w:eastAsia="Times New Roman"/>
                <w:b w:val="0"/>
                <w:i w:val="0"/>
                <w:sz w:val="17"/>
                <w:u w:val="none"/>
              </w:rPr>
              <w:t>Life insurance</w:t>
            </w:r>
          </w:p>
        </w:tc>
        <w:tc>
          <w:tcPr>
            <w:tcW w:type="dxa" w:w="2808"/>
          </w:tcPr>
          <w:p>
            <w:r/>
            <w:r>
              <w:rPr>
                <w:rFonts w:ascii="Times New Roman" w:hAnsi="Times New Roman" w:eastAsia="Times New Roman"/>
                <w:b w:val="0"/>
                <w:i w:val="0"/>
                <w:sz w:val="17"/>
                <w:u w:val="none"/>
              </w:rPr>
              <w:t>$500,000 supplemental life under Executive Life Program</w:t>
            </w:r>
          </w:p>
        </w:tc>
        <w:tc>
          <w:tcPr>
            <w:tcW w:type="dxa" w:w="2304"/>
          </w:tcPr>
          <w:p>
            <w:r/>
            <w:r>
              <w:rPr>
                <w:rFonts w:ascii="Times New Roman" w:hAnsi="Times New Roman" w:eastAsia="Times New Roman"/>
                <w:b w:val="0"/>
                <w:i w:val="0"/>
                <w:sz w:val="17"/>
                <w:u w:val="none"/>
              </w:rPr>
              <w:t>Generic group life</w:t>
            </w:r>
          </w:p>
        </w:tc>
        <w:tc>
          <w:tcPr>
            <w:tcW w:type="dxa" w:w="2808"/>
          </w:tcPr>
          <w:p>
            <w:r/>
            <w:r>
              <w:rPr>
                <w:rFonts w:ascii="Times New Roman" w:hAnsi="Times New Roman" w:eastAsia="Times New Roman"/>
                <w:b w:val="0"/>
                <w:i w:val="0"/>
                <w:sz w:val="17"/>
                <w:u w:val="none"/>
              </w:rPr>
              <w:t>§ 5.3: added, subject to policy terms and underwriting</w:t>
            </w:r>
          </w:p>
        </w:tc>
      </w:tr>
      <w:tr>
        <w:tc>
          <w:tcPr>
            <w:tcW w:type="dxa" w:w="1440"/>
          </w:tcPr>
          <w:p>
            <w:r/>
            <w:r>
              <w:rPr>
                <w:rFonts w:ascii="Times New Roman" w:hAnsi="Times New Roman" w:eastAsia="Times New Roman"/>
                <w:b w:val="0"/>
                <w:i w:val="0"/>
                <w:sz w:val="17"/>
                <w:u w:val="none"/>
              </w:rPr>
              <w:t>PTO</w:t>
            </w:r>
          </w:p>
        </w:tc>
        <w:tc>
          <w:tcPr>
            <w:tcW w:type="dxa" w:w="2808"/>
          </w:tcPr>
          <w:p>
            <w:r/>
            <w:r>
              <w:rPr>
                <w:rFonts w:ascii="Times New Roman" w:hAnsi="Times New Roman" w:eastAsia="Times New Roman"/>
                <w:b w:val="0"/>
                <w:i w:val="0"/>
                <w:sz w:val="17"/>
                <w:u w:val="none"/>
              </w:rPr>
              <w:t>Flexible time off, no fixed accrual, subject to manager approval and business needs</w:t>
            </w:r>
          </w:p>
        </w:tc>
        <w:tc>
          <w:tcPr>
            <w:tcW w:type="dxa" w:w="2304"/>
          </w:tcPr>
          <w:p>
            <w:r/>
            <w:r>
              <w:rPr>
                <w:rFonts w:ascii="Times New Roman" w:hAnsi="Times New Roman" w:eastAsia="Times New Roman"/>
                <w:b w:val="0"/>
                <w:i w:val="0"/>
                <w:sz w:val="17"/>
                <w:u w:val="none"/>
              </w:rPr>
              <w:t>Alternative brackets</w:t>
            </w:r>
          </w:p>
        </w:tc>
        <w:tc>
          <w:tcPr>
            <w:tcW w:type="dxa" w:w="2808"/>
          </w:tcPr>
          <w:p>
            <w:r/>
            <w:r>
              <w:rPr>
                <w:rFonts w:ascii="Times New Roman" w:hAnsi="Times New Roman" w:eastAsia="Times New Roman"/>
                <w:b w:val="0"/>
                <w:i w:val="0"/>
                <w:sz w:val="17"/>
                <w:u w:val="none"/>
              </w:rPr>
              <w:t>§ 5.4: flexible option selected; California payout and sick-leave language added (see Part IV)</w:t>
            </w:r>
          </w:p>
        </w:tc>
      </w:tr>
      <w:tr>
        <w:tc>
          <w:tcPr>
            <w:tcW w:type="dxa" w:w="1440"/>
          </w:tcPr>
          <w:p>
            <w:r/>
            <w:r>
              <w:rPr>
                <w:rFonts w:ascii="Times New Roman" w:hAnsi="Times New Roman" w:eastAsia="Times New Roman"/>
                <w:b w:val="0"/>
                <w:i w:val="0"/>
                <w:sz w:val="17"/>
                <w:u w:val="none"/>
              </w:rPr>
              <w:t>At-will</w:t>
            </w:r>
          </w:p>
        </w:tc>
        <w:tc>
          <w:tcPr>
            <w:tcW w:type="dxa" w:w="2808"/>
          </w:tcPr>
          <w:p>
            <w:r/>
            <w:r>
              <w:rPr>
                <w:rFonts w:ascii="Times New Roman" w:hAnsi="Times New Roman" w:eastAsia="Times New Roman"/>
                <w:b w:val="0"/>
                <w:i w:val="0"/>
                <w:sz w:val="17"/>
                <w:u w:val="none"/>
              </w:rPr>
              <w:t>At will, with or without cause or notice, subject to severance</w:t>
            </w:r>
          </w:p>
        </w:tc>
        <w:tc>
          <w:tcPr>
            <w:tcW w:type="dxa" w:w="2304"/>
          </w:tcPr>
          <w:p>
            <w:r/>
            <w:r>
              <w:rPr>
                <w:rFonts w:ascii="Times New Roman" w:hAnsi="Times New Roman" w:eastAsia="Times New Roman"/>
                <w:b w:val="0"/>
                <w:i w:val="0"/>
                <w:sz w:val="17"/>
                <w:u w:val="none"/>
              </w:rPr>
              <w:t>At-will; 90-day resignation notice with bonus forfeiture</w:t>
            </w:r>
          </w:p>
        </w:tc>
        <w:tc>
          <w:tcPr>
            <w:tcW w:type="dxa" w:w="2808"/>
          </w:tcPr>
          <w:p>
            <w:r/>
            <w:r>
              <w:rPr>
                <w:rFonts w:ascii="Times New Roman" w:hAnsi="Times New Roman" w:eastAsia="Times New Roman"/>
                <w:b w:val="0"/>
                <w:i w:val="0"/>
                <w:sz w:val="17"/>
                <w:u w:val="none"/>
              </w:rPr>
              <w:t>§§ 2.1–2.2: at-will retained; notice reduced to 30 days, no forfeiture (see Part IV)</w:t>
            </w:r>
          </w:p>
        </w:tc>
      </w:tr>
      <w:tr>
        <w:tc>
          <w:tcPr>
            <w:tcW w:type="dxa" w:w="1440"/>
          </w:tcPr>
          <w:p>
            <w:r/>
            <w:r>
              <w:rPr>
                <w:rFonts w:ascii="Times New Roman" w:hAnsi="Times New Roman" w:eastAsia="Times New Roman"/>
                <w:b w:val="0"/>
                <w:i w:val="0"/>
                <w:sz w:val="17"/>
                <w:u w:val="none"/>
              </w:rPr>
              <w:t>Governing law</w:t>
            </w:r>
          </w:p>
        </w:tc>
        <w:tc>
          <w:tcPr>
            <w:tcW w:type="dxa" w:w="2808"/>
          </w:tcPr>
          <w:p>
            <w:r/>
            <w:r>
              <w:rPr>
                <w:rFonts w:ascii="Times New Roman" w:hAnsi="Times New Roman" w:eastAsia="Times New Roman"/>
                <w:b w:val="0"/>
                <w:i w:val="0"/>
                <w:sz w:val="17"/>
                <w:u w:val="none"/>
              </w:rPr>
              <w:t>California</w:t>
            </w:r>
          </w:p>
        </w:tc>
        <w:tc>
          <w:tcPr>
            <w:tcW w:type="dxa" w:w="2304"/>
          </w:tcPr>
          <w:p>
            <w:r/>
            <w:r>
              <w:rPr>
                <w:rFonts w:ascii="Times New Roman" w:hAnsi="Times New Roman" w:eastAsia="Times New Roman"/>
                <w:b w:val="0"/>
                <w:i w:val="0"/>
                <w:sz w:val="17"/>
                <w:u w:val="none"/>
              </w:rPr>
              <w:t>[Delaware / California]</w:t>
            </w:r>
          </w:p>
        </w:tc>
        <w:tc>
          <w:tcPr>
            <w:tcW w:type="dxa" w:w="2808"/>
          </w:tcPr>
          <w:p>
            <w:r/>
            <w:r>
              <w:rPr>
                <w:rFonts w:ascii="Times New Roman" w:hAnsi="Times New Roman" w:eastAsia="Times New Roman"/>
                <w:b w:val="0"/>
                <w:i w:val="0"/>
                <w:sz w:val="17"/>
                <w:u w:val="none"/>
              </w:rPr>
              <w:t>§ 11.1: California (also required by Lab. Code § 925)</w:t>
            </w:r>
          </w:p>
        </w:tc>
      </w:tr>
      <w:tr>
        <w:tc>
          <w:tcPr>
            <w:tcW w:type="dxa" w:w="1440"/>
          </w:tcPr>
          <w:p>
            <w:r/>
            <w:r>
              <w:rPr>
                <w:rFonts w:ascii="Times New Roman" w:hAnsi="Times New Roman" w:eastAsia="Times New Roman"/>
                <w:b w:val="0"/>
                <w:i w:val="0"/>
                <w:sz w:val="17"/>
                <w:u w:val="none"/>
              </w:rPr>
              <w:t>Integration</w:t>
            </w:r>
          </w:p>
        </w:tc>
        <w:tc>
          <w:tcPr>
            <w:tcW w:type="dxa" w:w="2808"/>
          </w:tcPr>
          <w:p>
            <w:r/>
            <w:r>
              <w:rPr>
                <w:rFonts w:ascii="Times New Roman" w:hAnsi="Times New Roman" w:eastAsia="Times New Roman"/>
                <w:b w:val="0"/>
                <w:i w:val="0"/>
                <w:sz w:val="17"/>
                <w:u w:val="none"/>
              </w:rPr>
              <w:t>Offer Letter + Employment Agreement together form the complete agreement</w:t>
            </w:r>
          </w:p>
        </w:tc>
        <w:tc>
          <w:tcPr>
            <w:tcW w:type="dxa" w:w="2304"/>
          </w:tcPr>
          <w:p>
            <w:r/>
            <w:r>
              <w:rPr>
                <w:rFonts w:ascii="Times New Roman" w:hAnsi="Times New Roman" w:eastAsia="Times New Roman"/>
                <w:b w:val="0"/>
                <w:i w:val="0"/>
                <w:sz w:val="17"/>
                <w:u w:val="none"/>
              </w:rPr>
              <w:t>Agreement supersedes any prior offer letter</w:t>
            </w:r>
          </w:p>
        </w:tc>
        <w:tc>
          <w:tcPr>
            <w:tcW w:type="dxa" w:w="2808"/>
          </w:tcPr>
          <w:p>
            <w:r/>
            <w:r>
              <w:rPr>
                <w:rFonts w:ascii="Times New Roman" w:hAnsi="Times New Roman" w:eastAsia="Times New Roman"/>
                <w:b w:val="0"/>
                <w:i w:val="0"/>
                <w:sz w:val="17"/>
                <w:u w:val="none"/>
              </w:rPr>
              <w:t>Recitals and § 11.2: Draft restates all Offer Letter terms, then supersedes the Offer Letter, and acknowledges it is the “Employment Agreement” the Offer Letter contemplated</w:t>
            </w:r>
          </w:p>
        </w:tc>
      </w:tr>
      <w:tr>
        <w:tc>
          <w:tcPr>
            <w:tcW w:type="dxa" w:w="1440"/>
          </w:tcPr>
          <w:p>
            <w:r/>
            <w:r>
              <w:rPr>
                <w:rFonts w:ascii="Times New Roman" w:hAnsi="Times New Roman" w:eastAsia="Times New Roman"/>
                <w:b w:val="0"/>
                <w:i w:val="0"/>
                <w:sz w:val="17"/>
                <w:u w:val="none"/>
              </w:rPr>
              <w:t>Parties / notices / signatory</w:t>
            </w:r>
          </w:p>
        </w:tc>
        <w:tc>
          <w:tcPr>
            <w:tcW w:type="dxa" w:w="2808"/>
          </w:tcPr>
          <w:p>
            <w:r/>
            <w:r>
              <w:rPr>
                <w:rFonts w:ascii="Times New Roman" w:hAnsi="Times New Roman" w:eastAsia="Times New Roman"/>
                <w:b w:val="0"/>
                <w:i w:val="0"/>
                <w:sz w:val="17"/>
                <w:u w:val="none"/>
              </w:rPr>
              <w:t>Company HQ; employee at 4821 Oakvale Drive, Cupertino, CA 95014; signed by Marcus Whitfield, CEO</w:t>
            </w:r>
          </w:p>
        </w:tc>
        <w:tc>
          <w:tcPr>
            <w:tcW w:type="dxa" w:w="2304"/>
          </w:tcPr>
          <w:p>
            <w:r/>
            <w:r>
              <w:rPr>
                <w:rFonts w:ascii="Times New Roman" w:hAnsi="Times New Roman" w:eastAsia="Times New Roman"/>
                <w:b w:val="0"/>
                <w:i w:val="0"/>
                <w:sz w:val="17"/>
                <w:u w:val="none"/>
              </w:rPr>
              <w:t>Bracketed</w:t>
            </w:r>
          </w:p>
        </w:tc>
        <w:tc>
          <w:tcPr>
            <w:tcW w:type="dxa" w:w="2808"/>
          </w:tcPr>
          <w:p>
            <w:r/>
            <w:r>
              <w:rPr>
                <w:rFonts w:ascii="Times New Roman" w:hAnsi="Times New Roman" w:eastAsia="Times New Roman"/>
                <w:b w:val="0"/>
                <w:i w:val="0"/>
                <w:sz w:val="17"/>
                <w:u w:val="none"/>
              </w:rPr>
              <w:t>§ 11.5 (email notice added); signature blocks on the Agreement, Exhibit A, and Exhibit C</w:t>
            </w:r>
          </w:p>
        </w:tc>
      </w:tr>
    </w:tbl>
    <w:p>
      <w:pPr>
        <w:spacing w:after="40"/>
      </w:pPr>
    </w:p>
    <w:p>
      <w:pPr>
        <w:keepNext/>
        <w:spacing w:before="160" w:after="120"/>
        <w:jc w:val="left"/>
      </w:pPr>
      <w:r>
        <w:rPr>
          <w:rFonts w:ascii="Times New Roman" w:hAnsi="Times New Roman" w:eastAsia="Times New Roman"/>
          <w:b/>
          <w:i w:val="0"/>
          <w:sz w:val="23"/>
          <w:u w:val="single"/>
        </w:rPr>
        <w:t>IV. Template Issues and Substantive Changes (Beyond Conforming Changes)</w:t>
      </w:r>
    </w:p>
    <w:p>
      <w:pPr>
        <w:spacing w:before="0" w:after="120"/>
        <w:jc w:val="both"/>
      </w:pPr>
      <w:r>
        <w:rPr>
          <w:rFonts w:ascii="Times New Roman" w:hAnsi="Times New Roman" w:eastAsia="Times New Roman"/>
          <w:b w:val="0"/>
          <w:i w:val="0"/>
          <w:sz w:val="22"/>
          <w:u w:val="none"/>
        </w:rPr>
        <w:t xml:space="preserve">The following Template provisions required revision because they are unenforceable or unlawful for a California employee, conflict with the Offer Letter, or are internally inconsistent. Items marked </w:t>
      </w:r>
      <w:r>
        <w:rPr>
          <w:rFonts w:ascii="Times New Roman" w:hAnsi="Times New Roman" w:eastAsia="Times New Roman"/>
          <w:b/>
          <w:i w:val="0"/>
          <w:sz w:val="22"/>
          <w:u w:val="none"/>
        </w:rPr>
        <w:t>[Business Call]</w:t>
      </w:r>
      <w:r>
        <w:rPr>
          <w:rFonts w:ascii="Times New Roman" w:hAnsi="Times New Roman" w:eastAsia="Times New Roman"/>
          <w:b w:val="0"/>
          <w:i w:val="0"/>
          <w:sz w:val="22"/>
          <w:u w:val="none"/>
        </w:rPr>
        <w:t xml:space="preserve"> are judgment calls the client should confirm.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656"/>
            <w:shd w:val="clear" w:color="auto" w:fill="D9E2F3"/>
          </w:tcPr>
          <w:p>
            <w:r/>
            <w:r>
              <w:rPr>
                <w:rFonts w:ascii="Times New Roman" w:hAnsi="Times New Roman" w:eastAsia="Times New Roman"/>
                <w:b/>
                <w:i w:val="0"/>
                <w:sz w:val="16"/>
                <w:u w:val="none"/>
              </w:rPr>
              <w:t>Provision</w:t>
            </w:r>
          </w:p>
        </w:tc>
        <w:tc>
          <w:tcPr>
            <w:tcW w:type="dxa" w:w="3456"/>
            <w:shd w:val="clear" w:color="auto" w:fill="D9E2F3"/>
          </w:tcPr>
          <w:p>
            <w:r/>
            <w:r>
              <w:rPr>
                <w:rFonts w:ascii="Times New Roman" w:hAnsi="Times New Roman" w:eastAsia="Times New Roman"/>
                <w:b/>
                <w:i w:val="0"/>
                <w:sz w:val="16"/>
                <w:u w:val="none"/>
              </w:rPr>
              <w:t>Issue</w:t>
            </w:r>
          </w:p>
        </w:tc>
        <w:tc>
          <w:tcPr>
            <w:tcW w:type="dxa" w:w="2736"/>
            <w:shd w:val="clear" w:color="auto" w:fill="D9E2F3"/>
          </w:tcPr>
          <w:p>
            <w:r/>
            <w:r>
              <w:rPr>
                <w:rFonts w:ascii="Times New Roman" w:hAnsi="Times New Roman" w:eastAsia="Times New Roman"/>
                <w:b/>
                <w:i w:val="0"/>
                <w:sz w:val="16"/>
                <w:u w:val="none"/>
              </w:rPr>
              <w:t>Draft Change</w:t>
            </w:r>
          </w:p>
        </w:tc>
        <w:tc>
          <w:tcPr>
            <w:tcW w:type="dxa" w:w="1512"/>
            <w:shd w:val="clear" w:color="auto" w:fill="D9E2F3"/>
          </w:tcPr>
          <w:p>
            <w:r/>
            <w:r>
              <w:rPr>
                <w:rFonts w:ascii="Times New Roman" w:hAnsi="Times New Roman" w:eastAsia="Times New Roman"/>
                <w:b/>
                <w:i w:val="0"/>
                <w:sz w:val="16"/>
                <w:u w:val="none"/>
              </w:rPr>
              <w:t>Residual Risk / Note</w:t>
            </w:r>
          </w:p>
        </w:tc>
      </w:tr>
      <w:tr>
        <w:tc>
          <w:tcPr>
            <w:tcW w:type="dxa" w:w="1656"/>
          </w:tcPr>
          <w:p>
            <w:r/>
            <w:r>
              <w:rPr>
                <w:rFonts w:ascii="Times New Roman" w:hAnsi="Times New Roman" w:eastAsia="Times New Roman"/>
                <w:b w:val="0"/>
                <w:i w:val="0"/>
                <w:sz w:val="16"/>
                <w:u w:val="none"/>
              </w:rPr>
              <w:t>Exh. A § A-3: 12-month nationwide post-employment non-compete</w:t>
            </w:r>
          </w:p>
        </w:tc>
        <w:tc>
          <w:tcPr>
            <w:tcW w:type="dxa" w:w="3456"/>
          </w:tcPr>
          <w:p>
            <w:r/>
            <w:r>
              <w:rPr>
                <w:rFonts w:ascii="Times New Roman" w:hAnsi="Times New Roman" w:eastAsia="Times New Roman"/>
                <w:b w:val="0"/>
                <w:i w:val="0"/>
                <w:sz w:val="16"/>
                <w:u w:val="none"/>
              </w:rPr>
              <w:t>Void under Bus. &amp; Prof. Code § 16600 (Edwards v. Arthur Andersen LLP, 44 Cal. 4th 937 (2008)). Since January 1, 2024, § 16600.5 makes it unlawful to enter into or attempt to enforce a void non-compete, regardless of where or when signed, and gives the employee a private right of action with attorneys’ fees. § 16600.1 also required notice to current and certain former employees by February 14, 2024 that such clauses are void. No legitimate executive exception applies here.</w:t>
            </w:r>
          </w:p>
        </w:tc>
        <w:tc>
          <w:tcPr>
            <w:tcW w:type="dxa" w:w="2736"/>
          </w:tcPr>
          <w:p>
            <w:r/>
            <w:r>
              <w:rPr>
                <w:rFonts w:ascii="Times New Roman" w:hAnsi="Times New Roman" w:eastAsia="Times New Roman"/>
                <w:b w:val="0"/>
                <w:i w:val="0"/>
                <w:sz w:val="16"/>
                <w:u w:val="none"/>
              </w:rPr>
              <w:t>Deleted. Replaced with an in-term conflicting-activities covenant (duty of loyalty) and an express acknowledgment that there is no post-employment non-compete. Garden-leave cross-reference to a “post-employment restrictive covenant period” removed.</w:t>
            </w:r>
          </w:p>
        </w:tc>
        <w:tc>
          <w:tcPr>
            <w:tcW w:type="dxa" w:w="1512"/>
          </w:tcPr>
          <w:p>
            <w:r/>
            <w:r>
              <w:rPr>
                <w:rFonts w:ascii="Times New Roman" w:hAnsi="Times New Roman" w:eastAsia="Times New Roman"/>
                <w:b w:val="0"/>
                <w:i w:val="0"/>
                <w:sz w:val="16"/>
                <w:u w:val="none"/>
              </w:rPr>
              <w:t>High. See Open Item 16 on remediating the Template for all California hires.</w:t>
            </w:r>
          </w:p>
        </w:tc>
      </w:tr>
      <w:tr>
        <w:tc>
          <w:tcPr>
            <w:tcW w:type="dxa" w:w="1656"/>
          </w:tcPr>
          <w:p>
            <w:r/>
            <w:r>
              <w:rPr>
                <w:rFonts w:ascii="Times New Roman" w:hAnsi="Times New Roman" w:eastAsia="Times New Roman"/>
                <w:b w:val="0"/>
                <w:i w:val="0"/>
                <w:sz w:val="16"/>
                <w:u w:val="none"/>
              </w:rPr>
              <w:t>Exh. A §§ A-4, A-5: 12-month post-employment employee non-solicit / no-hire and customer non-solicit</w:t>
            </w:r>
          </w:p>
        </w:tc>
        <w:tc>
          <w:tcPr>
            <w:tcW w:type="dxa" w:w="3456"/>
          </w:tcPr>
          <w:p>
            <w:r/>
            <w:r>
              <w:rPr>
                <w:rFonts w:ascii="Times New Roman" w:hAnsi="Times New Roman" w:eastAsia="Times New Roman"/>
                <w:b w:val="0"/>
                <w:i w:val="0"/>
                <w:sz w:val="16"/>
                <w:u w:val="none"/>
              </w:rPr>
              <w:t>Post-employment employee non-solicits are generally unenforceable under § 16600 (AMN Healthcare, Inc. v. Aya Healthcare Servs., Inc., 28 Cal. App. 5th 923 (2018)). No-hire clauses are clearly unenforceable. Customer non-solicits are enforceable only to the extent they prevent misuse of trade secrets (Edwards). Both trigger § 16600.5 exposure.</w:t>
            </w:r>
          </w:p>
        </w:tc>
        <w:tc>
          <w:tcPr>
            <w:tcW w:type="dxa" w:w="2736"/>
          </w:tcPr>
          <w:p>
            <w:r/>
            <w:r>
              <w:rPr>
                <w:rFonts w:ascii="Times New Roman" w:hAnsi="Times New Roman" w:eastAsia="Times New Roman"/>
                <w:b w:val="0"/>
                <w:i w:val="0"/>
                <w:sz w:val="16"/>
                <w:u w:val="none"/>
              </w:rPr>
              <w:t>Restrictions limited to the term of employment. Post-employment, the covenant bars only the use or disclosure of trade secrets to solicit employees or customers. The no-hire clause was deleted.</w:t>
            </w:r>
          </w:p>
        </w:tc>
        <w:tc>
          <w:tcPr>
            <w:tcW w:type="dxa" w:w="1512"/>
          </w:tcPr>
          <w:p>
            <w:r/>
            <w:r>
              <w:rPr>
                <w:rFonts w:ascii="Times New Roman" w:hAnsi="Times New Roman" w:eastAsia="Times New Roman"/>
                <w:b w:val="0"/>
                <w:i w:val="0"/>
                <w:sz w:val="16"/>
                <w:u w:val="none"/>
              </w:rPr>
              <w:t>Medium. The Company remains protected by CUTSA, the DTSA, and the confidentiality covenant.</w:t>
            </w:r>
          </w:p>
        </w:tc>
      </w:tr>
      <w:tr>
        <w:tc>
          <w:tcPr>
            <w:tcW w:type="dxa" w:w="1656"/>
          </w:tcPr>
          <w:p>
            <w:r/>
            <w:r>
              <w:rPr>
                <w:rFonts w:ascii="Times New Roman" w:hAnsi="Times New Roman" w:eastAsia="Times New Roman"/>
                <w:b w:val="0"/>
                <w:i w:val="0"/>
                <w:sz w:val="16"/>
                <w:u w:val="none"/>
              </w:rPr>
              <w:t>Exh. A § A-2.1: assignment of all inventions “regardless of whether ... during working hours or using Company equipment”</w:t>
            </w:r>
          </w:p>
        </w:tc>
        <w:tc>
          <w:tcPr>
            <w:tcW w:type="dxa" w:w="3456"/>
          </w:tcPr>
          <w:p>
            <w:r/>
            <w:r>
              <w:rPr>
                <w:rFonts w:ascii="Times New Roman" w:hAnsi="Times New Roman" w:eastAsia="Times New Roman"/>
                <w:b w:val="0"/>
                <w:i w:val="0"/>
                <w:sz w:val="16"/>
                <w:u w:val="none"/>
              </w:rPr>
              <w:t>Lab. Code § 2870 bars assignment of inventions developed entirely on the employee’s own time without Company resources, unless they relate to the Company’s business or result from her work for the Company. § 2872 requires written notice of § 2870 in the agreement. Overbroad language is unenforceable to that extent.</w:t>
            </w:r>
          </w:p>
        </w:tc>
        <w:tc>
          <w:tcPr>
            <w:tcW w:type="dxa" w:w="2736"/>
          </w:tcPr>
          <w:p>
            <w:r/>
            <w:r>
              <w:rPr>
                <w:rFonts w:ascii="Times New Roman" w:hAnsi="Times New Roman" w:eastAsia="Times New Roman"/>
                <w:b w:val="0"/>
                <w:i w:val="0"/>
                <w:sz w:val="16"/>
                <w:u w:val="none"/>
              </w:rPr>
              <w:t>Added § 2870 carve-out (§ A-2.1) and verbatim § 2870 notice (§ A-2.5). Also added a prompt disclosure obligation, a license to Prior Inventions incorporated into Company products (§ A-2.4), and a Lab. Code § 3351.5(c) savings clause for the work-for-hire language.</w:t>
            </w:r>
          </w:p>
        </w:tc>
        <w:tc>
          <w:tcPr>
            <w:tcW w:type="dxa" w:w="1512"/>
          </w:tcPr>
          <w:p>
            <w:r/>
            <w:r>
              <w:rPr>
                <w:rFonts w:ascii="Times New Roman" w:hAnsi="Times New Roman" w:eastAsia="Times New Roman"/>
                <w:b w:val="0"/>
                <w:i w:val="0"/>
                <w:sz w:val="16"/>
                <w:u w:val="none"/>
              </w:rPr>
              <w:t>Low after the change.</w:t>
            </w:r>
          </w:p>
        </w:tc>
      </w:tr>
      <w:tr>
        <w:tc>
          <w:tcPr>
            <w:tcW w:type="dxa" w:w="1656"/>
          </w:tcPr>
          <w:p>
            <w:r/>
            <w:r>
              <w:rPr>
                <w:rFonts w:ascii="Times New Roman" w:hAnsi="Times New Roman" w:eastAsia="Times New Roman"/>
                <w:b w:val="0"/>
                <w:i w:val="0"/>
                <w:sz w:val="16"/>
                <w:u w:val="none"/>
              </w:rPr>
              <w:t>Exh. A § A-1: confidentiality covers “personnel information, compensation data”; no protected-activity carve-outs</w:t>
            </w:r>
          </w:p>
        </w:tc>
        <w:tc>
          <w:tcPr>
            <w:tcW w:type="dxa" w:w="3456"/>
          </w:tcPr>
          <w:p>
            <w:r/>
            <w:r>
              <w:rPr>
                <w:rFonts w:ascii="Times New Roman" w:hAnsi="Times New Roman" w:eastAsia="Times New Roman"/>
                <w:b w:val="0"/>
                <w:i w:val="0"/>
                <w:sz w:val="16"/>
                <w:u w:val="none"/>
              </w:rPr>
              <w:t>Lab. Code §§ 232 and 232.5 protect disclosure of wages and working conditions. Gov. Code § 12964.5 (SB 331) requires a carve-out for discussing unlawful workplace acts in any agreement that restricts disclosure of workplace information. SEC Rule 21F-17, Lab. Code § 1102.5, and NLRA § 7 (if applicable) also protect reporting. An unqualified clause risks unenforceability and regulatory exposure.</w:t>
            </w:r>
          </w:p>
        </w:tc>
        <w:tc>
          <w:tcPr>
            <w:tcW w:type="dxa" w:w="2736"/>
          </w:tcPr>
          <w:p>
            <w:r/>
            <w:r>
              <w:rPr>
                <w:rFonts w:ascii="Times New Roman" w:hAnsi="Times New Roman" w:eastAsia="Times New Roman"/>
                <w:b w:val="0"/>
                <w:i w:val="0"/>
                <w:sz w:val="16"/>
                <w:u w:val="none"/>
              </w:rPr>
              <w:t>Narrowed clause (i) to non-public personnel data obtained in the course of her duties. Excluded her own wages and terms. Added a comprehensive Protected Activity section (§ A-1.3) and the full DTSA anti-retaliation notice.</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Exh. A § A-6: injunctive relief “without the need to post a bond”</w:t>
            </w:r>
          </w:p>
        </w:tc>
        <w:tc>
          <w:tcPr>
            <w:tcW w:type="dxa" w:w="3456"/>
          </w:tcPr>
          <w:p>
            <w:r/>
            <w:r>
              <w:rPr>
                <w:rFonts w:ascii="Times New Roman" w:hAnsi="Times New Roman" w:eastAsia="Times New Roman"/>
                <w:b w:val="0"/>
                <w:i w:val="0"/>
                <w:sz w:val="16"/>
                <w:u w:val="none"/>
              </w:rPr>
              <w:t>Code Civ. Proc. § 529 requires an undertaking, and a court may disregard a contractual waiver.</w:t>
            </w:r>
          </w:p>
        </w:tc>
        <w:tc>
          <w:tcPr>
            <w:tcW w:type="dxa" w:w="2736"/>
          </w:tcPr>
          <w:p>
            <w:r/>
            <w:r>
              <w:rPr>
                <w:rFonts w:ascii="Times New Roman" w:hAnsi="Times New Roman" w:eastAsia="Times New Roman"/>
                <w:b w:val="0"/>
                <w:i w:val="0"/>
                <w:sz w:val="16"/>
                <w:u w:val="none"/>
              </w:rPr>
              <w:t>Qualified with “to the fullest extent permitted by applicable law.” Linked court access to the arbitration carve-out in § C-8.</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Exh. C § C-2: “National Arbitration Council”</w:t>
            </w:r>
          </w:p>
        </w:tc>
        <w:tc>
          <w:tcPr>
            <w:tcW w:type="dxa" w:w="3456"/>
          </w:tcPr>
          <w:p>
            <w:r/>
            <w:r>
              <w:rPr>
                <w:rFonts w:ascii="Times New Roman" w:hAnsi="Times New Roman" w:eastAsia="Times New Roman"/>
                <w:b w:val="0"/>
                <w:i w:val="0"/>
                <w:sz w:val="16"/>
                <w:u w:val="none"/>
              </w:rPr>
              <w:t>Not a recognized employment arbitration provider, and its rules cannot be identified. If the designated forum is unavailable or does not exist, the agreement may fail, and an unidentifiable set of rules supports a procedural unconscionability argument.</w:t>
            </w:r>
          </w:p>
        </w:tc>
        <w:tc>
          <w:tcPr>
            <w:tcW w:type="dxa" w:w="2736"/>
          </w:tcPr>
          <w:p>
            <w:r/>
            <w:r>
              <w:rPr>
                <w:rFonts w:ascii="Times New Roman" w:hAnsi="Times New Roman" w:eastAsia="Times New Roman"/>
                <w:b w:val="0"/>
                <w:i w:val="0"/>
                <w:sz w:val="16"/>
                <w:u w:val="none"/>
              </w:rPr>
              <w:t>Replaced with JAMS Employment Arbitration Rules and the JAMS Minimum Standards. Rules are referenced and available on request.</w:t>
            </w:r>
          </w:p>
        </w:tc>
        <w:tc>
          <w:tcPr>
            <w:tcW w:type="dxa" w:w="1512"/>
          </w:tcPr>
          <w:p>
            <w:r/>
            <w:r>
              <w:rPr>
                <w:rFonts w:ascii="Times New Roman" w:hAnsi="Times New Roman" w:eastAsia="Times New Roman"/>
                <w:b w:val="0"/>
                <w:i w:val="0"/>
                <w:sz w:val="16"/>
                <w:u w:val="none"/>
              </w:rPr>
              <w:t>Confirm the client’s preferred provider (JAMS or AAA) (Open Item 7).</w:t>
            </w:r>
          </w:p>
        </w:tc>
      </w:tr>
      <w:tr>
        <w:tc>
          <w:tcPr>
            <w:tcW w:type="dxa" w:w="1656"/>
          </w:tcPr>
          <w:p>
            <w:r/>
            <w:r>
              <w:rPr>
                <w:rFonts w:ascii="Times New Roman" w:hAnsi="Times New Roman" w:eastAsia="Times New Roman"/>
                <w:b w:val="0"/>
                <w:i w:val="0"/>
                <w:sz w:val="16"/>
                <w:u w:val="none"/>
              </w:rPr>
              <w:t>Exh. C § C-3: arbitration in Wilmington, Delaware; Template § 11.1 allows Delaware law</w:t>
            </w:r>
          </w:p>
        </w:tc>
        <w:tc>
          <w:tcPr>
            <w:tcW w:type="dxa" w:w="3456"/>
          </w:tcPr>
          <w:p>
            <w:r/>
            <w:r>
              <w:rPr>
                <w:rFonts w:ascii="Times New Roman" w:hAnsi="Times New Roman" w:eastAsia="Times New Roman"/>
                <w:b w:val="0"/>
                <w:i w:val="0"/>
                <w:sz w:val="16"/>
                <w:u w:val="none"/>
              </w:rPr>
              <w:t>Lab. Code § 925 prohibits requiring a California employee, as a condition of employment, to adjudicate outside California or to give up California law. The employee may void the provision and recover attorneys’ fees. The narrow exception applies only if she is individually represented by counsel in negotiating those terms. An out-of-state venue also weighs heavily in an unconscionability analysis.</w:t>
            </w:r>
          </w:p>
        </w:tc>
        <w:tc>
          <w:tcPr>
            <w:tcW w:type="dxa" w:w="2736"/>
          </w:tcPr>
          <w:p>
            <w:r/>
            <w:r>
              <w:rPr>
                <w:rFonts w:ascii="Times New Roman" w:hAnsi="Times New Roman" w:eastAsia="Times New Roman"/>
                <w:b w:val="0"/>
                <w:i w:val="0"/>
                <w:sz w:val="16"/>
                <w:u w:val="none"/>
              </w:rPr>
              <w:t>Santa Clara County, California. California law throughout (§ 11.1; § A-7).</w:t>
            </w:r>
          </w:p>
        </w:tc>
        <w:tc>
          <w:tcPr>
            <w:tcW w:type="dxa" w:w="1512"/>
          </w:tcPr>
          <w:p>
            <w:r/>
            <w:r>
              <w:rPr>
                <w:rFonts w:ascii="Times New Roman" w:hAnsi="Times New Roman" w:eastAsia="Times New Roman"/>
                <w:b w:val="0"/>
                <w:i w:val="0"/>
                <w:sz w:val="16"/>
                <w:u w:val="none"/>
              </w:rPr>
              <w:t>Low after the change.</w:t>
            </w:r>
          </w:p>
        </w:tc>
      </w:tr>
      <w:tr>
        <w:tc>
          <w:tcPr>
            <w:tcW w:type="dxa" w:w="1656"/>
          </w:tcPr>
          <w:p>
            <w:r/>
            <w:r>
              <w:rPr>
                <w:rFonts w:ascii="Times New Roman" w:hAnsi="Times New Roman" w:eastAsia="Times New Roman"/>
                <w:b w:val="0"/>
                <w:i w:val="0"/>
                <w:sz w:val="16"/>
                <w:u w:val="none"/>
              </w:rPr>
              <w:t>Exh. C § C-4: arbitration costs “shared equally”</w:t>
            </w:r>
          </w:p>
        </w:tc>
        <w:tc>
          <w:tcPr>
            <w:tcW w:type="dxa" w:w="3456"/>
          </w:tcPr>
          <w:p>
            <w:r/>
            <w:r>
              <w:rPr>
                <w:rFonts w:ascii="Times New Roman" w:hAnsi="Times New Roman" w:eastAsia="Times New Roman"/>
                <w:b w:val="0"/>
                <w:i w:val="0"/>
                <w:sz w:val="16"/>
                <w:u w:val="none"/>
              </w:rPr>
              <w:t>Under Armendariz v. Foundation Health Psychcare Servs., 24 Cal. 4th 83 (2000), the employer must bear all costs unique to arbitration for unwaivable statutory claims. Cost-splitting is a classic substantive-unconscionability defect. Separately, Code Civ. Proc. §§ 1281.97–1281.98 impose strict deadlines for the employer to pay arbitration fees, and late payment can forfeit the right to arbitrate.</w:t>
            </w:r>
          </w:p>
        </w:tc>
        <w:tc>
          <w:tcPr>
            <w:tcW w:type="dxa" w:w="2736"/>
          </w:tcPr>
          <w:p>
            <w:r/>
            <w:r>
              <w:rPr>
                <w:rFonts w:ascii="Times New Roman" w:hAnsi="Times New Roman" w:eastAsia="Times New Roman"/>
                <w:b w:val="0"/>
                <w:i w:val="0"/>
                <w:sz w:val="16"/>
                <w:u w:val="none"/>
              </w:rPr>
              <w:t>Company pays all arbitration-unique costs (the employee’s filing fee is capped at the court filing fee). Express §§ 1281.97–98 compliance. Fee-shifting limited to what a court could award.</w:t>
            </w:r>
          </w:p>
        </w:tc>
        <w:tc>
          <w:tcPr>
            <w:tcW w:type="dxa" w:w="1512"/>
          </w:tcPr>
          <w:p>
            <w:r/>
            <w:r>
              <w:rPr>
                <w:rFonts w:ascii="Times New Roman" w:hAnsi="Times New Roman" w:eastAsia="Times New Roman"/>
                <w:b w:val="0"/>
                <w:i w:val="0"/>
                <w:sz w:val="16"/>
                <w:u w:val="none"/>
              </w:rPr>
              <w:t>Low. The Company’s payables process should calendar JAMS invoices.</w:t>
            </w:r>
          </w:p>
        </w:tc>
      </w:tr>
      <w:tr>
        <w:tc>
          <w:tcPr>
            <w:tcW w:type="dxa" w:w="1656"/>
          </w:tcPr>
          <w:p>
            <w:r/>
            <w:r>
              <w:rPr>
                <w:rFonts w:ascii="Times New Roman" w:hAnsi="Times New Roman" w:eastAsia="Times New Roman"/>
                <w:b w:val="0"/>
                <w:i w:val="0"/>
                <w:sz w:val="16"/>
                <w:u w:val="none"/>
              </w:rPr>
              <w:t>Exh. C § C-6: confidentiality of proceedings</w:t>
            </w:r>
          </w:p>
        </w:tc>
        <w:tc>
          <w:tcPr>
            <w:tcW w:type="dxa" w:w="3456"/>
          </w:tcPr>
          <w:p>
            <w:r/>
            <w:r>
              <w:rPr>
                <w:rFonts w:ascii="Times New Roman" w:hAnsi="Times New Roman" w:eastAsia="Times New Roman"/>
                <w:b w:val="0"/>
                <w:i w:val="0"/>
                <w:sz w:val="16"/>
                <w:u w:val="none"/>
              </w:rPr>
              <w:t>Blanket confidentiality has been held unconscionable in California employment arbitration (e.g., Ramos v. Superior Court, 28 Cal. App. 5th 1042 (2018); Davis v. O’Melveny &amp; Myers, 485 F.3d 1066 (9th Cir. 2007)) and conflicts with Gov. Code § 12964.5.</w:t>
            </w:r>
          </w:p>
        </w:tc>
        <w:tc>
          <w:tcPr>
            <w:tcW w:type="dxa" w:w="2736"/>
          </w:tcPr>
          <w:p>
            <w:r/>
            <w:r>
              <w:rPr>
                <w:rFonts w:ascii="Times New Roman" w:hAnsi="Times New Roman" w:eastAsia="Times New Roman"/>
                <w:b w:val="0"/>
                <w:i w:val="0"/>
                <w:sz w:val="16"/>
                <w:u w:val="none"/>
              </w:rPr>
              <w:t>Replaced with arbitrator-issued protective orders for trade secrets, Confidential Information, and privacy.</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Exh. C § C-7: waiver of “representative” proceedings</w:t>
            </w:r>
          </w:p>
        </w:tc>
        <w:tc>
          <w:tcPr>
            <w:tcW w:type="dxa" w:w="3456"/>
          </w:tcPr>
          <w:p>
            <w:r/>
            <w:r>
              <w:rPr>
                <w:rFonts w:ascii="Times New Roman" w:hAnsi="Times New Roman" w:eastAsia="Times New Roman"/>
                <w:b w:val="0"/>
                <w:i w:val="0"/>
                <w:sz w:val="16"/>
                <w:u w:val="none"/>
              </w:rPr>
              <w:t>Class and collective waivers are enforceable under the FAA (Epic Systems Corp. v. Lewis, 584 U.S. 497 (2018)). A wholesale waiver of PAGA representative claims is not: Viking River Cruises v. Moriana, 596 U.S. 639 (2022), and Adolph v. Uber Techs., 14 Cal. 5th 1104 (2023), allow arbitration of individual PAGA claims, but non-individual claims survive.</w:t>
            </w:r>
          </w:p>
        </w:tc>
        <w:tc>
          <w:tcPr>
            <w:tcW w:type="dxa" w:w="2736"/>
          </w:tcPr>
          <w:p>
            <w:r/>
            <w:r>
              <w:rPr>
                <w:rFonts w:ascii="Times New Roman" w:hAnsi="Times New Roman" w:eastAsia="Times New Roman"/>
                <w:b w:val="0"/>
                <w:i w:val="0"/>
                <w:sz w:val="16"/>
                <w:u w:val="none"/>
              </w:rPr>
              <w:t>Individual PAGA claims go to arbitration. Non-individual PAGA claims go to court and are stayed. A court decides the validity of the waiver, and an invalid waiver sends that claim to court rather than voiding the agreement.</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Exh. C: other gaps</w:t>
            </w:r>
          </w:p>
        </w:tc>
        <w:tc>
          <w:tcPr>
            <w:tcW w:type="dxa" w:w="3456"/>
          </w:tcPr>
          <w:p>
            <w:r/>
            <w:r>
              <w:rPr>
                <w:rFonts w:ascii="Times New Roman" w:hAnsi="Times New Roman" w:eastAsia="Times New Roman"/>
                <w:b w:val="0"/>
                <w:i w:val="0"/>
                <w:sz w:val="16"/>
                <w:u w:val="none"/>
              </w:rPr>
              <w:t>No written-award requirement, no express substantive-law parity, no administrative-charge carve-out, no fallback to the California Arbitration Act, and no severability clause. These are minimum Armendariz requirements or best practice. AB 51 (Lab. Code § 432.6) is preempted as to FAA-governed agreements (Chamber of Commerce v. Bonta, 62 F.4th 473 (9th Cir. 2023)), so mandatory arbitration remains permissible. The Offer Letter also disclosed that arbitration would be required.</w:t>
            </w:r>
          </w:p>
        </w:tc>
        <w:tc>
          <w:tcPr>
            <w:tcW w:type="dxa" w:w="2736"/>
          </w:tcPr>
          <w:p>
            <w:r/>
            <w:r>
              <w:rPr>
                <w:rFonts w:ascii="Times New Roman" w:hAnsi="Times New Roman" w:eastAsia="Times New Roman"/>
                <w:b w:val="0"/>
                <w:i w:val="0"/>
                <w:sz w:val="16"/>
                <w:u w:val="none"/>
              </w:rPr>
              <w:t>Added §§ C-5 (written, reasoned award; court-equivalent remedies; dispositive motions), C-8(b), (e) (agency charges, SOX / Dodd-Frank, benefits claims), C-9, and C-10. EFAA carve-out retained.</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 6: up to 6-month garden leave triggered by any notice, and “immediately upon” a termination without notice</w:t>
            </w:r>
          </w:p>
        </w:tc>
        <w:tc>
          <w:tcPr>
            <w:tcW w:type="dxa" w:w="3456"/>
          </w:tcPr>
          <w:p>
            <w:r/>
            <w:r>
              <w:rPr>
                <w:rFonts w:ascii="Times New Roman" w:hAnsi="Times New Roman" w:eastAsia="Times New Roman"/>
                <w:b w:val="0"/>
                <w:i w:val="0"/>
                <w:sz w:val="16"/>
                <w:u w:val="none"/>
              </w:rPr>
              <w:t>Garden leave beyond the end of employment cannot be imposed on an at-will employee who resigns. Barring her from working for others after employment ends operates as a de facto non-compete under § 16600 / § 16600.5. It also conflicts with the Offer Letter’s at-will “with or without notice” term. Leave starting “upon termination” is internally incoherent.</w:t>
            </w:r>
          </w:p>
        </w:tc>
        <w:tc>
          <w:tcPr>
            <w:tcW w:type="dxa" w:w="2736"/>
          </w:tcPr>
          <w:p>
            <w:r/>
            <w:r>
              <w:rPr>
                <w:rFonts w:ascii="Times New Roman" w:hAnsi="Times New Roman" w:eastAsia="Times New Roman"/>
                <w:b w:val="0"/>
                <w:i w:val="0"/>
                <w:sz w:val="16"/>
                <w:u w:val="none"/>
              </w:rPr>
              <w:t xml:space="preserve">Garden leave is limited to the notice period, never extends past the termination date, and continues salary, benefits, and vesting. Garden leave does not by itself constitute Good Reason. Post-employment restrictions removed. </w:t>
            </w:r>
            <w:r>
              <w:rPr>
                <w:rFonts w:ascii="Times New Roman" w:hAnsi="Times New Roman" w:eastAsia="Times New Roman"/>
                <w:b/>
                <w:i w:val="0"/>
                <w:sz w:val="16"/>
                <w:u w:val="none"/>
              </w:rPr>
              <w:t>[Business Call]</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 2.2: 90-day mandatory resignation notice; forfeiture of “accrued but unpaid” bonus for short notice</w:t>
            </w:r>
          </w:p>
        </w:tc>
        <w:tc>
          <w:tcPr>
            <w:tcW w:type="dxa" w:w="3456"/>
          </w:tcPr>
          <w:p>
            <w:r/>
            <w:r>
              <w:rPr>
                <w:rFonts w:ascii="Times New Roman" w:hAnsi="Times New Roman" w:eastAsia="Times New Roman"/>
                <w:b w:val="0"/>
                <w:i w:val="0"/>
                <w:sz w:val="16"/>
                <w:u w:val="none"/>
              </w:rPr>
              <w:t>Not in the Offer Letter, which provides at-will employment “with or without notice.” The forfeiture operates as a penalty. Earned compensation cannot be forfeited for failing to give notice (Lab. Code §§ 201–203, 221; Civ. Code § 1671), and the clause invites a waiting-time penalty claim. 90 days is also inconsistent with the Good Reason cure mechanics.</w:t>
            </w:r>
          </w:p>
        </w:tc>
        <w:tc>
          <w:tcPr>
            <w:tcW w:type="dxa" w:w="2736"/>
          </w:tcPr>
          <w:p>
            <w:r/>
            <w:r>
              <w:rPr>
                <w:rFonts w:ascii="Times New Roman" w:hAnsi="Times New Roman" w:eastAsia="Times New Roman"/>
                <w:b w:val="0"/>
                <w:i w:val="0"/>
                <w:sz w:val="16"/>
                <w:u w:val="none"/>
              </w:rPr>
              <w:t xml:space="preserve">30 days’ notice; no forfeiture. Good Reason resignations are carved out. A Company waiver of notice does not convert the resignation into a termination without Cause or constitute Good Reason. </w:t>
            </w:r>
            <w:r>
              <w:rPr>
                <w:rFonts w:ascii="Times New Roman" w:hAnsi="Times New Roman" w:eastAsia="Times New Roman"/>
                <w:b/>
                <w:i w:val="0"/>
                <w:sz w:val="16"/>
                <w:u w:val="none"/>
              </w:rPr>
              <w:t>[Business Call]</w:t>
            </w:r>
            <w:r>
              <w:rPr>
                <w:rFonts w:ascii="Times New Roman" w:hAnsi="Times New Roman" w:eastAsia="Times New Roman"/>
                <w:b w:val="0"/>
                <w:i w:val="0"/>
                <w:sz w:val="16"/>
                <w:u w:val="none"/>
              </w:rPr>
              <w:t>: the Company could request 60 days, but any forfeiture should stay out.</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 7.1: Accrued Obligations</w:t>
            </w:r>
          </w:p>
        </w:tc>
        <w:tc>
          <w:tcPr>
            <w:tcW w:type="dxa" w:w="3456"/>
          </w:tcPr>
          <w:p>
            <w:r/>
            <w:r>
              <w:rPr>
                <w:rFonts w:ascii="Times New Roman" w:hAnsi="Times New Roman" w:eastAsia="Times New Roman"/>
                <w:b w:val="0"/>
                <w:i w:val="0"/>
                <w:sz w:val="16"/>
                <w:u w:val="none"/>
              </w:rPr>
              <w:t>The Template omits the timing of final pay. Under Lab. Code §§ 201–203, final wages are due immediately on termination, and within 72 hours on a resignation without notice (on the last day if 72 hours’ notice is given). Waiting-time penalties run up to 30 days of wages, roughly $56,000 at her salary.</w:t>
            </w:r>
          </w:p>
        </w:tc>
        <w:tc>
          <w:tcPr>
            <w:tcW w:type="dxa" w:w="2736"/>
          </w:tcPr>
          <w:p>
            <w:r/>
            <w:r>
              <w:rPr>
                <w:rFonts w:ascii="Times New Roman" w:hAnsi="Times New Roman" w:eastAsia="Times New Roman"/>
                <w:b w:val="0"/>
                <w:i w:val="0"/>
                <w:sz w:val="16"/>
                <w:u w:val="none"/>
              </w:rPr>
              <w:t>Expressly made payable within the §§ 201–203 deadlines. Added vested PTO, if any, and plan benefits.</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 7.1: Cause definition</w:t>
            </w:r>
          </w:p>
        </w:tc>
        <w:tc>
          <w:tcPr>
            <w:tcW w:type="dxa" w:w="3456"/>
          </w:tcPr>
          <w:p>
            <w:r/>
            <w:r>
              <w:rPr>
                <w:rFonts w:ascii="Times New Roman" w:hAnsi="Times New Roman" w:eastAsia="Times New Roman"/>
                <w:b w:val="0"/>
                <w:i w:val="0"/>
                <w:sz w:val="16"/>
                <w:u w:val="none"/>
              </w:rPr>
              <w:t>The Offer Letter left “Cause” to the Employment Agreement. The Template definition is Company-favorable: it covers any crime of “moral turpitude,” a breach of “any other agreement,” and policy violations with no cure right.</w:t>
            </w:r>
          </w:p>
        </w:tc>
        <w:tc>
          <w:tcPr>
            <w:tcW w:type="dxa" w:w="2736"/>
          </w:tcPr>
          <w:p>
            <w:r/>
            <w:r>
              <w:rPr>
                <w:rFonts w:ascii="Times New Roman" w:hAnsi="Times New Roman" w:eastAsia="Times New Roman"/>
                <w:b w:val="0"/>
                <w:i w:val="0"/>
                <w:sz w:val="16"/>
                <w:u w:val="none"/>
              </w:rPr>
              <w:t>Template definition retained, which is appropriate for a Company-side first draft.</w:t>
            </w:r>
          </w:p>
        </w:tc>
        <w:tc>
          <w:tcPr>
            <w:tcW w:type="dxa" w:w="1512"/>
          </w:tcPr>
          <w:p>
            <w:r/>
            <w:r>
              <w:rPr>
                <w:rFonts w:ascii="Times New Roman" w:hAnsi="Times New Roman" w:eastAsia="Times New Roman"/>
                <w:b w:val="0"/>
                <w:i w:val="0"/>
                <w:sz w:val="16"/>
                <w:u w:val="none"/>
              </w:rPr>
              <w:t>Expect negotiation (Part VII).</w:t>
            </w:r>
          </w:p>
        </w:tc>
      </w:tr>
      <w:tr>
        <w:tc>
          <w:tcPr>
            <w:tcW w:type="dxa" w:w="1656"/>
          </w:tcPr>
          <w:p>
            <w:r/>
            <w:r>
              <w:rPr>
                <w:rFonts w:ascii="Times New Roman" w:hAnsi="Times New Roman" w:eastAsia="Times New Roman"/>
                <w:b w:val="0"/>
                <w:i w:val="0"/>
                <w:sz w:val="16"/>
                <w:u w:val="none"/>
              </w:rPr>
              <w:t>§ 7.4 (Template) / § 7.7 (Draft): Disability</w:t>
            </w:r>
          </w:p>
        </w:tc>
        <w:tc>
          <w:tcPr>
            <w:tcW w:type="dxa" w:w="3456"/>
          </w:tcPr>
          <w:p>
            <w:r/>
            <w:r>
              <w:rPr>
                <w:rFonts w:ascii="Times New Roman" w:hAnsi="Times New Roman" w:eastAsia="Times New Roman"/>
                <w:b w:val="0"/>
                <w:i w:val="0"/>
                <w:sz w:val="16"/>
                <w:u w:val="none"/>
              </w:rPr>
              <w:t>A 90-consecutive-day standard can conflict with CFRA / FMLA leave (12 weeks of job-protected leave, plus pregnancy disability leave of up to 4 months) and with the FEHA / ADA duty to accommodate, which may include additional leave.</w:t>
            </w:r>
          </w:p>
        </w:tc>
        <w:tc>
          <w:tcPr>
            <w:tcW w:type="dxa" w:w="2736"/>
          </w:tcPr>
          <w:p>
            <w:r/>
            <w:r>
              <w:rPr>
                <w:rFonts w:ascii="Times New Roman" w:hAnsi="Times New Roman" w:eastAsia="Times New Roman"/>
                <w:b w:val="0"/>
                <w:i w:val="0"/>
                <w:sz w:val="16"/>
                <w:u w:val="none"/>
              </w:rPr>
              <w:t>Termination for Disability is barred during protected leave and must comply with FEHA and the ADA.</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 7.5: Release</w:t>
            </w:r>
          </w:p>
        </w:tc>
        <w:tc>
          <w:tcPr>
            <w:tcW w:type="dxa" w:w="3456"/>
          </w:tcPr>
          <w:p>
            <w:r/>
            <w:r>
              <w:rPr>
                <w:rFonts w:ascii="Times New Roman" w:hAnsi="Times New Roman" w:eastAsia="Times New Roman"/>
                <w:b w:val="0"/>
                <w:i w:val="0"/>
                <w:sz w:val="16"/>
                <w:u w:val="none"/>
              </w:rPr>
              <w:t>The Template is generally sound. A release must comply with Gov. Code § 12964.5 (notice of the right to consult an attorney and at least 5 business days to consider), the OWBPA if she is 40 or older (21 days to consider, 7 days to revoke, which fits inside the 60-day Release Deadline), and Civ. Code § 1542.</w:t>
            </w:r>
          </w:p>
        </w:tc>
        <w:tc>
          <w:tcPr>
            <w:tcW w:type="dxa" w:w="2736"/>
          </w:tcPr>
          <w:p>
            <w:r/>
            <w:r>
              <w:rPr>
                <w:rFonts w:ascii="Times New Roman" w:hAnsi="Times New Roman" w:eastAsia="Times New Roman"/>
                <w:b w:val="0"/>
                <w:i w:val="0"/>
                <w:sz w:val="16"/>
                <w:u w:val="none"/>
              </w:rPr>
              <w:t>Uses “a form acceptable to the Company” (the Offer Letter’s wording). Release may not add new restrictive covenants. Resignation from offices added. Two-calendar-year 409A rule retained and extended to accelerated RSU settlement.</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 7.6: Section 409A</w:t>
            </w:r>
          </w:p>
        </w:tc>
        <w:tc>
          <w:tcPr>
            <w:tcW w:type="dxa" w:w="3456"/>
          </w:tcPr>
          <w:p>
            <w:r/>
            <w:r>
              <w:rPr>
                <w:rFonts w:ascii="Times New Roman" w:hAnsi="Times New Roman" w:eastAsia="Times New Roman"/>
                <w:b w:val="0"/>
                <w:i w:val="0"/>
                <w:sz w:val="16"/>
                <w:u w:val="none"/>
              </w:rPr>
              <w:t>The Template’s six-month specified-employee delay applies only if the Company’s stock is publicly traded. Severance should be structured to fit the short-term deferral and separation pay exceptions. The separation pay exception is capped at 2× the lesser of annualized compensation or the § 401(a)(17) limit ($700,000 for 2025) and requires payment by the end of the second year after separation. The 12-month CoC salary continuation ($485,000) fits. The lump-sum target bonus ($194,000) is paid by March 15 of the following year.</w:t>
            </w:r>
          </w:p>
        </w:tc>
        <w:tc>
          <w:tcPr>
            <w:tcW w:type="dxa" w:w="2736"/>
          </w:tcPr>
          <w:p>
            <w:r/>
            <w:r>
              <w:rPr>
                <w:rFonts w:ascii="Times New Roman" w:hAnsi="Times New Roman" w:eastAsia="Times New Roman"/>
                <w:b w:val="0"/>
                <w:i w:val="0"/>
                <w:sz w:val="16"/>
                <w:u w:val="none"/>
              </w:rPr>
              <w:t>Added an exemption / compliance statement, a “separation from service” requirement, and reimbursement and in-kind rules. Good Reason tracks the § 1.409A-1(n)(2)(ii) safe harbor (conditions, 90-day notice, 30-day cure, prompt resignation). The CoC definition is tied to a 409A “change in control event” where needed, which also supports paying a different form within the CoC Period (Treas. Reg. § 1.409A-3(c)(1)).</w:t>
            </w:r>
          </w:p>
        </w:tc>
        <w:tc>
          <w:tcPr>
            <w:tcW w:type="dxa" w:w="1512"/>
          </w:tcPr>
          <w:p>
            <w:r/>
            <w:r>
              <w:rPr>
                <w:rFonts w:ascii="Times New Roman" w:hAnsi="Times New Roman" w:eastAsia="Times New Roman"/>
                <w:b w:val="0"/>
                <w:i w:val="0"/>
                <w:sz w:val="16"/>
                <w:u w:val="none"/>
              </w:rPr>
              <w:t>Confirm with the Company’s tax / benefits team.</w:t>
            </w:r>
          </w:p>
        </w:tc>
      </w:tr>
      <w:tr>
        <w:tc>
          <w:tcPr>
            <w:tcW w:type="dxa" w:w="1656"/>
          </w:tcPr>
          <w:p>
            <w:r/>
            <w:r>
              <w:rPr>
                <w:rFonts w:ascii="Times New Roman" w:hAnsi="Times New Roman" w:eastAsia="Times New Roman"/>
                <w:b w:val="0"/>
                <w:i w:val="0"/>
                <w:sz w:val="16"/>
                <w:u w:val="none"/>
              </w:rPr>
              <w:t>§ 11.8: Section 280G best-net</w:t>
            </w:r>
          </w:p>
        </w:tc>
        <w:tc>
          <w:tcPr>
            <w:tcW w:type="dxa" w:w="3456"/>
          </w:tcPr>
          <w:p>
            <w:r/>
            <w:r>
              <w:rPr>
                <w:rFonts w:ascii="Times New Roman" w:hAnsi="Times New Roman" w:eastAsia="Times New Roman"/>
                <w:b w:val="0"/>
                <w:i w:val="0"/>
                <w:sz w:val="16"/>
                <w:u w:val="none"/>
              </w:rPr>
              <w:t>The Template does not specify the cutback order (409A requires a fixed order), who pays the Accountants, or the private-company shareholder-approval route. Because she is a new hire, her base amount for 280G purposes will be short and annualized, so the CoC package ($679,000 cash plus the value of 50% acceleration and COBRA) could exceed 3× her base amount in an early transaction.</w:t>
            </w:r>
          </w:p>
        </w:tc>
        <w:tc>
          <w:tcPr>
            <w:tcW w:type="dxa" w:w="2736"/>
          </w:tcPr>
          <w:p>
            <w:r/>
            <w:r>
              <w:rPr>
                <w:rFonts w:ascii="Times New Roman" w:hAnsi="Times New Roman" w:eastAsia="Times New Roman"/>
                <w:b w:val="0"/>
                <w:i w:val="0"/>
                <w:sz w:val="16"/>
                <w:u w:val="none"/>
              </w:rPr>
              <w:t>Added a 409A-compliant reduction order and Company payment of the Accountants. Added a bracketed covenant to seek a § 280G(b)(5)(B) stockholder vote if the Company is private (Exhibit D reserved for the waiver).</w:t>
            </w:r>
          </w:p>
        </w:tc>
        <w:tc>
          <w:tcPr>
            <w:tcW w:type="dxa" w:w="1512"/>
          </w:tcPr>
          <w:p>
            <w:r/>
            <w:r>
              <w:rPr>
                <w:rFonts w:ascii="Times New Roman" w:hAnsi="Times New Roman" w:eastAsia="Times New Roman"/>
                <w:b w:val="0"/>
                <w:i w:val="0"/>
                <w:sz w:val="16"/>
                <w:u w:val="none"/>
              </w:rPr>
              <w:t>Run a 280G estimate before any deal.</w:t>
            </w:r>
          </w:p>
        </w:tc>
      </w:tr>
      <w:tr>
        <w:tc>
          <w:tcPr>
            <w:tcW w:type="dxa" w:w="1656"/>
          </w:tcPr>
          <w:p>
            <w:r/>
            <w:r>
              <w:rPr>
                <w:rFonts w:ascii="Times New Roman" w:hAnsi="Times New Roman" w:eastAsia="Times New Roman"/>
                <w:b w:val="0"/>
                <w:i w:val="0"/>
                <w:sz w:val="16"/>
                <w:u w:val="none"/>
              </w:rPr>
              <w:t>Template § 11.6: assignment</w:t>
            </w:r>
          </w:p>
        </w:tc>
        <w:tc>
          <w:tcPr>
            <w:tcW w:type="dxa" w:w="3456"/>
          </w:tcPr>
          <w:p>
            <w:r/>
            <w:r>
              <w:rPr>
                <w:rFonts w:ascii="Times New Roman" w:hAnsi="Times New Roman" w:eastAsia="Times New Roman"/>
                <w:b w:val="0"/>
                <w:i w:val="0"/>
                <w:sz w:val="16"/>
                <w:u w:val="none"/>
              </w:rPr>
              <w:t>The Company could assign the agreement to an affiliate without that affiliate assuming its obligations.</w:t>
            </w:r>
          </w:p>
        </w:tc>
        <w:tc>
          <w:tcPr>
            <w:tcW w:type="dxa" w:w="2736"/>
          </w:tcPr>
          <w:p>
            <w:r/>
            <w:r>
              <w:rPr>
                <w:rFonts w:ascii="Times New Roman" w:hAnsi="Times New Roman" w:eastAsia="Times New Roman"/>
                <w:b w:val="0"/>
                <w:i w:val="0"/>
                <w:sz w:val="16"/>
                <w:u w:val="none"/>
              </w:rPr>
              <w:t>Assignee must assume in writing. A successor to all or substantially all of the business must assume. Failure to assume is Good Reason.</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Recitals / § 11.2: supersession</w:t>
            </w:r>
          </w:p>
        </w:tc>
        <w:tc>
          <w:tcPr>
            <w:tcW w:type="dxa" w:w="3456"/>
          </w:tcPr>
          <w:p>
            <w:r/>
            <w:r>
              <w:rPr>
                <w:rFonts w:ascii="Times New Roman" w:hAnsi="Times New Roman" w:eastAsia="Times New Roman"/>
                <w:b w:val="0"/>
                <w:i w:val="0"/>
                <w:sz w:val="16"/>
                <w:u w:val="none"/>
              </w:rPr>
              <w:t>The Template supersedes the “prior offer letter,” while the Offer Letter says it and the Employment Agreement “together” form the complete agreement. Superseding without restating every term risks a claim that rights were lost, or ambiguity.</w:t>
            </w:r>
          </w:p>
        </w:tc>
        <w:tc>
          <w:tcPr>
            <w:tcW w:type="dxa" w:w="2736"/>
          </w:tcPr>
          <w:p>
            <w:r/>
            <w:r>
              <w:rPr>
                <w:rFonts w:ascii="Times New Roman" w:hAnsi="Times New Roman" w:eastAsia="Times New Roman"/>
                <w:b w:val="0"/>
                <w:i w:val="0"/>
                <w:sz w:val="16"/>
                <w:u w:val="none"/>
              </w:rPr>
              <w:t>Every Offer Letter term is restated. The recitals and § 11.2 acknowledge that this is the Employment Agreement the Offer Letter contemplated. Recital punctuation fixed.</w:t>
            </w:r>
          </w:p>
        </w:tc>
        <w:tc>
          <w:tcPr>
            <w:tcW w:type="dxa" w:w="1512"/>
          </w:tcPr>
          <w:p>
            <w:r/>
            <w:r>
              <w:rPr>
                <w:rFonts w:ascii="Times New Roman" w:hAnsi="Times New Roman" w:eastAsia="Times New Roman"/>
                <w:b w:val="0"/>
                <w:i w:val="0"/>
                <w:sz w:val="16"/>
                <w:u w:val="none"/>
              </w:rPr>
              <w:t>Low.</w:t>
            </w:r>
          </w:p>
        </w:tc>
      </w:tr>
      <w:tr>
        <w:tc>
          <w:tcPr>
            <w:tcW w:type="dxa" w:w="1656"/>
          </w:tcPr>
          <w:p>
            <w:r/>
            <w:r>
              <w:rPr>
                <w:rFonts w:ascii="Times New Roman" w:hAnsi="Times New Roman" w:eastAsia="Times New Roman"/>
                <w:b w:val="0"/>
                <w:i w:val="0"/>
                <w:sz w:val="16"/>
                <w:u w:val="none"/>
              </w:rPr>
              <w:t>§ 5.4: flexible PTO</w:t>
            </w:r>
          </w:p>
        </w:tc>
        <w:tc>
          <w:tcPr>
            <w:tcW w:type="dxa" w:w="3456"/>
          </w:tcPr>
          <w:p>
            <w:r/>
            <w:r>
              <w:rPr>
                <w:rFonts w:ascii="Times New Roman" w:hAnsi="Times New Roman" w:eastAsia="Times New Roman"/>
                <w:b w:val="0"/>
                <w:i w:val="0"/>
                <w:sz w:val="16"/>
                <w:u w:val="none"/>
              </w:rPr>
              <w:t>California treats accrued vacation as wages that cannot be forfeited (Lab. Code § 227.3). A truly unlimited policy avoids accrual, but a policy with de facto caps, or heavy “manager approval” limits, may be treated as accrual-based (McPherson v. EMC Corp., 94 Cal. App. 5th 1 (2023)). The policy must also satisfy California paid sick leave law (40 hours / 5 days per year since 2024) and local ordinances (San Jose has none beyond state law; confirm for any other work location).</w:t>
            </w:r>
          </w:p>
        </w:tc>
        <w:tc>
          <w:tcPr>
            <w:tcW w:type="dxa" w:w="2736"/>
          </w:tcPr>
          <w:p>
            <w:r/>
            <w:r>
              <w:rPr>
                <w:rFonts w:ascii="Times New Roman" w:hAnsi="Times New Roman" w:eastAsia="Times New Roman"/>
                <w:b w:val="0"/>
                <w:i w:val="0"/>
                <w:sz w:val="16"/>
                <w:u w:val="none"/>
              </w:rPr>
              <w:t>Flexible option selected. Payout language added for any previously accrued PTO, plus a paid sick leave floor.</w:t>
            </w:r>
          </w:p>
        </w:tc>
        <w:tc>
          <w:tcPr>
            <w:tcW w:type="dxa" w:w="1512"/>
          </w:tcPr>
          <w:p>
            <w:r/>
            <w:r>
              <w:rPr>
                <w:rFonts w:ascii="Times New Roman" w:hAnsi="Times New Roman" w:eastAsia="Times New Roman"/>
                <w:b w:val="0"/>
                <w:i w:val="0"/>
                <w:sz w:val="16"/>
                <w:u w:val="none"/>
              </w:rPr>
              <w:t>Review the written policy (Open Item 11).</w:t>
            </w:r>
          </w:p>
        </w:tc>
      </w:tr>
      <w:tr>
        <w:tc>
          <w:tcPr>
            <w:tcW w:type="dxa" w:w="1656"/>
          </w:tcPr>
          <w:p>
            <w:r/>
            <w:r>
              <w:rPr>
                <w:rFonts w:ascii="Times New Roman" w:hAnsi="Times New Roman" w:eastAsia="Times New Roman"/>
                <w:b w:val="0"/>
                <w:i w:val="0"/>
                <w:sz w:val="16"/>
                <w:u w:val="none"/>
              </w:rPr>
              <w:t>§ 9.2: “Helix Data Systems, Inc.” named as Prior Employer</w:t>
            </w:r>
          </w:p>
        </w:tc>
        <w:tc>
          <w:tcPr>
            <w:tcW w:type="dxa" w:w="3456"/>
          </w:tcPr>
          <w:p>
            <w:r/>
            <w:r>
              <w:rPr>
                <w:rFonts w:ascii="Times New Roman" w:hAnsi="Times New Roman" w:eastAsia="Times New Roman"/>
                <w:b w:val="0"/>
                <w:i w:val="0"/>
                <w:sz w:val="16"/>
                <w:u w:val="none"/>
              </w:rPr>
              <w:t>Neither the Offer Letter nor anything else in the file identifies her prior employer. This may be a carry-over from another hire.</w:t>
            </w:r>
          </w:p>
        </w:tc>
        <w:tc>
          <w:tcPr>
            <w:tcW w:type="dxa" w:w="2736"/>
          </w:tcPr>
          <w:p>
            <w:r/>
            <w:r>
              <w:rPr>
                <w:rFonts w:ascii="Times New Roman" w:hAnsi="Times New Roman" w:eastAsia="Times New Roman"/>
                <w:b w:val="0"/>
                <w:i w:val="0"/>
                <w:sz w:val="16"/>
                <w:u w:val="none"/>
              </w:rPr>
              <w:t>Bracketed. References to “non-competition” agreements in § 9.1 recast as “enforceable” restrictive covenants.</w:t>
            </w:r>
          </w:p>
        </w:tc>
        <w:tc>
          <w:tcPr>
            <w:tcW w:type="dxa" w:w="1512"/>
          </w:tcPr>
          <w:p>
            <w:r/>
            <w:r>
              <w:rPr>
                <w:rFonts w:ascii="Times New Roman" w:hAnsi="Times New Roman" w:eastAsia="Times New Roman"/>
                <w:b w:val="0"/>
                <w:i w:val="0"/>
                <w:sz w:val="16"/>
                <w:u w:val="none"/>
              </w:rPr>
              <w:t>Confirm and obtain her prior agreements (Open Item 5).</w:t>
            </w:r>
          </w:p>
        </w:tc>
      </w:tr>
      <w:tr>
        <w:tc>
          <w:tcPr>
            <w:tcW w:type="dxa" w:w="1656"/>
          </w:tcPr>
          <w:p>
            <w:r/>
            <w:r>
              <w:rPr>
                <w:rFonts w:ascii="Times New Roman" w:hAnsi="Times New Roman" w:eastAsia="Times New Roman"/>
                <w:b w:val="0"/>
                <w:i w:val="0"/>
                <w:sz w:val="16"/>
                <w:u w:val="none"/>
              </w:rPr>
              <w:t>§§ 1.3 and 5.5</w:t>
            </w:r>
          </w:p>
        </w:tc>
        <w:tc>
          <w:tcPr>
            <w:tcW w:type="dxa" w:w="3456"/>
          </w:tcPr>
          <w:p>
            <w:r/>
            <w:r>
              <w:rPr>
                <w:rFonts w:ascii="Times New Roman" w:hAnsi="Times New Roman" w:eastAsia="Times New Roman"/>
                <w:b w:val="0"/>
                <w:i w:val="0"/>
                <w:sz w:val="16"/>
                <w:u w:val="none"/>
              </w:rPr>
              <w:t>Off-duty conduct is protected under Lab. Code § 96(k). Necessary expenses, including hybrid-work costs, must be reimbursed under Lab. Code § 2802.</w:t>
            </w:r>
          </w:p>
        </w:tc>
        <w:tc>
          <w:tcPr>
            <w:tcW w:type="dxa" w:w="2736"/>
          </w:tcPr>
          <w:p>
            <w:r/>
            <w:r>
              <w:rPr>
                <w:rFonts w:ascii="Times New Roman" w:hAnsi="Times New Roman" w:eastAsia="Times New Roman"/>
                <w:b w:val="0"/>
                <w:i w:val="0"/>
                <w:sz w:val="16"/>
                <w:u w:val="none"/>
              </w:rPr>
              <w:t>Clarifying references added. For-profit board service requires CEO consent.</w:t>
            </w:r>
          </w:p>
        </w:tc>
        <w:tc>
          <w:tcPr>
            <w:tcW w:type="dxa" w:w="1512"/>
          </w:tcPr>
          <w:p>
            <w:r/>
            <w:r>
              <w:rPr>
                <w:rFonts w:ascii="Times New Roman" w:hAnsi="Times New Roman" w:eastAsia="Times New Roman"/>
                <w:b w:val="0"/>
                <w:i w:val="0"/>
                <w:sz w:val="16"/>
                <w:u w:val="none"/>
              </w:rPr>
              <w:t>Low.</w:t>
            </w:r>
          </w:p>
        </w:tc>
      </w:tr>
    </w:tbl>
    <w:p>
      <w:pPr>
        <w:spacing w:after="40"/>
      </w:pPr>
    </w:p>
    <w:p>
      <w:pPr>
        <w:keepNext/>
        <w:spacing w:before="160" w:after="120"/>
        <w:jc w:val="left"/>
      </w:pPr>
      <w:r>
        <w:rPr>
          <w:rFonts w:ascii="Times New Roman" w:hAnsi="Times New Roman" w:eastAsia="Times New Roman"/>
          <w:b/>
          <w:i w:val="0"/>
          <w:sz w:val="23"/>
          <w:u w:val="single"/>
        </w:rPr>
        <w:t>V. Issues in the Offer Letter Itself</w:t>
      </w:r>
    </w:p>
    <w:p>
      <w:pPr>
        <w:spacing w:before="0" w:after="120"/>
        <w:jc w:val="both"/>
      </w:pPr>
      <w:r>
        <w:rPr>
          <w:rFonts w:ascii="Times New Roman" w:hAnsi="Times New Roman" w:eastAsia="Times New Roman"/>
          <w:b/>
          <w:i w:val="0"/>
          <w:sz w:val="22"/>
          <w:u w:val="none"/>
        </w:rPr>
        <w:t>1. 401(k) match is overstated.</w:t>
      </w:r>
      <w:r>
        <w:rPr>
          <w:rFonts w:ascii="Times New Roman" w:hAnsi="Times New Roman" w:eastAsia="Times New Roman"/>
          <w:b w:val="0"/>
          <w:i w:val="0"/>
          <w:sz w:val="22"/>
          <w:u w:val="none"/>
        </w:rPr>
        <w:t xml:space="preserve"> The Offer Letter states a maximum annual Company match of $14,550 (50% × 6% × $485,000). The plan can only take into account compensation up to the Code § 401(a)(17) limit ($350,000 for 2025), which caps the match at about $10,500 (50% × 6% × $350,000). The match also requires her to defer at least 6% of covered pay ($21,000). That is within the 2025 § 402(g) deferral limit of $23,500, but 6% of her full salary ($29,100) is not. The Draft states the formula “subject to applicable IRS limits” and omits the dollar figure. Because the incorrect figure is in a signed document, we recommend the Company send a short written clarification (or that the Draft add an acknowledgment) to forestall a misrepresentation claim. If the plan uses a true-up or a different compensation definition, the figure may differ; confirm with the plan administrator.</w:t>
      </w:r>
    </w:p>
    <w:p>
      <w:pPr>
        <w:spacing w:before="0" w:after="120"/>
        <w:jc w:val="both"/>
      </w:pPr>
      <w:r>
        <w:rPr>
          <w:rFonts w:ascii="Times New Roman" w:hAnsi="Times New Roman" w:eastAsia="Times New Roman"/>
          <w:b/>
          <w:i w:val="0"/>
          <w:sz w:val="22"/>
          <w:u w:val="none"/>
        </w:rPr>
        <w:t>2. Undefined terms that drive severance.</w:t>
      </w:r>
      <w:r>
        <w:rPr>
          <w:rFonts w:ascii="Times New Roman" w:hAnsi="Times New Roman" w:eastAsia="Times New Roman"/>
          <w:b w:val="0"/>
          <w:i w:val="0"/>
          <w:sz w:val="22"/>
          <w:u w:val="none"/>
        </w:rPr>
        <w:t xml:space="preserve"> “Cause,” “Good Reason,” and “Change of Control” are used throughout but expressly left to the Employment Agreement, and the Template contained no Good Reason concept at all. The Draft’s definitions are reasonable for a Company-side first draft, but because the economic entitlements are already fixed by a signed letter, an aggressively narrow Good Reason or broad Cause definition may draw a claim that the Company is undercutting the bargained-for protection. I drafted Good Reason to track the 409A safe harbor and the triggers customary for an SVP-level executive.</w:t>
      </w:r>
    </w:p>
    <w:p>
      <w:pPr>
        <w:spacing w:before="0" w:after="120"/>
        <w:jc w:val="both"/>
      </w:pPr>
      <w:r>
        <w:rPr>
          <w:rFonts w:ascii="Times New Roman" w:hAnsi="Times New Roman" w:eastAsia="Times New Roman"/>
          <w:b/>
          <w:i w:val="0"/>
          <w:sz w:val="22"/>
          <w:u w:val="none"/>
        </w:rPr>
        <w:t>3. Math reconciles.</w:t>
      </w:r>
      <w:r>
        <w:rPr>
          <w:rFonts w:ascii="Times New Roman" w:hAnsi="Times New Roman" w:eastAsia="Times New Roman"/>
          <w:b w:val="0"/>
          <w:i w:val="0"/>
          <w:sz w:val="22"/>
          <w:u w:val="none"/>
        </w:rPr>
        <w:t xml:space="preserve"> I checked every computed figure in the Offer Letter: target bonus $194,000 (40%); maximum $291,000 (60%); 9 months’ salary $363,750; CoC cash $485,000 + $194,000 = $679,000; RSUs 30,000 + (12 × 7,500) = 120,000; options 15,000 + (36 × 1,250) = 60,000. All are correct except the 401(k) figure in item 1.</w:t>
      </w:r>
    </w:p>
    <w:p>
      <w:pPr>
        <w:spacing w:before="0" w:after="120"/>
        <w:jc w:val="both"/>
      </w:pPr>
      <w:r>
        <w:rPr>
          <w:rFonts w:ascii="Times New Roman" w:hAnsi="Times New Roman" w:eastAsia="Times New Roman"/>
          <w:b/>
          <w:i w:val="0"/>
          <w:sz w:val="22"/>
          <w:u w:val="none"/>
        </w:rPr>
        <w:t>4. Internal tension on at-will status.</w:t>
      </w:r>
      <w:r>
        <w:rPr>
          <w:rFonts w:ascii="Times New Roman" w:hAnsi="Times New Roman" w:eastAsia="Times New Roman"/>
          <w:b w:val="0"/>
          <w:i w:val="0"/>
          <w:sz w:val="22"/>
          <w:u w:val="none"/>
        </w:rPr>
        <w:t xml:space="preserve"> The acceptance block states “this offer letter is not an employment contract,” yet the letter promises severance. Severance promises in a signed offer letter are generally enforceable regardless of such a disclaimer. The Draft resolves the tension by restating those terms in a binding agreement.</w:t>
      </w:r>
    </w:p>
    <w:p>
      <w:pPr>
        <w:spacing w:before="0" w:after="120"/>
        <w:jc w:val="both"/>
      </w:pPr>
      <w:r>
        <w:rPr>
          <w:rFonts w:ascii="Times New Roman" w:hAnsi="Times New Roman" w:eastAsia="Times New Roman"/>
          <w:b/>
          <w:i w:val="0"/>
          <w:sz w:val="22"/>
          <w:u w:val="none"/>
        </w:rPr>
        <w:t>5. No pre-CoC protection window.</w:t>
      </w:r>
      <w:r>
        <w:rPr>
          <w:rFonts w:ascii="Times New Roman" w:hAnsi="Times New Roman" w:eastAsia="Times New Roman"/>
          <w:b w:val="0"/>
          <w:i w:val="0"/>
          <w:sz w:val="22"/>
          <w:u w:val="none"/>
        </w:rPr>
        <w:t xml:space="preserve"> Double-trigger protection applies only to terminations “within 12 months following” a CoC. A termination in anticipation of a deal (e.g., 60–90 days before closing) receives only the non-CoC package. I did not add a look-back period, because it is not in the Offer Letter, but expect a request (Part VII).</w:t>
      </w:r>
    </w:p>
    <w:p>
      <w:pPr>
        <w:spacing w:before="0" w:after="120"/>
        <w:jc w:val="both"/>
      </w:pPr>
      <w:r>
        <w:rPr>
          <w:rFonts w:ascii="Times New Roman" w:hAnsi="Times New Roman" w:eastAsia="Times New Roman"/>
          <w:b/>
          <w:i w:val="0"/>
          <w:sz w:val="22"/>
          <w:u w:val="none"/>
        </w:rPr>
        <w:t>6. Signing bonus has no clawback.</w:t>
      </w:r>
      <w:r>
        <w:rPr>
          <w:rFonts w:ascii="Times New Roman" w:hAnsi="Times New Roman" w:eastAsia="Times New Roman"/>
          <w:b w:val="0"/>
          <w:i w:val="0"/>
          <w:sz w:val="22"/>
          <w:u w:val="none"/>
        </w:rPr>
        <w:t xml:space="preserve"> The Offer Letter does not condition the $150,000 signing bonus on retention, and the Draft does not add a repayment obligation. Adding one now would be a new, adverse term requiring her consent. It would also face California limits on “stay-or-pay” arrangements: wage-forfeiture and deduction rules, and newly enacted legislation (AB 692) restricting repayment obligations in employment agreements entered into on or after January 1, 2026. If the Company nonetheless wants a clawback, we should analyze it separately before raising it.</w:t>
      </w:r>
    </w:p>
    <w:p>
      <w:pPr>
        <w:spacing w:before="0" w:after="120"/>
        <w:jc w:val="both"/>
      </w:pPr>
      <w:r>
        <w:rPr>
          <w:rFonts w:ascii="Times New Roman" w:hAnsi="Times New Roman" w:eastAsia="Times New Roman"/>
          <w:b/>
          <w:i w:val="0"/>
          <w:sz w:val="22"/>
          <w:u w:val="none"/>
        </w:rPr>
        <w:t>7. Equity is subject to Board approval.</w:t>
      </w:r>
      <w:r>
        <w:rPr>
          <w:rFonts w:ascii="Times New Roman" w:hAnsi="Times New Roman" w:eastAsia="Times New Roman"/>
          <w:b w:val="0"/>
          <w:i w:val="0"/>
          <w:sz w:val="22"/>
          <w:u w:val="none"/>
        </w:rPr>
        <w:t xml:space="preserve"> The share numbers are fixed, but the exercise price will be the FMV on the grant date. Any delay in Board action after the Start Date may raise her exercise price. That is a common source of disputes, particularly if a new 409A valuation lands in the interim.</w:t>
      </w:r>
    </w:p>
    <w:p>
      <w:pPr>
        <w:keepNext/>
        <w:spacing w:before="160" w:after="120"/>
        <w:jc w:val="left"/>
      </w:pPr>
      <w:r>
        <w:rPr>
          <w:rFonts w:ascii="Times New Roman" w:hAnsi="Times New Roman" w:eastAsia="Times New Roman"/>
          <w:b/>
          <w:i w:val="0"/>
          <w:sz w:val="23"/>
          <w:u w:val="single"/>
        </w:rPr>
        <w:t>VI. Open Items for Client Confirmation</w:t>
      </w:r>
    </w:p>
    <w:p>
      <w:pPr>
        <w:spacing w:before="0" w:after="120"/>
        <w:ind w:left="360"/>
        <w:jc w:val="both"/>
      </w:pPr>
      <w:r>
        <w:rPr>
          <w:rFonts w:ascii="Times New Roman" w:hAnsi="Times New Roman" w:eastAsia="Times New Roman"/>
          <w:b w:val="0"/>
          <w:i w:val="0"/>
          <w:sz w:val="22"/>
          <w:u w:val="none"/>
        </w:rPr>
        <w:t xml:space="preserve">1.  </w:t>
      </w:r>
      <w:r>
        <w:rPr>
          <w:rFonts w:ascii="Times New Roman" w:hAnsi="Times New Roman" w:eastAsia="Times New Roman"/>
          <w:b/>
          <w:i w:val="0"/>
          <w:sz w:val="22"/>
          <w:u w:val="none"/>
        </w:rPr>
        <w:t>Execution timing / Effective Date.</w:t>
      </w:r>
      <w:r>
        <w:rPr>
          <w:rFonts w:ascii="Times New Roman" w:hAnsi="Times New Roman" w:eastAsia="Times New Roman"/>
          <w:b w:val="0"/>
          <w:i w:val="0"/>
          <w:sz w:val="22"/>
          <w:u w:val="none"/>
        </w:rPr>
        <w:t xml:space="preserve"> Confirm the status of execution relative to the July 14, 2025 Start Date (Draft bracket in the preamble). If she has already started under the Offer Letter alone, (a) date the Agreement as of signing, with the Start Date unchanged; (b) confirm that continued at-will employment is acceptable consideration for the arbitration agreement and confidentiality covenants (it generally is in California, but presenting the documents as “required to continue employment” should be handled carefully); and (c) make sure no benefit or vesting term has already been administered differently from the Draft.</w:t>
      </w:r>
    </w:p>
    <w:p>
      <w:pPr>
        <w:spacing w:before="0" w:after="120"/>
        <w:ind w:left="360"/>
        <w:jc w:val="both"/>
      </w:pPr>
      <w:r>
        <w:rPr>
          <w:rFonts w:ascii="Times New Roman" w:hAnsi="Times New Roman" w:eastAsia="Times New Roman"/>
          <w:b w:val="0"/>
          <w:i w:val="0"/>
          <w:sz w:val="22"/>
          <w:u w:val="none"/>
        </w:rPr>
        <w:t xml:space="preserve">2.  </w:t>
      </w:r>
      <w:r>
        <w:rPr>
          <w:rFonts w:ascii="Times New Roman" w:hAnsi="Times New Roman" w:eastAsia="Times New Roman"/>
          <w:b/>
          <w:i w:val="0"/>
          <w:sz w:val="22"/>
          <w:u w:val="none"/>
        </w:rPr>
        <w:t>Equity approvals.</w:t>
      </w:r>
      <w:r>
        <w:rPr>
          <w:rFonts w:ascii="Times New Roman" w:hAnsi="Times New Roman" w:eastAsia="Times New Roman"/>
          <w:b w:val="0"/>
          <w:i w:val="0"/>
          <w:sz w:val="22"/>
          <w:u w:val="none"/>
        </w:rPr>
        <w:t xml:space="preserve"> Confirm the date of Board / Compensation Committee approval, the grant date and exercise price, the 409A valuation date, and that the award agreements reflect the Draft’s vesting schedules (1-year cliff; RSU quarterly installments) and § 4.3 acceleration. Confirm the 2021 Plan has sufficient share reserve (180,000 shares) and ISO capacity. Note: with the 15,000-share cliff, the § 422(d) $100,000 limit may cause part of the Option to be NSOs depending on the exercise price.</w:t>
      </w:r>
    </w:p>
    <w:p>
      <w:pPr>
        <w:spacing w:before="0" w:after="120"/>
        <w:ind w:left="360"/>
        <w:jc w:val="both"/>
      </w:pPr>
      <w:r>
        <w:rPr>
          <w:rFonts w:ascii="Times New Roman" w:hAnsi="Times New Roman" w:eastAsia="Times New Roman"/>
          <w:b w:val="0"/>
          <w:i w:val="0"/>
          <w:sz w:val="22"/>
          <w:u w:val="none"/>
        </w:rPr>
        <w:t xml:space="preserve">3.  </w:t>
      </w:r>
      <w:r>
        <w:rPr>
          <w:rFonts w:ascii="Times New Roman" w:hAnsi="Times New Roman" w:eastAsia="Times New Roman"/>
          <w:b/>
          <w:i w:val="0"/>
          <w:sz w:val="22"/>
          <w:u w:val="none"/>
        </w:rPr>
        <w:t>2021 Equity Incentive Plan.</w:t>
      </w:r>
      <w:r>
        <w:rPr>
          <w:rFonts w:ascii="Times New Roman" w:hAnsi="Times New Roman" w:eastAsia="Times New Roman"/>
          <w:b w:val="0"/>
          <w:i w:val="0"/>
          <w:sz w:val="22"/>
          <w:u w:val="none"/>
        </w:rPr>
        <w:t xml:space="preserve"> Please send the Plan. Its Change of Control definition should align with Draft § 7.8(a), and its treatment of awards not assumed in a transaction, its Cause definition, and its post-termination exercise periods need to be reconciled with the Draft. Draft § 4.4 makes the Agreement control only for vesting and acceleration.</w:t>
      </w:r>
    </w:p>
    <w:p>
      <w:pPr>
        <w:spacing w:before="0" w:after="120"/>
        <w:ind w:left="360"/>
        <w:jc w:val="both"/>
      </w:pPr>
      <w:r>
        <w:rPr>
          <w:rFonts w:ascii="Times New Roman" w:hAnsi="Times New Roman" w:eastAsia="Times New Roman"/>
          <w:b w:val="0"/>
          <w:i w:val="0"/>
          <w:sz w:val="22"/>
          <w:u w:val="none"/>
        </w:rPr>
        <w:t xml:space="preserve">4.  </w:t>
      </w:r>
      <w:r>
        <w:rPr>
          <w:rFonts w:ascii="Times New Roman" w:hAnsi="Times New Roman" w:eastAsia="Times New Roman"/>
          <w:b/>
          <w:i w:val="0"/>
          <w:sz w:val="22"/>
          <w:u w:val="none"/>
        </w:rPr>
        <w:t>Public or private company.</w:t>
      </w:r>
      <w:r>
        <w:rPr>
          <w:rFonts w:ascii="Times New Roman" w:hAnsi="Times New Roman" w:eastAsia="Times New Roman"/>
          <w:b w:val="0"/>
          <w:i w:val="0"/>
          <w:sz w:val="22"/>
          <w:u w:val="none"/>
        </w:rPr>
        <w:t xml:space="preserve"> This determines whether the § 7.6 specified-employee delay applies, whether the § 11.9 clawback (Rule 10D-1 / listing standards) and Section 16 / Form 8-K Item 5.02 obligations apply (an SVP heading engineering may be an “executive officer”), whether the § 11.8 private-company 280G stockholder vote is available, and how RSU settlement will be handled. For a private company, settlement at vesting creates a tax event without liquidity; consider a liquidity-event condition, which would require amending the Offer Letter terms with her consent.</w:t>
      </w:r>
    </w:p>
    <w:p>
      <w:pPr>
        <w:spacing w:before="0" w:after="120"/>
        <w:ind w:left="360"/>
        <w:jc w:val="both"/>
      </w:pPr>
      <w:r>
        <w:rPr>
          <w:rFonts w:ascii="Times New Roman" w:hAnsi="Times New Roman" w:eastAsia="Times New Roman"/>
          <w:b w:val="0"/>
          <w:i w:val="0"/>
          <w:sz w:val="22"/>
          <w:u w:val="none"/>
        </w:rPr>
        <w:t xml:space="preserve">5.  </w:t>
      </w:r>
      <w:r>
        <w:rPr>
          <w:rFonts w:ascii="Times New Roman" w:hAnsi="Times New Roman" w:eastAsia="Times New Roman"/>
          <w:b/>
          <w:i w:val="0"/>
          <w:sz w:val="22"/>
          <w:u w:val="none"/>
        </w:rPr>
        <w:t>Prior employer.</w:t>
      </w:r>
      <w:r>
        <w:rPr>
          <w:rFonts w:ascii="Times New Roman" w:hAnsi="Times New Roman" w:eastAsia="Times New Roman"/>
          <w:b w:val="0"/>
          <w:i w:val="0"/>
          <w:sz w:val="22"/>
          <w:u w:val="none"/>
        </w:rPr>
        <w:t xml:space="preserve"> Confirm whether Helix Data Systems, Inc. is in fact her prior employer (§ 9.2), and obtain copies of any confidentiality, invention-assignment, or non-solicitation agreements. Given her role (SVP, Engineering), recommend a trade-secret onboarding protocol (written instruction, device and account certification) to reduce misappropriation risk from her prior employer.</w:t>
      </w:r>
    </w:p>
    <w:p>
      <w:pPr>
        <w:spacing w:before="0" w:after="120"/>
        <w:ind w:left="360"/>
        <w:jc w:val="both"/>
      </w:pPr>
      <w:r>
        <w:rPr>
          <w:rFonts w:ascii="Times New Roman" w:hAnsi="Times New Roman" w:eastAsia="Times New Roman"/>
          <w:b w:val="0"/>
          <w:i w:val="0"/>
          <w:sz w:val="22"/>
          <w:u w:val="none"/>
        </w:rPr>
        <w:t xml:space="preserve">6.  </w:t>
      </w:r>
      <w:r>
        <w:rPr>
          <w:rFonts w:ascii="Times New Roman" w:hAnsi="Times New Roman" w:eastAsia="Times New Roman"/>
          <w:b/>
          <w:i w:val="0"/>
          <w:sz w:val="22"/>
          <w:u w:val="none"/>
        </w:rPr>
        <w:t>Notice period and garden leave.</w:t>
      </w:r>
      <w:r>
        <w:rPr>
          <w:rFonts w:ascii="Times New Roman" w:hAnsi="Times New Roman" w:eastAsia="Times New Roman"/>
          <w:b w:val="0"/>
          <w:i w:val="0"/>
          <w:sz w:val="22"/>
          <w:u w:val="none"/>
        </w:rPr>
        <w:t xml:space="preserve"> Confirm the 30-day resignation notice and the limitation of garden leave to the notice period. [Business Call]</w:t>
      </w:r>
    </w:p>
    <w:p>
      <w:pPr>
        <w:spacing w:before="0" w:after="120"/>
        <w:ind w:left="360"/>
        <w:jc w:val="both"/>
      </w:pPr>
      <w:r>
        <w:rPr>
          <w:rFonts w:ascii="Times New Roman" w:hAnsi="Times New Roman" w:eastAsia="Times New Roman"/>
          <w:b w:val="0"/>
          <w:i w:val="0"/>
          <w:sz w:val="22"/>
          <w:u w:val="none"/>
        </w:rPr>
        <w:t xml:space="preserve">7.  </w:t>
      </w:r>
      <w:r>
        <w:rPr>
          <w:rFonts w:ascii="Times New Roman" w:hAnsi="Times New Roman" w:eastAsia="Times New Roman"/>
          <w:b/>
          <w:i w:val="0"/>
          <w:sz w:val="22"/>
          <w:u w:val="none"/>
        </w:rPr>
        <w:t>Arbitration provider.</w:t>
      </w:r>
      <w:r>
        <w:rPr>
          <w:rFonts w:ascii="Times New Roman" w:hAnsi="Times New Roman" w:eastAsia="Times New Roman"/>
          <w:b w:val="0"/>
          <w:i w:val="0"/>
          <w:sz w:val="22"/>
          <w:u w:val="none"/>
        </w:rPr>
        <w:t xml:space="preserve"> Confirm JAMS, or substitute AAA, and the hearing location (Santa Clara County).</w:t>
      </w:r>
    </w:p>
    <w:p>
      <w:pPr>
        <w:spacing w:before="0" w:after="120"/>
        <w:ind w:left="360"/>
        <w:jc w:val="both"/>
      </w:pPr>
      <w:r>
        <w:rPr>
          <w:rFonts w:ascii="Times New Roman" w:hAnsi="Times New Roman" w:eastAsia="Times New Roman"/>
          <w:b w:val="0"/>
          <w:i w:val="0"/>
          <w:sz w:val="22"/>
          <w:u w:val="none"/>
        </w:rPr>
        <w:t xml:space="preserve">8.  </w:t>
      </w:r>
      <w:r>
        <w:rPr>
          <w:rFonts w:ascii="Times New Roman" w:hAnsi="Times New Roman" w:eastAsia="Times New Roman"/>
          <w:b/>
          <w:i w:val="0"/>
          <w:sz w:val="22"/>
          <w:u w:val="none"/>
        </w:rPr>
        <w:t>COBRA scope.</w:t>
      </w:r>
      <w:r>
        <w:rPr>
          <w:rFonts w:ascii="Times New Roman" w:hAnsi="Times New Roman" w:eastAsia="Times New Roman"/>
          <w:b w:val="0"/>
          <w:i w:val="0"/>
          <w:sz w:val="22"/>
          <w:u w:val="none"/>
        </w:rPr>
        <w:t xml:space="preserve"> The Offer Letter says “your COBRA premiums.” Confirm whether reimbursement covers dependents (bracketed in § 7.4). Confirm whether the Castellan Wellness Plus Plan is self-insured (relevant to Code § 105(h)) and confirm the taxable-payment fallback with Greystone.</w:t>
      </w:r>
    </w:p>
    <w:p>
      <w:pPr>
        <w:spacing w:before="0" w:after="120"/>
        <w:ind w:left="360"/>
        <w:jc w:val="both"/>
      </w:pPr>
      <w:r>
        <w:rPr>
          <w:rFonts w:ascii="Times New Roman" w:hAnsi="Times New Roman" w:eastAsia="Times New Roman"/>
          <w:b w:val="0"/>
          <w:i w:val="0"/>
          <w:sz w:val="22"/>
          <w:u w:val="none"/>
        </w:rPr>
        <w:t xml:space="preserve">9.  </w:t>
      </w:r>
      <w:r>
        <w:rPr>
          <w:rFonts w:ascii="Times New Roman" w:hAnsi="Times New Roman" w:eastAsia="Times New Roman"/>
          <w:b/>
          <w:i w:val="0"/>
          <w:sz w:val="22"/>
          <w:u w:val="none"/>
        </w:rPr>
        <w:t>Performance-based awards.</w:t>
      </w:r>
      <w:r>
        <w:rPr>
          <w:rFonts w:ascii="Times New Roman" w:hAnsi="Times New Roman" w:eastAsia="Times New Roman"/>
          <w:b w:val="0"/>
          <w:i w:val="0"/>
          <w:sz w:val="22"/>
          <w:u w:val="none"/>
        </w:rPr>
        <w:t xml:space="preserve"> Confirm the bracketed “deemed achieved at target” treatment in § 4.3 for any future performance awards (the Offer Letter grants are time-based only).</w:t>
      </w:r>
    </w:p>
    <w:p>
      <w:pPr>
        <w:spacing w:before="0" w:after="120"/>
        <w:ind w:left="360"/>
        <w:jc w:val="both"/>
      </w:pPr>
      <w:r>
        <w:rPr>
          <w:rFonts w:ascii="Times New Roman" w:hAnsi="Times New Roman" w:eastAsia="Times New Roman"/>
          <w:b w:val="0"/>
          <w:i w:val="0"/>
          <w:sz w:val="22"/>
          <w:u w:val="none"/>
        </w:rPr>
        <w:t xml:space="preserve">10.  </w:t>
      </w:r>
      <w:r>
        <w:rPr>
          <w:rFonts w:ascii="Times New Roman" w:hAnsi="Times New Roman" w:eastAsia="Times New Roman"/>
          <w:b/>
          <w:i w:val="0"/>
          <w:sz w:val="22"/>
          <w:u w:val="none"/>
        </w:rPr>
        <w:t>Good Reason after a CoC.</w:t>
      </w:r>
      <w:r>
        <w:rPr>
          <w:rFonts w:ascii="Times New Roman" w:hAnsi="Times New Roman" w:eastAsia="Times New Roman"/>
          <w:b w:val="0"/>
          <w:i w:val="0"/>
          <w:sz w:val="22"/>
          <w:u w:val="none"/>
        </w:rPr>
        <w:t xml:space="preserve"> Confirm the bracketed § 7.8(c)(iii) language, which treats reporting to the CEO of the parent or successor as satisfying the reporting trigger after an acquisition. Without it, nearly any acquisition by a larger company would give her Good Reason. She will likely push for the opposite position.</w:t>
      </w:r>
    </w:p>
    <w:p>
      <w:pPr>
        <w:spacing w:before="0" w:after="120"/>
        <w:ind w:left="360"/>
        <w:jc w:val="both"/>
      </w:pPr>
      <w:r>
        <w:rPr>
          <w:rFonts w:ascii="Times New Roman" w:hAnsi="Times New Roman" w:eastAsia="Times New Roman"/>
          <w:b w:val="0"/>
          <w:i w:val="0"/>
          <w:sz w:val="22"/>
          <w:u w:val="none"/>
        </w:rPr>
        <w:t xml:space="preserve">11.  </w:t>
      </w:r>
      <w:r>
        <w:rPr>
          <w:rFonts w:ascii="Times New Roman" w:hAnsi="Times New Roman" w:eastAsia="Times New Roman"/>
          <w:b/>
          <w:i w:val="0"/>
          <w:sz w:val="22"/>
          <w:u w:val="none"/>
        </w:rPr>
        <w:t>Flexible time off policy.</w:t>
      </w:r>
      <w:r>
        <w:rPr>
          <w:rFonts w:ascii="Times New Roman" w:hAnsi="Times New Roman" w:eastAsia="Times New Roman"/>
          <w:b w:val="0"/>
          <w:i w:val="0"/>
          <w:sz w:val="22"/>
          <w:u w:val="none"/>
        </w:rPr>
        <w:t xml:space="preserve"> Provide the written policy so we can confirm it operates as a genuinely non-accrual policy under California law and meets paid sick leave requirements.</w:t>
      </w:r>
    </w:p>
    <w:p>
      <w:pPr>
        <w:spacing w:before="0" w:after="120"/>
        <w:ind w:left="360"/>
        <w:jc w:val="both"/>
      </w:pPr>
      <w:r>
        <w:rPr>
          <w:rFonts w:ascii="Times New Roman" w:hAnsi="Times New Roman" w:eastAsia="Times New Roman"/>
          <w:b w:val="0"/>
          <w:i w:val="0"/>
          <w:sz w:val="22"/>
          <w:u w:val="none"/>
        </w:rPr>
        <w:t xml:space="preserve">12.  </w:t>
      </w:r>
      <w:r>
        <w:rPr>
          <w:rFonts w:ascii="Times New Roman" w:hAnsi="Times New Roman" w:eastAsia="Times New Roman"/>
          <w:b/>
          <w:i w:val="0"/>
          <w:sz w:val="22"/>
          <w:u w:val="none"/>
        </w:rPr>
        <w:t>Executive Life Program.</w:t>
      </w:r>
      <w:r>
        <w:rPr>
          <w:rFonts w:ascii="Times New Roman" w:hAnsi="Times New Roman" w:eastAsia="Times New Roman"/>
          <w:b w:val="0"/>
          <w:i w:val="0"/>
          <w:sz w:val="22"/>
          <w:u w:val="none"/>
        </w:rPr>
        <w:t xml:space="preserve"> Confirm the $500,000 benefit is insured, whether underwriting or evidence of insurability applies, and whether group-term coverage above $50,000 will produce imputed income under Code § 79.</w:t>
      </w:r>
    </w:p>
    <w:p>
      <w:pPr>
        <w:spacing w:before="0" w:after="120"/>
        <w:ind w:left="360"/>
        <w:jc w:val="both"/>
      </w:pPr>
      <w:r>
        <w:rPr>
          <w:rFonts w:ascii="Times New Roman" w:hAnsi="Times New Roman" w:eastAsia="Times New Roman"/>
          <w:b w:val="0"/>
          <w:i w:val="0"/>
          <w:sz w:val="22"/>
          <w:u w:val="none"/>
        </w:rPr>
        <w:t xml:space="preserve">13.  </w:t>
      </w:r>
      <w:r>
        <w:rPr>
          <w:rFonts w:ascii="Times New Roman" w:hAnsi="Times New Roman" w:eastAsia="Times New Roman"/>
          <w:b/>
          <w:i w:val="0"/>
          <w:sz w:val="22"/>
          <w:u w:val="none"/>
        </w:rPr>
        <w:t>Indemnification / D&amp;O.</w:t>
      </w:r>
      <w:r>
        <w:rPr>
          <w:rFonts w:ascii="Times New Roman" w:hAnsi="Times New Roman" w:eastAsia="Times New Roman"/>
          <w:b w:val="0"/>
          <w:i w:val="0"/>
          <w:sz w:val="22"/>
          <w:u w:val="none"/>
        </w:rPr>
        <w:t xml:space="preserve"> Bracketed § 11.11 (not in the Offer Letter). Confirm whether she will be an officer and whether the Company has a standard indemnification agreement. This is customary for SVP-level officers, and she will likely request it.</w:t>
      </w:r>
    </w:p>
    <w:p>
      <w:pPr>
        <w:spacing w:before="0" w:after="120"/>
        <w:ind w:left="360"/>
        <w:jc w:val="both"/>
      </w:pPr>
      <w:r>
        <w:rPr>
          <w:rFonts w:ascii="Times New Roman" w:hAnsi="Times New Roman" w:eastAsia="Times New Roman"/>
          <w:b w:val="0"/>
          <w:i w:val="0"/>
          <w:sz w:val="22"/>
          <w:u w:val="none"/>
        </w:rPr>
        <w:t xml:space="preserve">14.  </w:t>
      </w:r>
      <w:r>
        <w:rPr>
          <w:rFonts w:ascii="Times New Roman" w:hAnsi="Times New Roman" w:eastAsia="Times New Roman"/>
          <w:b/>
          <w:i w:val="0"/>
          <w:sz w:val="22"/>
          <w:u w:val="none"/>
        </w:rPr>
        <w:t>Clawback.</w:t>
      </w:r>
      <w:r>
        <w:rPr>
          <w:rFonts w:ascii="Times New Roman" w:hAnsi="Times New Roman" w:eastAsia="Times New Roman"/>
          <w:b w:val="0"/>
          <w:i w:val="0"/>
          <w:sz w:val="22"/>
          <w:u w:val="none"/>
        </w:rPr>
        <w:t xml:space="preserve"> Bracketed § 11.9. Confirm whether the Company has, or is required to have, a clawback policy.</w:t>
      </w:r>
    </w:p>
    <w:p>
      <w:pPr>
        <w:spacing w:before="0" w:after="120"/>
        <w:ind w:left="360"/>
        <w:jc w:val="both"/>
      </w:pPr>
      <w:r>
        <w:rPr>
          <w:rFonts w:ascii="Times New Roman" w:hAnsi="Times New Roman" w:eastAsia="Times New Roman"/>
          <w:b w:val="0"/>
          <w:i w:val="0"/>
          <w:sz w:val="22"/>
          <w:u w:val="none"/>
        </w:rPr>
        <w:t xml:space="preserve">15.  </w:t>
      </w:r>
      <w:r>
        <w:rPr>
          <w:rFonts w:ascii="Times New Roman" w:hAnsi="Times New Roman" w:eastAsia="Times New Roman"/>
          <w:b/>
          <w:i w:val="0"/>
          <w:sz w:val="22"/>
          <w:u w:val="none"/>
        </w:rPr>
        <w:t>Background check and I-9.</w:t>
      </w:r>
      <w:r>
        <w:rPr>
          <w:rFonts w:ascii="Times New Roman" w:hAnsi="Times New Roman" w:eastAsia="Times New Roman"/>
          <w:b w:val="0"/>
          <w:i w:val="0"/>
          <w:sz w:val="22"/>
          <w:u w:val="none"/>
        </w:rPr>
        <w:t xml:space="preserve"> Confirm the background check was conducted in compliance with the Fair Chance Act (criminal history only after the conditional offer, with individualized assessment and notice procedures) and the FCRA / ICRAA disclosures, and that the I-9 was completed within 3 business days of the Start Date.</w:t>
      </w:r>
    </w:p>
    <w:p>
      <w:pPr>
        <w:spacing w:before="0" w:after="120"/>
        <w:ind w:left="360"/>
        <w:jc w:val="both"/>
      </w:pPr>
      <w:r>
        <w:rPr>
          <w:rFonts w:ascii="Times New Roman" w:hAnsi="Times New Roman" w:eastAsia="Times New Roman"/>
          <w:b w:val="0"/>
          <w:i w:val="0"/>
          <w:sz w:val="22"/>
          <w:u w:val="none"/>
        </w:rPr>
        <w:t xml:space="preserve">16.  </w:t>
      </w:r>
      <w:r>
        <w:rPr>
          <w:rFonts w:ascii="Times New Roman" w:hAnsi="Times New Roman" w:eastAsia="Times New Roman"/>
          <w:b/>
          <w:i w:val="0"/>
          <w:sz w:val="22"/>
          <w:u w:val="none"/>
        </w:rPr>
        <w:t>Template remediation.</w:t>
      </w:r>
      <w:r>
        <w:rPr>
          <w:rFonts w:ascii="Times New Roman" w:hAnsi="Times New Roman" w:eastAsia="Times New Roman"/>
          <w:b w:val="0"/>
          <w:i w:val="0"/>
          <w:sz w:val="22"/>
          <w:u w:val="none"/>
        </w:rPr>
        <w:t xml:space="preserve"> The Template’s non-compete, non-solicit, IP, arbitration, and garden-leave provisions present the same problems for every California hire. If they have been used for other California employees, the Company should assess its § 16600.1 notice obligations and § 16600.5 exposure, and update the form. We would be glad to do so.</w:t>
      </w:r>
    </w:p>
    <w:p>
      <w:pPr>
        <w:spacing w:before="0" w:after="120"/>
        <w:ind w:left="360"/>
        <w:jc w:val="both"/>
      </w:pPr>
      <w:r>
        <w:rPr>
          <w:rFonts w:ascii="Times New Roman" w:hAnsi="Times New Roman" w:eastAsia="Times New Roman"/>
          <w:b w:val="0"/>
          <w:i w:val="0"/>
          <w:sz w:val="22"/>
          <w:u w:val="none"/>
        </w:rPr>
        <w:t xml:space="preserve">17.  </w:t>
      </w:r>
      <w:r>
        <w:rPr>
          <w:rFonts w:ascii="Times New Roman" w:hAnsi="Times New Roman" w:eastAsia="Times New Roman"/>
          <w:b/>
          <w:i w:val="0"/>
          <w:sz w:val="22"/>
          <w:u w:val="none"/>
        </w:rPr>
        <w:t>Exhibit B.</w:t>
      </w:r>
      <w:r>
        <w:rPr>
          <w:rFonts w:ascii="Times New Roman" w:hAnsi="Times New Roman" w:eastAsia="Times New Roman"/>
          <w:b w:val="0"/>
          <w:i w:val="0"/>
          <w:sz w:val="22"/>
          <w:u w:val="none"/>
        </w:rPr>
        <w:t xml:space="preserve"> Ms. Venkataraman must complete the Prior Inventions schedule. Neither box should be pre-checked by the Company.</w:t>
      </w:r>
    </w:p>
    <w:p>
      <w:pPr>
        <w:keepNext/>
        <w:spacing w:before="160" w:after="120"/>
        <w:jc w:val="left"/>
      </w:pPr>
      <w:r>
        <w:rPr>
          <w:rFonts w:ascii="Times New Roman" w:hAnsi="Times New Roman" w:eastAsia="Times New Roman"/>
          <w:b/>
          <w:i w:val="0"/>
          <w:sz w:val="23"/>
          <w:u w:val="single"/>
        </w:rPr>
        <w:t>VII. Anticipated Requests from the Executive’s Counsel</w:t>
      </w:r>
    </w:p>
    <w:p>
      <w:pPr>
        <w:spacing w:before="0" w:after="120"/>
        <w:ind w:left="360"/>
        <w:jc w:val="both"/>
      </w:pPr>
      <w:r>
        <w:rPr>
          <w:rFonts w:ascii="Times New Roman" w:hAnsi="Times New Roman" w:eastAsia="Times New Roman"/>
          <w:b w:val="0"/>
          <w:i w:val="0"/>
          <w:sz w:val="22"/>
          <w:u w:val="none"/>
        </w:rPr>
        <w:t>•  A narrower Cause definition: felonies only (or crimes of fraud or dishonesty); a materiality standard and cure right for policy violations; deletion of “any other agreement”; and a Board determination after notice and an opportunity to be heard.</w:t>
      </w:r>
    </w:p>
    <w:p>
      <w:pPr>
        <w:spacing w:before="0" w:after="120"/>
        <w:ind w:left="360"/>
        <w:jc w:val="both"/>
      </w:pPr>
      <w:r>
        <w:rPr>
          <w:rFonts w:ascii="Times New Roman" w:hAnsi="Times New Roman" w:eastAsia="Times New Roman"/>
          <w:b w:val="0"/>
          <w:i w:val="0"/>
          <w:sz w:val="22"/>
          <w:u w:val="none"/>
        </w:rPr>
        <w:t>•  A pre-CoC protection window (e.g., 3 months before a CoC), full (100%) acceleration if awards are not assumed or substituted, and broader Good Reason (any change in title, or reporting to someone other than the CEO of the ultimate parent).</w:t>
      </w:r>
    </w:p>
    <w:p>
      <w:pPr>
        <w:spacing w:before="0" w:after="120"/>
        <w:ind w:left="360"/>
        <w:jc w:val="both"/>
      </w:pPr>
      <w:r>
        <w:rPr>
          <w:rFonts w:ascii="Times New Roman" w:hAnsi="Times New Roman" w:eastAsia="Times New Roman"/>
          <w:b w:val="0"/>
          <w:i w:val="0"/>
          <w:sz w:val="22"/>
          <w:u w:val="none"/>
        </w:rPr>
        <w:t>•  A pro-rata or earned prior-year bonus on a non-CoC Qualifying Termination. Under the current drafting, a without-Cause termination in January through March forfeits the prior-year bonus because of the employed-through-payment-date condition.</w:t>
      </w:r>
    </w:p>
    <w:p>
      <w:pPr>
        <w:spacing w:before="0" w:after="120"/>
        <w:ind w:left="360"/>
        <w:jc w:val="both"/>
      </w:pPr>
      <w:r>
        <w:rPr>
          <w:rFonts w:ascii="Times New Roman" w:hAnsi="Times New Roman" w:eastAsia="Times New Roman"/>
          <w:b w:val="0"/>
          <w:i w:val="0"/>
          <w:sz w:val="22"/>
          <w:u w:val="none"/>
        </w:rPr>
        <w:t>•  COBRA for dependents, and deletion of the early cut-off on eligibility for new-employer coverage. The Offer Letter’s “up to” language supports the Company’s position.</w:t>
      </w:r>
    </w:p>
    <w:p>
      <w:pPr>
        <w:spacing w:before="0" w:after="120"/>
        <w:ind w:left="360"/>
        <w:jc w:val="both"/>
      </w:pPr>
      <w:r>
        <w:rPr>
          <w:rFonts w:ascii="Times New Roman" w:hAnsi="Times New Roman" w:eastAsia="Times New Roman"/>
          <w:b w:val="0"/>
          <w:i w:val="0"/>
          <w:sz w:val="22"/>
          <w:u w:val="none"/>
        </w:rPr>
        <w:t>•  A 280G gross-up or a stronger best-net mechanism. Recommend holding the best-net approach.</w:t>
      </w:r>
    </w:p>
    <w:p>
      <w:pPr>
        <w:spacing w:before="0" w:after="120"/>
        <w:ind w:left="360"/>
        <w:jc w:val="both"/>
      </w:pPr>
      <w:r>
        <w:rPr>
          <w:rFonts w:ascii="Times New Roman" w:hAnsi="Times New Roman" w:eastAsia="Times New Roman"/>
          <w:b w:val="0"/>
          <w:i w:val="0"/>
          <w:sz w:val="22"/>
          <w:u w:val="none"/>
        </w:rPr>
        <w:t>•  Extended post-termination option exercise periods and a mutual non-disparagement covenant. Any non-disparagement clause must include the Gov. Code § 12964.5 carve-out.</w:t>
      </w:r>
    </w:p>
    <w:p>
      <w:pPr>
        <w:keepNext/>
        <w:spacing w:before="160" w:after="120"/>
        <w:jc w:val="left"/>
      </w:pPr>
      <w:r>
        <w:rPr>
          <w:rFonts w:ascii="Times New Roman" w:hAnsi="Times New Roman" w:eastAsia="Times New Roman"/>
          <w:b/>
          <w:i w:val="0"/>
          <w:sz w:val="23"/>
          <w:u w:val="single"/>
        </w:rPr>
        <w:t>VIII. Recommended Next Steps</w:t>
      </w:r>
    </w:p>
    <w:p>
      <w:pPr>
        <w:spacing w:before="0" w:after="120"/>
        <w:ind w:left="360"/>
        <w:jc w:val="both"/>
      </w:pPr>
      <w:r>
        <w:rPr>
          <w:rFonts w:ascii="Times New Roman" w:hAnsi="Times New Roman" w:eastAsia="Times New Roman"/>
          <w:b w:val="0"/>
          <w:i w:val="0"/>
          <w:sz w:val="22"/>
          <w:u w:val="none"/>
        </w:rPr>
        <w:t>•  Partner review of the Draft, focused on the definitions in § 7.8 and the Business Call items.</w:t>
      </w:r>
    </w:p>
    <w:p>
      <w:pPr>
        <w:spacing w:before="0" w:after="120"/>
        <w:ind w:left="360"/>
        <w:jc w:val="both"/>
      </w:pPr>
      <w:r>
        <w:rPr>
          <w:rFonts w:ascii="Times New Roman" w:hAnsi="Times New Roman" w:eastAsia="Times New Roman"/>
          <w:b w:val="0"/>
          <w:i w:val="0"/>
          <w:sz w:val="22"/>
          <w:u w:val="none"/>
        </w:rPr>
        <w:t>•  Client call to resolve Open Items 1–17; obtain the 2021 Plan, the award agreement forms, the PTO policy, and the benefits summaries.</w:t>
      </w:r>
    </w:p>
    <w:p>
      <w:pPr>
        <w:spacing w:before="0" w:after="120"/>
        <w:ind w:left="360"/>
        <w:jc w:val="both"/>
      </w:pPr>
      <w:r>
        <w:rPr>
          <w:rFonts w:ascii="Times New Roman" w:hAnsi="Times New Roman" w:eastAsia="Times New Roman"/>
          <w:b w:val="0"/>
          <w:i w:val="0"/>
          <w:sz w:val="22"/>
          <w:u w:val="none"/>
        </w:rPr>
        <w:t>•  Send the Company a short written clarification of the 401(k) match figure for delivery to Ms. Venkataraman.</w:t>
      </w:r>
    </w:p>
    <w:p>
      <w:pPr>
        <w:spacing w:before="0" w:after="120"/>
        <w:ind w:left="360"/>
        <w:jc w:val="both"/>
      </w:pPr>
      <w:r>
        <w:rPr>
          <w:rFonts w:ascii="Times New Roman" w:hAnsi="Times New Roman" w:eastAsia="Times New Roman"/>
          <w:b w:val="0"/>
          <w:i w:val="0"/>
          <w:sz w:val="22"/>
          <w:u w:val="none"/>
        </w:rPr>
        <w:t>•  On sign-off, prepare a clean execution version and conforming award agreements, and (if requested) a comparison against the Template for the client’s file.</w:t>
      </w:r>
    </w:p>
    <w:p>
      <w:pPr>
        <w:spacing w:before="120" w:after="120"/>
        <w:jc w:val="left"/>
      </w:pPr>
      <w:r>
        <w:rPr>
          <w:rFonts w:ascii="Times New Roman" w:hAnsi="Times New Roman" w:eastAsia="Times New Roman"/>
          <w:b w:val="0"/>
          <w:i/>
          <w:sz w:val="22"/>
          <w:u w:val="none"/>
        </w:rPr>
        <w:t>Attachment: employment-agreement-draft.docx</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6"/>
        <w:u w:val="none"/>
      </w:rPr>
      <w:t xml:space="preserve">Cover Memo – Venkataraman Employment Agreement   |   Page </w:t>
    </w:r>
    <w:r>
      <w:rPr>
        <w:rFonts w:ascii="Times New Roman" w:hAnsi="Times New Roman"/>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sz w:val="16"/>
        <w:u w:val="none"/>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 - Venkataraman Employment Agreement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