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C00000"/>
          <w:sz w:val="18"/>
        </w:rPr>
        <w:t>PRIVILEGED &amp; CONFIDENTIAL — ATTORNEY-CLIENT COMMUNICATION — ATTORNEY WORK PRODUCT</w:t>
      </w:r>
    </w:p>
    <w:p>
      <w:pPr>
        <w:spacing w:after="120"/>
        <w:jc w:val="center"/>
      </w:pPr>
      <w:r>
        <w:rPr>
          <w:b w:val="0"/>
          <w:i/>
          <w:sz w:val="17"/>
        </w:rPr>
        <w:t>Prepared in anticipation of negotiation. Do not forward to Landlord or Thornberry &amp; Cahill LLP.</w:t>
      </w:r>
    </w:p>
    <w:p>
      <w:pPr>
        <w:spacing w:after="40"/>
        <w:jc w:val="center"/>
      </w:pPr>
      <w:r>
        <w:rPr>
          <w:b/>
          <w:i w:val="0"/>
          <w:color w:val="1F3864"/>
          <w:sz w:val="28"/>
        </w:rPr>
        <w:t>WHITFIELD, CRANE &amp; POLK LLP</w:t>
      </w:r>
    </w:p>
    <w:p>
      <w:pPr>
        <w:spacing w:after="40"/>
        <w:jc w:val="center"/>
      </w:pPr>
      <w:r>
        <w:rPr>
          <w:b/>
          <w:i w:val="0"/>
          <w:color w:val="1F3864"/>
          <w:sz w:val="32"/>
        </w:rPr>
        <w:t>LEASE DEVIATION REPORT</w:t>
      </w:r>
    </w:p>
    <w:p>
      <w:pPr>
        <w:spacing w:after="200"/>
        <w:jc w:val="center"/>
      </w:pPr>
      <w:r>
        <w:rPr>
          <w:b/>
          <w:i w:val="0"/>
          <w:sz w:val="22"/>
        </w:rPr>
        <w:t>Solano Flats Solar Project (150 MW DC / 120 MW AC) — Kern County, California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440"/>
            <w:shd w:val="clear" w:color="auto" w:fill="FFFFFF"/>
          </w:tcPr>
          <w:p>
            <w:r/>
            <w:r>
              <w:rPr>
                <w:b/>
                <w:color w:val="FFFFFF"/>
                <w:sz w:val="19"/>
              </w:rPr>
            </w:r>
          </w:p>
        </w:tc>
        <w:tc>
          <w:tcPr>
            <w:tcW w:type="dxa" w:w="8496"/>
            <w:shd w:val="clear" w:color="auto" w:fill="FFFFFF"/>
          </w:tcPr>
          <w:p>
            <w:r/>
            <w:r>
              <w:rPr>
                <w:b/>
                <w:color w:val="FFFFFF"/>
                <w:sz w:val="19"/>
              </w:rPr>
            </w:r>
          </w:p>
        </w:tc>
      </w:tr>
      <w:tr>
        <w:tc>
          <w:tcPr>
            <w:tcW w:type="dxa" w:w="1440"/>
          </w:tcPr>
          <w:p>
            <w:pPr>
              <w:spacing w:after="20"/>
            </w:pPr>
            <w:r/>
            <w:r>
              <w:rPr>
                <w:b w:val="0"/>
                <w:i w:val="0"/>
                <w:sz w:val="19"/>
              </w:rPr>
              <w:t>To</w:t>
            </w:r>
          </w:p>
        </w:tc>
        <w:tc>
          <w:tcPr>
            <w:tcW w:type="dxa" w:w="8496"/>
          </w:tcPr>
          <w:p>
            <w:pPr>
              <w:spacing w:after="20"/>
            </w:pPr>
            <w:r/>
            <w:r>
              <w:rPr>
                <w:b w:val="0"/>
                <w:i w:val="0"/>
                <w:sz w:val="19"/>
              </w:rPr>
              <w:t>Priya Narayanan, General Counsel, Ridgecrest Energy Partners LLC ("REP")</w:t>
            </w:r>
          </w:p>
        </w:tc>
      </w:tr>
      <w:tr>
        <w:tc>
          <w:tcPr>
            <w:tcW w:type="dxa" w:w="1440"/>
          </w:tcPr>
          <w:p>
            <w:pPr>
              <w:spacing w:after="20"/>
            </w:pPr>
            <w:r/>
            <w:r>
              <w:rPr>
                <w:b w:val="0"/>
                <w:i w:val="0"/>
                <w:sz w:val="19"/>
              </w:rPr>
              <w:t>Copy</w:t>
            </w:r>
          </w:p>
        </w:tc>
        <w:tc>
          <w:tcPr>
            <w:tcW w:type="dxa" w:w="8496"/>
          </w:tcPr>
          <w:p>
            <w:pPr>
              <w:spacing w:after="20"/>
            </w:pPr>
            <w:r/>
            <w:r>
              <w:rPr>
                <w:b w:val="0"/>
                <w:i w:val="0"/>
                <w:sz w:val="19"/>
              </w:rPr>
              <w:t>Marcus Cheng, SVP of Development, REP</w:t>
            </w:r>
          </w:p>
        </w:tc>
      </w:tr>
      <w:tr>
        <w:tc>
          <w:tcPr>
            <w:tcW w:type="dxa" w:w="1440"/>
          </w:tcPr>
          <w:p>
            <w:pPr>
              <w:spacing w:after="20"/>
            </w:pPr>
            <w:r/>
            <w:r>
              <w:rPr>
                <w:b w:val="0"/>
                <w:i w:val="0"/>
                <w:sz w:val="19"/>
              </w:rPr>
              <w:t>From</w:t>
            </w:r>
          </w:p>
        </w:tc>
        <w:tc>
          <w:tcPr>
            <w:tcW w:type="dxa" w:w="8496"/>
          </w:tcPr>
          <w:p>
            <w:pPr>
              <w:spacing w:after="20"/>
            </w:pPr>
            <w:r/>
            <w:r>
              <w:rPr>
                <w:b w:val="0"/>
                <w:i w:val="0"/>
                <w:sz w:val="19"/>
              </w:rPr>
              <w:t>Whitfield, Crane &amp; Polk LLP (draft for review by Jonathan Gaffney / Diana Kowalski)</w:t>
            </w:r>
          </w:p>
        </w:tc>
      </w:tr>
      <w:tr>
        <w:tc>
          <w:tcPr>
            <w:tcW w:type="dxa" w:w="1440"/>
          </w:tcPr>
          <w:p>
            <w:pPr>
              <w:spacing w:after="20"/>
            </w:pPr>
            <w:r/>
            <w:r>
              <w:rPr>
                <w:b w:val="0"/>
                <w:i w:val="0"/>
                <w:sz w:val="19"/>
              </w:rPr>
              <w:t>Date</w:t>
            </w:r>
          </w:p>
        </w:tc>
        <w:tc>
          <w:tcPr>
            <w:tcW w:type="dxa" w:w="8496"/>
          </w:tcPr>
          <w:p>
            <w:pPr>
              <w:spacing w:after="20"/>
            </w:pPr>
            <w:r/>
            <w:r>
              <w:rPr>
                <w:b w:val="0"/>
                <w:i w:val="0"/>
                <w:sz w:val="19"/>
              </w:rPr>
              <w:t>September 2024</w:t>
            </w:r>
          </w:p>
        </w:tc>
      </w:tr>
      <w:tr>
        <w:tc>
          <w:tcPr>
            <w:tcW w:type="dxa" w:w="1440"/>
          </w:tcPr>
          <w:p>
            <w:pPr>
              <w:spacing w:after="20"/>
            </w:pPr>
            <w:r/>
            <w:r>
              <w:rPr>
                <w:b w:val="0"/>
                <w:i w:val="0"/>
                <w:sz w:val="19"/>
              </w:rPr>
              <w:t>Re</w:t>
            </w:r>
          </w:p>
        </w:tc>
        <w:tc>
          <w:tcPr>
            <w:tcW w:type="dxa" w:w="8496"/>
          </w:tcPr>
          <w:p>
            <w:pPr>
              <w:spacing w:after="20"/>
            </w:pPr>
            <w:r/>
            <w:r>
              <w:rPr>
                <w:b w:val="0"/>
                <w:i w:val="0"/>
                <w:sz w:val="19"/>
              </w:rPr>
              <w:t>Deviation review of Hargrove Family Ranch LP draft Ground Lease Agreement dated September 5, 2024 (Thornberry &amp; Cahill LLP draft) against REP Market Terms Playbook v4.2 (Aug. 2024), the executed Antelope Ridge Ground Lease (Mar. 8, 2022), Cascade Western Capital LLC Standard Site Lease Requirements (Aug. 2024), and M. Cheng email of Sept. 9, 2024</w:t>
            </w:r>
          </w:p>
        </w:tc>
      </w:tr>
    </w:tbl>
    <w:p>
      <w:pPr>
        <w:spacing w:after="40"/>
      </w:pPr>
    </w:p>
    <w:p>
      <w:pPr>
        <w:pStyle w:val="Heading1"/>
      </w:pPr>
      <w:r>
        <w:rPr>
          <w:color w:val="1F3864"/>
        </w:rPr>
        <w:t>1. Executive Summary</w:t>
      </w:r>
    </w:p>
    <w:p>
      <w:pPr>
        <w:spacing w:after="120"/>
        <w:jc w:val="both"/>
      </w:pPr>
      <w:r>
        <w:rPr>
          <w:b/>
          <w:i w:val="0"/>
          <w:sz w:val="21"/>
        </w:rPr>
        <w:t>Bottom line.</w:t>
      </w:r>
      <w:r>
        <w:rPr>
          <w:b w:val="0"/>
          <w:i w:val="0"/>
          <w:sz w:val="21"/>
        </w:rPr>
        <w:t xml:space="preserve"> As drafted, the Hargrove lease is not financeable by Cascade Western Capital LLC ("Cascade") or any institutional project-finance lender, and its economics fall far outside the Playbook. The draft reads as a landlord-form agricultural lease: it omits every lender protection (Article 17 is "Reserved"), prohibits leasehold mortgages outright, allows forfeiture of the $198 million facility on default, and layers a 3.5% gross revenue share on top of above-market, compounding fixed rent. We count </w:t>
      </w:r>
      <w:r>
        <w:rPr>
          <w:b/>
          <w:i w:val="0"/>
          <w:sz w:val="21"/>
        </w:rPr>
        <w:t>15 Critical</w:t>
      </w:r>
      <w:r>
        <w:rPr>
          <w:b w:val="0"/>
          <w:i w:val="0"/>
          <w:sz w:val="21"/>
        </w:rPr>
        <w:t xml:space="preserve"> deviations (deal-breakers or Cascade "REQUIRED" items), </w:t>
      </w:r>
      <w:r>
        <w:rPr>
          <w:b/>
          <w:i w:val="0"/>
          <w:sz w:val="21"/>
        </w:rPr>
        <w:t>27 High</w:t>
      </w:r>
      <w:r>
        <w:rPr>
          <w:b w:val="0"/>
          <w:i w:val="0"/>
          <w:sz w:val="21"/>
        </w:rPr>
        <w:t xml:space="preserve"> deviations (outside the Playbook Acceptable Range or otherwise requiring GC escalation), and a number of Medium/Low items. A full redraft of Articles 3, 4, 5, 8, 10–12, 14–17 is required, not a markup. The good news is that the insurance package, option-period rent, governing law, and venue are already within market and can be conceded early to build credibility.</w:t>
      </w:r>
    </w:p>
    <w:p>
      <w:pPr>
        <w:spacing w:after="60"/>
      </w:pPr>
      <w:r>
        <w:rPr>
          <w:b/>
          <w:i w:val="0"/>
          <w:sz w:val="21"/>
        </w:rPr>
        <w:t>Key numbers (draft as written, $14.45 million expected annual PPA revenue, 1,240 acres):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shd w:val="clear" w:color="auto" w:fill="1F3864"/>
          </w:tcPr>
          <w:p>
            <w:r/>
            <w:r>
              <w:rPr>
                <w:b/>
                <w:color w:val="FFFFFF"/>
                <w:sz w:val="17"/>
              </w:rPr>
              <w:t>Metric</w:t>
            </w:r>
          </w:p>
        </w:tc>
        <w:tc>
          <w:tcPr>
            <w:tcW w:type="dxa" w:w="2592"/>
            <w:shd w:val="clear" w:color="auto" w:fill="1F3864"/>
          </w:tcPr>
          <w:p>
            <w:r/>
            <w:r>
              <w:rPr>
                <w:b/>
                <w:color w:val="FFFFFF"/>
                <w:sz w:val="17"/>
              </w:rPr>
              <w:t>Hargrove Draft</w:t>
            </w:r>
          </w:p>
        </w:tc>
        <w:tc>
          <w:tcPr>
            <w:tcW w:type="dxa" w:w="2736"/>
            <w:shd w:val="clear" w:color="auto" w:fill="1F3864"/>
          </w:tcPr>
          <w:p>
            <w:r/>
            <w:r>
              <w:rPr>
                <w:b/>
                <w:color w:val="FFFFFF"/>
                <w:sz w:val="17"/>
              </w:rPr>
              <w:t>Benchmark</w:t>
            </w:r>
          </w:p>
        </w:tc>
        <w:tc>
          <w:tcPr>
            <w:tcW w:type="dxa" w:w="1728"/>
            <w:shd w:val="clear" w:color="auto" w:fill="1F3864"/>
          </w:tcPr>
          <w:p>
            <w:r/>
            <w:r>
              <w:rPr>
                <w:b/>
                <w:color w:val="FFFFFF"/>
                <w:sz w:val="17"/>
              </w:rPr>
              <w:t>Gap</w:t>
            </w:r>
          </w:p>
        </w:tc>
      </w:tr>
      <w:tr>
        <w:tc>
          <w:tcPr>
            <w:tcW w:type="dxa" w:w="2880"/>
          </w:tcPr>
          <w:p>
            <w:pPr>
              <w:spacing w:after="20"/>
            </w:pPr>
            <w:r/>
            <w:r>
              <w:rPr>
                <w:b w:val="0"/>
                <w:i w:val="0"/>
                <w:sz w:val="17"/>
              </w:rPr>
              <w:t>Year 1 total land cost (Base Rent + 3.5% gross revenue share)</w:t>
            </w:r>
          </w:p>
        </w:tc>
        <w:tc>
          <w:tcPr>
            <w:tcW w:type="dxa" w:w="2592"/>
          </w:tcPr>
          <w:p>
            <w:pPr>
              <w:spacing w:after="20"/>
            </w:pPr>
            <w:r/>
            <w:r>
              <w:rPr>
                <w:b w:val="0"/>
                <w:i w:val="0"/>
                <w:sz w:val="17"/>
              </w:rPr>
              <w:t>$1,869,750 (12.94% of revenue)</w:t>
            </w:r>
          </w:p>
        </w:tc>
        <w:tc>
          <w:tcPr>
            <w:tcW w:type="dxa" w:w="2736"/>
          </w:tcPr>
          <w:p>
            <w:pPr>
              <w:spacing w:after="20"/>
            </w:pPr>
            <w:r/>
            <w:r>
              <w:rPr>
                <w:b w:val="0"/>
                <w:i w:val="0"/>
                <w:sz w:val="17"/>
              </w:rPr>
              <w:t>Playbook 5%–8%; Cascade cap 8% ($1,156,000)</w:t>
            </w:r>
          </w:p>
        </w:tc>
        <w:tc>
          <w:tcPr>
            <w:tcW w:type="dxa" w:w="1728"/>
          </w:tcPr>
          <w:p>
            <w:pPr>
              <w:spacing w:after="20"/>
            </w:pPr>
            <w:r/>
            <w:r>
              <w:rPr>
                <w:b w:val="0"/>
                <w:i w:val="0"/>
                <w:sz w:val="17"/>
              </w:rPr>
              <w:t>$713,750/yr over cap</w:t>
            </w:r>
          </w:p>
        </w:tc>
      </w:tr>
      <w:tr>
        <w:tc>
          <w:tcPr>
            <w:tcW w:type="dxa" w:w="2880"/>
            <w:shd w:val="clear" w:color="auto" w:fill="F2F2F2"/>
          </w:tcPr>
          <w:p>
            <w:pPr>
              <w:spacing w:after="20"/>
            </w:pPr>
            <w:r/>
            <w:r>
              <w:rPr>
                <w:b w:val="0"/>
                <w:i w:val="0"/>
                <w:sz w:val="17"/>
              </w:rPr>
              <w:t>Year 1 Base Rent alone</w:t>
            </w:r>
          </w:p>
        </w:tc>
        <w:tc>
          <w:tcPr>
            <w:tcW w:type="dxa" w:w="2592"/>
            <w:shd w:val="clear" w:color="auto" w:fill="F2F2F2"/>
          </w:tcPr>
          <w:p>
            <w:pPr>
              <w:spacing w:after="20"/>
            </w:pPr>
            <w:r/>
            <w:r>
              <w:rPr>
                <w:b w:val="0"/>
                <w:i w:val="0"/>
                <w:sz w:val="17"/>
              </w:rPr>
              <w:t>$1,364,000 (9.44% of revenue)</w:t>
            </w:r>
          </w:p>
        </w:tc>
        <w:tc>
          <w:tcPr>
            <w:tcW w:type="dxa" w:w="2736"/>
            <w:shd w:val="clear" w:color="auto" w:fill="F2F2F2"/>
          </w:tcPr>
          <w:p>
            <w:pPr>
              <w:spacing w:after="20"/>
            </w:pPr>
            <w:r/>
            <w:r>
              <w:rPr>
                <w:b w:val="0"/>
                <w:i w:val="0"/>
                <w:sz w:val="17"/>
              </w:rPr>
              <w:t>8% cap = $1,156,000 = $932/acre</w:t>
            </w:r>
          </w:p>
        </w:tc>
        <w:tc>
          <w:tcPr>
            <w:tcW w:type="dxa" w:w="1728"/>
            <w:shd w:val="clear" w:color="auto" w:fill="F2F2F2"/>
          </w:tcPr>
          <w:p>
            <w:pPr>
              <w:spacing w:after="20"/>
            </w:pPr>
            <w:r/>
            <w:r>
              <w:rPr>
                <w:b w:val="0"/>
                <w:i w:val="0"/>
                <w:sz w:val="17"/>
              </w:rPr>
              <w:t>Base Rent alone breaches cap</w:t>
            </w:r>
          </w:p>
        </w:tc>
      </w:tr>
      <w:tr>
        <w:tc>
          <w:tcPr>
            <w:tcW w:type="dxa" w:w="2880"/>
          </w:tcPr>
          <w:p>
            <w:pPr>
              <w:spacing w:after="20"/>
            </w:pPr>
            <w:r/>
            <w:r>
              <w:rPr>
                <w:b w:val="0"/>
                <w:i w:val="0"/>
                <w:sz w:val="17"/>
              </w:rPr>
              <w:t>Year 10 Base Rent (3% compounding)</w:t>
            </w:r>
          </w:p>
        </w:tc>
        <w:tc>
          <w:tcPr>
            <w:tcW w:type="dxa" w:w="2592"/>
          </w:tcPr>
          <w:p>
            <w:pPr>
              <w:spacing w:after="20"/>
            </w:pPr>
            <w:r/>
            <w:r>
              <w:rPr>
                <w:b w:val="0"/>
                <w:i w:val="0"/>
                <w:sz w:val="17"/>
              </w:rPr>
              <w:t>$1,779,711 ($1,435/acre)</w:t>
            </w:r>
          </w:p>
        </w:tc>
        <w:tc>
          <w:tcPr>
            <w:tcW w:type="dxa" w:w="2736"/>
          </w:tcPr>
          <w:p>
            <w:pPr>
              <w:spacing w:after="20"/>
            </w:pPr>
            <w:r/>
            <w:r>
              <w:rPr>
                <w:b w:val="0"/>
                <w:i w:val="0"/>
                <w:sz w:val="17"/>
              </w:rPr>
              <w:t>Playbook ceiling $1,100/acre</w:t>
            </w:r>
          </w:p>
        </w:tc>
        <w:tc>
          <w:tcPr>
            <w:tcW w:type="dxa" w:w="1728"/>
          </w:tcPr>
          <w:p>
            <w:pPr>
              <w:spacing w:after="20"/>
            </w:pPr>
            <w:r/>
            <w:r>
              <w:rPr>
                <w:b w:val="0"/>
                <w:i w:val="0"/>
                <w:sz w:val="17"/>
              </w:rPr>
              <w:t>+30% over ceiling</w:t>
            </w:r>
          </w:p>
        </w:tc>
      </w:tr>
      <w:tr>
        <w:tc>
          <w:tcPr>
            <w:tcW w:type="dxa" w:w="2880"/>
            <w:shd w:val="clear" w:color="auto" w:fill="F2F2F2"/>
          </w:tcPr>
          <w:p>
            <w:pPr>
              <w:spacing w:after="20"/>
            </w:pPr>
            <w:r/>
            <w:r>
              <w:rPr>
                <w:b w:val="0"/>
                <w:i w:val="0"/>
                <w:sz w:val="17"/>
              </w:rPr>
              <w:t>Year 25 total land cost</w:t>
            </w:r>
          </w:p>
        </w:tc>
        <w:tc>
          <w:tcPr>
            <w:tcW w:type="dxa" w:w="2592"/>
            <w:shd w:val="clear" w:color="auto" w:fill="F2F2F2"/>
          </w:tcPr>
          <w:p>
            <w:pPr>
              <w:spacing w:after="20"/>
            </w:pPr>
            <w:r/>
            <w:r>
              <w:rPr>
                <w:b w:val="0"/>
                <w:i w:val="0"/>
                <w:sz w:val="17"/>
              </w:rPr>
              <w:t>$3,037,825 (21.02% of revenue)</w:t>
            </w:r>
          </w:p>
        </w:tc>
        <w:tc>
          <w:tcPr>
            <w:tcW w:type="dxa" w:w="2736"/>
            <w:shd w:val="clear" w:color="auto" w:fill="F2F2F2"/>
          </w:tcPr>
          <w:p>
            <w:pPr>
              <w:spacing w:after="20"/>
            </w:pPr>
            <w:r/>
            <w:r>
              <w:rPr>
                <w:b w:val="0"/>
                <w:i w:val="0"/>
                <w:sz w:val="17"/>
              </w:rPr>
              <w:t>≤ 8%</w:t>
            </w:r>
          </w:p>
        </w:tc>
        <w:tc>
          <w:tcPr>
            <w:tcW w:type="dxa" w:w="1728"/>
            <w:shd w:val="clear" w:color="auto" w:fill="F2F2F2"/>
          </w:tcPr>
          <w:p>
            <w:pPr>
              <w:spacing w:after="20"/>
            </w:pPr>
            <w:r/>
            <w:r>
              <w:rPr>
                <w:b w:val="0"/>
                <w:i w:val="0"/>
                <w:sz w:val="17"/>
              </w:rPr>
              <w:t>~2.6x cap</w:t>
            </w:r>
          </w:p>
        </w:tc>
      </w:tr>
      <w:tr>
        <w:tc>
          <w:tcPr>
            <w:tcW w:type="dxa" w:w="2880"/>
          </w:tcPr>
          <w:p>
            <w:pPr>
              <w:spacing w:after="20"/>
            </w:pPr>
            <w:r/>
            <w:r>
              <w:rPr>
                <w:b w:val="0"/>
                <w:i w:val="0"/>
                <w:sz w:val="17"/>
              </w:rPr>
              <w:t>25-year cumulative rent (base + revenue share)</w:t>
            </w:r>
          </w:p>
        </w:tc>
        <w:tc>
          <w:tcPr>
            <w:tcW w:type="dxa" w:w="2592"/>
          </w:tcPr>
          <w:p>
            <w:pPr>
              <w:spacing w:after="20"/>
            </w:pPr>
            <w:r/>
            <w:r>
              <w:rPr>
                <w:b w:val="0"/>
                <w:i w:val="0"/>
                <w:sz w:val="17"/>
              </w:rPr>
              <w:t>$59.42 million</w:t>
            </w:r>
          </w:p>
        </w:tc>
        <w:tc>
          <w:tcPr>
            <w:tcW w:type="dxa" w:w="2736"/>
          </w:tcPr>
          <w:p>
            <w:pPr>
              <w:spacing w:after="20"/>
            </w:pPr>
            <w:r/>
            <w:r>
              <w:rPr>
                <w:b w:val="0"/>
                <w:i w:val="0"/>
                <w:sz w:val="17"/>
              </w:rPr>
              <w:t>$34.60 million at Antelope Ridge terms ($900/acre, 2% simple)</w:t>
            </w:r>
          </w:p>
        </w:tc>
        <w:tc>
          <w:tcPr>
            <w:tcW w:type="dxa" w:w="1728"/>
          </w:tcPr>
          <w:p>
            <w:pPr>
              <w:spacing w:after="20"/>
            </w:pPr>
            <w:r/>
            <w:r>
              <w:rPr>
                <w:b w:val="0"/>
                <w:i w:val="0"/>
                <w:sz w:val="17"/>
              </w:rPr>
              <w:t>+$24.82 million</w:t>
            </w:r>
          </w:p>
        </w:tc>
      </w:tr>
      <w:tr>
        <w:tc>
          <w:tcPr>
            <w:tcW w:type="dxa" w:w="2880"/>
            <w:shd w:val="clear" w:color="auto" w:fill="F2F2F2"/>
          </w:tcPr>
          <w:p>
            <w:pPr>
              <w:spacing w:after="20"/>
            </w:pPr>
            <w:r/>
            <w:r>
              <w:rPr>
                <w:b w:val="0"/>
                <w:i w:val="0"/>
                <w:sz w:val="17"/>
              </w:rPr>
              <w:t>Security deposit</w:t>
            </w:r>
          </w:p>
        </w:tc>
        <w:tc>
          <w:tcPr>
            <w:tcW w:type="dxa" w:w="2592"/>
            <w:shd w:val="clear" w:color="auto" w:fill="F2F2F2"/>
          </w:tcPr>
          <w:p>
            <w:pPr>
              <w:spacing w:after="20"/>
            </w:pPr>
            <w:r/>
            <w:r>
              <w:rPr>
                <w:b w:val="0"/>
                <w:i w:val="0"/>
                <w:sz w:val="17"/>
              </w:rPr>
              <w:t>$3,000,000 cash, non-interest, commingled (≈26.4 months of Year 1 rent)</w:t>
            </w:r>
          </w:p>
        </w:tc>
        <w:tc>
          <w:tcPr>
            <w:tcW w:type="dxa" w:w="2736"/>
            <w:shd w:val="clear" w:color="auto" w:fill="F2F2F2"/>
          </w:tcPr>
          <w:p>
            <w:pPr>
              <w:spacing w:after="20"/>
            </w:pPr>
            <w:r/>
            <w:r>
              <w:rPr>
                <w:b w:val="0"/>
                <w:i w:val="0"/>
                <w:sz w:val="17"/>
              </w:rPr>
              <w:t>LOC, 6–12 months ($682,000–$1,364,000)</w:t>
            </w:r>
          </w:p>
        </w:tc>
        <w:tc>
          <w:tcPr>
            <w:tcW w:type="dxa" w:w="1728"/>
            <w:shd w:val="clear" w:color="auto" w:fill="F2F2F2"/>
          </w:tcPr>
          <w:p>
            <w:pPr>
              <w:spacing w:after="20"/>
            </w:pPr>
            <w:r/>
            <w:r>
              <w:rPr>
                <w:b w:val="0"/>
                <w:i w:val="0"/>
                <w:sz w:val="17"/>
              </w:rPr>
              <w:t>$1.64M–$2.32M excess, wrong form</w:t>
            </w:r>
          </w:p>
        </w:tc>
      </w:tr>
      <w:tr>
        <w:tc>
          <w:tcPr>
            <w:tcW w:type="dxa" w:w="2880"/>
          </w:tcPr>
          <w:p>
            <w:pPr>
              <w:spacing w:after="20"/>
            </w:pPr>
            <w:r/>
            <w:r>
              <w:rPr>
                <w:b w:val="0"/>
                <w:i w:val="0"/>
                <w:sz w:val="17"/>
              </w:rPr>
              <w:t>Commencement Date backstop</w:t>
            </w:r>
          </w:p>
        </w:tc>
        <w:tc>
          <w:tcPr>
            <w:tcW w:type="dxa" w:w="2592"/>
          </w:tcPr>
          <w:p>
            <w:pPr>
              <w:spacing w:after="20"/>
            </w:pPr>
            <w:r/>
            <w:r>
              <w:rPr>
                <w:b w:val="0"/>
                <w:i w:val="0"/>
                <w:sz w:val="17"/>
              </w:rPr>
              <w:t>24 months (≈ Oct. 15, 2026)</w:t>
            </w:r>
          </w:p>
        </w:tc>
        <w:tc>
          <w:tcPr>
            <w:tcW w:type="dxa" w:w="2736"/>
          </w:tcPr>
          <w:p>
            <w:pPr>
              <w:spacing w:after="20"/>
            </w:pPr>
            <w:r/>
            <w:r>
              <w:rPr>
                <w:b w:val="0"/>
                <w:i w:val="0"/>
                <w:sz w:val="17"/>
              </w:rPr>
              <w:t>≥ 36 months (Playbook/Cascade); Antelope 36 + up to 12 FM</w:t>
            </w:r>
          </w:p>
        </w:tc>
        <w:tc>
          <w:tcPr>
            <w:tcW w:type="dxa" w:w="1728"/>
          </w:tcPr>
          <w:p>
            <w:pPr>
              <w:spacing w:after="20"/>
            </w:pPr>
            <w:r/>
            <w:r>
              <w:rPr>
                <w:b w:val="0"/>
                <w:i w:val="0"/>
                <w:sz w:val="17"/>
              </w:rPr>
              <w:t>≈ 8.5 months of rent (~$964,000) before June 30, 2027 target COD</w:t>
            </w:r>
          </w:p>
        </w:tc>
      </w:tr>
      <w:tr>
        <w:tc>
          <w:tcPr>
            <w:tcW w:type="dxa" w:w="2880"/>
            <w:shd w:val="clear" w:color="auto" w:fill="F2F2F2"/>
          </w:tcPr>
          <w:p>
            <w:pPr>
              <w:spacing w:after="20"/>
            </w:pPr>
            <w:r/>
            <w:r>
              <w:rPr>
                <w:b w:val="0"/>
                <w:i w:val="0"/>
                <w:sz w:val="17"/>
              </w:rPr>
              <w:t>Construction Commencement Deadline</w:t>
            </w:r>
          </w:p>
        </w:tc>
        <w:tc>
          <w:tcPr>
            <w:tcW w:type="dxa" w:w="2592"/>
            <w:shd w:val="clear" w:color="auto" w:fill="F2F2F2"/>
          </w:tcPr>
          <w:p>
            <w:pPr>
              <w:spacing w:after="20"/>
            </w:pPr>
            <w:r/>
            <w:r>
              <w:rPr>
                <w:b w:val="0"/>
                <w:i w:val="0"/>
                <w:sz w:val="17"/>
              </w:rPr>
              <w:t>18 months (≈ Apr. 15, 2026), no extensions</w:t>
            </w:r>
          </w:p>
        </w:tc>
        <w:tc>
          <w:tcPr>
            <w:tcW w:type="dxa" w:w="2736"/>
            <w:shd w:val="clear" w:color="auto" w:fill="F2F2F2"/>
          </w:tcPr>
          <w:p>
            <w:pPr>
              <w:spacing w:after="20"/>
            </w:pPr>
            <w:r/>
            <w:r>
              <w:rPr>
                <w:b w:val="0"/>
                <w:i w:val="0"/>
                <w:sz w:val="17"/>
              </w:rPr>
              <w:t>24–30 months + ≥12 months extensions</w:t>
            </w:r>
          </w:p>
        </w:tc>
        <w:tc>
          <w:tcPr>
            <w:tcW w:type="dxa" w:w="1728"/>
            <w:shd w:val="clear" w:color="auto" w:fill="F2F2F2"/>
          </w:tcPr>
          <w:p>
            <w:pPr>
              <w:spacing w:after="20"/>
            </w:pPr>
            <w:r/>
            <w:r>
              <w:rPr>
                <w:b w:val="0"/>
                <w:i w:val="0"/>
                <w:sz w:val="17"/>
              </w:rPr>
              <w:t>Only 14 days of float vs. Apr. 1, 2026 target start</w:t>
            </w:r>
          </w:p>
        </w:tc>
      </w:tr>
      <w:tr>
        <w:tc>
          <w:tcPr>
            <w:tcW w:type="dxa" w:w="2880"/>
          </w:tcPr>
          <w:p>
            <w:pPr>
              <w:spacing w:after="20"/>
            </w:pPr>
            <w:r/>
            <w:r>
              <w:rPr>
                <w:b w:val="0"/>
                <w:i w:val="0"/>
                <w:sz w:val="17"/>
              </w:rPr>
              <w:t>Bankable lease term</w:t>
            </w:r>
          </w:p>
        </w:tc>
        <w:tc>
          <w:tcPr>
            <w:tcW w:type="dxa" w:w="2592"/>
          </w:tcPr>
          <w:p>
            <w:pPr>
              <w:spacing w:after="20"/>
            </w:pPr>
            <w:r/>
            <w:r>
              <w:rPr>
                <w:b w:val="0"/>
                <w:i w:val="0"/>
                <w:sz w:val="17"/>
              </w:rPr>
              <w:t>25 years from Commencement (extension is mutual-consent; disregarded by lender)</w:t>
            </w:r>
          </w:p>
        </w:tc>
        <w:tc>
          <w:tcPr>
            <w:tcW w:type="dxa" w:w="2736"/>
          </w:tcPr>
          <w:p>
            <w:pPr>
              <w:spacing w:after="20"/>
            </w:pPr>
            <w:r/>
            <w:r>
              <w:rPr>
                <w:b w:val="0"/>
                <w:i w:val="0"/>
                <w:sz w:val="17"/>
              </w:rPr>
              <w:t>Cascade: ≥30 yrs from COD initial; ≥40 yrs total; Playbook 35 + 2×5</w:t>
            </w:r>
          </w:p>
        </w:tc>
        <w:tc>
          <w:tcPr>
            <w:tcW w:type="dxa" w:w="1728"/>
          </w:tcPr>
          <w:p>
            <w:pPr>
              <w:spacing w:after="20"/>
            </w:pPr>
            <w:r/>
            <w:r>
              <w:rPr>
                <w:b w:val="0"/>
                <w:i w:val="0"/>
                <w:sz w:val="17"/>
              </w:rPr>
              <w:t>Expires ≈ Oct. 2051 vs. Cascade minimum ≈ June 2057 (30 yrs from COD) and ≥40-yr total potential term</w:t>
            </w:r>
          </w:p>
        </w:tc>
      </w:tr>
    </w:tbl>
    <w:p>
      <w:pPr>
        <w:spacing w:after="40"/>
      </w:pPr>
    </w:p>
    <w:p>
      <w:pPr>
        <w:spacing w:after="60"/>
      </w:pPr>
      <w:r>
        <w:rPr>
          <w:b/>
          <w:i w:val="0"/>
          <w:sz w:val="21"/>
        </w:rPr>
        <w:t>Priority issues (in the order Marcus Cheng requested, followed by the financeability items):</w:t>
      </w:r>
    </w:p>
    <w:p>
      <w:pPr>
        <w:pStyle w:val="ListBullet"/>
        <w:spacing w:after="60"/>
      </w:pPr>
      <w:r>
        <w:rPr>
          <w:b/>
          <w:i w:val="0"/>
          <w:sz w:val="20"/>
        </w:rPr>
        <w:t>Rent economics (Draft §§4.2–4.4).</w:t>
      </w:r>
      <w:r>
        <w:rPr>
          <w:b w:val="0"/>
          <w:i w:val="0"/>
          <w:sz w:val="20"/>
        </w:rPr>
        <w:t xml:space="preserve"> Additive 3.5% gross revenue share, $1,350/acre step-up, and 3.0% compounding escalation drive land cost to 12.94% of revenue in Year 1 and 21% by Year 25. Delete the revenue share; flat base rent within $800–$1,100/acre (target $900–$950) with 2.0% simple escalation. Note that at this project's revenue density even $1,100/acre breaches Cascade's 8% cap (see Section 3.A.5) — Finance must confirm how Cascade measures the cap before we anchor a number.</w:t>
      </w:r>
    </w:p>
    <w:p>
      <w:pPr>
        <w:pStyle w:val="ListBullet"/>
        <w:spacing w:after="60"/>
      </w:pPr>
      <w:r>
        <w:rPr>
          <w:b/>
          <w:i w:val="0"/>
          <w:sz w:val="20"/>
        </w:rPr>
        <w:t>Mineral and agricultural reservations (Draft §§8.1–8.2, 8.4).</w:t>
      </w:r>
      <w:r>
        <w:rPr>
          <w:b w:val="0"/>
          <w:i w:val="0"/>
          <w:sz w:val="20"/>
        </w:rPr>
        <w:t xml:space="preserve"> Unrestricted mineral leasing with express surface-use rights, plus reserved farming on all land outside the (not yet attached) Improvement Area. Given Randall Hargrove's reported discussions with an oil and gas company covering APNs 287-041-12 and -15, require a recorded No Surface Use Covenant (Antelope Ridge §2.4 language), a full agricultural prohibition across the 1,240-acre Premises, a landlord representation that no mineral lease/option has been granted, and title work on severed mineral estates.</w:t>
      </w:r>
    </w:p>
    <w:p>
      <w:pPr>
        <w:pStyle w:val="ListBullet"/>
        <w:spacing w:after="60"/>
      </w:pPr>
      <w:r>
        <w:rPr>
          <w:b/>
          <w:i w:val="0"/>
          <w:sz w:val="20"/>
        </w:rPr>
        <w:t>Commencement Date and construction deadline (Art. 1; §§3.2, 3.5).</w:t>
      </w:r>
      <w:r>
        <w:rPr>
          <w:b w:val="0"/>
          <w:i w:val="0"/>
          <w:sz w:val="20"/>
        </w:rPr>
        <w:t xml:space="preserve"> Replace with earlier of COD or 36 months, extended day-for-day for Force Majeure/CAISO queue delay up to 12 months (Antelope Ridge §3.2); construction deadline of 30 months (fallback 24 months + ≥12 months of extensions) with 90-day notice-and-cure; delete automatic termination.</w:t>
      </w:r>
    </w:p>
    <w:p>
      <w:pPr>
        <w:pStyle w:val="ListBullet"/>
        <w:spacing w:after="60"/>
      </w:pPr>
      <w:r>
        <w:rPr>
          <w:b/>
          <w:i w:val="0"/>
          <w:sz w:val="20"/>
        </w:rPr>
        <w:t>Financeability (Arts. 10, 11, 14, 15, 17).</w:t>
      </w:r>
      <w:r>
        <w:rPr>
          <w:b w:val="0"/>
          <w:i w:val="0"/>
          <w:sz w:val="20"/>
        </w:rPr>
        <w:t xml:space="preserve"> Insert all five Cascade lender protections (estoppel, SNDA, leasehold mortgagee cure rights/new lease, lender recognition, financing cooperation); permit leasehold mortgages and lender/affiliate/sale/tax-equity transfers without consent; delete the forfeiture of Improvements (§14.3(d)); 30/60-day cure periods; add Tenant termination rights (condemnation &gt;25%, Force Majeure &gt;365 days, change in law).</w:t>
      </w:r>
    </w:p>
    <w:p>
      <w:pPr>
        <w:pStyle w:val="ListBullet"/>
        <w:spacing w:after="60"/>
      </w:pPr>
      <w:r>
        <w:rPr>
          <w:b/>
          <w:i w:val="0"/>
          <w:sz w:val="20"/>
        </w:rPr>
        <w:t>Term (§§3.1, 3.3–3.4).</w:t>
      </w:r>
      <w:r>
        <w:rPr>
          <w:b w:val="0"/>
          <w:i w:val="0"/>
          <w:sz w:val="20"/>
        </w:rPr>
        <w:t xml:space="preserve"> 35-year initial term with two 5-year Tenant-unilateral options on 12 months' notice; extension rent at FMV by a mutually selected MAI appraiser with a floor at final-year rent and a 110% cap.</w:t>
      </w:r>
    </w:p>
    <w:p>
      <w:pPr>
        <w:spacing w:after="120"/>
        <w:jc w:val="both"/>
      </w:pPr>
      <w:r>
        <w:rPr>
          <w:b/>
          <w:i w:val="0"/>
          <w:sz w:val="21"/>
        </w:rPr>
        <w:t>Escalation required.</w:t>
      </w:r>
      <w:r>
        <w:rPr>
          <w:b w:val="0"/>
          <w:i w:val="0"/>
          <w:sz w:val="21"/>
        </w:rPr>
        <w:t xml:space="preserve"> Under the Playbook Escalation Protocol, 23 provisions deviate from the Acceptable Range and require General Counsel approval before any term sheet or LOI is executed (list in Section 7). The 8% total-land-cost breach separately triggers the mandatory Development/Finance financial review.</w:t>
      </w:r>
    </w:p>
    <w:p>
      <w:pPr>
        <w:spacing w:after="120"/>
        <w:jc w:val="both"/>
      </w:pPr>
      <w:r>
        <w:rPr>
          <w:b/>
          <w:i w:val="0"/>
          <w:sz w:val="21"/>
        </w:rPr>
        <w:t>Source-document cautions.</w:t>
      </w:r>
      <w:r>
        <w:rPr>
          <w:b w:val="0"/>
          <w:i w:val="0"/>
          <w:sz w:val="21"/>
        </w:rPr>
        <w:t xml:space="preserve"> Several statements in the Playbook about Antelope Ridge do not match the executed Antelope Ridge lease (e.g., the Playbook describes a 35-year initial term, $950/acre rent and a 9-month LOC; the executed lease has a 30-year term, $900/acre and a $798,000 LOC), and the Playbook's quantification of the compounding-escalation penalty ("approximately 55%") is mathematically overstated (the correct figure is ≈17.6% over 25 years). Because REP intends an educational approach with Thornberry &amp; Cahill, we recommend citing only figures we can document from the executed comparable (Section 6).</w:t>
      </w:r>
    </w:p>
    <w:p>
      <w:pPr>
        <w:pStyle w:val="Heading1"/>
      </w:pPr>
      <w:r>
        <w:rPr>
          <w:color w:val="1F3864"/>
        </w:rPr>
        <w:t>2. Scope, Sources and Method</w:t>
      </w:r>
    </w:p>
    <w:p>
      <w:pPr>
        <w:spacing w:after="120"/>
        <w:jc w:val="both"/>
      </w:pPr>
      <w:r>
        <w:rPr>
          <w:b w:val="0"/>
          <w:i w:val="0"/>
          <w:sz w:val="21"/>
        </w:rPr>
        <w:t>We reviewed each of the following in full: (1) Hargrove Family Ranch LP Ground Lease Agreement draft dated September 5, 2024, including Exhibits A–C ("Draft"); (2) REP Market Terms Playbook: Solar Ground Leases, v4.2, August 2024 ("Playbook"); (3) Antelope Ridge Ground Lease Agreement between Dunlap Farming Company LLC and REP dated March 8, 2022 ("Antelope Ridge" or "AR"); (4) Cascade Western Capital LLC Standard Site Lease Requirements (indicative term sheet excerpt, August 2024, stated to supersede all prior versions) ("Cascade"); and (5) email from Marcus Cheng to Priya Narayanan dated September 9, 2024 ("Cheng Email").</w:t>
      </w:r>
    </w:p>
    <w:p>
      <w:pPr>
        <w:spacing w:after="120"/>
        <w:jc w:val="both"/>
      </w:pPr>
      <w:r>
        <w:rPr>
          <w:b w:val="0"/>
          <w:i w:val="0"/>
          <w:sz w:val="21"/>
        </w:rPr>
        <w:t>Each Draft provision is measured against (a) the Playbook Market Standard and Acceptable Range, (b) the executed Antelope Ridge term, and (c) Cascade's requirement. Where the Playbook and Cascade differ, we apply the more demanding standard because Cascade is the identified lender and its August 2024 requirements post-date the Playbook's Appendix B summary. Project facts used: 1,240 acres (APN 287-041-12, ~820 ac; APN 287-041-15, ~420 ac); 340,000 MWh/yr × $42.50/MWh = $14,450,000 expected annual PPA revenue (Pacific Basin Energy Corp. PPA, executed July 22, 2024, 20 years from COD); $198 million capital cost ($1,320/kW × 150 MW DC); CUP No. 2023-0847 (approved March 14, 2024); assumed Effective Date October 15, 2024; target construction start April 1, 2026; target COD June 30, 2027.</w:t>
      </w:r>
    </w:p>
    <w:p>
      <w:pPr>
        <w:spacing w:after="40"/>
      </w:pPr>
      <w:r>
        <w:rPr>
          <w:b/>
          <w:i w:val="0"/>
          <w:sz w:val="21"/>
        </w:rPr>
        <w:t>Severity legend: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val="clear" w:color="auto" w:fill="1F3864"/>
          </w:tcPr>
          <w:p>
            <w:r/>
            <w:r>
              <w:rPr>
                <w:b/>
                <w:color w:val="FFFFFF"/>
                <w:sz w:val="18"/>
              </w:rPr>
              <w:t>Rating</w:t>
            </w:r>
          </w:p>
        </w:tc>
        <w:tc>
          <w:tcPr>
            <w:tcW w:type="dxa" w:w="7920"/>
            <w:shd w:val="clear" w:color="auto" w:fill="1F3864"/>
          </w:tcPr>
          <w:p>
            <w:r/>
            <w:r>
              <w:rPr>
                <w:b/>
                <w:color w:val="FFFFFF"/>
                <w:sz w:val="18"/>
              </w:rPr>
              <w:t>Meaning</w:t>
            </w:r>
          </w:p>
        </w:tc>
      </w:tr>
      <w:tr>
        <w:tc>
          <w:tcPr>
            <w:tcW w:type="dxa" w:w="2016"/>
            <w:shd w:val="clear" w:color="auto" w:fill="C00000"/>
          </w:tcPr>
          <w:p>
            <w:pPr>
              <w:spacing w:after="20"/>
            </w:pPr>
            <w:r>
              <w:rPr>
                <w:b/>
                <w:color w:val="FFFFFF"/>
              </w:rPr>
            </w:r>
            <w:r>
              <w:rPr>
                <w:b/>
                <w:i w:val="0"/>
                <w:color w:val="FFFFFF"/>
                <w:sz w:val="18"/>
              </w:rPr>
              <w:t>CRITICAL</w:t>
            </w:r>
          </w:p>
        </w:tc>
        <w:tc>
          <w:tcPr>
            <w:tcW w:type="dxa" w:w="7920"/>
          </w:tcPr>
          <w:p>
            <w:pPr>
              <w:spacing w:after="20"/>
            </w:pPr>
            <w:r/>
            <w:r>
              <w:rPr>
                <w:b w:val="0"/>
                <w:i w:val="0"/>
                <w:sz w:val="18"/>
              </w:rPr>
              <w:t>Deal-breaker: Cascade "REQUIRED"/non-waivable item or a term that renders the project unfinanceable or exposes REP to loss of the site or facility. Must be fixed before execution.</w:t>
            </w:r>
          </w:p>
        </w:tc>
      </w:tr>
      <w:tr>
        <w:tc>
          <w:tcPr>
            <w:tcW w:type="dxa" w:w="2016"/>
            <w:shd w:val="clear" w:color="auto" w:fill="E26B0A"/>
          </w:tcPr>
          <w:p>
            <w:pPr>
              <w:spacing w:after="20"/>
            </w:pPr>
            <w:r>
              <w:rPr>
                <w:b/>
                <w:color w:val="FFFFFF"/>
              </w:rPr>
            </w:r>
            <w:r>
              <w:rPr>
                <w:b/>
                <w:i w:val="0"/>
                <w:color w:val="FFFFFF"/>
                <w:sz w:val="18"/>
              </w:rPr>
              <w:t>HIGH</w:t>
            </w:r>
          </w:p>
        </w:tc>
        <w:tc>
          <w:tcPr>
            <w:tcW w:type="dxa" w:w="7920"/>
          </w:tcPr>
          <w:p>
            <w:pPr>
              <w:spacing w:after="20"/>
            </w:pPr>
            <w:r/>
            <w:r>
              <w:rPr>
                <w:b w:val="0"/>
                <w:i w:val="0"/>
                <w:sz w:val="18"/>
              </w:rPr>
              <w:t>Outside the Playbook Acceptable Range (GC escalation required) or a material operational/financial risk; should be fixed, with defined fallback.</w:t>
            </w:r>
          </w:p>
        </w:tc>
      </w:tr>
      <w:tr>
        <w:tc>
          <w:tcPr>
            <w:tcW w:type="dxa" w:w="2016"/>
            <w:shd w:val="clear" w:color="auto" w:fill="BF9000"/>
          </w:tcPr>
          <w:p>
            <w:pPr>
              <w:spacing w:after="20"/>
            </w:pPr>
            <w:r>
              <w:rPr>
                <w:b/>
                <w:color w:val="FFFFFF"/>
              </w:rPr>
            </w:r>
            <w:r>
              <w:rPr>
                <w:b/>
                <w:i w:val="0"/>
                <w:color w:val="FFFFFF"/>
                <w:sz w:val="18"/>
              </w:rPr>
              <w:t>MEDIUM</w:t>
            </w:r>
          </w:p>
        </w:tc>
        <w:tc>
          <w:tcPr>
            <w:tcW w:type="dxa" w:w="7920"/>
          </w:tcPr>
          <w:p>
            <w:pPr>
              <w:spacing w:after="20"/>
            </w:pPr>
            <w:r/>
            <w:r>
              <w:rPr>
                <w:b w:val="0"/>
                <w:i w:val="0"/>
                <w:sz w:val="18"/>
              </w:rPr>
              <w:t>Below market or off the comparable, but tradeable within the overall package.</w:t>
            </w:r>
          </w:p>
        </w:tc>
      </w:tr>
      <w:tr>
        <w:tc>
          <w:tcPr>
            <w:tcW w:type="dxa" w:w="2016"/>
            <w:shd w:val="clear" w:color="auto" w:fill="548235"/>
          </w:tcPr>
          <w:p>
            <w:pPr>
              <w:spacing w:after="20"/>
            </w:pPr>
            <w:r>
              <w:rPr>
                <w:b/>
                <w:color w:val="FFFFFF"/>
              </w:rPr>
            </w:r>
            <w:r>
              <w:rPr>
                <w:b/>
                <w:i w:val="0"/>
                <w:color w:val="FFFFFF"/>
                <w:sz w:val="18"/>
              </w:rPr>
              <w:t>LOW / WITHIN MARKET</w:t>
            </w:r>
          </w:p>
        </w:tc>
        <w:tc>
          <w:tcPr>
            <w:tcW w:type="dxa" w:w="7920"/>
          </w:tcPr>
          <w:p>
            <w:pPr>
              <w:spacing w:after="20"/>
            </w:pPr>
            <w:r/>
            <w:r>
              <w:rPr>
                <w:b w:val="0"/>
                <w:i w:val="0"/>
                <w:sz w:val="18"/>
              </w:rPr>
              <w:t>Consistent with market, or cosmetic/clean-up; can be conceded or fixed in drafting.</w:t>
            </w:r>
          </w:p>
        </w:tc>
      </w:tr>
    </w:tbl>
    <w:p>
      <w:pPr>
        <w:spacing w:after="40"/>
      </w:pPr>
    </w:p>
    <w:p>
      <w:pPr>
        <w:pStyle w:val="Heading1"/>
      </w:pPr>
      <w:r>
        <w:rPr>
          <w:color w:val="1F3864"/>
        </w:rPr>
        <w:t>3. Priority Issues — Detailed Analysis</w:t>
      </w:r>
    </w:p>
    <w:p>
      <w:pPr>
        <w:pStyle w:val="Heading2"/>
      </w:pPr>
      <w:r>
        <w:rPr>
          <w:color w:val="1F3864"/>
        </w:rPr>
        <w:t>3.A Rent Economics (Draft §§4.1–4.4; Art. 1 "Gross Revenue")</w:t>
      </w:r>
    </w:p>
    <w:p>
      <w:pPr>
        <w:spacing w:after="120"/>
        <w:jc w:val="both"/>
      </w:pPr>
      <w:r>
        <w:rPr>
          <w:b/>
          <w:i w:val="0"/>
          <w:sz w:val="21"/>
        </w:rPr>
        <w:t>3.A.1 Base Rent (§4.2).</w:t>
      </w:r>
      <w:r>
        <w:rPr>
          <w:b w:val="0"/>
          <w:i w:val="0"/>
          <w:sz w:val="21"/>
        </w:rPr>
        <w:t xml:space="preserve"> Years 1–10: $1,100/acre ($1,364,000/yr) — the very top of the Playbook range ($800–$1,100) and $200/acre above Antelope Ridge ($900/acre; AR §4.2). Years 11–25: $1,350/acre ($1,674,000/yr), which the Playbook (§3.2) expressly identifies as an above-market step-up requiring GC escalation. Antelope Ridge used a single flat rate with no step-up. </w:t>
      </w:r>
      <w:r>
        <w:rPr>
          <w:b/>
          <w:i w:val="0"/>
          <w:sz w:val="21"/>
        </w:rPr>
        <w:t>Severity: HIGH.</w:t>
      </w:r>
    </w:p>
    <w:p>
      <w:pPr>
        <w:spacing w:after="120"/>
        <w:jc w:val="both"/>
      </w:pPr>
      <w:r>
        <w:rPr>
          <w:b/>
          <w:i w:val="0"/>
          <w:sz w:val="21"/>
        </w:rPr>
        <w:t>3.A.2 Revenue Share (§4.3).</w:t>
      </w:r>
      <w:r>
        <w:rPr>
          <w:b w:val="0"/>
          <w:i w:val="0"/>
          <w:sz w:val="21"/>
        </w:rPr>
        <w:t xml:space="preserve"> 3.5% of Gross Revenue "in addition to and not in lieu of" Base Rent, with Gross Revenue defined to include energy, capacity, ancillary services, RECs, carbon credits, resource adequacy and "any other" attributes received by Tenant </w:t>
      </w:r>
      <w:r>
        <w:rPr>
          <w:b/>
          <w:i w:val="0"/>
          <w:sz w:val="21"/>
        </w:rPr>
        <w:t>or any affiliate</w:t>
      </w:r>
      <w:r>
        <w:rPr>
          <w:b w:val="0"/>
          <w:i w:val="0"/>
          <w:sz w:val="21"/>
        </w:rPr>
        <w:t xml:space="preserve">, without deduction for transmission, interconnection, scheduling-coordinator fees, curtailment, O&amp;M, insurance, taxes, or debt service. The Playbook (§3.3) permits a revenue share only as an alternative to fixed rent, at 1.0%–2.0% of net revenue; an additive structure and a gross-revenue base are each independently "not acceptable" without GC approval. Antelope Ridge §4.5 expressly excludes any revenue share. At $14.45 million of PPA revenue the revenue share is $505,750/yr ($12.64 million over 25 years at flat revenue). Additional drafting problems: (i) the affiliate sweep and the inclusion of ancillary services/RA would capture BESS revenues and affiliate-level hedge or marketing revenues unrelated to the land; (ii) §4.3 calculates the share "during each Lease Year" but then on a calendar-year basis — the two periods will not align because Lease Years run from the Commencement Date; (iii) annual audits at Tenant's sole cost with no materiality threshold. </w:t>
      </w:r>
      <w:r>
        <w:rPr>
          <w:b/>
          <w:i w:val="0"/>
          <w:sz w:val="21"/>
        </w:rPr>
        <w:t>Severity: CRITICAL.</w:t>
      </w:r>
    </w:p>
    <w:p>
      <w:pPr>
        <w:spacing w:after="120"/>
        <w:jc w:val="both"/>
      </w:pPr>
      <w:r>
        <w:rPr>
          <w:b/>
          <w:i w:val="0"/>
          <w:sz w:val="21"/>
        </w:rPr>
        <w:t>3.A.3 Escalation (§4.4).</w:t>
      </w:r>
      <w:r>
        <w:rPr>
          <w:b w:val="0"/>
          <w:i w:val="0"/>
          <w:sz w:val="21"/>
        </w:rPr>
        <w:t xml:space="preserve"> 3.0% per year, compounding, applied separately to each rent period. The Playbook permits 1.5%–2.0% simple; compounding above 2.0% is "specifically disfavored" and flagged by Cascade as a material credit concern because the PPA price is flat (the "scissors effect"). Antelope Ridge §4.3 uses 2.0% simple on initial Base Rent. </w:t>
      </w:r>
      <w:r>
        <w:rPr>
          <w:b/>
          <w:i w:val="0"/>
          <w:sz w:val="21"/>
        </w:rPr>
        <w:t>Severity: HIGH.</w:t>
      </w:r>
    </w:p>
    <w:p>
      <w:pPr>
        <w:spacing w:after="120"/>
        <w:jc w:val="both"/>
      </w:pPr>
      <w:r>
        <w:rPr>
          <w:b/>
          <w:i w:val="0"/>
          <w:sz w:val="21"/>
        </w:rPr>
        <w:t>3.A.4 Arithmetic and drafting errors in §4.4 (Thornberry &amp; Cahill illustrations).</w:t>
      </w:r>
      <w:r>
        <w:rPr>
          <w:b w:val="0"/>
          <w:i w:val="0"/>
          <w:sz w:val="21"/>
        </w:rPr>
        <w:t xml:space="preserve"> We recomputed the Draft's own examples: Year 10 = $1,364,000 × 1.03^9 = </w:t>
      </w:r>
      <w:r>
        <w:rPr>
          <w:b/>
          <w:i w:val="0"/>
          <w:sz w:val="21"/>
        </w:rPr>
        <w:t>$1,779,711</w:t>
      </w:r>
      <w:r>
        <w:rPr>
          <w:b w:val="0"/>
          <w:i w:val="0"/>
          <w:sz w:val="21"/>
        </w:rPr>
        <w:t xml:space="preserve"> (Draft states $1,779,706); Year 25 = $1,674,000 × 1.03^14 = </w:t>
      </w:r>
      <w:r>
        <w:rPr>
          <w:b/>
          <w:i w:val="0"/>
          <w:sz w:val="21"/>
        </w:rPr>
        <w:t>$2,532,075</w:t>
      </w:r>
      <w:r>
        <w:rPr>
          <w:b w:val="0"/>
          <w:i w:val="0"/>
          <w:sz w:val="21"/>
        </w:rPr>
        <w:t xml:space="preserve"> (Draft states $2,530,279). The illustrations are expressly non-limiting, so the formula controls, but the inconsistency should be corrected (or the illustrations deleted) to avoid a dispute. Note also the structural quirk that because the escalator resets in Year 11, Year 11 Base Rent ($1,674,000) is actually </w:t>
      </w:r>
      <w:r>
        <w:rPr>
          <w:b/>
          <w:i w:val="0"/>
          <w:sz w:val="21"/>
        </w:rPr>
        <w:t>$105,711 lower</w:t>
      </w:r>
      <w:r>
        <w:rPr>
          <w:b w:val="0"/>
          <w:i w:val="0"/>
          <w:sz w:val="21"/>
        </w:rPr>
        <w:t xml:space="preserve"> than escalated Year 10 Base Rent ($1,779,711); the "step-up" is a step-down in Year 11 and the Year 25 per-acre rate is about $2,042/acre. This does not change our recommendation (eliminate both the step-up and compounding) but should not be relied upon in negotiations.</w:t>
      </w:r>
    </w:p>
    <w:p>
      <w:pPr>
        <w:spacing w:after="120"/>
        <w:jc w:val="both"/>
      </w:pPr>
      <w:r>
        <w:rPr>
          <w:b/>
          <w:i w:val="0"/>
          <w:sz w:val="21"/>
        </w:rPr>
        <w:t>3.A.5 Total land cost vs. the 8% cap.</w:t>
      </w:r>
      <w:r>
        <w:rPr>
          <w:b w:val="0"/>
          <w:i w:val="0"/>
          <w:sz w:val="21"/>
        </w:rPr>
        <w:t xml:space="preserve"> The Playbook (§1) and Cascade (Playbook App. B; §3.3) cap total land cost at 8% of P50 projected annual revenue. Assuming flat $14.45 million revenue (fixed-price PPA, no degradation), the Draft produces: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152"/>
            <w:shd w:val="clear" w:color="auto" w:fill="1F3864"/>
          </w:tcPr>
          <w:p>
            <w:r/>
            <w:r>
              <w:rPr>
                <w:b/>
                <w:color w:val="FFFFFF"/>
                <w:sz w:val="18"/>
              </w:rPr>
              <w:t>Lease Year</w:t>
            </w:r>
          </w:p>
        </w:tc>
        <w:tc>
          <w:tcPr>
            <w:tcW w:type="dxa" w:w="1728"/>
            <w:shd w:val="clear" w:color="auto" w:fill="1F3864"/>
          </w:tcPr>
          <w:p>
            <w:r/>
            <w:r>
              <w:rPr>
                <w:b/>
                <w:color w:val="FFFFFF"/>
                <w:sz w:val="18"/>
              </w:rPr>
              <w:t>Draft Base Rent</w:t>
            </w:r>
          </w:p>
        </w:tc>
        <w:tc>
          <w:tcPr>
            <w:tcW w:type="dxa" w:w="1152"/>
            <w:shd w:val="clear" w:color="auto" w:fill="1F3864"/>
          </w:tcPr>
          <w:p>
            <w:r/>
            <w:r>
              <w:rPr>
                <w:b/>
                <w:color w:val="FFFFFF"/>
                <w:sz w:val="18"/>
              </w:rPr>
              <w:t>$/acre</w:t>
            </w:r>
          </w:p>
        </w:tc>
        <w:tc>
          <w:tcPr>
            <w:tcW w:type="dxa" w:w="2016"/>
            <w:shd w:val="clear" w:color="auto" w:fill="1F3864"/>
          </w:tcPr>
          <w:p>
            <w:r/>
            <w:r>
              <w:rPr>
                <w:b/>
                <w:color w:val="FFFFFF"/>
                <w:sz w:val="18"/>
              </w:rPr>
              <w:t>Revenue Share (3.5% gross)</w:t>
            </w:r>
          </w:p>
        </w:tc>
        <w:tc>
          <w:tcPr>
            <w:tcW w:type="dxa" w:w="1872"/>
            <w:shd w:val="clear" w:color="auto" w:fill="1F3864"/>
          </w:tcPr>
          <w:p>
            <w:r/>
            <w:r>
              <w:rPr>
                <w:b/>
                <w:color w:val="FFFFFF"/>
                <w:sz w:val="18"/>
              </w:rPr>
              <w:t>Total Land Cost</w:t>
            </w:r>
          </w:p>
        </w:tc>
        <w:tc>
          <w:tcPr>
            <w:tcW w:type="dxa" w:w="1584"/>
            <w:shd w:val="clear" w:color="auto" w:fill="1F3864"/>
          </w:tcPr>
          <w:p>
            <w:r/>
            <w:r>
              <w:rPr>
                <w:b/>
                <w:color w:val="FFFFFF"/>
                <w:sz w:val="18"/>
              </w:rPr>
              <w:t>% of Revenue</w:t>
            </w:r>
          </w:p>
        </w:tc>
      </w:tr>
      <w:tr>
        <w:tc>
          <w:tcPr>
            <w:tcW w:type="dxa" w:w="1152"/>
          </w:tcPr>
          <w:p>
            <w:pPr>
              <w:spacing w:after="20"/>
            </w:pPr>
            <w:r/>
            <w:r>
              <w:rPr>
                <w:b w:val="0"/>
                <w:i w:val="0"/>
                <w:sz w:val="18"/>
              </w:rPr>
              <w:t>1</w:t>
            </w:r>
          </w:p>
        </w:tc>
        <w:tc>
          <w:tcPr>
            <w:tcW w:type="dxa" w:w="1728"/>
          </w:tcPr>
          <w:p>
            <w:pPr>
              <w:spacing w:after="20"/>
            </w:pPr>
            <w:r/>
            <w:r>
              <w:rPr>
                <w:b w:val="0"/>
                <w:i w:val="0"/>
                <w:sz w:val="18"/>
              </w:rPr>
              <w:t>$1,364,000</w:t>
            </w:r>
          </w:p>
        </w:tc>
        <w:tc>
          <w:tcPr>
            <w:tcW w:type="dxa" w:w="1152"/>
          </w:tcPr>
          <w:p>
            <w:pPr>
              <w:spacing w:after="20"/>
            </w:pPr>
            <w:r/>
            <w:r>
              <w:rPr>
                <w:b w:val="0"/>
                <w:i w:val="0"/>
                <w:sz w:val="18"/>
              </w:rPr>
              <w:t>$1,100</w:t>
            </w:r>
          </w:p>
        </w:tc>
        <w:tc>
          <w:tcPr>
            <w:tcW w:type="dxa" w:w="2016"/>
          </w:tcPr>
          <w:p>
            <w:pPr>
              <w:spacing w:after="20"/>
            </w:pPr>
            <w:r/>
            <w:r>
              <w:rPr>
                <w:b w:val="0"/>
                <w:i w:val="0"/>
                <w:sz w:val="18"/>
              </w:rPr>
              <w:t>$505,750</w:t>
            </w:r>
          </w:p>
        </w:tc>
        <w:tc>
          <w:tcPr>
            <w:tcW w:type="dxa" w:w="1872"/>
          </w:tcPr>
          <w:p>
            <w:pPr>
              <w:spacing w:after="20"/>
            </w:pPr>
            <w:r/>
            <w:r>
              <w:rPr>
                <w:b w:val="0"/>
                <w:i w:val="0"/>
                <w:sz w:val="18"/>
              </w:rPr>
              <w:t>$1,869,750</w:t>
            </w:r>
          </w:p>
        </w:tc>
        <w:tc>
          <w:tcPr>
            <w:tcW w:type="dxa" w:w="1584"/>
          </w:tcPr>
          <w:p>
            <w:pPr>
              <w:spacing w:after="20"/>
            </w:pPr>
            <w:r/>
            <w:r>
              <w:rPr>
                <w:b w:val="0"/>
                <w:i w:val="0"/>
                <w:sz w:val="18"/>
              </w:rPr>
              <w:t>12.94%</w:t>
            </w:r>
          </w:p>
        </w:tc>
      </w:tr>
      <w:tr>
        <w:tc>
          <w:tcPr>
            <w:tcW w:type="dxa" w:w="1152"/>
            <w:shd w:val="clear" w:color="auto" w:fill="F2F2F2"/>
          </w:tcPr>
          <w:p>
            <w:pPr>
              <w:spacing w:after="20"/>
            </w:pPr>
            <w:r/>
            <w:r>
              <w:rPr>
                <w:b w:val="0"/>
                <w:i w:val="0"/>
                <w:sz w:val="18"/>
              </w:rPr>
              <w:t>2</w:t>
            </w:r>
          </w:p>
        </w:tc>
        <w:tc>
          <w:tcPr>
            <w:tcW w:type="dxa" w:w="1728"/>
            <w:shd w:val="clear" w:color="auto" w:fill="F2F2F2"/>
          </w:tcPr>
          <w:p>
            <w:pPr>
              <w:spacing w:after="20"/>
            </w:pPr>
            <w:r/>
            <w:r>
              <w:rPr>
                <w:b w:val="0"/>
                <w:i w:val="0"/>
                <w:sz w:val="18"/>
              </w:rPr>
              <w:t>$1,404,920</w:t>
            </w:r>
          </w:p>
        </w:tc>
        <w:tc>
          <w:tcPr>
            <w:tcW w:type="dxa" w:w="1152"/>
            <w:shd w:val="clear" w:color="auto" w:fill="F2F2F2"/>
          </w:tcPr>
          <w:p>
            <w:pPr>
              <w:spacing w:after="20"/>
            </w:pPr>
            <w:r/>
            <w:r>
              <w:rPr>
                <w:b w:val="0"/>
                <w:i w:val="0"/>
                <w:sz w:val="18"/>
              </w:rPr>
              <w:t>$1,133</w:t>
            </w:r>
          </w:p>
        </w:tc>
        <w:tc>
          <w:tcPr>
            <w:tcW w:type="dxa" w:w="2016"/>
            <w:shd w:val="clear" w:color="auto" w:fill="F2F2F2"/>
          </w:tcPr>
          <w:p>
            <w:pPr>
              <w:spacing w:after="20"/>
            </w:pPr>
            <w:r/>
            <w:r>
              <w:rPr>
                <w:b w:val="0"/>
                <w:i w:val="0"/>
                <w:sz w:val="18"/>
              </w:rPr>
              <w:t>$505,750</w:t>
            </w:r>
          </w:p>
        </w:tc>
        <w:tc>
          <w:tcPr>
            <w:tcW w:type="dxa" w:w="1872"/>
            <w:shd w:val="clear" w:color="auto" w:fill="F2F2F2"/>
          </w:tcPr>
          <w:p>
            <w:pPr>
              <w:spacing w:after="20"/>
            </w:pPr>
            <w:r/>
            <w:r>
              <w:rPr>
                <w:b w:val="0"/>
                <w:i w:val="0"/>
                <w:sz w:val="18"/>
              </w:rPr>
              <w:t>$1,910,670</w:t>
            </w:r>
          </w:p>
        </w:tc>
        <w:tc>
          <w:tcPr>
            <w:tcW w:type="dxa" w:w="1584"/>
            <w:shd w:val="clear" w:color="auto" w:fill="F2F2F2"/>
          </w:tcPr>
          <w:p>
            <w:pPr>
              <w:spacing w:after="20"/>
            </w:pPr>
            <w:r/>
            <w:r>
              <w:rPr>
                <w:b w:val="0"/>
                <w:i w:val="0"/>
                <w:sz w:val="18"/>
              </w:rPr>
              <w:t>13.22%</w:t>
            </w:r>
          </w:p>
        </w:tc>
      </w:tr>
      <w:tr>
        <w:tc>
          <w:tcPr>
            <w:tcW w:type="dxa" w:w="1152"/>
          </w:tcPr>
          <w:p>
            <w:pPr>
              <w:spacing w:after="20"/>
            </w:pPr>
            <w:r/>
            <w:r>
              <w:rPr>
                <w:b w:val="0"/>
                <w:i w:val="0"/>
                <w:sz w:val="18"/>
              </w:rPr>
              <w:t>5</w:t>
            </w:r>
          </w:p>
        </w:tc>
        <w:tc>
          <w:tcPr>
            <w:tcW w:type="dxa" w:w="1728"/>
          </w:tcPr>
          <w:p>
            <w:pPr>
              <w:spacing w:after="20"/>
            </w:pPr>
            <w:r/>
            <w:r>
              <w:rPr>
                <w:b w:val="0"/>
                <w:i w:val="0"/>
                <w:sz w:val="18"/>
              </w:rPr>
              <w:t>$1,535,194</w:t>
            </w:r>
          </w:p>
        </w:tc>
        <w:tc>
          <w:tcPr>
            <w:tcW w:type="dxa" w:w="1152"/>
          </w:tcPr>
          <w:p>
            <w:pPr>
              <w:spacing w:after="20"/>
            </w:pPr>
            <w:r/>
            <w:r>
              <w:rPr>
                <w:b w:val="0"/>
                <w:i w:val="0"/>
                <w:sz w:val="18"/>
              </w:rPr>
              <w:t>$1,238</w:t>
            </w:r>
          </w:p>
        </w:tc>
        <w:tc>
          <w:tcPr>
            <w:tcW w:type="dxa" w:w="2016"/>
          </w:tcPr>
          <w:p>
            <w:pPr>
              <w:spacing w:after="20"/>
            </w:pPr>
            <w:r/>
            <w:r>
              <w:rPr>
                <w:b w:val="0"/>
                <w:i w:val="0"/>
                <w:sz w:val="18"/>
              </w:rPr>
              <w:t>$505,750</w:t>
            </w:r>
          </w:p>
        </w:tc>
        <w:tc>
          <w:tcPr>
            <w:tcW w:type="dxa" w:w="1872"/>
          </w:tcPr>
          <w:p>
            <w:pPr>
              <w:spacing w:after="20"/>
            </w:pPr>
            <w:r/>
            <w:r>
              <w:rPr>
                <w:b w:val="0"/>
                <w:i w:val="0"/>
                <w:sz w:val="18"/>
              </w:rPr>
              <w:t>$2,040,944</w:t>
            </w:r>
          </w:p>
        </w:tc>
        <w:tc>
          <w:tcPr>
            <w:tcW w:type="dxa" w:w="1584"/>
          </w:tcPr>
          <w:p>
            <w:pPr>
              <w:spacing w:after="20"/>
            </w:pPr>
            <w:r/>
            <w:r>
              <w:rPr>
                <w:b w:val="0"/>
                <w:i w:val="0"/>
                <w:sz w:val="18"/>
              </w:rPr>
              <w:t>14.12%</w:t>
            </w:r>
          </w:p>
        </w:tc>
      </w:tr>
      <w:tr>
        <w:tc>
          <w:tcPr>
            <w:tcW w:type="dxa" w:w="1152"/>
            <w:shd w:val="clear" w:color="auto" w:fill="F2F2F2"/>
          </w:tcPr>
          <w:p>
            <w:pPr>
              <w:spacing w:after="20"/>
            </w:pPr>
            <w:r/>
            <w:r>
              <w:rPr>
                <w:b w:val="0"/>
                <w:i w:val="0"/>
                <w:sz w:val="18"/>
              </w:rPr>
              <w:t>10</w:t>
            </w:r>
          </w:p>
        </w:tc>
        <w:tc>
          <w:tcPr>
            <w:tcW w:type="dxa" w:w="1728"/>
            <w:shd w:val="clear" w:color="auto" w:fill="F2F2F2"/>
          </w:tcPr>
          <w:p>
            <w:pPr>
              <w:spacing w:after="20"/>
            </w:pPr>
            <w:r/>
            <w:r>
              <w:rPr>
                <w:b w:val="0"/>
                <w:i w:val="0"/>
                <w:sz w:val="18"/>
              </w:rPr>
              <w:t>$1,779,711</w:t>
            </w:r>
          </w:p>
        </w:tc>
        <w:tc>
          <w:tcPr>
            <w:tcW w:type="dxa" w:w="1152"/>
            <w:shd w:val="clear" w:color="auto" w:fill="F2F2F2"/>
          </w:tcPr>
          <w:p>
            <w:pPr>
              <w:spacing w:after="20"/>
            </w:pPr>
            <w:r/>
            <w:r>
              <w:rPr>
                <w:b w:val="0"/>
                <w:i w:val="0"/>
                <w:sz w:val="18"/>
              </w:rPr>
              <w:t>$1,435</w:t>
            </w:r>
          </w:p>
        </w:tc>
        <w:tc>
          <w:tcPr>
            <w:tcW w:type="dxa" w:w="2016"/>
            <w:shd w:val="clear" w:color="auto" w:fill="F2F2F2"/>
          </w:tcPr>
          <w:p>
            <w:pPr>
              <w:spacing w:after="20"/>
            </w:pPr>
            <w:r/>
            <w:r>
              <w:rPr>
                <w:b w:val="0"/>
                <w:i w:val="0"/>
                <w:sz w:val="18"/>
              </w:rPr>
              <w:t>$505,750</w:t>
            </w:r>
          </w:p>
        </w:tc>
        <w:tc>
          <w:tcPr>
            <w:tcW w:type="dxa" w:w="1872"/>
            <w:shd w:val="clear" w:color="auto" w:fill="F2F2F2"/>
          </w:tcPr>
          <w:p>
            <w:pPr>
              <w:spacing w:after="20"/>
            </w:pPr>
            <w:r/>
            <w:r>
              <w:rPr>
                <w:b w:val="0"/>
                <w:i w:val="0"/>
                <w:sz w:val="18"/>
              </w:rPr>
              <w:t>$2,285,461</w:t>
            </w:r>
          </w:p>
        </w:tc>
        <w:tc>
          <w:tcPr>
            <w:tcW w:type="dxa" w:w="1584"/>
            <w:shd w:val="clear" w:color="auto" w:fill="F2F2F2"/>
          </w:tcPr>
          <w:p>
            <w:pPr>
              <w:spacing w:after="20"/>
            </w:pPr>
            <w:r/>
            <w:r>
              <w:rPr>
                <w:b w:val="0"/>
                <w:i w:val="0"/>
                <w:sz w:val="18"/>
              </w:rPr>
              <w:t>15.82%</w:t>
            </w:r>
          </w:p>
        </w:tc>
      </w:tr>
      <w:tr>
        <w:tc>
          <w:tcPr>
            <w:tcW w:type="dxa" w:w="1152"/>
          </w:tcPr>
          <w:p>
            <w:pPr>
              <w:spacing w:after="20"/>
            </w:pPr>
            <w:r/>
            <w:r>
              <w:rPr>
                <w:b w:val="0"/>
                <w:i w:val="0"/>
                <w:sz w:val="18"/>
              </w:rPr>
              <w:t>11</w:t>
            </w:r>
          </w:p>
        </w:tc>
        <w:tc>
          <w:tcPr>
            <w:tcW w:type="dxa" w:w="1728"/>
          </w:tcPr>
          <w:p>
            <w:pPr>
              <w:spacing w:after="20"/>
            </w:pPr>
            <w:r/>
            <w:r>
              <w:rPr>
                <w:b w:val="0"/>
                <w:i w:val="0"/>
                <w:sz w:val="18"/>
              </w:rPr>
              <w:t>$1,674,000</w:t>
            </w:r>
          </w:p>
        </w:tc>
        <w:tc>
          <w:tcPr>
            <w:tcW w:type="dxa" w:w="1152"/>
          </w:tcPr>
          <w:p>
            <w:pPr>
              <w:spacing w:after="20"/>
            </w:pPr>
            <w:r/>
            <w:r>
              <w:rPr>
                <w:b w:val="0"/>
                <w:i w:val="0"/>
                <w:sz w:val="18"/>
              </w:rPr>
              <w:t>$1,350</w:t>
            </w:r>
          </w:p>
        </w:tc>
        <w:tc>
          <w:tcPr>
            <w:tcW w:type="dxa" w:w="2016"/>
          </w:tcPr>
          <w:p>
            <w:pPr>
              <w:spacing w:after="20"/>
            </w:pPr>
            <w:r/>
            <w:r>
              <w:rPr>
                <w:b w:val="0"/>
                <w:i w:val="0"/>
                <w:sz w:val="18"/>
              </w:rPr>
              <w:t>$505,750</w:t>
            </w:r>
          </w:p>
        </w:tc>
        <w:tc>
          <w:tcPr>
            <w:tcW w:type="dxa" w:w="1872"/>
          </w:tcPr>
          <w:p>
            <w:pPr>
              <w:spacing w:after="20"/>
            </w:pPr>
            <w:r/>
            <w:r>
              <w:rPr>
                <w:b w:val="0"/>
                <w:i w:val="0"/>
                <w:sz w:val="18"/>
              </w:rPr>
              <w:t>$2,179,750</w:t>
            </w:r>
          </w:p>
        </w:tc>
        <w:tc>
          <w:tcPr>
            <w:tcW w:type="dxa" w:w="1584"/>
          </w:tcPr>
          <w:p>
            <w:pPr>
              <w:spacing w:after="20"/>
            </w:pPr>
            <w:r/>
            <w:r>
              <w:rPr>
                <w:b w:val="0"/>
                <w:i w:val="0"/>
                <w:sz w:val="18"/>
              </w:rPr>
              <w:t>15.08%</w:t>
            </w:r>
          </w:p>
        </w:tc>
      </w:tr>
      <w:tr>
        <w:tc>
          <w:tcPr>
            <w:tcW w:type="dxa" w:w="1152"/>
            <w:shd w:val="clear" w:color="auto" w:fill="F2F2F2"/>
          </w:tcPr>
          <w:p>
            <w:pPr>
              <w:spacing w:after="20"/>
            </w:pPr>
            <w:r/>
            <w:r>
              <w:rPr>
                <w:b w:val="0"/>
                <w:i w:val="0"/>
                <w:sz w:val="18"/>
              </w:rPr>
              <w:t>15</w:t>
            </w:r>
          </w:p>
        </w:tc>
        <w:tc>
          <w:tcPr>
            <w:tcW w:type="dxa" w:w="1728"/>
            <w:shd w:val="clear" w:color="auto" w:fill="F2F2F2"/>
          </w:tcPr>
          <w:p>
            <w:pPr>
              <w:spacing w:after="20"/>
            </w:pPr>
            <w:r/>
            <w:r>
              <w:rPr>
                <w:b w:val="0"/>
                <w:i w:val="0"/>
                <w:sz w:val="18"/>
              </w:rPr>
              <w:t>$1,884,102</w:t>
            </w:r>
          </w:p>
        </w:tc>
        <w:tc>
          <w:tcPr>
            <w:tcW w:type="dxa" w:w="1152"/>
            <w:shd w:val="clear" w:color="auto" w:fill="F2F2F2"/>
          </w:tcPr>
          <w:p>
            <w:pPr>
              <w:spacing w:after="20"/>
            </w:pPr>
            <w:r/>
            <w:r>
              <w:rPr>
                <w:b w:val="0"/>
                <w:i w:val="0"/>
                <w:sz w:val="18"/>
              </w:rPr>
              <w:t>$1,519</w:t>
            </w:r>
          </w:p>
        </w:tc>
        <w:tc>
          <w:tcPr>
            <w:tcW w:type="dxa" w:w="2016"/>
            <w:shd w:val="clear" w:color="auto" w:fill="F2F2F2"/>
          </w:tcPr>
          <w:p>
            <w:pPr>
              <w:spacing w:after="20"/>
            </w:pPr>
            <w:r/>
            <w:r>
              <w:rPr>
                <w:b w:val="0"/>
                <w:i w:val="0"/>
                <w:sz w:val="18"/>
              </w:rPr>
              <w:t>$505,750</w:t>
            </w:r>
          </w:p>
        </w:tc>
        <w:tc>
          <w:tcPr>
            <w:tcW w:type="dxa" w:w="1872"/>
            <w:shd w:val="clear" w:color="auto" w:fill="F2F2F2"/>
          </w:tcPr>
          <w:p>
            <w:pPr>
              <w:spacing w:after="20"/>
            </w:pPr>
            <w:r/>
            <w:r>
              <w:rPr>
                <w:b w:val="0"/>
                <w:i w:val="0"/>
                <w:sz w:val="18"/>
              </w:rPr>
              <w:t>$2,389,852</w:t>
            </w:r>
          </w:p>
        </w:tc>
        <w:tc>
          <w:tcPr>
            <w:tcW w:type="dxa" w:w="1584"/>
            <w:shd w:val="clear" w:color="auto" w:fill="F2F2F2"/>
          </w:tcPr>
          <w:p>
            <w:pPr>
              <w:spacing w:after="20"/>
            </w:pPr>
            <w:r/>
            <w:r>
              <w:rPr>
                <w:b w:val="0"/>
                <w:i w:val="0"/>
                <w:sz w:val="18"/>
              </w:rPr>
              <w:t>16.54%</w:t>
            </w:r>
          </w:p>
        </w:tc>
      </w:tr>
      <w:tr>
        <w:tc>
          <w:tcPr>
            <w:tcW w:type="dxa" w:w="1152"/>
          </w:tcPr>
          <w:p>
            <w:pPr>
              <w:spacing w:after="20"/>
            </w:pPr>
            <w:r/>
            <w:r>
              <w:rPr>
                <w:b w:val="0"/>
                <w:i w:val="0"/>
                <w:sz w:val="18"/>
              </w:rPr>
              <w:t>20</w:t>
            </w:r>
          </w:p>
        </w:tc>
        <w:tc>
          <w:tcPr>
            <w:tcW w:type="dxa" w:w="1728"/>
          </w:tcPr>
          <w:p>
            <w:pPr>
              <w:spacing w:after="20"/>
            </w:pPr>
            <w:r/>
            <w:r>
              <w:rPr>
                <w:b w:val="0"/>
                <w:i w:val="0"/>
                <w:sz w:val="18"/>
              </w:rPr>
              <w:t>$2,184,190</w:t>
            </w:r>
          </w:p>
        </w:tc>
        <w:tc>
          <w:tcPr>
            <w:tcW w:type="dxa" w:w="1152"/>
          </w:tcPr>
          <w:p>
            <w:pPr>
              <w:spacing w:after="20"/>
            </w:pPr>
            <w:r/>
            <w:r>
              <w:rPr>
                <w:b w:val="0"/>
                <w:i w:val="0"/>
                <w:sz w:val="18"/>
              </w:rPr>
              <w:t>$1,761</w:t>
            </w:r>
          </w:p>
        </w:tc>
        <w:tc>
          <w:tcPr>
            <w:tcW w:type="dxa" w:w="2016"/>
          </w:tcPr>
          <w:p>
            <w:pPr>
              <w:spacing w:after="20"/>
            </w:pPr>
            <w:r/>
            <w:r>
              <w:rPr>
                <w:b w:val="0"/>
                <w:i w:val="0"/>
                <w:sz w:val="18"/>
              </w:rPr>
              <w:t>$505,750</w:t>
            </w:r>
          </w:p>
        </w:tc>
        <w:tc>
          <w:tcPr>
            <w:tcW w:type="dxa" w:w="1872"/>
          </w:tcPr>
          <w:p>
            <w:pPr>
              <w:spacing w:after="20"/>
            </w:pPr>
            <w:r/>
            <w:r>
              <w:rPr>
                <w:b w:val="0"/>
                <w:i w:val="0"/>
                <w:sz w:val="18"/>
              </w:rPr>
              <w:t>$2,689,940</w:t>
            </w:r>
          </w:p>
        </w:tc>
        <w:tc>
          <w:tcPr>
            <w:tcW w:type="dxa" w:w="1584"/>
          </w:tcPr>
          <w:p>
            <w:pPr>
              <w:spacing w:after="20"/>
            </w:pPr>
            <w:r/>
            <w:r>
              <w:rPr>
                <w:b w:val="0"/>
                <w:i w:val="0"/>
                <w:sz w:val="18"/>
              </w:rPr>
              <w:t>18.62%</w:t>
            </w:r>
          </w:p>
        </w:tc>
      </w:tr>
      <w:tr>
        <w:tc>
          <w:tcPr>
            <w:tcW w:type="dxa" w:w="1152"/>
            <w:shd w:val="clear" w:color="auto" w:fill="F2F2F2"/>
          </w:tcPr>
          <w:p>
            <w:pPr>
              <w:spacing w:after="20"/>
            </w:pPr>
            <w:r/>
            <w:r>
              <w:rPr>
                <w:b w:val="0"/>
                <w:i w:val="0"/>
                <w:sz w:val="18"/>
              </w:rPr>
              <w:t>25</w:t>
            </w:r>
          </w:p>
        </w:tc>
        <w:tc>
          <w:tcPr>
            <w:tcW w:type="dxa" w:w="1728"/>
            <w:shd w:val="clear" w:color="auto" w:fill="F2F2F2"/>
          </w:tcPr>
          <w:p>
            <w:pPr>
              <w:spacing w:after="20"/>
            </w:pPr>
            <w:r/>
            <w:r>
              <w:rPr>
                <w:b w:val="0"/>
                <w:i w:val="0"/>
                <w:sz w:val="18"/>
              </w:rPr>
              <w:t>$2,532,075</w:t>
            </w:r>
          </w:p>
        </w:tc>
        <w:tc>
          <w:tcPr>
            <w:tcW w:type="dxa" w:w="1152"/>
            <w:shd w:val="clear" w:color="auto" w:fill="F2F2F2"/>
          </w:tcPr>
          <w:p>
            <w:pPr>
              <w:spacing w:after="20"/>
            </w:pPr>
            <w:r/>
            <w:r>
              <w:rPr>
                <w:b w:val="0"/>
                <w:i w:val="0"/>
                <w:sz w:val="18"/>
              </w:rPr>
              <w:t>$2,042</w:t>
            </w:r>
          </w:p>
        </w:tc>
        <w:tc>
          <w:tcPr>
            <w:tcW w:type="dxa" w:w="2016"/>
            <w:shd w:val="clear" w:color="auto" w:fill="F2F2F2"/>
          </w:tcPr>
          <w:p>
            <w:pPr>
              <w:spacing w:after="20"/>
            </w:pPr>
            <w:r/>
            <w:r>
              <w:rPr>
                <w:b w:val="0"/>
                <w:i w:val="0"/>
                <w:sz w:val="18"/>
              </w:rPr>
              <w:t>$505,750</w:t>
            </w:r>
          </w:p>
        </w:tc>
        <w:tc>
          <w:tcPr>
            <w:tcW w:type="dxa" w:w="1872"/>
            <w:shd w:val="clear" w:color="auto" w:fill="F2F2F2"/>
          </w:tcPr>
          <w:p>
            <w:pPr>
              <w:spacing w:after="20"/>
            </w:pPr>
            <w:r/>
            <w:r>
              <w:rPr>
                <w:b w:val="0"/>
                <w:i w:val="0"/>
                <w:sz w:val="18"/>
              </w:rPr>
              <w:t>$3,037,825</w:t>
            </w:r>
          </w:p>
        </w:tc>
        <w:tc>
          <w:tcPr>
            <w:tcW w:type="dxa" w:w="1584"/>
            <w:shd w:val="clear" w:color="auto" w:fill="F2F2F2"/>
          </w:tcPr>
          <w:p>
            <w:pPr>
              <w:spacing w:after="20"/>
            </w:pPr>
            <w:r/>
            <w:r>
              <w:rPr>
                <w:b w:val="0"/>
                <w:i w:val="0"/>
                <w:sz w:val="18"/>
              </w:rPr>
              <w:t>21.02%</w:t>
            </w:r>
          </w:p>
        </w:tc>
      </w:tr>
    </w:tbl>
    <w:p>
      <w:pPr>
        <w:spacing w:after="40"/>
      </w:pPr>
    </w:p>
    <w:p>
      <w:pPr>
        <w:spacing w:after="40"/>
      </w:pPr>
      <w:r>
        <w:rPr>
          <w:b w:val="0"/>
          <w:i w:val="0"/>
          <w:sz w:val="21"/>
        </w:rPr>
        <w:t>Comparison of the Draft with market alternatives (flat $14.45M revenue; 25 Lease Years):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3456"/>
            <w:shd w:val="clear" w:color="auto" w:fill="1F3864"/>
          </w:tcPr>
          <w:p>
            <w:r/>
            <w:r>
              <w:rPr>
                <w:b/>
                <w:color w:val="FFFFFF"/>
                <w:sz w:val="18"/>
              </w:rPr>
              <w:t>Structure</w:t>
            </w:r>
          </w:p>
        </w:tc>
        <w:tc>
          <w:tcPr>
            <w:tcW w:type="dxa" w:w="1440"/>
            <w:shd w:val="clear" w:color="auto" w:fill="1F3864"/>
          </w:tcPr>
          <w:p>
            <w:r/>
            <w:r>
              <w:rPr>
                <w:b/>
                <w:color w:val="FFFFFF"/>
                <w:sz w:val="18"/>
              </w:rPr>
              <w:t>Year 1 Rent</w:t>
            </w:r>
          </w:p>
        </w:tc>
        <w:tc>
          <w:tcPr>
            <w:tcW w:type="dxa" w:w="1008"/>
            <w:shd w:val="clear" w:color="auto" w:fill="1F3864"/>
          </w:tcPr>
          <w:p>
            <w:r/>
            <w:r>
              <w:rPr>
                <w:b/>
                <w:color w:val="FFFFFF"/>
                <w:sz w:val="18"/>
              </w:rPr>
              <w:t>Yr 1 %</w:t>
            </w:r>
          </w:p>
        </w:tc>
        <w:tc>
          <w:tcPr>
            <w:tcW w:type="dxa" w:w="1008"/>
            <w:shd w:val="clear" w:color="auto" w:fill="1F3864"/>
          </w:tcPr>
          <w:p>
            <w:r/>
            <w:r>
              <w:rPr>
                <w:b/>
                <w:color w:val="FFFFFF"/>
                <w:sz w:val="18"/>
              </w:rPr>
              <w:t>Yr 20 %</w:t>
            </w:r>
          </w:p>
        </w:tc>
        <w:tc>
          <w:tcPr>
            <w:tcW w:type="dxa" w:w="1584"/>
            <w:shd w:val="clear" w:color="auto" w:fill="1F3864"/>
          </w:tcPr>
          <w:p>
            <w:r/>
            <w:r>
              <w:rPr>
                <w:b/>
                <w:color w:val="FFFFFF"/>
                <w:sz w:val="18"/>
              </w:rPr>
              <w:t>25-Yr Total</w:t>
            </w:r>
          </w:p>
        </w:tc>
        <w:tc>
          <w:tcPr>
            <w:tcW w:type="dxa" w:w="1584"/>
            <w:shd w:val="clear" w:color="auto" w:fill="1F3864"/>
          </w:tcPr>
          <w:p>
            <w:r/>
            <w:r>
              <w:rPr>
                <w:b/>
                <w:color w:val="FFFFFF"/>
                <w:sz w:val="18"/>
              </w:rPr>
              <w:t>Savings vs. Draft</w:t>
            </w:r>
          </w:p>
        </w:tc>
      </w:tr>
      <w:tr>
        <w:tc>
          <w:tcPr>
            <w:tcW w:type="dxa" w:w="3456"/>
          </w:tcPr>
          <w:p>
            <w:pPr>
              <w:spacing w:after="20"/>
            </w:pPr>
            <w:r/>
            <w:r>
              <w:rPr>
                <w:b w:val="0"/>
                <w:i w:val="0"/>
                <w:sz w:val="18"/>
              </w:rPr>
              <w:t>Hargrove Draft (base + 3.5% gross share)</w:t>
            </w:r>
          </w:p>
        </w:tc>
        <w:tc>
          <w:tcPr>
            <w:tcW w:type="dxa" w:w="1440"/>
          </w:tcPr>
          <w:p>
            <w:pPr>
              <w:spacing w:after="20"/>
            </w:pPr>
            <w:r/>
            <w:r>
              <w:rPr>
                <w:b w:val="0"/>
                <w:i w:val="0"/>
                <w:sz w:val="18"/>
              </w:rPr>
              <w:t>$1,869,750</w:t>
            </w:r>
          </w:p>
        </w:tc>
        <w:tc>
          <w:tcPr>
            <w:tcW w:type="dxa" w:w="1008"/>
          </w:tcPr>
          <w:p>
            <w:pPr>
              <w:spacing w:after="20"/>
            </w:pPr>
            <w:r/>
            <w:r>
              <w:rPr>
                <w:b w:val="0"/>
                <w:i w:val="0"/>
                <w:sz w:val="18"/>
              </w:rPr>
              <w:t>12.94%</w:t>
            </w:r>
          </w:p>
        </w:tc>
        <w:tc>
          <w:tcPr>
            <w:tcW w:type="dxa" w:w="1008"/>
          </w:tcPr>
          <w:p>
            <w:pPr>
              <w:spacing w:after="20"/>
            </w:pPr>
            <w:r/>
            <w:r>
              <w:rPr>
                <w:b w:val="0"/>
                <w:i w:val="0"/>
                <w:sz w:val="18"/>
              </w:rPr>
              <w:t>18.62%</w:t>
            </w:r>
          </w:p>
        </w:tc>
        <w:tc>
          <w:tcPr>
            <w:tcW w:type="dxa" w:w="1584"/>
          </w:tcPr>
          <w:p>
            <w:pPr>
              <w:spacing w:after="20"/>
            </w:pPr>
            <w:r/>
            <w:r>
              <w:rPr>
                <w:b w:val="0"/>
                <w:i w:val="0"/>
                <w:sz w:val="18"/>
              </w:rPr>
              <w:t>$59,415,063</w:t>
            </w:r>
          </w:p>
        </w:tc>
        <w:tc>
          <w:tcPr>
            <w:tcW w:type="dxa" w:w="1584"/>
          </w:tcPr>
          <w:p>
            <w:pPr>
              <w:spacing w:after="20"/>
            </w:pPr>
            <w:r/>
            <w:r>
              <w:rPr>
                <w:b w:val="0"/>
                <w:i w:val="0"/>
                <w:sz w:val="18"/>
              </w:rPr>
              <w:t>—</w:t>
            </w:r>
          </w:p>
        </w:tc>
      </w:tr>
      <w:tr>
        <w:tc>
          <w:tcPr>
            <w:tcW w:type="dxa" w:w="3456"/>
            <w:shd w:val="clear" w:color="auto" w:fill="F2F2F2"/>
          </w:tcPr>
          <w:p>
            <w:pPr>
              <w:spacing w:after="20"/>
            </w:pPr>
            <w:r/>
            <w:r>
              <w:rPr>
                <w:b w:val="0"/>
                <w:i w:val="0"/>
                <w:sz w:val="18"/>
              </w:rPr>
              <w:t>Hargrove Draft base rent only (no share)</w:t>
            </w:r>
          </w:p>
        </w:tc>
        <w:tc>
          <w:tcPr>
            <w:tcW w:type="dxa" w:w="1440"/>
            <w:shd w:val="clear" w:color="auto" w:fill="F2F2F2"/>
          </w:tcPr>
          <w:p>
            <w:pPr>
              <w:spacing w:after="20"/>
            </w:pPr>
            <w:r/>
            <w:r>
              <w:rPr>
                <w:b w:val="0"/>
                <w:i w:val="0"/>
                <w:sz w:val="18"/>
              </w:rPr>
              <w:t>$1,364,000</w:t>
            </w:r>
          </w:p>
        </w:tc>
        <w:tc>
          <w:tcPr>
            <w:tcW w:type="dxa" w:w="1008"/>
            <w:shd w:val="clear" w:color="auto" w:fill="F2F2F2"/>
          </w:tcPr>
          <w:p>
            <w:pPr>
              <w:spacing w:after="20"/>
            </w:pPr>
            <w:r/>
            <w:r>
              <w:rPr>
                <w:b w:val="0"/>
                <w:i w:val="0"/>
                <w:sz w:val="18"/>
              </w:rPr>
              <w:t>9.44%</w:t>
            </w:r>
          </w:p>
        </w:tc>
        <w:tc>
          <w:tcPr>
            <w:tcW w:type="dxa" w:w="1008"/>
            <w:shd w:val="clear" w:color="auto" w:fill="F2F2F2"/>
          </w:tcPr>
          <w:p>
            <w:pPr>
              <w:spacing w:after="20"/>
            </w:pPr>
            <w:r/>
            <w:r>
              <w:rPr>
                <w:b w:val="0"/>
                <w:i w:val="0"/>
                <w:sz w:val="18"/>
              </w:rPr>
              <w:t>15.12%</w:t>
            </w:r>
          </w:p>
        </w:tc>
        <w:tc>
          <w:tcPr>
            <w:tcW w:type="dxa" w:w="1584"/>
            <w:shd w:val="clear" w:color="auto" w:fill="F2F2F2"/>
          </w:tcPr>
          <w:p>
            <w:pPr>
              <w:spacing w:after="20"/>
            </w:pPr>
            <w:r/>
            <w:r>
              <w:rPr>
                <w:b w:val="0"/>
                <w:i w:val="0"/>
                <w:sz w:val="18"/>
              </w:rPr>
              <w:t>$46,771,313</w:t>
            </w:r>
          </w:p>
        </w:tc>
        <w:tc>
          <w:tcPr>
            <w:tcW w:type="dxa" w:w="1584"/>
            <w:shd w:val="clear" w:color="auto" w:fill="F2F2F2"/>
          </w:tcPr>
          <w:p>
            <w:pPr>
              <w:spacing w:after="20"/>
            </w:pPr>
            <w:r/>
            <w:r>
              <w:rPr>
                <w:b w:val="0"/>
                <w:i w:val="0"/>
                <w:sz w:val="18"/>
              </w:rPr>
              <w:t>($12,643,750)</w:t>
            </w:r>
          </w:p>
        </w:tc>
      </w:tr>
      <w:tr>
        <w:tc>
          <w:tcPr>
            <w:tcW w:type="dxa" w:w="3456"/>
          </w:tcPr>
          <w:p>
            <w:pPr>
              <w:spacing w:after="20"/>
            </w:pPr>
            <w:r/>
            <w:r>
              <w:rPr>
                <w:b w:val="0"/>
                <w:i w:val="0"/>
                <w:sz w:val="18"/>
              </w:rPr>
              <w:t>Playbook ceiling: $1,100/acre flat, 2.0% simple</w:t>
            </w:r>
          </w:p>
        </w:tc>
        <w:tc>
          <w:tcPr>
            <w:tcW w:type="dxa" w:w="1440"/>
          </w:tcPr>
          <w:p>
            <w:pPr>
              <w:spacing w:after="20"/>
            </w:pPr>
            <w:r/>
            <w:r>
              <w:rPr>
                <w:b w:val="0"/>
                <w:i w:val="0"/>
                <w:sz w:val="18"/>
              </w:rPr>
              <w:t>$1,364,000</w:t>
            </w:r>
          </w:p>
        </w:tc>
        <w:tc>
          <w:tcPr>
            <w:tcW w:type="dxa" w:w="1008"/>
          </w:tcPr>
          <w:p>
            <w:pPr>
              <w:spacing w:after="20"/>
            </w:pPr>
            <w:r/>
            <w:r>
              <w:rPr>
                <w:b w:val="0"/>
                <w:i w:val="0"/>
                <w:sz w:val="18"/>
              </w:rPr>
              <w:t>9.44%</w:t>
            </w:r>
          </w:p>
        </w:tc>
        <w:tc>
          <w:tcPr>
            <w:tcW w:type="dxa" w:w="1008"/>
          </w:tcPr>
          <w:p>
            <w:pPr>
              <w:spacing w:after="20"/>
            </w:pPr>
            <w:r/>
            <w:r>
              <w:rPr>
                <w:b w:val="0"/>
                <w:i w:val="0"/>
                <w:sz w:val="18"/>
              </w:rPr>
              <w:t>13.03%</w:t>
            </w:r>
          </w:p>
        </w:tc>
        <w:tc>
          <w:tcPr>
            <w:tcW w:type="dxa" w:w="1584"/>
          </w:tcPr>
          <w:p>
            <w:pPr>
              <w:spacing w:after="20"/>
            </w:pPr>
            <w:r/>
            <w:r>
              <w:rPr>
                <w:b w:val="0"/>
                <w:i w:val="0"/>
                <w:sz w:val="18"/>
              </w:rPr>
              <w:t>$42,284,000</w:t>
            </w:r>
          </w:p>
        </w:tc>
        <w:tc>
          <w:tcPr>
            <w:tcW w:type="dxa" w:w="1584"/>
          </w:tcPr>
          <w:p>
            <w:pPr>
              <w:spacing w:after="20"/>
            </w:pPr>
            <w:r/>
            <w:r>
              <w:rPr>
                <w:b w:val="0"/>
                <w:i w:val="0"/>
                <w:sz w:val="18"/>
              </w:rPr>
              <w:t>($17,131,063)</w:t>
            </w:r>
          </w:p>
        </w:tc>
      </w:tr>
      <w:tr>
        <w:tc>
          <w:tcPr>
            <w:tcW w:type="dxa" w:w="3456"/>
            <w:shd w:val="clear" w:color="auto" w:fill="F2F2F2"/>
          </w:tcPr>
          <w:p>
            <w:pPr>
              <w:spacing w:after="20"/>
            </w:pPr>
            <w:r/>
            <w:r>
              <w:rPr>
                <w:b w:val="0"/>
                <w:i w:val="0"/>
                <w:sz w:val="18"/>
              </w:rPr>
              <w:t>Playbook midpoint: $950/acre flat, 2.0% simple</w:t>
            </w:r>
          </w:p>
        </w:tc>
        <w:tc>
          <w:tcPr>
            <w:tcW w:type="dxa" w:w="1440"/>
            <w:shd w:val="clear" w:color="auto" w:fill="F2F2F2"/>
          </w:tcPr>
          <w:p>
            <w:pPr>
              <w:spacing w:after="20"/>
            </w:pPr>
            <w:r/>
            <w:r>
              <w:rPr>
                <w:b w:val="0"/>
                <w:i w:val="0"/>
                <w:sz w:val="18"/>
              </w:rPr>
              <w:t>$1,178,000</w:t>
            </w:r>
          </w:p>
        </w:tc>
        <w:tc>
          <w:tcPr>
            <w:tcW w:type="dxa" w:w="1008"/>
            <w:shd w:val="clear" w:color="auto" w:fill="F2F2F2"/>
          </w:tcPr>
          <w:p>
            <w:pPr>
              <w:spacing w:after="20"/>
            </w:pPr>
            <w:r/>
            <w:r>
              <w:rPr>
                <w:b w:val="0"/>
                <w:i w:val="0"/>
                <w:sz w:val="18"/>
              </w:rPr>
              <w:t>8.15%</w:t>
            </w:r>
          </w:p>
        </w:tc>
        <w:tc>
          <w:tcPr>
            <w:tcW w:type="dxa" w:w="1008"/>
            <w:shd w:val="clear" w:color="auto" w:fill="F2F2F2"/>
          </w:tcPr>
          <w:p>
            <w:pPr>
              <w:spacing w:after="20"/>
            </w:pPr>
            <w:r/>
            <w:r>
              <w:rPr>
                <w:b w:val="0"/>
                <w:i w:val="0"/>
                <w:sz w:val="18"/>
              </w:rPr>
              <w:t>11.25%</w:t>
            </w:r>
          </w:p>
        </w:tc>
        <w:tc>
          <w:tcPr>
            <w:tcW w:type="dxa" w:w="1584"/>
            <w:shd w:val="clear" w:color="auto" w:fill="F2F2F2"/>
          </w:tcPr>
          <w:p>
            <w:pPr>
              <w:spacing w:after="20"/>
            </w:pPr>
            <w:r/>
            <w:r>
              <w:rPr>
                <w:b w:val="0"/>
                <w:i w:val="0"/>
                <w:sz w:val="18"/>
              </w:rPr>
              <w:t>$36,518,000</w:t>
            </w:r>
          </w:p>
        </w:tc>
        <w:tc>
          <w:tcPr>
            <w:tcW w:type="dxa" w:w="1584"/>
            <w:shd w:val="clear" w:color="auto" w:fill="F2F2F2"/>
          </w:tcPr>
          <w:p>
            <w:pPr>
              <w:spacing w:after="20"/>
            </w:pPr>
            <w:r/>
            <w:r>
              <w:rPr>
                <w:b w:val="0"/>
                <w:i w:val="0"/>
                <w:sz w:val="18"/>
              </w:rPr>
              <w:t>($22,897,063)</w:t>
            </w:r>
          </w:p>
        </w:tc>
      </w:tr>
      <w:tr>
        <w:tc>
          <w:tcPr>
            <w:tcW w:type="dxa" w:w="3456"/>
          </w:tcPr>
          <w:p>
            <w:pPr>
              <w:spacing w:after="20"/>
            </w:pPr>
            <w:r/>
            <w:r>
              <w:rPr>
                <w:b w:val="0"/>
                <w:i w:val="0"/>
                <w:sz w:val="18"/>
              </w:rPr>
              <w:t>Antelope Ridge terms: $900/acre flat, 2.0% simple</w:t>
            </w:r>
          </w:p>
        </w:tc>
        <w:tc>
          <w:tcPr>
            <w:tcW w:type="dxa" w:w="1440"/>
          </w:tcPr>
          <w:p>
            <w:pPr>
              <w:spacing w:after="20"/>
            </w:pPr>
            <w:r/>
            <w:r>
              <w:rPr>
                <w:b w:val="0"/>
                <w:i w:val="0"/>
                <w:sz w:val="18"/>
              </w:rPr>
              <w:t>$1,116,000</w:t>
            </w:r>
          </w:p>
        </w:tc>
        <w:tc>
          <w:tcPr>
            <w:tcW w:type="dxa" w:w="1008"/>
          </w:tcPr>
          <w:p>
            <w:pPr>
              <w:spacing w:after="20"/>
            </w:pPr>
            <w:r/>
            <w:r>
              <w:rPr>
                <w:b w:val="0"/>
                <w:i w:val="0"/>
                <w:sz w:val="18"/>
              </w:rPr>
              <w:t>7.72%</w:t>
            </w:r>
          </w:p>
        </w:tc>
        <w:tc>
          <w:tcPr>
            <w:tcW w:type="dxa" w:w="1008"/>
          </w:tcPr>
          <w:p>
            <w:pPr>
              <w:spacing w:after="20"/>
            </w:pPr>
            <w:r/>
            <w:r>
              <w:rPr>
                <w:b w:val="0"/>
                <w:i w:val="0"/>
                <w:sz w:val="18"/>
              </w:rPr>
              <w:t>10.66%</w:t>
            </w:r>
          </w:p>
        </w:tc>
        <w:tc>
          <w:tcPr>
            <w:tcW w:type="dxa" w:w="1584"/>
          </w:tcPr>
          <w:p>
            <w:pPr>
              <w:spacing w:after="20"/>
            </w:pPr>
            <w:r/>
            <w:r>
              <w:rPr>
                <w:b w:val="0"/>
                <w:i w:val="0"/>
                <w:sz w:val="18"/>
              </w:rPr>
              <w:t>$34,596,000</w:t>
            </w:r>
          </w:p>
        </w:tc>
        <w:tc>
          <w:tcPr>
            <w:tcW w:type="dxa" w:w="1584"/>
          </w:tcPr>
          <w:p>
            <w:pPr>
              <w:spacing w:after="20"/>
            </w:pPr>
            <w:r/>
            <w:r>
              <w:rPr>
                <w:b w:val="0"/>
                <w:i w:val="0"/>
                <w:sz w:val="18"/>
              </w:rPr>
              <w:t>($24,819,063)</w:t>
            </w:r>
          </w:p>
        </w:tc>
      </w:tr>
    </w:tbl>
    <w:p>
      <w:pPr>
        <w:spacing w:after="40"/>
      </w:pPr>
    </w:p>
    <w:p>
      <w:pPr>
        <w:spacing w:after="120"/>
        <w:jc w:val="both"/>
      </w:pPr>
      <w:r>
        <w:rPr>
          <w:b/>
          <w:i w:val="0"/>
          <w:sz w:val="21"/>
        </w:rPr>
        <w:t>Important caution for REP Finance.</w:t>
      </w:r>
      <w:r>
        <w:rPr>
          <w:b w:val="0"/>
          <w:i w:val="0"/>
          <w:sz w:val="21"/>
        </w:rPr>
        <w:t xml:space="preserve"> At this project's revenue density ($14.45M ÷ 1,240 acres = $11,653 of revenue per acre), the 8% cap equals </w:t>
      </w:r>
      <w:r>
        <w:rPr>
          <w:b/>
          <w:i w:val="0"/>
          <w:sz w:val="21"/>
        </w:rPr>
        <w:t>$1,156,000/yr, or $932/acre</w:t>
      </w:r>
      <w:r>
        <w:rPr>
          <w:b w:val="0"/>
          <w:i w:val="0"/>
          <w:sz w:val="21"/>
        </w:rPr>
        <w:t>; the 5% floor of the target band equals $722,500 ($583/acre). Consequently: (a) the Draft's Year 1 Base Rent alone (9.44%) breaches the cap even with no revenue share; (b) the Playbook's own ceiling ($1,100/acre) also breaches it; (c) the Playbook midpoint ($950/acre) is at 8.15% in Year 1; and (d) even Antelope Ridge terms ($900/acre, 7.72% in Year 1) cross 8% in Year 3 once 2.0% simple escalation is applied against flat PPA revenue. Before we table a rent number, Finance should confirm with Cascade (Daniel Ortiz) whether the 8% test is applied to Year 1, to each year of the loan, or on a levelized basis, and whether the P50 denominator includes BESS, RA and REC revenue beyond the $42.50/MWh PPA energy price. If the test applies in every year through the PPA term, the supportable flat starting rate with 2.0% simple escalation is approximately $676/acre (or ≈$783/acre on a 20-year average basis), which may require a lower escalator (1.5%), a longer flat period, or a rent structure that is partly variable but capped.</w:t>
      </w:r>
    </w:p>
    <w:p>
      <w:pPr>
        <w:spacing w:after="120"/>
        <w:jc w:val="both"/>
      </w:pPr>
      <w:r>
        <w:rPr>
          <w:b/>
          <w:i w:val="0"/>
          <w:sz w:val="21"/>
        </w:rPr>
        <w:t>3.A.6 Compounding vs. simple — correcting the Playbook figure.</w:t>
      </w:r>
      <w:r>
        <w:rPr>
          <w:b w:val="0"/>
          <w:i w:val="0"/>
          <w:sz w:val="21"/>
        </w:rPr>
        <w:t xml:space="preserve"> The Playbook (§3.4) states that 3.0% compounding vs. 2.0% simple over 25 years produces a cumulative overpayment of "approximately 55%." The correct cumulative multiplier is 36.46 (Σ1.03^(n-1), n=1–25) vs. 31.00 (Σ[1+0.02(n-1)]), i.e., </w:t>
      </w:r>
      <w:r>
        <w:rPr>
          <w:b/>
          <w:i w:val="0"/>
          <w:sz w:val="21"/>
        </w:rPr>
        <w:t>≈17.6% more cumulative rent</w:t>
      </w:r>
      <w:r>
        <w:rPr>
          <w:b w:val="0"/>
          <w:i w:val="0"/>
          <w:sz w:val="21"/>
        </w:rPr>
        <w:t>; the Year-25 annual difference is ≈37% (2.033 vs. 1.48). The Playbook's Year-25 multipliers (1.48, 1.608, 2.033) are correct. We recommend REP not use the 55% figure with Thornberry &amp; Cahill. Similarly, the Cheng Email's statement that Base Rent "will have more than doubled" by Year 25 is true only of uninterrupted compounding from Year 1; under the Draft's reset mechanism Year 25 rent ($2,532,075) is 1.86x Year 1.</w:t>
      </w:r>
    </w:p>
    <w:p>
      <w:pPr>
        <w:spacing w:after="40"/>
      </w:pPr>
      <w:r>
        <w:rPr>
          <w:b/>
          <w:i w:val="0"/>
          <w:sz w:val="21"/>
        </w:rPr>
        <w:t>3.A.7 Recommended rent position.</w:t>
      </w:r>
    </w:p>
    <w:p>
      <w:pPr>
        <w:pStyle w:val="ListBullet"/>
        <w:spacing w:after="60"/>
      </w:pPr>
      <w:r>
        <w:rPr>
          <w:b/>
          <w:i w:val="0"/>
          <w:sz w:val="20"/>
        </w:rPr>
        <w:t>Ask:</w:t>
      </w:r>
      <w:r>
        <w:rPr>
          <w:b w:val="0"/>
          <w:i w:val="0"/>
          <w:sz w:val="20"/>
        </w:rPr>
        <w:t xml:space="preserve"> Delete §4.3 and the Gross Revenue definition entirely (AR §4.5 language). Flat Base Rent of $900–$950/acre for the full Initial Term, 2.0% simple escalation on initial Base Rent (AR §4.3 formula), subject to Finance confirmation of the 8% test.</w:t>
      </w:r>
    </w:p>
    <w:p>
      <w:pPr>
        <w:pStyle w:val="ListBullet"/>
        <w:spacing w:after="60"/>
      </w:pPr>
      <w:r>
        <w:rPr>
          <w:b/>
          <w:i w:val="0"/>
          <w:sz w:val="20"/>
        </w:rPr>
        <w:t>Fallback 1:</w:t>
      </w:r>
      <w:r>
        <w:rPr>
          <w:b w:val="0"/>
          <w:i w:val="0"/>
          <w:sz w:val="20"/>
        </w:rPr>
        <w:t xml:space="preserve"> Flat Base Rent up to $1,100/acre (Playbook ceiling) with no step-up and 1.5%–2.0% simple escalation; GC approval required if the 8% test is breached.</w:t>
      </w:r>
    </w:p>
    <w:p>
      <w:pPr>
        <w:pStyle w:val="ListBullet"/>
        <w:spacing w:after="60"/>
      </w:pPr>
      <w:r>
        <w:rPr>
          <w:b/>
          <w:i w:val="0"/>
          <w:sz w:val="20"/>
        </w:rPr>
        <w:t>Fallback 2 (Cheng Email):</w:t>
      </w:r>
      <w:r>
        <w:rPr>
          <w:b w:val="0"/>
          <w:i w:val="0"/>
          <w:sz w:val="20"/>
        </w:rPr>
        <w:t xml:space="preserve"> If the Hargroves insist on participation, a 1.0%–2.0% </w:t>
      </w:r>
      <w:r>
        <w:rPr>
          <w:b/>
          <w:i w:val="0"/>
          <w:sz w:val="20"/>
        </w:rPr>
        <w:t>net</w:t>
      </w:r>
      <w:r>
        <w:rPr>
          <w:b w:val="0"/>
          <w:i w:val="0"/>
          <w:sz w:val="20"/>
        </w:rPr>
        <w:t xml:space="preserve"> revenue share (gross less curtailment, grid/transmission charges and taxes; Playbook §3.3) </w:t>
      </w:r>
      <w:r>
        <w:rPr>
          <w:b/>
          <w:i w:val="0"/>
          <w:sz w:val="20"/>
        </w:rPr>
        <w:t>in lieu of</w:t>
      </w:r>
      <w:r>
        <w:rPr>
          <w:b w:val="0"/>
          <w:i w:val="0"/>
          <w:sz w:val="20"/>
        </w:rPr>
        <w:t xml:space="preserve"> any step-up, limited to Project energy/REC revenue (excluding BESS and affiliate revenue), subordinated to debt service and capped so total land cost never exceeds 8% (Cascade). At 2% of net (assuming net = 90% of gross) this is ≈$260,100/yr versus $505,750 under the Draft.</w:t>
      </w:r>
    </w:p>
    <w:p>
      <w:pPr>
        <w:pStyle w:val="ListBullet"/>
        <w:spacing w:after="60"/>
      </w:pPr>
      <w:r>
        <w:rPr>
          <w:b/>
          <w:i w:val="0"/>
          <w:sz w:val="20"/>
        </w:rPr>
        <w:t>Option Period Rent (§4.1):</w:t>
      </w:r>
      <w:r>
        <w:rPr>
          <w:b w:val="0"/>
          <w:i w:val="0"/>
          <w:sz w:val="20"/>
        </w:rPr>
        <w:t xml:space="preserve"> $50/acre ($62,000/yr) is within the Playbook range ($40–$75) and equal to Antelope Ridge ($50/acre). Accept; ask for monthly rather than quarterly-in-advance payment and proration on termination (refund of unearned advance rent).</w:t>
      </w:r>
    </w:p>
    <w:p>
      <w:pPr>
        <w:pStyle w:val="Heading2"/>
      </w:pPr>
      <w:r>
        <w:rPr>
          <w:color w:val="1F3864"/>
        </w:rPr>
        <w:t>3.B Commencement Date, Construction Deadline and Option Period (Art. 1; §§3.2, 3.5, 14.1(e), 15.1(a))</w:t>
      </w:r>
    </w:p>
    <w:p>
      <w:pPr>
        <w:spacing w:after="120"/>
        <w:jc w:val="both"/>
      </w:pPr>
      <w:r>
        <w:rPr>
          <w:b/>
          <w:i w:val="0"/>
          <w:sz w:val="21"/>
        </w:rPr>
        <w:t>Draft.</w:t>
      </w:r>
      <w:r>
        <w:rPr>
          <w:b w:val="0"/>
          <w:i w:val="0"/>
          <w:sz w:val="21"/>
        </w:rPr>
        <w:t xml:space="preserve"> Commencement Date = earlier of (a) the date the first PV panel is energized and grid-connected, or (b) 24 months after the Effective Date. Physical construction (grading, foundations, piles, racking — expressly excluding engineering, permitting and procurement) must start within 18 months, failing which Landlord may terminate on 30 days' notice and keep all Option Period Rent as liquidated damages; the same failure is also an Event of Default (§14.1(e)) and an independent termination ground (§15.1(a)). The Option Period automatically terminates if the Commencement Date has not occurred within 36 months — a provision that can never operate because prong (b) fixes Commencement at 24 months at the latest, but which conflicts with Cascade §4.4 (no automatic termination). No Force Majeure or interconnection-delay extension applies to any of these dates; §20.8 extends performance only "except as otherwise expressly provided" and never affects Rent.</w:t>
      </w:r>
    </w:p>
    <w:p>
      <w:pPr>
        <w:spacing w:after="120"/>
        <w:jc w:val="both"/>
      </w:pPr>
      <w:r>
        <w:rPr>
          <w:b/>
          <w:i w:val="0"/>
          <w:sz w:val="21"/>
        </w:rPr>
        <w:t>Why it matters.</w:t>
      </w:r>
      <w:r>
        <w:rPr>
          <w:b w:val="0"/>
          <w:i w:val="0"/>
          <w:sz w:val="21"/>
        </w:rPr>
        <w:t xml:space="preserve"> Prong (a) is itself pre-COD: first-block energization and back-feed typically precede COD by weeks or months. Prong (b) triggers full Base Rent while the CAISO cluster study is likely still pending (Playbook §4 notes 36–48 month CAISO study timelines). Timeline at an October 15, 2024 Effective Date: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584"/>
            <w:shd w:val="clear" w:color="auto" w:fill="1F3864"/>
          </w:tcPr>
          <w:p>
            <w:r/>
            <w:r>
              <w:rPr>
                <w:b/>
                <w:color w:val="FFFFFF"/>
                <w:sz w:val="18"/>
              </w:rPr>
              <w:t>Date</w:t>
            </w:r>
          </w:p>
        </w:tc>
        <w:tc>
          <w:tcPr>
            <w:tcW w:type="dxa" w:w="4176"/>
            <w:shd w:val="clear" w:color="auto" w:fill="1F3864"/>
          </w:tcPr>
          <w:p>
            <w:r/>
            <w:r>
              <w:rPr>
                <w:b/>
                <w:color w:val="FFFFFF"/>
                <w:sz w:val="18"/>
              </w:rPr>
              <w:t>Event</w:t>
            </w:r>
          </w:p>
        </w:tc>
        <w:tc>
          <w:tcPr>
            <w:tcW w:type="dxa" w:w="4176"/>
            <w:shd w:val="clear" w:color="auto" w:fill="1F3864"/>
          </w:tcPr>
          <w:p>
            <w:r/>
            <w:r>
              <w:rPr>
                <w:b/>
                <w:color w:val="FFFFFF"/>
                <w:sz w:val="18"/>
              </w:rPr>
              <w:t>Comment</w:t>
            </w:r>
          </w:p>
        </w:tc>
      </w:tr>
      <w:tr>
        <w:tc>
          <w:tcPr>
            <w:tcW w:type="dxa" w:w="1584"/>
          </w:tcPr>
          <w:p>
            <w:pPr>
              <w:spacing w:after="20"/>
            </w:pPr>
            <w:r/>
            <w:r>
              <w:rPr>
                <w:b w:val="0"/>
                <w:i w:val="0"/>
                <w:sz w:val="18"/>
              </w:rPr>
              <w:t>Oct. 15, 2024</w:t>
            </w:r>
          </w:p>
        </w:tc>
        <w:tc>
          <w:tcPr>
            <w:tcW w:type="dxa" w:w="4176"/>
          </w:tcPr>
          <w:p>
            <w:pPr>
              <w:spacing w:after="20"/>
            </w:pPr>
            <w:r/>
            <w:r>
              <w:rPr>
                <w:b w:val="0"/>
                <w:i w:val="0"/>
                <w:sz w:val="18"/>
              </w:rPr>
              <w:t>Assumed Effective Date (target execution)</w:t>
            </w:r>
          </w:p>
        </w:tc>
        <w:tc>
          <w:tcPr>
            <w:tcW w:type="dxa" w:w="4176"/>
          </w:tcPr>
          <w:p>
            <w:pPr>
              <w:spacing w:after="20"/>
            </w:pPr>
            <w:r/>
            <w:r>
              <w:rPr>
                <w:b w:val="0"/>
                <w:i w:val="0"/>
                <w:sz w:val="18"/>
              </w:rPr>
              <w:t>Option Period Rent begins ($15,500/quarter in advance)</w:t>
            </w:r>
          </w:p>
        </w:tc>
      </w:tr>
      <w:tr>
        <w:tc>
          <w:tcPr>
            <w:tcW w:type="dxa" w:w="1584"/>
            <w:shd w:val="clear" w:color="auto" w:fill="F2F2F2"/>
          </w:tcPr>
          <w:p>
            <w:pPr>
              <w:spacing w:after="20"/>
            </w:pPr>
            <w:r/>
            <w:r>
              <w:rPr>
                <w:b w:val="0"/>
                <w:i w:val="0"/>
                <w:sz w:val="18"/>
              </w:rPr>
              <w:t>Nov. 14, 2024</w:t>
            </w:r>
          </w:p>
        </w:tc>
        <w:tc>
          <w:tcPr>
            <w:tcW w:type="dxa" w:w="4176"/>
            <w:shd w:val="clear" w:color="auto" w:fill="F2F2F2"/>
          </w:tcPr>
          <w:p>
            <w:pPr>
              <w:spacing w:after="20"/>
            </w:pPr>
            <w:r/>
            <w:r>
              <w:rPr>
                <w:b w:val="0"/>
                <w:i w:val="0"/>
                <w:sz w:val="18"/>
              </w:rPr>
              <w:t>$3,000,000 cash Security Deposit due (§5.1)</w:t>
            </w:r>
          </w:p>
        </w:tc>
        <w:tc>
          <w:tcPr>
            <w:tcW w:type="dxa" w:w="4176"/>
            <w:shd w:val="clear" w:color="auto" w:fill="F2F2F2"/>
          </w:tcPr>
          <w:p>
            <w:pPr>
              <w:spacing w:after="20"/>
            </w:pPr>
            <w:r/>
            <w:r>
              <w:rPr>
                <w:b w:val="0"/>
                <w:i w:val="0"/>
                <w:sz w:val="18"/>
              </w:rPr>
              <w:t>≈48 years of Option Period Rent posted before construction</w:t>
            </w:r>
          </w:p>
        </w:tc>
      </w:tr>
      <w:tr>
        <w:tc>
          <w:tcPr>
            <w:tcW w:type="dxa" w:w="1584"/>
          </w:tcPr>
          <w:p>
            <w:pPr>
              <w:spacing w:after="20"/>
            </w:pPr>
            <w:r/>
            <w:r>
              <w:rPr>
                <w:b w:val="0"/>
                <w:i w:val="0"/>
                <w:sz w:val="18"/>
              </w:rPr>
              <w:t>Apr. 1, 2026</w:t>
            </w:r>
          </w:p>
        </w:tc>
        <w:tc>
          <w:tcPr>
            <w:tcW w:type="dxa" w:w="4176"/>
          </w:tcPr>
          <w:p>
            <w:pPr>
              <w:spacing w:after="20"/>
            </w:pPr>
            <w:r/>
            <w:r>
              <w:rPr>
                <w:b w:val="0"/>
                <w:i w:val="0"/>
                <w:sz w:val="18"/>
              </w:rPr>
              <w:t>REP target construction start</w:t>
            </w:r>
          </w:p>
        </w:tc>
        <w:tc>
          <w:tcPr>
            <w:tcW w:type="dxa" w:w="4176"/>
          </w:tcPr>
          <w:p>
            <w:pPr>
              <w:spacing w:after="20"/>
            </w:pPr>
            <w:r/>
            <w:r>
              <w:rPr>
                <w:b w:val="0"/>
                <w:i w:val="0"/>
                <w:sz w:val="18"/>
              </w:rPr>
              <w:t>Only 14 days of float</w:t>
            </w:r>
          </w:p>
        </w:tc>
      </w:tr>
      <w:tr>
        <w:tc>
          <w:tcPr>
            <w:tcW w:type="dxa" w:w="1584"/>
            <w:shd w:val="clear" w:color="auto" w:fill="F2F2F2"/>
          </w:tcPr>
          <w:p>
            <w:pPr>
              <w:spacing w:after="20"/>
            </w:pPr>
            <w:r/>
            <w:r>
              <w:rPr>
                <w:b w:val="0"/>
                <w:i w:val="0"/>
                <w:sz w:val="18"/>
              </w:rPr>
              <w:t>Apr. 15, 2026</w:t>
            </w:r>
          </w:p>
        </w:tc>
        <w:tc>
          <w:tcPr>
            <w:tcW w:type="dxa" w:w="4176"/>
            <w:shd w:val="clear" w:color="auto" w:fill="F2F2F2"/>
          </w:tcPr>
          <w:p>
            <w:pPr>
              <w:spacing w:after="20"/>
            </w:pPr>
            <w:r/>
            <w:r>
              <w:rPr>
                <w:b w:val="0"/>
                <w:i w:val="0"/>
                <w:sz w:val="18"/>
              </w:rPr>
              <w:t>Draft Construction Commencement Deadline (18 mo.)</w:t>
            </w:r>
          </w:p>
        </w:tc>
        <w:tc>
          <w:tcPr>
            <w:tcW w:type="dxa" w:w="4176"/>
            <w:shd w:val="clear" w:color="auto" w:fill="F2F2F2"/>
          </w:tcPr>
          <w:p>
            <w:pPr>
              <w:spacing w:after="20"/>
            </w:pPr>
            <w:r/>
            <w:r>
              <w:rPr>
                <w:b w:val="0"/>
                <w:i w:val="0"/>
                <w:sz w:val="18"/>
              </w:rPr>
              <w:t>Landlord termination right; site and CUP 2023-0847 at risk</w:t>
            </w:r>
          </w:p>
        </w:tc>
      </w:tr>
      <w:tr>
        <w:tc>
          <w:tcPr>
            <w:tcW w:type="dxa" w:w="1584"/>
          </w:tcPr>
          <w:p>
            <w:pPr>
              <w:spacing w:after="20"/>
            </w:pPr>
            <w:r/>
            <w:r>
              <w:rPr>
                <w:b w:val="0"/>
                <w:i w:val="0"/>
                <w:sz w:val="18"/>
              </w:rPr>
              <w:t>Oct. 15, 2026</w:t>
            </w:r>
          </w:p>
        </w:tc>
        <w:tc>
          <w:tcPr>
            <w:tcW w:type="dxa" w:w="4176"/>
          </w:tcPr>
          <w:p>
            <w:pPr>
              <w:spacing w:after="20"/>
            </w:pPr>
            <w:r/>
            <w:r>
              <w:rPr>
                <w:b w:val="0"/>
                <w:i w:val="0"/>
                <w:sz w:val="18"/>
              </w:rPr>
              <w:t>Draft Commencement Date backstop (24 mo.)</w:t>
            </w:r>
          </w:p>
        </w:tc>
        <w:tc>
          <w:tcPr>
            <w:tcW w:type="dxa" w:w="4176"/>
          </w:tcPr>
          <w:p>
            <w:pPr>
              <w:spacing w:after="20"/>
            </w:pPr>
            <w:r/>
            <w:r>
              <w:rPr>
                <w:b w:val="0"/>
                <w:i w:val="0"/>
                <w:sz w:val="18"/>
              </w:rPr>
              <w:t>Base Rent of $1,364,000/yr starts regardless of status</w:t>
            </w:r>
          </w:p>
        </w:tc>
      </w:tr>
      <w:tr>
        <w:tc>
          <w:tcPr>
            <w:tcW w:type="dxa" w:w="1584"/>
            <w:shd w:val="clear" w:color="auto" w:fill="F2F2F2"/>
          </w:tcPr>
          <w:p>
            <w:pPr>
              <w:spacing w:after="20"/>
            </w:pPr>
            <w:r/>
            <w:r>
              <w:rPr>
                <w:b w:val="0"/>
                <w:i w:val="0"/>
                <w:sz w:val="18"/>
              </w:rPr>
              <w:t>June 30, 2027</w:t>
            </w:r>
          </w:p>
        </w:tc>
        <w:tc>
          <w:tcPr>
            <w:tcW w:type="dxa" w:w="4176"/>
            <w:shd w:val="clear" w:color="auto" w:fill="F2F2F2"/>
          </w:tcPr>
          <w:p>
            <w:pPr>
              <w:spacing w:after="20"/>
            </w:pPr>
            <w:r/>
            <w:r>
              <w:rPr>
                <w:b w:val="0"/>
                <w:i w:val="0"/>
                <w:sz w:val="18"/>
              </w:rPr>
              <w:t>REP target COD</w:t>
            </w:r>
          </w:p>
        </w:tc>
        <w:tc>
          <w:tcPr>
            <w:tcW w:type="dxa" w:w="4176"/>
            <w:shd w:val="clear" w:color="auto" w:fill="F2F2F2"/>
          </w:tcPr>
          <w:p>
            <w:pPr>
              <w:spacing w:after="20"/>
            </w:pPr>
            <w:r/>
            <w:r>
              <w:rPr>
                <w:b w:val="0"/>
                <w:i w:val="0"/>
                <w:sz w:val="18"/>
              </w:rPr>
              <w:t>≈258 days (~$964,000) of Base Rent paid pre-COD on Draft terms</w:t>
            </w:r>
          </w:p>
        </w:tc>
      </w:tr>
      <w:tr>
        <w:tc>
          <w:tcPr>
            <w:tcW w:type="dxa" w:w="1584"/>
          </w:tcPr>
          <w:p>
            <w:pPr>
              <w:spacing w:after="20"/>
            </w:pPr>
            <w:r/>
            <w:r>
              <w:rPr>
                <w:b w:val="0"/>
                <w:i w:val="0"/>
                <w:sz w:val="18"/>
              </w:rPr>
              <w:t>Oct. 15, 2027</w:t>
            </w:r>
          </w:p>
        </w:tc>
        <w:tc>
          <w:tcPr>
            <w:tcW w:type="dxa" w:w="4176"/>
          </w:tcPr>
          <w:p>
            <w:pPr>
              <w:spacing w:after="20"/>
            </w:pPr>
            <w:r/>
            <w:r>
              <w:rPr>
                <w:b w:val="0"/>
                <w:i w:val="0"/>
                <w:sz w:val="18"/>
              </w:rPr>
              <w:t>Proposed 36-month backstop (Playbook/Cascade/AR)</w:t>
            </w:r>
          </w:p>
        </w:tc>
        <w:tc>
          <w:tcPr>
            <w:tcW w:type="dxa" w:w="4176"/>
          </w:tcPr>
          <w:p>
            <w:pPr>
              <w:spacing w:after="20"/>
            </w:pPr>
            <w:r/>
            <w:r>
              <w:rPr>
                <w:b w:val="0"/>
                <w:i w:val="0"/>
                <w:sz w:val="18"/>
              </w:rPr>
              <w:t>3.5 months of cushion after target COD</w:t>
            </w:r>
          </w:p>
        </w:tc>
      </w:tr>
      <w:tr>
        <w:tc>
          <w:tcPr>
            <w:tcW w:type="dxa" w:w="1584"/>
            <w:shd w:val="clear" w:color="auto" w:fill="F2F2F2"/>
          </w:tcPr>
          <w:p>
            <w:pPr>
              <w:spacing w:after="20"/>
            </w:pPr>
            <w:r/>
            <w:r>
              <w:rPr>
                <w:b w:val="0"/>
                <w:i w:val="0"/>
                <w:sz w:val="18"/>
              </w:rPr>
              <w:t>Oct. 15, 2028</w:t>
            </w:r>
          </w:p>
        </w:tc>
        <w:tc>
          <w:tcPr>
            <w:tcW w:type="dxa" w:w="4176"/>
            <w:shd w:val="clear" w:color="auto" w:fill="F2F2F2"/>
          </w:tcPr>
          <w:p>
            <w:pPr>
              <w:spacing w:after="20"/>
            </w:pPr>
            <w:r/>
            <w:r>
              <w:rPr>
                <w:b w:val="0"/>
                <w:i w:val="0"/>
                <w:sz w:val="18"/>
              </w:rPr>
              <w:t>Proposed outside date with 12-month FM/interconnection extension (AR §3.2)</w:t>
            </w:r>
          </w:p>
        </w:tc>
        <w:tc>
          <w:tcPr>
            <w:tcW w:type="dxa" w:w="4176"/>
            <w:shd w:val="clear" w:color="auto" w:fill="F2F2F2"/>
          </w:tcPr>
          <w:p>
            <w:pPr>
              <w:spacing w:after="20"/>
            </w:pPr>
            <w:r/>
            <w:r>
              <w:rPr>
                <w:b w:val="0"/>
                <w:i w:val="0"/>
                <w:sz w:val="18"/>
              </w:rPr>
              <w:t>Maximum 48 months</w:t>
            </w:r>
          </w:p>
        </w:tc>
      </w:tr>
      <w:tr>
        <w:tc>
          <w:tcPr>
            <w:tcW w:type="dxa" w:w="1584"/>
          </w:tcPr>
          <w:p>
            <w:pPr>
              <w:spacing w:after="20"/>
            </w:pPr>
            <w:r/>
            <w:r>
              <w:rPr>
                <w:b w:val="0"/>
                <w:i w:val="0"/>
                <w:sz w:val="18"/>
              </w:rPr>
              <w:t>Apr. 15, 2027</w:t>
            </w:r>
          </w:p>
        </w:tc>
        <w:tc>
          <w:tcPr>
            <w:tcW w:type="dxa" w:w="4176"/>
          </w:tcPr>
          <w:p>
            <w:pPr>
              <w:spacing w:after="20"/>
            </w:pPr>
            <w:r/>
            <w:r>
              <w:rPr>
                <w:b w:val="0"/>
                <w:i w:val="0"/>
                <w:sz w:val="18"/>
              </w:rPr>
              <w:t>Proposed 30-month construction deadline (Cheng Email)</w:t>
            </w:r>
          </w:p>
        </w:tc>
        <w:tc>
          <w:tcPr>
            <w:tcW w:type="dxa" w:w="4176"/>
          </w:tcPr>
          <w:p>
            <w:pPr>
              <w:spacing w:after="20"/>
            </w:pPr>
            <w:r/>
            <w:r>
              <w:rPr>
                <w:b w:val="0"/>
                <w:i w:val="0"/>
                <w:sz w:val="18"/>
              </w:rPr>
              <w:t>Playbook acceptable: ≥24 months + ≥12 months of extensions</w:t>
            </w:r>
          </w:p>
        </w:tc>
      </w:tr>
    </w:tbl>
    <w:p>
      <w:pPr>
        <w:spacing w:after="40"/>
      </w:pPr>
    </w:p>
    <w:p>
      <w:pPr>
        <w:spacing w:after="120"/>
        <w:jc w:val="both"/>
      </w:pPr>
      <w:r>
        <w:rPr>
          <w:b/>
          <w:i w:val="0"/>
          <w:sz w:val="21"/>
        </w:rPr>
        <w:t>Note on the Cheng Email.</w:t>
      </w:r>
      <w:r>
        <w:rPr>
          <w:b w:val="0"/>
          <w:i w:val="0"/>
          <w:sz w:val="21"/>
        </w:rPr>
        <w:t xml:space="preserve"> The email asks for Commencement "tied to COD with a 36-month outside date" and describes market practice as the "later of" COD or a date certain. The Playbook Market Standard text also uses "later of," but its own Acceptable Range and Notes, Cascade's requirement, and the executed Antelope Ridge lease (§3.2) all use the </w:t>
      </w:r>
      <w:r>
        <w:rPr>
          <w:b/>
          <w:i w:val="0"/>
          <w:sz w:val="21"/>
        </w:rPr>
        <w:t>earlier of</w:t>
      </w:r>
      <w:r>
        <w:rPr>
          <w:b w:val="0"/>
          <w:i w:val="0"/>
          <w:sz w:val="21"/>
        </w:rPr>
        <w:t xml:space="preserve"> COD or 36 months. We recommend tabling the Antelope Ridge formulation (earlier of COD or 36 months, extended day-for-day for Force Majeure including CAISO queue and permitting delays, up to 12 months); a "later of" construct would leave the Landlord with no backstop and is unlikely to be accepted.</w:t>
      </w:r>
    </w:p>
    <w:p>
      <w:pPr>
        <w:spacing w:after="120"/>
        <w:jc w:val="both"/>
      </w:pPr>
      <w:r>
        <w:rPr>
          <w:b/>
          <w:i w:val="0"/>
          <w:sz w:val="21"/>
        </w:rPr>
        <w:t>Recommended position.</w:t>
      </w:r>
      <w:r>
        <w:rPr>
          <w:b w:val="0"/>
          <w:i w:val="0"/>
          <w:sz w:val="21"/>
        </w:rPr>
        <w:t xml:space="preserve"> (1) Commencement Date = earlier of COD (defined as in AR Art. 1) or 36 months after the Effective Date, extended day-for-day for Force Majeure (expressly including CAISO/utility interconnection delays and governmental permitting delays) up to 12 months; (2) Option Period capped at the same date (36 months + extension), with Tenant's right to extend for one or two 12-month periods at the same or modestly higher per-acre rate (Playbook §3.1); (3) Construction Commencement Deadline of 30 months (fallback: 24 months per AR §3.6), extended for interconnection, permitting and Force Majeure delays (≥12 months aggregate), with 90 days' notice and a right to cure by commencing construction (AR §3.6); (4) define "commencement of construction" to include issuance of a full notice to proceed under the EPC contract or major equipment procurement; (5) failure to meet the deadline is a termination right only — delete §14.1(e) — and the retained Option Period Rent is Landlord's sole remedy; (6) delete the automatic termination in §3.2; and (7) all such termination rights subject to lender notice and cure. </w:t>
      </w:r>
      <w:r>
        <w:rPr>
          <w:b/>
          <w:i w:val="0"/>
          <w:sz w:val="21"/>
        </w:rPr>
        <w:t>Severity: CRITICAL.</w:t>
      </w:r>
    </w:p>
    <w:p>
      <w:pPr>
        <w:pStyle w:val="Heading2"/>
      </w:pPr>
      <w:r>
        <w:rPr>
          <w:color w:val="1F3864"/>
        </w:rPr>
        <w:t>3.C Landlord Reserved Rights: Minerals, Agriculture, Water and Access (Art. 8; §2.1)</w:t>
      </w:r>
    </w:p>
    <w:p>
      <w:pPr>
        <w:spacing w:after="120"/>
        <w:jc w:val="both"/>
      </w:pPr>
      <w:r>
        <w:rPr>
          <w:b/>
          <w:i w:val="0"/>
          <w:sz w:val="21"/>
        </w:rPr>
        <w:t>Mineral rights (§8.2).</w:t>
      </w:r>
      <w:r>
        <w:rPr>
          <w:b w:val="0"/>
          <w:i w:val="0"/>
          <w:sz w:val="21"/>
        </w:rPr>
        <w:t xml:space="preserve"> Landlord reserves all mineral, oil, gas, geothermal and subsurface rights and may develop them or lease them to third parties "without restriction and without the prior consent of Tenant," with express rights for Landlord and its lessees to use the surface; Tenant may not interfere. This is the opposite of the Playbook minimum ("no surface use" covenant; in Kern County, Tenant approval of subsurface extraction plans that could cause subsidence or vibration), Cascade §6 ("no surface use" covenant required; no third-party interference with collateral), and AR §2.4 (No Surface Use Covenant running with the land, Lease controls in any conflict). The risk is not theoretical: per the Cheng Email, Colleen Hargrove-Díaz disclosed that Randall Hargrove has been in discussions with an oil and gas exploration company about leasing mineral rights on portions of the 14,200-acre ranch, including parcels overlapping APNs 287-041-12 and -15. </w:t>
      </w:r>
      <w:r>
        <w:rPr>
          <w:b/>
          <w:i w:val="0"/>
          <w:sz w:val="21"/>
        </w:rPr>
        <w:t>Severity: CRITICAL.</w:t>
      </w:r>
    </w:p>
    <w:p>
      <w:pPr>
        <w:spacing w:after="120"/>
        <w:jc w:val="both"/>
      </w:pPr>
      <w:r>
        <w:rPr>
          <w:b/>
          <w:i w:val="0"/>
          <w:sz w:val="21"/>
        </w:rPr>
        <w:t>Agricultural reservation (§8.1).</w:t>
      </w:r>
      <w:r>
        <w:rPr>
          <w:b w:val="0"/>
          <w:i w:val="0"/>
          <w:sz w:val="21"/>
        </w:rPr>
        <w:t xml:space="preserve"> Landlord may farm, graze, irrigate and apply pesticides/herbicides anywhere outside the Improvement Area, may license third parties to do so, has no duty to coordinate, and Tenant accepts dust, runoff and pesticide drift. (The Cheng Email describes the reservation as applying to land not "actively occupied" by solar equipment; the Draft's actual test is land outside the Improvement Area on Exhibit B, which has not been prepared — the practical scope therefore depends on how broadly Exhibit B is drawn.) The Playbook (§11.2) requires a complete prohibition for projects ≥50 MW (agrivoltaics not acceptable); Cascade §6 prohibits reserved agricultural/grazing rights inconsistent with project operations; AR §2.4 prohibits all agricultural operations and grazing during the Term. NREL data cited by Development indicate 2%–5% output loss from agricultural dust alone. </w:t>
      </w:r>
      <w:r>
        <w:rPr>
          <w:b/>
          <w:i w:val="0"/>
          <w:sz w:val="21"/>
        </w:rPr>
        <w:t>Severity: CRITICAL.</w:t>
      </w:r>
    </w:p>
    <w:p>
      <w:pPr>
        <w:spacing w:after="120"/>
        <w:jc w:val="both"/>
      </w:pPr>
      <w:r>
        <w:rPr>
          <w:b/>
          <w:i w:val="0"/>
          <w:sz w:val="21"/>
        </w:rPr>
        <w:t>Water (§8.3).</w:t>
      </w:r>
      <w:r>
        <w:rPr>
          <w:b w:val="0"/>
          <w:i w:val="0"/>
          <w:sz w:val="21"/>
        </w:rPr>
        <w:t xml:space="preserve"> Tenant has no right to use any water on or appurtenant to the Premises except on terms and pricing set by Landlord in its sole discretion. Construction-phase dust control (and likely CUP conditions), fire suppression, and periodic module washing all require water; the clause creates a hold-up right. Neither the Playbook nor Cascade addresses water expressly; AR §8.5 grants Tenant the right to install water lines. </w:t>
      </w:r>
      <w:r>
        <w:rPr>
          <w:b/>
          <w:i w:val="0"/>
          <w:sz w:val="21"/>
        </w:rPr>
        <w:t>Recommend:</w:t>
      </w:r>
      <w:r>
        <w:rPr>
          <w:b w:val="0"/>
          <w:i w:val="0"/>
          <w:sz w:val="21"/>
        </w:rPr>
        <w:t xml:space="preserve"> Tenant right to use existing wells/water at a pre-agreed rate (or to truck water in and install temporary storage), with priority for construction dust control and fire safety, consistent with the applicable groundwater sustainability plan. </w:t>
      </w:r>
      <w:r>
        <w:rPr>
          <w:b/>
          <w:i w:val="0"/>
          <w:sz w:val="21"/>
        </w:rPr>
        <w:t>Severity: HIGH.</w:t>
      </w:r>
    </w:p>
    <w:p>
      <w:pPr>
        <w:spacing w:after="120"/>
        <w:jc w:val="both"/>
      </w:pPr>
      <w:r>
        <w:rPr>
          <w:b/>
          <w:i w:val="0"/>
          <w:sz w:val="21"/>
        </w:rPr>
        <w:t>Landlord access (§8.4).</w:t>
      </w:r>
      <w:r>
        <w:rPr>
          <w:b w:val="0"/>
          <w:i w:val="0"/>
          <w:sz w:val="21"/>
        </w:rPr>
        <w:t xml:space="preserve"> Landlord and its agents, lessees, licensees and invitees may enter any part of the Premises, including the energized Improvement Area, at any time, without notice, for any purpose "deemed necessary or desirable by Landlord," and Tenant may not condition access. This is a serious safety and OSHA/NEC/NFPA issue (600V DC to 34.5kV AC; lockout/tagout). Playbook §11.1 and AR §2.5: 48 hours' written notice (email permitted), business hours, compliance with Tenant safety plan, Tenant escort within the Improvement Area, emergency exception with after-the-fact notice. </w:t>
      </w:r>
      <w:r>
        <w:rPr>
          <w:b/>
          <w:i w:val="0"/>
          <w:sz w:val="21"/>
        </w:rPr>
        <w:t>Severity: HIGH.</w:t>
      </w:r>
    </w:p>
    <w:p>
      <w:pPr>
        <w:spacing w:after="120"/>
        <w:jc w:val="both"/>
      </w:pPr>
      <w:r>
        <w:rPr>
          <w:b/>
          <w:i w:val="0"/>
          <w:sz w:val="21"/>
        </w:rPr>
        <w:t>Recommended position.</w:t>
      </w:r>
      <w:r>
        <w:rPr>
          <w:b w:val="0"/>
          <w:i w:val="0"/>
          <w:sz w:val="21"/>
        </w:rPr>
        <w:t xml:space="preserve"> Insert AR §2.4 verbatim (adapted): No Surface Use Covenant binding Landlord and all persons claiming by, through or under Landlord, running with the land, recorded in the Memorandum (AR Ex. E ¶6), with the Lease controlling over any mineral lease; add Kern-County-specific protections — no drilling pads or directional-drilling entry points within a buffer of the Premises boundary, no extraction causing subsidence/vibration, Tenant approval (not unreasonably withheld) of any extraction plan that could affect the Premises, and Landlord indemnity for mineral-lessee interference. Require a Landlord representation that no mineral lease, option or other surface-use right has been granted and covenant that any future mineral lease will be expressly subject to the Lease and the No Surface Use Covenant. Delete §8.1 and replace with a full agricultural/grazing prohibition across all 1,240 acres (vegetation management by Tenant; sheep grazing only at Tenant's election under Tenant's control, if desired). Conform §8.4 to AR §2.5. </w:t>
      </w:r>
      <w:r>
        <w:rPr>
          <w:b/>
          <w:i w:val="0"/>
          <w:sz w:val="21"/>
        </w:rPr>
        <w:t>Diligence:</w:t>
      </w:r>
      <w:r>
        <w:rPr>
          <w:b w:val="0"/>
          <w:i w:val="0"/>
          <w:sz w:val="21"/>
        </w:rPr>
        <w:t xml:space="preserve"> order a title report and mineral-ownership search now; if any mineral estate is severed and held by third parties, the Landlord covenant will not bind them and a surface-use/accommodation agreement (or title insurance endorsement coverage) will be needed.</w:t>
      </w:r>
    </w:p>
    <w:p>
      <w:pPr>
        <w:pStyle w:val="Heading2"/>
      </w:pPr>
      <w:r>
        <w:rPr>
          <w:color w:val="1F3864"/>
        </w:rPr>
        <w:t>3.D Financeability: Lender Protections, Transfers, Forfeiture, Cure and Termination</w:t>
      </w:r>
    </w:p>
    <w:p>
      <w:pPr>
        <w:spacing w:after="120"/>
        <w:jc w:val="both"/>
      </w:pPr>
      <w:r>
        <w:rPr>
          <w:b/>
          <w:i w:val="0"/>
          <w:sz w:val="21"/>
        </w:rPr>
        <w:t>Lender protections (Art. 17).</w:t>
      </w:r>
      <w:r>
        <w:rPr>
          <w:b w:val="0"/>
          <w:i w:val="0"/>
          <w:sz w:val="21"/>
        </w:rPr>
        <w:t xml:space="preserve"> Estoppel (§17.1), SNDA (§17.2), Leasehold Mortgagee protections (§17.3) and Financing Cooperation (§17.4) are each "Reserved — Intentionally Omitted." The Playbook (§7) states there is no acceptable range: all five protections are required; Cascade §3 requires (i) estoppels within 15 business days with deemed confirmation on failure; (ii) SNDA within 15 business days (non-disturbance against any fee mortgage); (iii) copies of default notices, lender cure periods of 60 days (monetary) and 90 days (non-monetary) </w:t>
      </w:r>
      <w:r>
        <w:rPr>
          <w:b/>
          <w:i w:val="0"/>
          <w:sz w:val="21"/>
        </w:rPr>
        <w:t>after expiry of Tenant's cure period</w:t>
      </w:r>
      <w:r>
        <w:rPr>
          <w:b w:val="0"/>
          <w:i w:val="0"/>
          <w:sz w:val="21"/>
        </w:rPr>
        <w:t xml:space="preserve">, extended for foreclosure, no termination without lender notice and cure, and a </w:t>
      </w:r>
      <w:r>
        <w:rPr>
          <w:b/>
          <w:i w:val="0"/>
          <w:sz w:val="21"/>
        </w:rPr>
        <w:t>new-lease</w:t>
      </w:r>
      <w:r>
        <w:rPr>
          <w:b w:val="0"/>
          <w:i w:val="0"/>
          <w:sz w:val="21"/>
        </w:rPr>
        <w:t xml:space="preserve"> obligation on termination; and (iv) financing cooperation, with failure constituting a Landlord default. AR Article 10 contains all of these (plus no amendment or voluntary termination without mortgagee consent, AR §10.2(d)), although AR's lender cure periods are shorter (30/60 days) than Cascade now requires. </w:t>
      </w:r>
      <w:r>
        <w:rPr>
          <w:b/>
          <w:i w:val="0"/>
          <w:sz w:val="21"/>
        </w:rPr>
        <w:t>Severity: CRITICAL.</w:t>
      </w:r>
    </w:p>
    <w:p>
      <w:pPr>
        <w:spacing w:after="120"/>
        <w:jc w:val="both"/>
      </w:pPr>
      <w:r>
        <w:rPr>
          <w:b/>
          <w:i w:val="0"/>
          <w:sz w:val="21"/>
        </w:rPr>
        <w:t>Assignment and encumbrance (§§10.1–10.4).</w:t>
      </w:r>
      <w:r>
        <w:rPr>
          <w:b w:val="0"/>
          <w:i w:val="0"/>
          <w:sz w:val="21"/>
        </w:rPr>
        <w:t xml:space="preserve"> Consent in Landlord's "sole and absolute discretion"; "encumbrance" expressly includes any leasehold mortgage or deed of trust, so the Draft </w:t>
      </w:r>
      <w:r>
        <w:rPr>
          <w:b/>
          <w:i w:val="0"/>
          <w:sz w:val="21"/>
        </w:rPr>
        <w:t>prohibits project financing outright</w:t>
      </w:r>
      <w:r>
        <w:rPr>
          <w:b w:val="0"/>
          <w:i w:val="0"/>
          <w:sz w:val="21"/>
        </w:rPr>
        <w:t xml:space="preserve">; any unconsented transfer is void and an Event of Default; change of control at any tier of ownership (including fund and tax-equity levels) is an assignment; the original Tenant remains jointly and severally liable for the full Term including extensions; and every assignment costs $25,000 plus Landlord's costs. Cascade §2 requires reasonableness, no-consent/no-fee permitted transfers (affiliates, collateral assignment and foreclosure transfers, sale of all/substantially all assets, and </w:t>
      </w:r>
      <w:r>
        <w:rPr>
          <w:b/>
          <w:i w:val="0"/>
          <w:sz w:val="21"/>
        </w:rPr>
        <w:t>tax-equity transfers</w:t>
      </w:r>
      <w:r>
        <w:rPr>
          <w:b w:val="0"/>
          <w:i w:val="0"/>
          <w:sz w:val="21"/>
        </w:rPr>
        <w:t xml:space="preserve"> — a category the Playbook does not list but Cascade requires), no upstream change-of-control trigger, release of the original Tenant, and notice within 30 days after a permitted transfer. AR §§9.1–9.4 and 10.1 provide all of this except the tax-equity carve-out (AR includes tax equity investors as Leasehold Mortgagees). </w:t>
      </w:r>
      <w:r>
        <w:rPr>
          <w:b/>
          <w:i w:val="0"/>
          <w:sz w:val="21"/>
        </w:rPr>
        <w:t>Severity: CRITICAL.</w:t>
      </w:r>
    </w:p>
    <w:p>
      <w:pPr>
        <w:spacing w:after="120"/>
        <w:jc w:val="both"/>
      </w:pPr>
      <w:r>
        <w:rPr>
          <w:b/>
          <w:i w:val="0"/>
          <w:sz w:val="21"/>
        </w:rPr>
        <w:t>Forfeiture of Improvements (§14.3(d); §§11.2, 12.3(b)).</w:t>
      </w:r>
      <w:r>
        <w:rPr>
          <w:b w:val="0"/>
          <w:i w:val="0"/>
          <w:sz w:val="21"/>
        </w:rPr>
        <w:t xml:space="preserve"> On termination for an Event of Default, all Improvements "immediately and automatically" become Landlord's property without compensation, with an irrevocable waiver by Tenant. Separately, Improvements remaining after the six-month Decommissioning Period vest in Landlord (§11.2) and Landlord may elect to retain Improvements on a late decommissioning (§12.3(b)). Cascade §5.2 is absolute: no provision under which Improvements become Landlord's property "upon default, termination, expiration, or any other event," however characterized; Cascade also requires a 12-month post-termination lender removal right (§5.4) and UCC fixture-filing consent with a landlord-lien waiver (§5.5). The Playbook (§9.3) treats forfeiture as "never acceptable" and likely an unenforceable penalty; a Landlord option to require Improvements be left in place at the end of the Term is acceptable. AR §§11.1–11.3 and 12.4 prohibit any forfeiture and waive any landlord lien. Note that §11.2 combined with the 6-month Decommissioning Period and 15-day cure period creates a practical vesting risk even absent a default termination. </w:t>
      </w:r>
      <w:r>
        <w:rPr>
          <w:b/>
          <w:i w:val="0"/>
          <w:sz w:val="21"/>
        </w:rPr>
        <w:t>Severity: CRITICAL.</w:t>
      </w:r>
    </w:p>
    <w:p>
      <w:pPr>
        <w:spacing w:after="120"/>
        <w:jc w:val="both"/>
      </w:pPr>
      <w:r>
        <w:rPr>
          <w:b/>
          <w:i w:val="0"/>
          <w:sz w:val="21"/>
        </w:rPr>
        <w:t>Defaults, cure and remedies (§§14.1–14.3).</w:t>
      </w:r>
      <w:r>
        <w:rPr>
          <w:b w:val="0"/>
          <w:i w:val="0"/>
          <w:sz w:val="21"/>
        </w:rPr>
        <w:t xml:space="preserve"> A uniform 15-calendar-day cure period for all defaults (Playbook: "unacceptable under any circumstances"; Cascade: 30 days monetary / 60 days non-monetary with extension for diligent cure); failure to pay "when due" is itself an Event of Default; bankruptcy dismissal window of 60 days (AR: 90); abandonment after only 90 days of inactivity with no Force Majeure, interconnection-wait, repowering or maintenance carve-out (AR §12.1(d): 12 months, with carve-outs); re-entry "with or without process of law"; and acceleration of all Rent for the remainder of the Term — including any Extension Term Landlord "determines would have been exercised" — discounted at 5%, with credit only for amounts "actually received" from reletting. </w:t>
      </w:r>
      <w:r>
        <w:rPr>
          <w:b/>
          <w:i w:val="0"/>
          <w:sz w:val="21"/>
        </w:rPr>
        <w:t>Severity: CRITICAL (cure periods) / HIGH (remedies).</w:t>
      </w:r>
    </w:p>
    <w:p>
      <w:pPr>
        <w:spacing w:after="120"/>
        <w:jc w:val="both"/>
      </w:pPr>
      <w:r>
        <w:rPr>
          <w:b/>
          <w:i w:val="0"/>
          <w:sz w:val="21"/>
        </w:rPr>
        <w:t>Termination rights (§§15.1–15.2; Art. 16).</w:t>
      </w:r>
      <w:r>
        <w:rPr>
          <w:b w:val="0"/>
          <w:i w:val="0"/>
          <w:sz w:val="21"/>
        </w:rPr>
        <w:t xml:space="preserve"> Tenant has no termination right for any reason and waives Civil Code §§1932–1933; on condemnation, Landlord takes the entire award, Rent is not reduced on a partial taking, and Tenant cannot terminate. Playbook §9.2 and Cascade §6 require Tenant termination for (a) condemnation affecting &gt;25% of the Premises or rendering the Project unviable, (b) Force Majeure continuing &gt;365 consecutive days, and (c) change in law rendering the Project unlawful or economically unviable; AR §§13.1–13.3 contain all three plus award allocation and equitable rent reduction. Lacking these rights, the lease is a take-or-pay obligation even if the Project can never be built or operated. We also recommend (beyond the Playbook) a Tenant right to terminate on notice during the Option Period if interconnection, permitting or financing proves infeasible, with Option Period Rent as Landlord's sole compensation. </w:t>
      </w:r>
      <w:r>
        <w:rPr>
          <w:b/>
          <w:i w:val="0"/>
          <w:sz w:val="21"/>
        </w:rPr>
        <w:t>Severity: CRITICAL.</w:t>
      </w:r>
    </w:p>
    <w:p>
      <w:pPr>
        <w:sectPr>
          <w:footerReference w:type="default" r:id="rId9"/>
          <w:pgSz w:w="12240" w:h="15840"/>
          <w:pgMar w:top="1152" w:right="1152" w:bottom="1152" w:left="1152" w:header="720" w:footer="720" w:gutter="0"/>
          <w:cols w:space="720"/>
          <w:docGrid w:linePitch="360"/>
        </w:sectPr>
      </w:pPr>
    </w:p>
    <w:p>
      <w:pPr>
        <w:pStyle w:val="Heading1"/>
      </w:pPr>
      <w:r>
        <w:rPr>
          <w:color w:val="1F3864"/>
        </w:rPr>
        <w:t>4. Full Deviation Matrix</w:t>
      </w:r>
    </w:p>
    <w:p>
      <w:pPr>
        <w:spacing w:after="120"/>
      </w:pPr>
      <w:r>
        <w:rPr>
          <w:b w:val="0"/>
          <w:i/>
          <w:sz w:val="18"/>
        </w:rPr>
        <w:t>PB = REP Market Terms Playbook v4.2; AR = executed Antelope Ridge Ground Lease (Mar. 8, 2022); Cascade = Cascade Western Capital Standard Site Lease Requirements (Aug. 2024). Section references in column 1 are to the Hargrove Draft.</w:t>
      </w:r>
    </w:p>
    <w:tbl>
      <w:tblPr>
        <w:tblStyle w:val="TableGrid"/>
        <w:tblW w:type="auto" w:w="0"/>
        <w:tblLook w:firstColumn="1" w:firstRow="1" w:lastColumn="0" w:lastRow="0" w:noHBand="0" w:noVBand="1" w:val="04A0"/>
      </w:tblPr>
      <w:tblGrid>
        <w:gridCol w:w="1975"/>
        <w:gridCol w:w="1975"/>
        <w:gridCol w:w="1975"/>
        <w:gridCol w:w="1975"/>
        <w:gridCol w:w="1975"/>
        <w:gridCol w:w="1975"/>
        <w:gridCol w:w="1975"/>
      </w:tblGrid>
      <w:tr>
        <w:trPr>
          <w:tblHeader w:val="true"/>
        </w:trPr>
        <w:tc>
          <w:tcPr>
            <w:tcW w:type="dxa" w:w="432"/>
            <w:shd w:val="clear" w:color="auto" w:fill="1F3864"/>
          </w:tcPr>
          <w:p>
            <w:r/>
            <w:r>
              <w:rPr>
                <w:b/>
                <w:color w:val="FFFFFF"/>
                <w:sz w:val="16"/>
              </w:rPr>
              <w:t>#</w:t>
            </w:r>
          </w:p>
        </w:tc>
        <w:tc>
          <w:tcPr>
            <w:tcW w:type="dxa" w:w="1584"/>
            <w:shd w:val="clear" w:color="auto" w:fill="1F3864"/>
          </w:tcPr>
          <w:p>
            <w:r/>
            <w:r>
              <w:rPr>
                <w:b/>
                <w:color w:val="FFFFFF"/>
                <w:sz w:val="16"/>
              </w:rPr>
              <w:t>Provision (Draft §)</w:t>
            </w:r>
          </w:p>
        </w:tc>
        <w:tc>
          <w:tcPr>
            <w:tcW w:type="dxa" w:w="2808"/>
            <w:shd w:val="clear" w:color="auto" w:fill="1F3864"/>
          </w:tcPr>
          <w:p>
            <w:r/>
            <w:r>
              <w:rPr>
                <w:b/>
                <w:color w:val="FFFFFF"/>
                <w:sz w:val="16"/>
              </w:rPr>
              <w:t>Hargrove Draft</w:t>
            </w:r>
          </w:p>
        </w:tc>
        <w:tc>
          <w:tcPr>
            <w:tcW w:type="dxa" w:w="2808"/>
            <w:shd w:val="clear" w:color="auto" w:fill="1F3864"/>
          </w:tcPr>
          <w:p>
            <w:r/>
            <w:r>
              <w:rPr>
                <w:b/>
                <w:color w:val="FFFFFF"/>
                <w:sz w:val="16"/>
              </w:rPr>
              <w:t>Playbook / Antelope Ridge</w:t>
            </w:r>
          </w:p>
        </w:tc>
        <w:tc>
          <w:tcPr>
            <w:tcW w:type="dxa" w:w="2304"/>
            <w:shd w:val="clear" w:color="auto" w:fill="1F3864"/>
          </w:tcPr>
          <w:p>
            <w:r/>
            <w:r>
              <w:rPr>
                <w:b/>
                <w:color w:val="FFFFFF"/>
                <w:sz w:val="16"/>
              </w:rPr>
              <w:t>Cascade Requirement</w:t>
            </w:r>
          </w:p>
        </w:tc>
        <w:tc>
          <w:tcPr>
            <w:tcW w:type="dxa" w:w="1080"/>
            <w:shd w:val="clear" w:color="auto" w:fill="1F3864"/>
          </w:tcPr>
          <w:p>
            <w:r/>
            <w:r>
              <w:rPr>
                <w:b/>
                <w:color w:val="FFFFFF"/>
                <w:sz w:val="16"/>
              </w:rPr>
              <w:t>Severity</w:t>
            </w:r>
          </w:p>
        </w:tc>
        <w:tc>
          <w:tcPr>
            <w:tcW w:type="dxa" w:w="2808"/>
            <w:shd w:val="clear" w:color="auto" w:fill="1F3864"/>
          </w:tcPr>
          <w:p>
            <w:r/>
            <w:r>
              <w:rPr>
                <w:b/>
                <w:color w:val="FFFFFF"/>
                <w:sz w:val="16"/>
              </w:rPr>
              <w:t>Recommended Position (Ask / Fallback)</w:t>
            </w:r>
          </w:p>
        </w:tc>
      </w:tr>
      <w:tr>
        <w:tc>
          <w:tcPr>
            <w:tcW w:type="dxa" w:w="2808"/>
            <w:gridSpan w:val="7"/>
            <w:shd w:val="clear" w:color="auto" w:fill="D9E1F2"/>
          </w:tcPr>
          <w:p>
            <w:r/>
            <w:r>
              <w:rPr>
                <w:b/>
                <w:sz w:val="17"/>
              </w:rPr>
              <w:t>TERM AND OPTION PERIOD</w:t>
            </w:r>
          </w:p>
        </w:tc>
      </w:tr>
      <w:tr>
        <w:tc>
          <w:tcPr>
            <w:tcW w:type="dxa" w:w="432"/>
          </w:tcPr>
          <w:p>
            <w:pPr>
              <w:spacing w:after="0"/>
            </w:pPr>
            <w:r/>
            <w:r>
              <w:rPr>
                <w:b w:val="0"/>
                <w:i w:val="0"/>
                <w:sz w:val="15"/>
              </w:rPr>
              <w:t>1</w:t>
            </w:r>
          </w:p>
        </w:tc>
        <w:tc>
          <w:tcPr>
            <w:tcW w:type="dxa" w:w="1584"/>
          </w:tcPr>
          <w:p>
            <w:pPr>
              <w:spacing w:after="0"/>
            </w:pPr>
            <w:r/>
            <w:r>
              <w:rPr>
                <w:b w:val="0"/>
                <w:i w:val="0"/>
                <w:sz w:val="15"/>
              </w:rPr>
              <w:t>Initial Term (§3.1)</w:t>
            </w:r>
          </w:p>
        </w:tc>
        <w:tc>
          <w:tcPr>
            <w:tcW w:type="dxa" w:w="2808"/>
          </w:tcPr>
          <w:p>
            <w:pPr>
              <w:spacing w:after="0"/>
            </w:pPr>
            <w:r/>
            <w:r>
              <w:rPr>
                <w:b w:val="0"/>
                <w:i w:val="0"/>
                <w:sz w:val="15"/>
              </w:rPr>
              <w:t>25 years from Commencement Date; expires ≤ Oct. 15, 2051 (≈24.3 yrs after June 30, 2027 COD).</w:t>
            </w:r>
          </w:p>
        </w:tc>
        <w:tc>
          <w:tcPr>
            <w:tcW w:type="dxa" w:w="2808"/>
          </w:tcPr>
          <w:p>
            <w:pPr>
              <w:spacing w:after="0"/>
            </w:pPr>
            <w:r/>
            <w:r>
              <w:rPr>
                <w:b w:val="0"/>
                <w:i w:val="0"/>
                <w:sz w:val="15"/>
              </w:rPr>
              <w:t>PB §2: 30–35 yrs (35 preferred); &lt;30 requires GC escalation. AR §3.1: 30 yrs.</w:t>
            </w:r>
          </w:p>
        </w:tc>
        <w:tc>
          <w:tcPr>
            <w:tcW w:type="dxa" w:w="2304"/>
          </w:tcPr>
          <w:p>
            <w:pPr>
              <w:spacing w:after="0"/>
            </w:pPr>
            <w:r/>
            <w:r>
              <w:rPr>
                <w:b w:val="0"/>
                <w:i w:val="0"/>
                <w:sz w:val="15"/>
              </w:rPr>
              <w:t>§1.1: ≥ longer of PPA+5 (25 yrs) or 30 yrs, measured from COD (≈ June 2057); pre-COD gap must not consume term. §1.4: 22-yr amortization + 3-yr tail (≈ June 2052).</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Ask: 35 years from Commencement Date. Fallback: 30 years from the later of Commencement Date and COD. Never less than 30 years from COD.</w:t>
            </w:r>
          </w:p>
        </w:tc>
      </w:tr>
      <w:tr>
        <w:tc>
          <w:tcPr>
            <w:tcW w:type="dxa" w:w="432"/>
          </w:tcPr>
          <w:p>
            <w:pPr>
              <w:spacing w:after="0"/>
            </w:pPr>
            <w:r/>
            <w:r>
              <w:rPr>
                <w:b w:val="0"/>
                <w:i w:val="0"/>
                <w:sz w:val="15"/>
              </w:rPr>
              <w:t>2</w:t>
            </w:r>
          </w:p>
        </w:tc>
        <w:tc>
          <w:tcPr>
            <w:tcW w:type="dxa" w:w="1584"/>
          </w:tcPr>
          <w:p>
            <w:pPr>
              <w:spacing w:after="0"/>
            </w:pPr>
            <w:r/>
            <w:r>
              <w:rPr>
                <w:b w:val="0"/>
                <w:i w:val="0"/>
                <w:sz w:val="15"/>
              </w:rPr>
              <w:t>Extension options (§3.3)</w:t>
            </w:r>
          </w:p>
        </w:tc>
        <w:tc>
          <w:tcPr>
            <w:tcW w:type="dxa" w:w="2808"/>
          </w:tcPr>
          <w:p>
            <w:pPr>
              <w:spacing w:after="0"/>
            </w:pPr>
            <w:r/>
            <w:r>
              <w:rPr>
                <w:b w:val="0"/>
                <w:i w:val="0"/>
                <w:sz w:val="15"/>
              </w:rPr>
              <w:t>One 5-yr extension requiring mutual written agreement ≥18 months before expiry; no liability for refusal.</w:t>
            </w:r>
          </w:p>
        </w:tc>
        <w:tc>
          <w:tcPr>
            <w:tcW w:type="dxa" w:w="2808"/>
          </w:tcPr>
          <w:p>
            <w:pPr>
              <w:spacing w:after="0"/>
            </w:pPr>
            <w:r/>
            <w:r>
              <w:rPr>
                <w:b w:val="0"/>
                <w:i w:val="0"/>
                <w:sz w:val="15"/>
              </w:rPr>
              <w:t>PB §2: two 5-yr Tenant-unilateral options on ≥12 months’ notice; mutual consent “functionally meaningless.” AR §3.3: two 5-yr unilateral options, notice 12–24 months.</w:t>
            </w:r>
          </w:p>
        </w:tc>
        <w:tc>
          <w:tcPr>
            <w:tcW w:type="dxa" w:w="2304"/>
          </w:tcPr>
          <w:p>
            <w:pPr>
              <w:spacing w:after="0"/>
            </w:pPr>
            <w:r/>
            <w:r>
              <w:rPr>
                <w:b w:val="0"/>
                <w:i w:val="0"/>
                <w:sz w:val="15"/>
              </w:rPr>
              <w:t>§1.2: ≥ two 5-yr options at Tenant’s sole option, ≥12 months’ notice, independently exercisable; mutual-consent options disregarded.</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Two 5-yr options at Tenant’s sole option, exercisable by Tenant, Permitted Transferee or Leasehold Mortgagee on 12 months’ notice; first not a condition to second. Fallback: one 10-yr unilateral option (PB).</w:t>
            </w:r>
          </w:p>
        </w:tc>
      </w:tr>
      <w:tr>
        <w:tc>
          <w:tcPr>
            <w:tcW w:type="dxa" w:w="432"/>
          </w:tcPr>
          <w:p>
            <w:pPr>
              <w:spacing w:after="0"/>
            </w:pPr>
            <w:r/>
            <w:r>
              <w:rPr>
                <w:b w:val="0"/>
                <w:i w:val="0"/>
                <w:sz w:val="15"/>
              </w:rPr>
              <w:t>3</w:t>
            </w:r>
          </w:p>
        </w:tc>
        <w:tc>
          <w:tcPr>
            <w:tcW w:type="dxa" w:w="1584"/>
          </w:tcPr>
          <w:p>
            <w:pPr>
              <w:spacing w:after="0"/>
            </w:pPr>
            <w:r/>
            <w:r>
              <w:rPr>
                <w:b w:val="0"/>
                <w:i w:val="0"/>
                <w:sz w:val="15"/>
              </w:rPr>
              <w:t>Total potential term</w:t>
            </w:r>
          </w:p>
        </w:tc>
        <w:tc>
          <w:tcPr>
            <w:tcW w:type="dxa" w:w="2808"/>
          </w:tcPr>
          <w:p>
            <w:pPr>
              <w:spacing w:after="0"/>
            </w:pPr>
            <w:r/>
            <w:r>
              <w:rPr>
                <w:b w:val="0"/>
                <w:i w:val="0"/>
                <w:sz w:val="15"/>
              </w:rPr>
              <w:t>30 yrs maximum; bankable term 25 yrs (mutual extension excluded).</w:t>
            </w:r>
          </w:p>
        </w:tc>
        <w:tc>
          <w:tcPr>
            <w:tcW w:type="dxa" w:w="2808"/>
          </w:tcPr>
          <w:p>
            <w:pPr>
              <w:spacing w:after="0"/>
            </w:pPr>
            <w:r/>
            <w:r>
              <w:rPr>
                <w:b w:val="0"/>
                <w:i w:val="0"/>
                <w:sz w:val="15"/>
              </w:rPr>
              <w:t>PB: 40–45 yrs; &lt;40 below market. AR §3.4: 40 yrs.</w:t>
            </w:r>
          </w:p>
        </w:tc>
        <w:tc>
          <w:tcPr>
            <w:tcW w:type="dxa" w:w="2304"/>
          </w:tcPr>
          <w:p>
            <w:pPr>
              <w:spacing w:after="0"/>
            </w:pPr>
            <w:r/>
            <w:r>
              <w:rPr>
                <w:b w:val="0"/>
                <w:i w:val="0"/>
                <w:sz w:val="15"/>
              </w:rPr>
              <w:t>§1.3: ≥40 yrs required; ≥45 preferred.</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45 years (35 + 2×5). Fallback: 40 years (30 + 2×5, AR).</w:t>
            </w:r>
          </w:p>
        </w:tc>
      </w:tr>
      <w:tr>
        <w:tc>
          <w:tcPr>
            <w:tcW w:type="dxa" w:w="432"/>
          </w:tcPr>
          <w:p>
            <w:pPr>
              <w:spacing w:after="0"/>
            </w:pPr>
            <w:r/>
            <w:r>
              <w:rPr>
                <w:b w:val="0"/>
                <w:i w:val="0"/>
                <w:sz w:val="15"/>
              </w:rPr>
              <w:t>4</w:t>
            </w:r>
          </w:p>
        </w:tc>
        <w:tc>
          <w:tcPr>
            <w:tcW w:type="dxa" w:w="1584"/>
          </w:tcPr>
          <w:p>
            <w:pPr>
              <w:spacing w:after="0"/>
            </w:pPr>
            <w:r/>
            <w:r>
              <w:rPr>
                <w:b w:val="0"/>
                <w:i w:val="0"/>
                <w:sz w:val="15"/>
              </w:rPr>
              <w:t>Extension Term Rent (§3.4)</w:t>
            </w:r>
          </w:p>
        </w:tc>
        <w:tc>
          <w:tcPr>
            <w:tcW w:type="dxa" w:w="2808"/>
          </w:tcPr>
          <w:p>
            <w:pPr>
              <w:spacing w:after="0"/>
            </w:pPr>
            <w:r/>
            <w:r>
              <w:rPr>
                <w:b w:val="0"/>
                <w:i w:val="0"/>
                <w:sz w:val="15"/>
              </w:rPr>
              <w:t>FMV set by Landlord’s appraiser (Ridgeline Appraisal Group or other Landlord designee); final and binding; no contest; floor = Year 25 compounded rent (≈$2.53M); no cap.</w:t>
            </w:r>
          </w:p>
        </w:tc>
        <w:tc>
          <w:tcPr>
            <w:tcW w:type="dxa" w:w="2808"/>
          </w:tcPr>
          <w:p>
            <w:pPr>
              <w:spacing w:after="0"/>
            </w:pPr>
            <w:r/>
            <w:r>
              <w:rPr>
                <w:b w:val="0"/>
                <w:i w:val="0"/>
                <w:sz w:val="15"/>
              </w:rPr>
              <w:t>PB §2: FMV by mutually agreed MAI appraiser; floor = final-year rent; cap 110%. AR §4.4: greater of final-year rent or FMV; mutual MAI appraiser, three-appraiser fallback, average of two closest, shared cost.</w:t>
            </w:r>
          </w:p>
        </w:tc>
        <w:tc>
          <w:tcPr>
            <w:tcW w:type="dxa" w:w="2304"/>
          </w:tcPr>
          <w:p>
            <w:pPr>
              <w:spacing w:after="0"/>
            </w:pPr>
            <w:r/>
            <w:r>
              <w:rPr>
                <w:b w:val="0"/>
                <w:i w:val="0"/>
                <w:sz w:val="15"/>
              </w:rPr>
              <w:t>§1.5: formula or fixed escalation; FMV only by mutually agreed independent appraiser with renewable experience; Landlord-only appraiser not acceptable; capped (formulation in §1.5 is internally unclear — see Section 6).</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Floor at final-year rent, cap at 110% of final-year rent; FMV by mutually agreed MAI appraiser with solar-lease experience, AR three-appraiser fallback, shared cost. Floor must be recalculated on renegotiated (simple) escalation.</w:t>
            </w:r>
          </w:p>
        </w:tc>
      </w:tr>
      <w:tr>
        <w:tc>
          <w:tcPr>
            <w:tcW w:type="dxa" w:w="432"/>
          </w:tcPr>
          <w:p>
            <w:pPr>
              <w:spacing w:after="0"/>
            </w:pPr>
            <w:r/>
            <w:r>
              <w:rPr>
                <w:b w:val="0"/>
                <w:i w:val="0"/>
                <w:sz w:val="15"/>
              </w:rPr>
              <w:t>5</w:t>
            </w:r>
          </w:p>
        </w:tc>
        <w:tc>
          <w:tcPr>
            <w:tcW w:type="dxa" w:w="1584"/>
          </w:tcPr>
          <w:p>
            <w:pPr>
              <w:spacing w:after="0"/>
            </w:pPr>
            <w:r/>
            <w:r>
              <w:rPr>
                <w:b w:val="0"/>
                <w:i w:val="0"/>
                <w:sz w:val="15"/>
              </w:rPr>
              <w:t>Commencement Date (Art. 1)</w:t>
            </w:r>
          </w:p>
        </w:tc>
        <w:tc>
          <w:tcPr>
            <w:tcW w:type="dxa" w:w="2808"/>
          </w:tcPr>
          <w:p>
            <w:pPr>
              <w:spacing w:after="0"/>
            </w:pPr>
            <w:r/>
            <w:r>
              <w:rPr>
                <w:b w:val="0"/>
                <w:i w:val="0"/>
                <w:sz w:val="15"/>
              </w:rPr>
              <w:t>Earlier of (a) first panel energized and grid-connected or (b) 24 months after Effective Date (≈ Oct. 15, 2026).</w:t>
            </w:r>
          </w:p>
        </w:tc>
        <w:tc>
          <w:tcPr>
            <w:tcW w:type="dxa" w:w="2808"/>
          </w:tcPr>
          <w:p>
            <w:pPr>
              <w:spacing w:after="0"/>
            </w:pPr>
            <w:r/>
            <w:r>
              <w:rPr>
                <w:b w:val="0"/>
                <w:i w:val="0"/>
                <w:sz w:val="15"/>
              </w:rPr>
              <w:t>PB §4: COD or ≥36-month backstop; 24 months “too aggressive.” AR §3.2: earlier of COD or 36 months, extended day-for-day for FM/CAISO/permitting delay up to 12 months (48 max).</w:t>
            </w:r>
          </w:p>
        </w:tc>
        <w:tc>
          <w:tcPr>
            <w:tcW w:type="dxa" w:w="2304"/>
          </w:tcPr>
          <w:p>
            <w:pPr>
              <w:spacing w:after="0"/>
            </w:pPr>
            <w:r/>
            <w:r>
              <w:rPr>
                <w:b w:val="0"/>
                <w:i w:val="0"/>
                <w:sz w:val="15"/>
              </w:rPr>
              <w:t>Cascade per PB §4 (REQUIRED): tied to COD or ≥36-month backstop; Cascade §1.1: initial term measured from COD and pre-COD gap must not consume term.</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AR §3.2 formulation with COD definition (mechanical completion, interconnection, 5 consecutive days of PPA deliveries). Fallback: 36-month backstop with 6-month FM extension.</w:t>
            </w:r>
          </w:p>
        </w:tc>
      </w:tr>
      <w:tr>
        <w:tc>
          <w:tcPr>
            <w:tcW w:type="dxa" w:w="432"/>
          </w:tcPr>
          <w:p>
            <w:pPr>
              <w:spacing w:after="0"/>
            </w:pPr>
            <w:r/>
            <w:r>
              <w:rPr>
                <w:b w:val="0"/>
                <w:i w:val="0"/>
                <w:sz w:val="15"/>
              </w:rPr>
              <w:t>6</w:t>
            </w:r>
          </w:p>
        </w:tc>
        <w:tc>
          <w:tcPr>
            <w:tcW w:type="dxa" w:w="1584"/>
          </w:tcPr>
          <w:p>
            <w:pPr>
              <w:spacing w:after="0"/>
            </w:pPr>
            <w:r/>
            <w:r>
              <w:rPr>
                <w:b w:val="0"/>
                <w:i w:val="0"/>
                <w:sz w:val="15"/>
              </w:rPr>
              <w:t>Option Period / automatic termination (§3.2)</w:t>
            </w:r>
          </w:p>
        </w:tc>
        <w:tc>
          <w:tcPr>
            <w:tcW w:type="dxa" w:w="2808"/>
          </w:tcPr>
          <w:p>
            <w:pPr>
              <w:spacing w:after="0"/>
            </w:pPr>
            <w:r/>
            <w:r>
              <w:rPr>
                <w:b w:val="0"/>
                <w:i w:val="0"/>
                <w:sz w:val="15"/>
              </w:rPr>
              <w:t>Option Period ≤36 months; Lease automatically terminates if Commencement not reached within 36 months; Landlord keeps Option Rent. (Inoperative in practice because Commencement occurs ≤24 months.)</w:t>
            </w:r>
          </w:p>
        </w:tc>
        <w:tc>
          <w:tcPr>
            <w:tcW w:type="dxa" w:w="2808"/>
          </w:tcPr>
          <w:p>
            <w:pPr>
              <w:spacing w:after="0"/>
            </w:pPr>
            <w:r/>
            <w:r>
              <w:rPr>
                <w:b w:val="0"/>
                <w:i w:val="0"/>
                <w:sz w:val="15"/>
              </w:rPr>
              <w:t>PB §3.1: option ≤36 months with one or two 12-month extension rights. AR §§3.5, 4.1: ≤36 months (48 with FM).</w:t>
            </w:r>
          </w:p>
        </w:tc>
        <w:tc>
          <w:tcPr>
            <w:tcW w:type="dxa" w:w="2304"/>
          </w:tcPr>
          <w:p>
            <w:pPr>
              <w:spacing w:after="0"/>
            </w:pPr>
            <w:r/>
            <w:r>
              <w:rPr>
                <w:b w:val="0"/>
                <w:i w:val="0"/>
                <w:sz w:val="15"/>
              </w:rPr>
              <w:t>§4.4: no automatic termination upon passage of time or any trigger; all termination subject to notice/cure and lender protections.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Delete automatic termination; align Option Period end with revised Commencement backstop; add Tenant extension rights (2×12 months).</w:t>
            </w:r>
          </w:p>
        </w:tc>
      </w:tr>
      <w:tr>
        <w:tc>
          <w:tcPr>
            <w:tcW w:type="dxa" w:w="432"/>
          </w:tcPr>
          <w:p>
            <w:pPr>
              <w:spacing w:after="0"/>
            </w:pPr>
            <w:r/>
            <w:r>
              <w:rPr>
                <w:b w:val="0"/>
                <w:i w:val="0"/>
                <w:sz w:val="15"/>
              </w:rPr>
              <w:t>7</w:t>
            </w:r>
          </w:p>
        </w:tc>
        <w:tc>
          <w:tcPr>
            <w:tcW w:type="dxa" w:w="1584"/>
          </w:tcPr>
          <w:p>
            <w:pPr>
              <w:spacing w:after="0"/>
            </w:pPr>
            <w:r/>
            <w:r>
              <w:rPr>
                <w:b w:val="0"/>
                <w:i w:val="0"/>
                <w:sz w:val="15"/>
              </w:rPr>
              <w:t>Construction Commencement Deadline (§§3.5, 14.1(e), 15.1(a))</w:t>
            </w:r>
          </w:p>
        </w:tc>
        <w:tc>
          <w:tcPr>
            <w:tcW w:type="dxa" w:w="2808"/>
          </w:tcPr>
          <w:p>
            <w:pPr>
              <w:spacing w:after="0"/>
            </w:pPr>
            <w:r/>
            <w:r>
              <w:rPr>
                <w:b w:val="0"/>
                <w:i w:val="0"/>
                <w:sz w:val="15"/>
              </w:rPr>
              <w:t>18 months (≈ Apr. 15, 2026); narrow definition (grading/piles/racking only); no FM or interconnection extension; 30 days’ notice; Option Rent retained as LDs; also an Event of Default and separate termination ground.</w:t>
            </w:r>
          </w:p>
        </w:tc>
        <w:tc>
          <w:tcPr>
            <w:tcW w:type="dxa" w:w="2808"/>
          </w:tcPr>
          <w:p>
            <w:pPr>
              <w:spacing w:after="0"/>
            </w:pPr>
            <w:r/>
            <w:r>
              <w:rPr>
                <w:b w:val="0"/>
                <w:i w:val="0"/>
                <w:sz w:val="15"/>
              </w:rPr>
              <w:t>PB §§4, 9.1: 24–30 months with ≥12 months of extensions for interconnection, permitting, FM; 18 months with no extensions “unacceptable.” AR §3.6: 24 months, day-for-day FM extension, 90-day notice with cure by commencing.</w:t>
            </w:r>
          </w:p>
        </w:tc>
        <w:tc>
          <w:tcPr>
            <w:tcW w:type="dxa" w:w="2304"/>
          </w:tcPr>
          <w:p>
            <w:pPr>
              <w:spacing w:after="0"/>
            </w:pPr>
            <w:r/>
            <w:r>
              <w:rPr>
                <w:b w:val="0"/>
                <w:i w:val="0"/>
                <w:sz w:val="15"/>
              </w:rPr>
              <w:t>Indirect: §4.4 no automatic termination; §3.3(e) no termination without lender notice and cure.</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30 months (Cheng Email), fallback 24 months, plus ≥12 months of extensions for CAISO/permitting/FM; 90-day notice-and-cure; termination is sole remedy (delete §14.1(e)); broaden “commencement” to include EPC NTP/major procurement.</w:t>
            </w:r>
          </w:p>
        </w:tc>
      </w:tr>
      <w:tr>
        <w:tc>
          <w:tcPr>
            <w:tcW w:type="dxa" w:w="2808"/>
            <w:gridSpan w:val="7"/>
            <w:shd w:val="clear" w:color="auto" w:fill="D9E1F2"/>
          </w:tcPr>
          <w:p>
            <w:r/>
            <w:r>
              <w:rPr>
                <w:b/>
                <w:sz w:val="17"/>
              </w:rPr>
              <w:t>RENT</w:t>
            </w:r>
          </w:p>
        </w:tc>
      </w:tr>
      <w:tr>
        <w:tc>
          <w:tcPr>
            <w:tcW w:type="dxa" w:w="432"/>
          </w:tcPr>
          <w:p>
            <w:pPr>
              <w:spacing w:after="0"/>
            </w:pPr>
            <w:r/>
            <w:r>
              <w:rPr>
                <w:b w:val="0"/>
                <w:i w:val="0"/>
                <w:sz w:val="15"/>
              </w:rPr>
              <w:t>8</w:t>
            </w:r>
          </w:p>
        </w:tc>
        <w:tc>
          <w:tcPr>
            <w:tcW w:type="dxa" w:w="1584"/>
          </w:tcPr>
          <w:p>
            <w:pPr>
              <w:spacing w:after="0"/>
            </w:pPr>
            <w:r/>
            <w:r>
              <w:rPr>
                <w:b w:val="0"/>
                <w:i w:val="0"/>
                <w:sz w:val="15"/>
              </w:rPr>
              <w:t>Option Period Rent (§4.1)</w:t>
            </w:r>
          </w:p>
        </w:tc>
        <w:tc>
          <w:tcPr>
            <w:tcW w:type="dxa" w:w="2808"/>
          </w:tcPr>
          <w:p>
            <w:pPr>
              <w:spacing w:after="0"/>
            </w:pPr>
            <w:r/>
            <w:r>
              <w:rPr>
                <w:b w:val="0"/>
                <w:i w:val="0"/>
                <w:sz w:val="15"/>
              </w:rPr>
              <w:t>$50/acre/yr = $62,000/yr, quarterly in advance; retained on termination.</w:t>
            </w:r>
          </w:p>
        </w:tc>
        <w:tc>
          <w:tcPr>
            <w:tcW w:type="dxa" w:w="2808"/>
          </w:tcPr>
          <w:p>
            <w:pPr>
              <w:spacing w:after="0"/>
            </w:pPr>
            <w:r/>
            <w:r>
              <w:rPr>
                <w:b w:val="0"/>
                <w:i w:val="0"/>
                <w:sz w:val="15"/>
              </w:rPr>
              <w:t>PB §3.1: $40–$75 (up to $100). AR §4.1: $50/acre, monthly.</w:t>
            </w:r>
          </w:p>
        </w:tc>
        <w:tc>
          <w:tcPr>
            <w:tcW w:type="dxa" w:w="2304"/>
          </w:tcPr>
          <w:p>
            <w:pPr>
              <w:spacing w:after="0"/>
            </w:pPr>
            <w:r/>
            <w:r>
              <w:rPr>
                <w:b w:val="0"/>
                <w:i w:val="0"/>
                <w:sz w:val="15"/>
              </w:rPr>
              <w:t>Not a lender focus.</w:t>
            </w:r>
          </w:p>
        </w:tc>
        <w:tc>
          <w:tcPr>
            <w:tcW w:type="dxa" w:w="1080"/>
            <w:shd w:val="clear" w:color="auto" w:fill="548235"/>
          </w:tcPr>
          <w:p>
            <w:pPr>
              <w:spacing w:after="0"/>
            </w:pPr>
            <w:r>
              <w:rPr>
                <w:b/>
                <w:color w:val="FFFFFF"/>
              </w:rPr>
            </w:r>
            <w:r>
              <w:rPr>
                <w:b/>
                <w:i w:val="0"/>
                <w:color w:val="FFFFFF"/>
                <w:sz w:val="15"/>
              </w:rPr>
              <w:t>WITHIN MARKET</w:t>
            </w:r>
          </w:p>
        </w:tc>
        <w:tc>
          <w:tcPr>
            <w:tcW w:type="dxa" w:w="2808"/>
          </w:tcPr>
          <w:p>
            <w:pPr>
              <w:spacing w:after="0"/>
            </w:pPr>
            <w:r/>
            <w:r>
              <w:rPr>
                <w:b w:val="0"/>
                <w:i w:val="0"/>
                <w:sz w:val="15"/>
              </w:rPr>
              <w:t>Accept rate. Clean-up: monthly installments, refund of prepaid unearned rent on early termination, extension option pricing.</w:t>
            </w:r>
          </w:p>
        </w:tc>
      </w:tr>
      <w:tr>
        <w:tc>
          <w:tcPr>
            <w:tcW w:type="dxa" w:w="432"/>
          </w:tcPr>
          <w:p>
            <w:pPr>
              <w:spacing w:after="0"/>
            </w:pPr>
            <w:r/>
            <w:r>
              <w:rPr>
                <w:b w:val="0"/>
                <w:i w:val="0"/>
                <w:sz w:val="15"/>
              </w:rPr>
              <w:t>9</w:t>
            </w:r>
          </w:p>
        </w:tc>
        <w:tc>
          <w:tcPr>
            <w:tcW w:type="dxa" w:w="1584"/>
          </w:tcPr>
          <w:p>
            <w:pPr>
              <w:spacing w:after="0"/>
            </w:pPr>
            <w:r/>
            <w:r>
              <w:rPr>
                <w:b w:val="0"/>
                <w:i w:val="0"/>
                <w:sz w:val="15"/>
              </w:rPr>
              <w:t>Base Rent Years 1–10 (§4.2(a))</w:t>
            </w:r>
          </w:p>
        </w:tc>
        <w:tc>
          <w:tcPr>
            <w:tcW w:type="dxa" w:w="2808"/>
          </w:tcPr>
          <w:p>
            <w:pPr>
              <w:spacing w:after="0"/>
            </w:pPr>
            <w:r/>
            <w:r>
              <w:rPr>
                <w:b w:val="0"/>
                <w:i w:val="0"/>
                <w:sz w:val="15"/>
              </w:rPr>
              <w:t>$1,100/acre = $1,364,000/yr (9.44% of revenue before revenue share).</w:t>
            </w:r>
          </w:p>
        </w:tc>
        <w:tc>
          <w:tcPr>
            <w:tcW w:type="dxa" w:w="2808"/>
          </w:tcPr>
          <w:p>
            <w:pPr>
              <w:spacing w:after="0"/>
            </w:pPr>
            <w:r/>
            <w:r>
              <w:rPr>
                <w:b w:val="0"/>
                <w:i w:val="0"/>
                <w:sz w:val="15"/>
              </w:rPr>
              <w:t>PB §3.2: $800–$1,100 (midpoint $950). AR §4.2: $900/acre flat.</w:t>
            </w:r>
          </w:p>
        </w:tc>
        <w:tc>
          <w:tcPr>
            <w:tcW w:type="dxa" w:w="2304"/>
          </w:tcPr>
          <w:p>
            <w:pPr>
              <w:spacing w:after="0"/>
            </w:pPr>
            <w:r/>
            <w:r>
              <w:rPr>
                <w:b w:val="0"/>
                <w:i w:val="0"/>
                <w:sz w:val="15"/>
              </w:rPr>
              <w:t>8% cap on total land cost = $1,156,000 ($932/acre) at $14.45M revenue.</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Ask $900–$950/acre flat for full term (subject to Finance/Cascade confirmation of 8% test). Fallback ≤$1,100/acre flat.</w:t>
            </w:r>
          </w:p>
        </w:tc>
      </w:tr>
      <w:tr>
        <w:tc>
          <w:tcPr>
            <w:tcW w:type="dxa" w:w="432"/>
          </w:tcPr>
          <w:p>
            <w:pPr>
              <w:spacing w:after="0"/>
            </w:pPr>
            <w:r/>
            <w:r>
              <w:rPr>
                <w:b w:val="0"/>
                <w:i w:val="0"/>
                <w:sz w:val="15"/>
              </w:rPr>
              <w:t>10</w:t>
            </w:r>
          </w:p>
        </w:tc>
        <w:tc>
          <w:tcPr>
            <w:tcW w:type="dxa" w:w="1584"/>
          </w:tcPr>
          <w:p>
            <w:pPr>
              <w:spacing w:after="0"/>
            </w:pPr>
            <w:r/>
            <w:r>
              <w:rPr>
                <w:b w:val="0"/>
                <w:i w:val="0"/>
                <w:sz w:val="15"/>
              </w:rPr>
              <w:t>Base Rent step-up Years 11–25 (§4.2(b))</w:t>
            </w:r>
          </w:p>
        </w:tc>
        <w:tc>
          <w:tcPr>
            <w:tcW w:type="dxa" w:w="2808"/>
          </w:tcPr>
          <w:p>
            <w:pPr>
              <w:spacing w:after="0"/>
            </w:pPr>
            <w:r/>
            <w:r>
              <w:rPr>
                <w:b w:val="0"/>
                <w:i w:val="0"/>
                <w:sz w:val="15"/>
              </w:rPr>
              <w:t>$1,350/acre = $1,674,000/yr.</w:t>
            </w:r>
          </w:p>
        </w:tc>
        <w:tc>
          <w:tcPr>
            <w:tcW w:type="dxa" w:w="2808"/>
          </w:tcPr>
          <w:p>
            <w:pPr>
              <w:spacing w:after="0"/>
            </w:pPr>
            <w:r/>
            <w:r>
              <w:rPr>
                <w:b w:val="0"/>
                <w:i w:val="0"/>
                <w:sz w:val="15"/>
              </w:rPr>
              <w:t>PB §3.2: step-up above $1,100 “above-market,” GC escalation. AR: no step-up.</w:t>
            </w:r>
          </w:p>
        </w:tc>
        <w:tc>
          <w:tcPr>
            <w:tcW w:type="dxa" w:w="2304"/>
          </w:tcPr>
          <w:p>
            <w:pPr>
              <w:spacing w:after="0"/>
            </w:pPr>
            <w:r/>
            <w:r>
              <w:rPr>
                <w:b w:val="0"/>
                <w:i w:val="0"/>
                <w:sz w:val="15"/>
              </w:rPr>
              <w:t>Above-market rent reduces DSCR; flagged in credit review.</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Delete step-up. Fallback: step-up only if rate stays ≤$1,100/acre and total land cost ≤8%.</w:t>
            </w:r>
          </w:p>
        </w:tc>
      </w:tr>
      <w:tr>
        <w:tc>
          <w:tcPr>
            <w:tcW w:type="dxa" w:w="432"/>
          </w:tcPr>
          <w:p>
            <w:pPr>
              <w:spacing w:after="0"/>
            </w:pPr>
            <w:r/>
            <w:r>
              <w:rPr>
                <w:b w:val="0"/>
                <w:i w:val="0"/>
                <w:sz w:val="15"/>
              </w:rPr>
              <w:t>11</w:t>
            </w:r>
          </w:p>
        </w:tc>
        <w:tc>
          <w:tcPr>
            <w:tcW w:type="dxa" w:w="1584"/>
          </w:tcPr>
          <w:p>
            <w:pPr>
              <w:spacing w:after="0"/>
            </w:pPr>
            <w:r/>
            <w:r>
              <w:rPr>
                <w:b w:val="0"/>
                <w:i w:val="0"/>
                <w:sz w:val="15"/>
              </w:rPr>
              <w:t>Revenue Share (§4.3; Art. 1 “Gross Revenue”)</w:t>
            </w:r>
          </w:p>
        </w:tc>
        <w:tc>
          <w:tcPr>
            <w:tcW w:type="dxa" w:w="2808"/>
          </w:tcPr>
          <w:p>
            <w:pPr>
              <w:spacing w:after="0"/>
            </w:pPr>
            <w:r/>
            <w:r>
              <w:rPr>
                <w:b w:val="0"/>
                <w:i w:val="0"/>
                <w:sz w:val="15"/>
              </w:rPr>
              <w:t>3.5% of Gross Revenue in addition to Base Rent ($505,750/yr); no deductions; includes affiliate revenue, ancillary services, RA; calendar-year vs. Lease Year mismatch; annual audit at Tenant’s cost.</w:t>
            </w:r>
          </w:p>
        </w:tc>
        <w:tc>
          <w:tcPr>
            <w:tcW w:type="dxa" w:w="2808"/>
          </w:tcPr>
          <w:p>
            <w:pPr>
              <w:spacing w:after="0"/>
            </w:pPr>
            <w:r/>
            <w:r>
              <w:rPr>
                <w:b w:val="0"/>
                <w:i w:val="0"/>
                <w:sz w:val="15"/>
              </w:rPr>
              <w:t>PB §3.3: none, or 1%–2% of net revenue as alternative to fixed rent; additive or gross-based share not acceptable. AR §4.5: expressly no revenue share.</w:t>
            </w:r>
          </w:p>
        </w:tc>
        <w:tc>
          <w:tcPr>
            <w:tcW w:type="dxa" w:w="2304"/>
          </w:tcPr>
          <w:p>
            <w:pPr>
              <w:spacing w:after="0"/>
            </w:pPr>
            <w:r/>
            <w:r>
              <w:rPr>
                <w:b w:val="0"/>
                <w:i w:val="0"/>
                <w:sz w:val="15"/>
              </w:rPr>
              <w:t>Total rent ≤8% of P50 revenue; any share subordinated to debt service/DSCR ≥1.30x.</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Delete. Fallback: 1%–2% of net Project energy/REC revenue in lieu of step-up, excluding BESS and affiliate revenue, subordinated, capped at 8% total; audits once per year at Landlord cost unless ≥5% underpayment.</w:t>
            </w:r>
          </w:p>
        </w:tc>
      </w:tr>
      <w:tr>
        <w:tc>
          <w:tcPr>
            <w:tcW w:type="dxa" w:w="432"/>
          </w:tcPr>
          <w:p>
            <w:pPr>
              <w:spacing w:after="0"/>
            </w:pPr>
            <w:r/>
            <w:r>
              <w:rPr>
                <w:b w:val="0"/>
                <w:i w:val="0"/>
                <w:sz w:val="15"/>
              </w:rPr>
              <w:t>12</w:t>
            </w:r>
          </w:p>
        </w:tc>
        <w:tc>
          <w:tcPr>
            <w:tcW w:type="dxa" w:w="1584"/>
          </w:tcPr>
          <w:p>
            <w:pPr>
              <w:spacing w:after="0"/>
            </w:pPr>
            <w:r/>
            <w:r>
              <w:rPr>
                <w:b w:val="0"/>
                <w:i w:val="0"/>
                <w:sz w:val="15"/>
              </w:rPr>
              <w:t>Escalation (§4.4)</w:t>
            </w:r>
          </w:p>
        </w:tc>
        <w:tc>
          <w:tcPr>
            <w:tcW w:type="dxa" w:w="2808"/>
          </w:tcPr>
          <w:p>
            <w:pPr>
              <w:spacing w:after="0"/>
            </w:pPr>
            <w:r/>
            <w:r>
              <w:rPr>
                <w:b w:val="0"/>
                <w:i w:val="0"/>
                <w:sz w:val="15"/>
              </w:rPr>
              <w:t>3.0% compounding, applied separately to each rent period; illustrations mis-computed (Yr 10 should be $1,779,711; Yr 25 $2,532,075).</w:t>
            </w:r>
          </w:p>
        </w:tc>
        <w:tc>
          <w:tcPr>
            <w:tcW w:type="dxa" w:w="2808"/>
          </w:tcPr>
          <w:p>
            <w:pPr>
              <w:spacing w:after="0"/>
            </w:pPr>
            <w:r/>
            <w:r>
              <w:rPr>
                <w:b w:val="0"/>
                <w:i w:val="0"/>
                <w:sz w:val="15"/>
              </w:rPr>
              <w:t>PB §3.4: 1.5%–2.0% simple; compounding requires GC approval; &gt;2% compounding specifically disfavored. AR §4.3: 2.0% simple on initial Base Rent.</w:t>
            </w:r>
          </w:p>
        </w:tc>
        <w:tc>
          <w:tcPr>
            <w:tcW w:type="dxa" w:w="2304"/>
          </w:tcPr>
          <w:p>
            <w:pPr>
              <w:spacing w:after="0"/>
            </w:pPr>
            <w:r/>
            <w:r>
              <w:rPr>
                <w:b w:val="0"/>
                <w:i w:val="0"/>
                <w:sz w:val="15"/>
              </w:rPr>
              <w:t>Compounding &gt;2% flagged as material credit concern; may require rent reserve/extra equity.</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2.0% simple (AR formula). Fallback 1.5%–2.0% simple; no compounding.</w:t>
            </w:r>
          </w:p>
        </w:tc>
      </w:tr>
      <w:tr>
        <w:tc>
          <w:tcPr>
            <w:tcW w:type="dxa" w:w="432"/>
          </w:tcPr>
          <w:p>
            <w:pPr>
              <w:spacing w:after="0"/>
            </w:pPr>
            <w:r/>
            <w:r>
              <w:rPr>
                <w:b w:val="0"/>
                <w:i w:val="0"/>
                <w:sz w:val="15"/>
              </w:rPr>
              <w:t>13</w:t>
            </w:r>
          </w:p>
        </w:tc>
        <w:tc>
          <w:tcPr>
            <w:tcW w:type="dxa" w:w="1584"/>
          </w:tcPr>
          <w:p>
            <w:pPr>
              <w:spacing w:after="0"/>
            </w:pPr>
            <w:r/>
            <w:r>
              <w:rPr>
                <w:b w:val="0"/>
                <w:i w:val="0"/>
                <w:sz w:val="15"/>
              </w:rPr>
              <w:t>Total land cost</w:t>
            </w:r>
          </w:p>
        </w:tc>
        <w:tc>
          <w:tcPr>
            <w:tcW w:type="dxa" w:w="2808"/>
          </w:tcPr>
          <w:p>
            <w:pPr>
              <w:spacing w:after="0"/>
            </w:pPr>
            <w:r/>
            <w:r>
              <w:rPr>
                <w:b w:val="0"/>
                <w:i w:val="0"/>
                <w:sz w:val="15"/>
              </w:rPr>
              <w:t>12.94% of revenue in Yr 1, 15.82% Yr 10, 18.62% Yr 20, 21.02% Yr 25; 25-yr total $59.4M.</w:t>
            </w:r>
          </w:p>
        </w:tc>
        <w:tc>
          <w:tcPr>
            <w:tcW w:type="dxa" w:w="2808"/>
          </w:tcPr>
          <w:p>
            <w:pPr>
              <w:spacing w:after="0"/>
            </w:pPr>
            <w:r/>
            <w:r>
              <w:rPr>
                <w:b w:val="0"/>
                <w:i w:val="0"/>
                <w:sz w:val="15"/>
              </w:rPr>
              <w:t>PB §1: 5%–8%; &gt;8% triggers mandatory Development/Finance review and GC approval. Cheng Email: Antelope Ridge ≈6.5% (not verifiable from AR lease).</w:t>
            </w:r>
          </w:p>
        </w:tc>
        <w:tc>
          <w:tcPr>
            <w:tcW w:type="dxa" w:w="2304"/>
          </w:tcPr>
          <w:p>
            <w:pPr>
              <w:spacing w:after="0"/>
            </w:pPr>
            <w:r/>
            <w:r>
              <w:rPr>
                <w:b w:val="0"/>
                <w:i w:val="0"/>
                <w:sz w:val="15"/>
              </w:rPr>
              <w:t>Total site lease cost ≤8% of P50 annual revenue.</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Structure total rent to satisfy Cascade’s 8% test as Cascade measures it (confirm Yr 1 vs. each year vs. levelized; confirm denominator).</w:t>
            </w:r>
          </w:p>
        </w:tc>
      </w:tr>
      <w:tr>
        <w:tc>
          <w:tcPr>
            <w:tcW w:type="dxa" w:w="432"/>
          </w:tcPr>
          <w:p>
            <w:pPr>
              <w:spacing w:after="0"/>
            </w:pPr>
            <w:r/>
            <w:r>
              <w:rPr>
                <w:b w:val="0"/>
                <w:i w:val="0"/>
                <w:sz w:val="15"/>
              </w:rPr>
              <w:t>14</w:t>
            </w:r>
          </w:p>
        </w:tc>
        <w:tc>
          <w:tcPr>
            <w:tcW w:type="dxa" w:w="1584"/>
          </w:tcPr>
          <w:p>
            <w:pPr>
              <w:spacing w:after="0"/>
            </w:pPr>
            <w:r/>
            <w:r>
              <w:rPr>
                <w:b w:val="0"/>
                <w:i w:val="0"/>
                <w:sz w:val="15"/>
              </w:rPr>
              <w:t>Rent abatement (§4.2(d); §20.8)</w:t>
            </w:r>
          </w:p>
        </w:tc>
        <w:tc>
          <w:tcPr>
            <w:tcW w:type="dxa" w:w="2808"/>
          </w:tcPr>
          <w:p>
            <w:pPr>
              <w:spacing w:after="0"/>
            </w:pPr>
            <w:r/>
            <w:r>
              <w:rPr>
                <w:b w:val="0"/>
                <w:i w:val="0"/>
                <w:sz w:val="15"/>
              </w:rPr>
              <w:t>Rent absolute and unconditional; no abatement for FM, casualty, condemnation, curtailment, interconnection delay or any cause; FM never excuses payment.</w:t>
            </w:r>
          </w:p>
        </w:tc>
        <w:tc>
          <w:tcPr>
            <w:tcW w:type="dxa" w:w="2808"/>
          </w:tcPr>
          <w:p>
            <w:pPr>
              <w:spacing w:after="0"/>
            </w:pPr>
            <w:r/>
            <w:r>
              <w:rPr>
                <w:b w:val="0"/>
                <w:i w:val="0"/>
                <w:sz w:val="15"/>
              </w:rPr>
              <w:t>AR §4.6: pro rata abatement after 90 days of FM preventing operation; no recapture. PB: not addressed.</w:t>
            </w:r>
          </w:p>
        </w:tc>
        <w:tc>
          <w:tcPr>
            <w:tcW w:type="dxa" w:w="2304"/>
          </w:tcPr>
          <w:p>
            <w:pPr>
              <w:spacing w:after="0"/>
            </w:pPr>
            <w:r/>
            <w:r>
              <w:rPr>
                <w:b w:val="0"/>
                <w:i w:val="0"/>
                <w:sz w:val="15"/>
              </w:rPr>
              <w:t>Lender needs Tenant exit/relief where project cannot operate (PB §9.2 rationale).</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AR §4.6 abatement; rent reduction on partial taking; delete “absolute and unconditional” as to FM/condemnation.</w:t>
            </w:r>
          </w:p>
        </w:tc>
      </w:tr>
      <w:tr>
        <w:tc>
          <w:tcPr>
            <w:tcW w:type="dxa" w:w="432"/>
          </w:tcPr>
          <w:p>
            <w:pPr>
              <w:spacing w:after="0"/>
            </w:pPr>
            <w:r/>
            <w:r>
              <w:rPr>
                <w:b w:val="0"/>
                <w:i w:val="0"/>
                <w:sz w:val="15"/>
              </w:rPr>
              <w:t>15</w:t>
            </w:r>
          </w:p>
        </w:tc>
        <w:tc>
          <w:tcPr>
            <w:tcW w:type="dxa" w:w="1584"/>
          </w:tcPr>
          <w:p>
            <w:pPr>
              <w:spacing w:after="0"/>
            </w:pPr>
            <w:r/>
            <w:r>
              <w:rPr>
                <w:b w:val="0"/>
                <w:i w:val="0"/>
                <w:sz w:val="15"/>
              </w:rPr>
              <w:t>Late payment (§4.5)</w:t>
            </w:r>
          </w:p>
        </w:tc>
        <w:tc>
          <w:tcPr>
            <w:tcW w:type="dxa" w:w="2808"/>
          </w:tcPr>
          <w:p>
            <w:pPr>
              <w:spacing w:after="0"/>
            </w:pPr>
            <w:r/>
            <w:r>
              <w:rPr>
                <w:b w:val="0"/>
                <w:i w:val="0"/>
                <w:sz w:val="15"/>
              </w:rPr>
              <w:t>Interest at 18%/yr after 5 business days plus 5% late fee per occurrence.</w:t>
            </w:r>
          </w:p>
        </w:tc>
        <w:tc>
          <w:tcPr>
            <w:tcW w:type="dxa" w:w="2808"/>
          </w:tcPr>
          <w:p>
            <w:pPr>
              <w:spacing w:after="0"/>
            </w:pPr>
            <w:r/>
            <w:r>
              <w:rPr>
                <w:b w:val="0"/>
                <w:i w:val="0"/>
                <w:sz w:val="15"/>
              </w:rPr>
              <w:t>AR §4.7: 1.5%/month after 10 business days; no late fee.</w:t>
            </w:r>
          </w:p>
        </w:tc>
        <w:tc>
          <w:tcPr>
            <w:tcW w:type="dxa" w:w="2304"/>
          </w:tcPr>
          <w:p>
            <w:pPr>
              <w:spacing w:after="0"/>
            </w:pPr>
            <w:r/>
            <w:r>
              <w:rPr>
                <w:b w:val="0"/>
                <w:i w:val="0"/>
                <w:sz w:val="15"/>
              </w:rPr>
              <w:t>§4.1(a): no late fees, penalties or interest during the initial 30-day monetary cure period.</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Interest only, accruing after expiry of 30-day notice/cure period; delete 5% late fee (or limit to one-time administrative charge after cure).</w:t>
            </w:r>
          </w:p>
        </w:tc>
      </w:tr>
      <w:tr>
        <w:tc>
          <w:tcPr>
            <w:tcW w:type="dxa" w:w="2808"/>
            <w:gridSpan w:val="7"/>
            <w:shd w:val="clear" w:color="auto" w:fill="D9E1F2"/>
          </w:tcPr>
          <w:p>
            <w:r/>
            <w:r>
              <w:rPr>
                <w:b/>
                <w:sz w:val="17"/>
              </w:rPr>
              <w:t>SECURITY AND TAXES</w:t>
            </w:r>
          </w:p>
        </w:tc>
      </w:tr>
      <w:tr>
        <w:tc>
          <w:tcPr>
            <w:tcW w:type="dxa" w:w="432"/>
          </w:tcPr>
          <w:p>
            <w:pPr>
              <w:spacing w:after="0"/>
            </w:pPr>
            <w:r/>
            <w:r>
              <w:rPr>
                <w:b w:val="0"/>
                <w:i w:val="0"/>
                <w:sz w:val="15"/>
              </w:rPr>
              <w:t>16</w:t>
            </w:r>
          </w:p>
        </w:tc>
        <w:tc>
          <w:tcPr>
            <w:tcW w:type="dxa" w:w="1584"/>
          </w:tcPr>
          <w:p>
            <w:pPr>
              <w:spacing w:after="0"/>
            </w:pPr>
            <w:r/>
            <w:r>
              <w:rPr>
                <w:b w:val="0"/>
                <w:i w:val="0"/>
                <w:sz w:val="15"/>
              </w:rPr>
              <w:t>Security deposit — amount and form (§5.1)</w:t>
            </w:r>
          </w:p>
        </w:tc>
        <w:tc>
          <w:tcPr>
            <w:tcW w:type="dxa" w:w="2808"/>
          </w:tcPr>
          <w:p>
            <w:pPr>
              <w:spacing w:after="0"/>
            </w:pPr>
            <w:r/>
            <w:r>
              <w:rPr>
                <w:b w:val="0"/>
                <w:i w:val="0"/>
                <w:sz w:val="15"/>
              </w:rPr>
              <w:t>$3,000,000 cash within 30 days of Effective Date (≈26.4 months of Yr 1 Base Rent); non-interest bearing; may be commingled.</w:t>
            </w:r>
          </w:p>
        </w:tc>
        <w:tc>
          <w:tcPr>
            <w:tcW w:type="dxa" w:w="2808"/>
          </w:tcPr>
          <w:p>
            <w:pPr>
              <w:spacing w:after="0"/>
            </w:pPr>
            <w:r/>
            <w:r>
              <w:rPr>
                <w:b w:val="0"/>
                <w:i w:val="0"/>
                <w:sz w:val="15"/>
              </w:rPr>
              <w:t>PB §5: standby LOC (A- bank), 6–12 months of Yr 1 Base Rent ($682,000–$1,364,000); cash not acceptable; if cash, interest-bearing for Tenant. AR §5.1: $798,000 LOC (≈7.2 months; stated as “approximately six months”).</w:t>
            </w:r>
          </w:p>
        </w:tc>
        <w:tc>
          <w:tcPr>
            <w:tcW w:type="dxa" w:w="2304"/>
          </w:tcPr>
          <w:p>
            <w:pPr>
              <w:spacing w:after="0"/>
            </w:pPr>
            <w:r/>
            <w:r>
              <w:rPr>
                <w:b w:val="0"/>
                <w:i w:val="0"/>
                <w:sz w:val="15"/>
              </w:rPr>
              <w:t>§6: LOC preferred; any cash must be in segregated interest-bearing escrow with lender perfected security interest.</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LOC equal to 6 months of Yr 1 Base Rent (≈$682,000 at $1,100/acre; ≈$558,000 at $900/acre), posted at Commencement Date (not at execution) — fallback 9–12 months; evergreen 60-day clause (AR).</w:t>
            </w:r>
          </w:p>
        </w:tc>
      </w:tr>
      <w:tr>
        <w:tc>
          <w:tcPr>
            <w:tcW w:type="dxa" w:w="432"/>
          </w:tcPr>
          <w:p>
            <w:pPr>
              <w:spacing w:after="0"/>
            </w:pPr>
            <w:r/>
            <w:r>
              <w:rPr>
                <w:b w:val="0"/>
                <w:i w:val="0"/>
                <w:sz w:val="15"/>
              </w:rPr>
              <w:t>17</w:t>
            </w:r>
          </w:p>
        </w:tc>
        <w:tc>
          <w:tcPr>
            <w:tcW w:type="dxa" w:w="1584"/>
          </w:tcPr>
          <w:p>
            <w:pPr>
              <w:spacing w:after="0"/>
            </w:pPr>
            <w:r/>
            <w:r>
              <w:rPr>
                <w:b w:val="0"/>
                <w:i w:val="0"/>
                <w:sz w:val="15"/>
              </w:rPr>
              <w:t>Security deposit — draws, reduction, return (§§5.2–5.3)</w:t>
            </w:r>
          </w:p>
        </w:tc>
        <w:tc>
          <w:tcPr>
            <w:tcW w:type="dxa" w:w="2808"/>
          </w:tcPr>
          <w:p>
            <w:pPr>
              <w:spacing w:after="0"/>
            </w:pPr>
            <w:r/>
            <w:r>
              <w:rPr>
                <w:b w:val="0"/>
                <w:i w:val="0"/>
                <w:sz w:val="15"/>
              </w:rPr>
              <w:t>Landlord may apply in sole discretion to any default and any amount “whether or not then due”; replenish in 15 days; no reduction; returned 120 days after later of expiry or decommissioning, net of amounts “whether or not finally determined.”</w:t>
            </w:r>
          </w:p>
        </w:tc>
        <w:tc>
          <w:tcPr>
            <w:tcW w:type="dxa" w:w="2808"/>
          </w:tcPr>
          <w:p>
            <w:pPr>
              <w:spacing w:after="0"/>
            </w:pPr>
            <w:r/>
            <w:r>
              <w:rPr>
                <w:b w:val="0"/>
                <w:i w:val="0"/>
                <w:sz w:val="15"/>
              </w:rPr>
              <w:t>PB §5: 50% reduction after COD + 6 months default-free operation; return within 30 days. AR §§5.2–5.5: draws only on uncured EoD for actual damages, 10 business days’ prior notice, 30-day replenishment, reduction to 3 months at 2nd anniversary of COD, return within 60 days.</w:t>
            </w:r>
          </w:p>
        </w:tc>
        <w:tc>
          <w:tcPr>
            <w:tcW w:type="dxa" w:w="2304"/>
          </w:tcPr>
          <w:p>
            <w:pPr>
              <w:spacing w:after="0"/>
            </w:pPr>
            <w:r/>
            <w:r>
              <w:rPr>
                <w:b w:val="0"/>
                <w:i w:val="0"/>
                <w:sz w:val="15"/>
              </w:rPr>
              <w:t>Lender security interest if cash.</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§5.2 draw conditions; 30-day replenishment; PB 50% reduction after COD + 6 months; return within 30 days (fallback 60). Conform to Civ. Code §1950.7 (see Section 6.C).</w:t>
            </w:r>
          </w:p>
        </w:tc>
      </w:tr>
      <w:tr>
        <w:tc>
          <w:tcPr>
            <w:tcW w:type="dxa" w:w="432"/>
          </w:tcPr>
          <w:p>
            <w:pPr>
              <w:spacing w:after="0"/>
            </w:pPr>
            <w:r/>
            <w:r>
              <w:rPr>
                <w:b w:val="0"/>
                <w:i w:val="0"/>
                <w:sz w:val="15"/>
              </w:rPr>
              <w:t>18</w:t>
            </w:r>
          </w:p>
        </w:tc>
        <w:tc>
          <w:tcPr>
            <w:tcW w:type="dxa" w:w="1584"/>
          </w:tcPr>
          <w:p>
            <w:pPr>
              <w:spacing w:after="0"/>
            </w:pPr>
            <w:r/>
            <w:r>
              <w:rPr>
                <w:b w:val="0"/>
                <w:i w:val="0"/>
                <w:sz w:val="15"/>
              </w:rPr>
              <w:t>Real property taxes / net lease (§§4.6, 6.1)</w:t>
            </w:r>
          </w:p>
        </w:tc>
        <w:tc>
          <w:tcPr>
            <w:tcW w:type="dxa" w:w="2808"/>
          </w:tcPr>
          <w:p>
            <w:pPr>
              <w:spacing w:after="0"/>
            </w:pPr>
            <w:r/>
            <w:r>
              <w:rPr>
                <w:b w:val="0"/>
                <w:i w:val="0"/>
                <w:sz w:val="15"/>
              </w:rPr>
              <w:t>Triple net: Tenant pays all taxes and assessments on the Premises, including land value and any tax on the entire Property allocable to the Premises.</w:t>
            </w:r>
          </w:p>
        </w:tc>
        <w:tc>
          <w:tcPr>
            <w:tcW w:type="dxa" w:w="2808"/>
          </w:tcPr>
          <w:p>
            <w:pPr>
              <w:spacing w:after="0"/>
            </w:pPr>
            <w:r/>
            <w:r>
              <w:rPr>
                <w:b w:val="0"/>
                <w:i w:val="0"/>
                <w:sz w:val="15"/>
              </w:rPr>
              <w:t>AR §6.1: Tenant pays taxes attributable to Improvements/solar use; Landlord pays land value as if unimproved. PB: silent.</w:t>
            </w:r>
          </w:p>
        </w:tc>
        <w:tc>
          <w:tcPr>
            <w:tcW w:type="dxa" w:w="2304"/>
          </w:tcPr>
          <w:p>
            <w:pPr>
              <w:spacing w:after="0"/>
            </w:pPr>
            <w:r/>
            <w:r>
              <w:rPr>
                <w:b w:val="0"/>
                <w:i w:val="0"/>
                <w:sz w:val="15"/>
              </w:rPr>
              <w:t>Not addressed.</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Adopt AR §6.1 allocation; Landlord pays base land taxes; Tenant pays increases attributable to Improvements; Landlord to deliver tax bills promptly; separate assessment cooperation.</w:t>
            </w:r>
          </w:p>
        </w:tc>
      </w:tr>
      <w:tr>
        <w:tc>
          <w:tcPr>
            <w:tcW w:type="dxa" w:w="432"/>
          </w:tcPr>
          <w:p>
            <w:pPr>
              <w:spacing w:after="0"/>
            </w:pPr>
            <w:r/>
            <w:r>
              <w:rPr>
                <w:b w:val="0"/>
                <w:i w:val="0"/>
                <w:sz w:val="15"/>
              </w:rPr>
              <w:t>19</w:t>
            </w:r>
          </w:p>
        </w:tc>
        <w:tc>
          <w:tcPr>
            <w:tcW w:type="dxa" w:w="1584"/>
          </w:tcPr>
          <w:p>
            <w:pPr>
              <w:spacing w:after="0"/>
            </w:pPr>
            <w:r/>
            <w:r>
              <w:rPr>
                <w:b w:val="0"/>
                <w:i w:val="0"/>
                <w:sz w:val="15"/>
              </w:rPr>
              <w:t>Tax contest (§6.2)</w:t>
            </w:r>
          </w:p>
        </w:tc>
        <w:tc>
          <w:tcPr>
            <w:tcW w:type="dxa" w:w="2808"/>
          </w:tcPr>
          <w:p>
            <w:pPr>
              <w:spacing w:after="0"/>
            </w:pPr>
            <w:r/>
            <w:r>
              <w:rPr>
                <w:b w:val="0"/>
                <w:i w:val="0"/>
                <w:sz w:val="15"/>
              </w:rPr>
              <w:t>Requires notice before delinquency, security satisfactory to Landlord, prosecution to final resolution.</w:t>
            </w:r>
          </w:p>
        </w:tc>
        <w:tc>
          <w:tcPr>
            <w:tcW w:type="dxa" w:w="2808"/>
          </w:tcPr>
          <w:p>
            <w:pPr>
              <w:spacing w:after="0"/>
            </w:pPr>
            <w:r/>
            <w:r>
              <w:rPr>
                <w:b w:val="0"/>
                <w:i w:val="0"/>
                <w:sz w:val="15"/>
              </w:rPr>
              <w:t>AR §6.3: similar (adequate security).</w:t>
            </w:r>
          </w:p>
        </w:tc>
        <w:tc>
          <w:tcPr>
            <w:tcW w:type="dxa" w:w="2304"/>
          </w:tcPr>
          <w:p>
            <w:pPr>
              <w:spacing w:after="0"/>
            </w:pPr>
            <w:r/>
            <w:r>
              <w:rPr>
                <w:b w:val="0"/>
                <w:i w:val="0"/>
                <w:sz w:val="15"/>
              </w:rPr>
              <w:t>—</w:t>
            </w:r>
          </w:p>
        </w:tc>
        <w:tc>
          <w:tcPr>
            <w:tcW w:type="dxa" w:w="1080"/>
            <w:shd w:val="clear" w:color="auto" w:fill="548235"/>
          </w:tcPr>
          <w:p>
            <w:pPr>
              <w:spacing w:after="0"/>
            </w:pPr>
            <w:r>
              <w:rPr>
                <w:b/>
                <w:color w:val="FFFFFF"/>
              </w:rPr>
            </w:r>
            <w:r>
              <w:rPr>
                <w:b/>
                <w:i w:val="0"/>
                <w:color w:val="FFFFFF"/>
                <w:sz w:val="15"/>
              </w:rPr>
              <w:t>LOW</w:t>
            </w:r>
          </w:p>
        </w:tc>
        <w:tc>
          <w:tcPr>
            <w:tcW w:type="dxa" w:w="2808"/>
          </w:tcPr>
          <w:p>
            <w:pPr>
              <w:spacing w:after="0"/>
            </w:pPr>
            <w:r/>
            <w:r>
              <w:rPr>
                <w:b w:val="0"/>
                <w:i w:val="0"/>
                <w:sz w:val="15"/>
              </w:rPr>
              <w:t>Accept with “reasonably satisfactory” security and Landlord joinder if required for standing.</w:t>
            </w:r>
          </w:p>
        </w:tc>
      </w:tr>
      <w:tr>
        <w:tc>
          <w:tcPr>
            <w:tcW w:type="dxa" w:w="2808"/>
            <w:gridSpan w:val="7"/>
            <w:shd w:val="clear" w:color="auto" w:fill="D9E1F2"/>
          </w:tcPr>
          <w:p>
            <w:r/>
            <w:r>
              <w:rPr>
                <w:b/>
                <w:sz w:val="17"/>
              </w:rPr>
              <w:t>INSURANCE</w:t>
            </w:r>
          </w:p>
        </w:tc>
      </w:tr>
      <w:tr>
        <w:tc>
          <w:tcPr>
            <w:tcW w:type="dxa" w:w="432"/>
          </w:tcPr>
          <w:p>
            <w:pPr>
              <w:spacing w:after="0"/>
            </w:pPr>
            <w:r/>
            <w:r>
              <w:rPr>
                <w:b w:val="0"/>
                <w:i w:val="0"/>
                <w:sz w:val="15"/>
              </w:rPr>
              <w:t>20</w:t>
            </w:r>
          </w:p>
        </w:tc>
        <w:tc>
          <w:tcPr>
            <w:tcW w:type="dxa" w:w="1584"/>
          </w:tcPr>
          <w:p>
            <w:pPr>
              <w:spacing w:after="0"/>
            </w:pPr>
            <w:r/>
            <w:r>
              <w:rPr>
                <w:b w:val="0"/>
                <w:i w:val="0"/>
                <w:sz w:val="15"/>
              </w:rPr>
              <w:t>Insurance limits (§7.1)</w:t>
            </w:r>
          </w:p>
        </w:tc>
        <w:tc>
          <w:tcPr>
            <w:tcW w:type="dxa" w:w="2808"/>
          </w:tcPr>
          <w:p>
            <w:pPr>
              <w:spacing w:after="0"/>
            </w:pPr>
            <w:r/>
            <w:r>
              <w:rPr>
                <w:b w:val="0"/>
                <w:i w:val="0"/>
                <w:sz w:val="15"/>
              </w:rPr>
              <w:t>CGL $10M/$20M; builder’s risk/property at replacement cost; pollution $10M; WC/EL $1M; auto $2M.</w:t>
            </w:r>
          </w:p>
        </w:tc>
        <w:tc>
          <w:tcPr>
            <w:tcW w:type="dxa" w:w="2808"/>
          </w:tcPr>
          <w:p>
            <w:pPr>
              <w:spacing w:after="0"/>
            </w:pPr>
            <w:r/>
            <w:r>
              <w:rPr>
                <w:b w:val="0"/>
                <w:i w:val="0"/>
                <w:sz w:val="15"/>
              </w:rPr>
              <w:t>PB §12: CGL $5–10M / $10–20M; pollution $5–10M — “should not be flagged as excessive.” AR §7.1: same limits.</w:t>
            </w:r>
          </w:p>
        </w:tc>
        <w:tc>
          <w:tcPr>
            <w:tcW w:type="dxa" w:w="2304"/>
          </w:tcPr>
          <w:p>
            <w:pPr>
              <w:spacing w:after="0"/>
            </w:pPr>
            <w:r/>
            <w:r>
              <w:rPr>
                <w:b w:val="0"/>
                <w:i w:val="0"/>
                <w:sz w:val="15"/>
              </w:rPr>
              <w:t>§6: project-dependent; addressed in loan documents.</w:t>
            </w:r>
          </w:p>
        </w:tc>
        <w:tc>
          <w:tcPr>
            <w:tcW w:type="dxa" w:w="1080"/>
            <w:shd w:val="clear" w:color="auto" w:fill="548235"/>
          </w:tcPr>
          <w:p>
            <w:pPr>
              <w:spacing w:after="0"/>
            </w:pPr>
            <w:r>
              <w:rPr>
                <w:b/>
                <w:color w:val="FFFFFF"/>
              </w:rPr>
            </w:r>
            <w:r>
              <w:rPr>
                <w:b/>
                <w:i w:val="0"/>
                <w:color w:val="FFFFFF"/>
                <w:sz w:val="15"/>
              </w:rPr>
              <w:t>WITHIN MARKET</w:t>
            </w:r>
          </w:p>
        </w:tc>
        <w:tc>
          <w:tcPr>
            <w:tcW w:type="dxa" w:w="2808"/>
          </w:tcPr>
          <w:p>
            <w:pPr>
              <w:spacing w:after="0"/>
            </w:pPr>
            <w:r/>
            <w:r>
              <w:rPr>
                <w:b w:val="0"/>
                <w:i w:val="0"/>
                <w:sz w:val="15"/>
              </w:rPr>
              <w:t>Accept. Concede early to build credibility. Clean-up: certificates within 30 days after (not 10 days before) Effective Date (AR §7.1); flood/earthquake “as commercially available.”</w:t>
            </w:r>
          </w:p>
        </w:tc>
      </w:tr>
      <w:tr>
        <w:tc>
          <w:tcPr>
            <w:tcW w:type="dxa" w:w="432"/>
          </w:tcPr>
          <w:p>
            <w:pPr>
              <w:spacing w:after="0"/>
            </w:pPr>
            <w:r/>
            <w:r>
              <w:rPr>
                <w:b w:val="0"/>
                <w:i w:val="0"/>
                <w:sz w:val="15"/>
              </w:rPr>
              <w:t>21</w:t>
            </w:r>
          </w:p>
        </w:tc>
        <w:tc>
          <w:tcPr>
            <w:tcW w:type="dxa" w:w="1584"/>
          </w:tcPr>
          <w:p>
            <w:pPr>
              <w:spacing w:after="0"/>
            </w:pPr>
            <w:r/>
            <w:r>
              <w:rPr>
                <w:b w:val="0"/>
                <w:i w:val="0"/>
                <w:sz w:val="15"/>
              </w:rPr>
              <w:t>Self-insurance / additional insureds (§7.2)</w:t>
            </w:r>
          </w:p>
        </w:tc>
        <w:tc>
          <w:tcPr>
            <w:tcW w:type="dxa" w:w="2808"/>
          </w:tcPr>
          <w:p>
            <w:pPr>
              <w:spacing w:after="0"/>
            </w:pPr>
            <w:r/>
            <w:r>
              <w:rPr>
                <w:b w:val="0"/>
                <w:i w:val="0"/>
                <w:sz w:val="15"/>
              </w:rPr>
              <w:t>No self-insurance without Landlord consent (sole discretion); Landlord and Hargrove Management Inc. as additional insureds on all policies, primary/non-contributory.</w:t>
            </w:r>
          </w:p>
        </w:tc>
        <w:tc>
          <w:tcPr>
            <w:tcW w:type="dxa" w:w="2808"/>
          </w:tcPr>
          <w:p>
            <w:pPr>
              <w:spacing w:after="0"/>
            </w:pPr>
            <w:r/>
            <w:r>
              <w:rPr>
                <w:b w:val="0"/>
                <w:i w:val="0"/>
                <w:sz w:val="15"/>
              </w:rPr>
              <w:t>PB §12: self-insurance permitted above net worth/credit thresholds; prohibition “negotiable,” not material. AR §§7.2–7.4: self-insurance at $100M tangible net worth; Leasehold Mortgagee as additional insured.</w:t>
            </w:r>
          </w:p>
        </w:tc>
        <w:tc>
          <w:tcPr>
            <w:tcW w:type="dxa" w:w="2304"/>
          </w:tcPr>
          <w:p>
            <w:pPr>
              <w:spacing w:after="0"/>
            </w:pPr>
            <w:r/>
            <w:r>
              <w:rPr>
                <w:b w:val="0"/>
                <w:i w:val="0"/>
                <w:sz w:val="15"/>
              </w:rPr>
              <w:t>§6: Landlord insurance requirements must not restrict self-insurance by investment-grade entities or affiliates.</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Permit self-insurance for investment-grade entities (Cascade) or ≥$100M TNW (AR); additional insured status on liability policies only; add Leasehold Mortgagee.</w:t>
            </w:r>
          </w:p>
        </w:tc>
      </w:tr>
      <w:tr>
        <w:tc>
          <w:tcPr>
            <w:tcW w:type="dxa" w:w="2808"/>
            <w:gridSpan w:val="7"/>
            <w:shd w:val="clear" w:color="auto" w:fill="D9E1F2"/>
          </w:tcPr>
          <w:p>
            <w:r/>
            <w:r>
              <w:rPr>
                <w:b/>
                <w:sz w:val="17"/>
              </w:rPr>
              <w:t>LANDLORD RESERVED RIGHTS; ACCESS; USE</w:t>
            </w:r>
          </w:p>
        </w:tc>
      </w:tr>
      <w:tr>
        <w:tc>
          <w:tcPr>
            <w:tcW w:type="dxa" w:w="432"/>
          </w:tcPr>
          <w:p>
            <w:pPr>
              <w:spacing w:after="0"/>
            </w:pPr>
            <w:r/>
            <w:r>
              <w:rPr>
                <w:b w:val="0"/>
                <w:i w:val="0"/>
                <w:sz w:val="15"/>
              </w:rPr>
              <w:t>22</w:t>
            </w:r>
          </w:p>
        </w:tc>
        <w:tc>
          <w:tcPr>
            <w:tcW w:type="dxa" w:w="1584"/>
          </w:tcPr>
          <w:p>
            <w:pPr>
              <w:spacing w:after="0"/>
            </w:pPr>
            <w:r/>
            <w:r>
              <w:rPr>
                <w:b w:val="0"/>
                <w:i w:val="0"/>
                <w:sz w:val="15"/>
              </w:rPr>
              <w:t>Agricultural reservation (§8.1)</w:t>
            </w:r>
          </w:p>
        </w:tc>
        <w:tc>
          <w:tcPr>
            <w:tcW w:type="dxa" w:w="2808"/>
          </w:tcPr>
          <w:p>
            <w:pPr>
              <w:spacing w:after="0"/>
            </w:pPr>
            <w:r/>
            <w:r>
              <w:rPr>
                <w:b w:val="0"/>
                <w:i w:val="0"/>
                <w:sz w:val="15"/>
              </w:rPr>
              <w:t>Landlord may farm, graze, irrigate, spray and license third parties anywhere outside the Improvement Area, without coordination; Tenant accepts dust, drift, runoff.</w:t>
            </w:r>
          </w:p>
        </w:tc>
        <w:tc>
          <w:tcPr>
            <w:tcW w:type="dxa" w:w="2808"/>
          </w:tcPr>
          <w:p>
            <w:pPr>
              <w:spacing w:after="0"/>
            </w:pPr>
            <w:r/>
            <w:r>
              <w:rPr>
                <w:b w:val="0"/>
                <w:i w:val="0"/>
                <w:sz w:val="15"/>
              </w:rPr>
              <w:t>PB §11.2: complete prohibition within Premises; agrivoltaics not acceptable ≥50 MW. AR §2.4: no agricultural operations or grazing during Term.</w:t>
            </w:r>
          </w:p>
        </w:tc>
        <w:tc>
          <w:tcPr>
            <w:tcW w:type="dxa" w:w="2304"/>
          </w:tcPr>
          <w:p>
            <w:pPr>
              <w:spacing w:after="0"/>
            </w:pPr>
            <w:r/>
            <w:r>
              <w:rPr>
                <w:b w:val="0"/>
                <w:i w:val="0"/>
                <w:sz w:val="15"/>
              </w:rPr>
              <w:t>§6: no reserved agricultural/grazing/surface rights inconsistent with operations; no third-party interference with collateral.</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Delete; full prohibition across all 1,240 acres for the Term (Cheng Email “non-negotiable”). Tenant-controlled vegetation management/grazing only at Tenant’s option.</w:t>
            </w:r>
          </w:p>
        </w:tc>
      </w:tr>
      <w:tr>
        <w:tc>
          <w:tcPr>
            <w:tcW w:type="dxa" w:w="432"/>
          </w:tcPr>
          <w:p>
            <w:pPr>
              <w:spacing w:after="0"/>
            </w:pPr>
            <w:r/>
            <w:r>
              <w:rPr>
                <w:b w:val="0"/>
                <w:i w:val="0"/>
                <w:sz w:val="15"/>
              </w:rPr>
              <w:t>23</w:t>
            </w:r>
          </w:p>
        </w:tc>
        <w:tc>
          <w:tcPr>
            <w:tcW w:type="dxa" w:w="1584"/>
          </w:tcPr>
          <w:p>
            <w:pPr>
              <w:spacing w:after="0"/>
            </w:pPr>
            <w:r/>
            <w:r>
              <w:rPr>
                <w:b w:val="0"/>
                <w:i w:val="0"/>
                <w:sz w:val="15"/>
              </w:rPr>
              <w:t>Mineral reservation (§8.2)</w:t>
            </w:r>
          </w:p>
        </w:tc>
        <w:tc>
          <w:tcPr>
            <w:tcW w:type="dxa" w:w="2808"/>
          </w:tcPr>
          <w:p>
            <w:pPr>
              <w:spacing w:after="0"/>
            </w:pPr>
            <w:r/>
            <w:r>
              <w:rPr>
                <w:b w:val="0"/>
                <w:i w:val="0"/>
                <w:sz w:val="15"/>
              </w:rPr>
              <w:t>All mineral/oil/gas/geothermal rights reserved; Landlord may lease to third parties “without restriction”; express surface-use rights; Tenant may not interfere.</w:t>
            </w:r>
          </w:p>
        </w:tc>
        <w:tc>
          <w:tcPr>
            <w:tcW w:type="dxa" w:w="2808"/>
          </w:tcPr>
          <w:p>
            <w:pPr>
              <w:spacing w:after="0"/>
            </w:pPr>
            <w:r/>
            <w:r>
              <w:rPr>
                <w:b w:val="0"/>
                <w:i w:val="0"/>
                <w:sz w:val="15"/>
              </w:rPr>
              <w:t>PB §11.2: “no surface use” covenant minimum; Tenant review/approval of extraction plans affecting the Premises in Kern County; unrestricted reservation “not market.” AR §2.4: No Surface Use Covenant running with land; Lease controls.</w:t>
            </w:r>
          </w:p>
        </w:tc>
        <w:tc>
          <w:tcPr>
            <w:tcW w:type="dxa" w:w="2304"/>
          </w:tcPr>
          <w:p>
            <w:pPr>
              <w:spacing w:after="0"/>
            </w:pPr>
            <w:r/>
            <w:r>
              <w:rPr>
                <w:b w:val="0"/>
                <w:i w:val="0"/>
                <w:sz w:val="15"/>
              </w:rPr>
              <w:t>§6: “no surface use” covenant required if minerals retained.</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AR §2.4 No Surface Use Covenant + Kern-specific protections (subsidence/vibration, extraction-plan approval, buffer, indemnity); record in Memorandum; Landlord rep that no mineral lease/option exists; subordinate any future mineral lease to the Lease.</w:t>
            </w:r>
          </w:p>
        </w:tc>
      </w:tr>
      <w:tr>
        <w:tc>
          <w:tcPr>
            <w:tcW w:type="dxa" w:w="432"/>
          </w:tcPr>
          <w:p>
            <w:pPr>
              <w:spacing w:after="0"/>
            </w:pPr>
            <w:r/>
            <w:r>
              <w:rPr>
                <w:b w:val="0"/>
                <w:i w:val="0"/>
                <w:sz w:val="15"/>
              </w:rPr>
              <w:t>24</w:t>
            </w:r>
          </w:p>
        </w:tc>
        <w:tc>
          <w:tcPr>
            <w:tcW w:type="dxa" w:w="1584"/>
          </w:tcPr>
          <w:p>
            <w:pPr>
              <w:spacing w:after="0"/>
            </w:pPr>
            <w:r/>
            <w:r>
              <w:rPr>
                <w:b w:val="0"/>
                <w:i w:val="0"/>
                <w:sz w:val="15"/>
              </w:rPr>
              <w:t>Water rights (§8.3)</w:t>
            </w:r>
          </w:p>
        </w:tc>
        <w:tc>
          <w:tcPr>
            <w:tcW w:type="dxa" w:w="2808"/>
          </w:tcPr>
          <w:p>
            <w:pPr>
              <w:spacing w:after="0"/>
            </w:pPr>
            <w:r/>
            <w:r>
              <w:rPr>
                <w:b w:val="0"/>
                <w:i w:val="0"/>
                <w:sz w:val="15"/>
              </w:rPr>
              <w:t>All water reserved; Tenant may not use any water except by separate agreement on terms/pricing in Landlord’s sole discretion.</w:t>
            </w:r>
          </w:p>
        </w:tc>
        <w:tc>
          <w:tcPr>
            <w:tcW w:type="dxa" w:w="2808"/>
          </w:tcPr>
          <w:p>
            <w:pPr>
              <w:spacing w:after="0"/>
            </w:pPr>
            <w:r/>
            <w:r>
              <w:rPr>
                <w:b w:val="0"/>
                <w:i w:val="0"/>
                <w:sz w:val="15"/>
              </w:rPr>
              <w:t>Not addressed in PB. AR §8.5: Tenant may install water lines; Landlord cooperates on utility easements.</w:t>
            </w:r>
          </w:p>
        </w:tc>
        <w:tc>
          <w:tcPr>
            <w:tcW w:type="dxa" w:w="2304"/>
          </w:tcPr>
          <w:p>
            <w:pPr>
              <w:spacing w:after="0"/>
            </w:pPr>
            <w:r/>
            <w:r>
              <w:rPr>
                <w:b w:val="0"/>
                <w:i w:val="0"/>
                <w:sz w:val="15"/>
              </w:rPr>
              <w:t>Not addressed (but no third-party interference/operational hold-ups).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Tenant right to water for construction dust control, fire safety and module washing at a fixed or formula price, or right to import water and install storage; compliance with groundwater sustainability plan.</w:t>
            </w:r>
          </w:p>
        </w:tc>
      </w:tr>
      <w:tr>
        <w:tc>
          <w:tcPr>
            <w:tcW w:type="dxa" w:w="432"/>
          </w:tcPr>
          <w:p>
            <w:pPr>
              <w:spacing w:after="0"/>
            </w:pPr>
            <w:r/>
            <w:r>
              <w:rPr>
                <w:b w:val="0"/>
                <w:i w:val="0"/>
                <w:sz w:val="15"/>
              </w:rPr>
              <w:t>25</w:t>
            </w:r>
          </w:p>
        </w:tc>
        <w:tc>
          <w:tcPr>
            <w:tcW w:type="dxa" w:w="1584"/>
          </w:tcPr>
          <w:p>
            <w:pPr>
              <w:spacing w:after="0"/>
            </w:pPr>
            <w:r/>
            <w:r>
              <w:rPr>
                <w:b w:val="0"/>
                <w:i w:val="0"/>
                <w:sz w:val="15"/>
              </w:rPr>
              <w:t>Landlord access (§8.4)</w:t>
            </w:r>
          </w:p>
        </w:tc>
        <w:tc>
          <w:tcPr>
            <w:tcW w:type="dxa" w:w="2808"/>
          </w:tcPr>
          <w:p>
            <w:pPr>
              <w:spacing w:after="0"/>
            </w:pPr>
            <w:r/>
            <w:r>
              <w:rPr>
                <w:b w:val="0"/>
                <w:i w:val="0"/>
                <w:sz w:val="15"/>
              </w:rPr>
              <w:t>Any time, without notice, any purpose, by Landlord and its lessees, licensees and invitees, including the energized Improvement Area; Tenant may not condition access.</w:t>
            </w:r>
          </w:p>
        </w:tc>
        <w:tc>
          <w:tcPr>
            <w:tcW w:type="dxa" w:w="2808"/>
          </w:tcPr>
          <w:p>
            <w:pPr>
              <w:spacing w:after="0"/>
            </w:pPr>
            <w:r/>
            <w:r>
              <w:rPr>
                <w:b w:val="0"/>
                <w:i w:val="0"/>
                <w:sz w:val="15"/>
              </w:rPr>
              <w:t>PB §11.1: ≥48 hours’ written notice (24 hours in extraordinary cases), compliance with safety protocols, Tenant escort; emergency exception. AR §2.5: same, business hours, email notice permitted.</w:t>
            </w:r>
          </w:p>
        </w:tc>
        <w:tc>
          <w:tcPr>
            <w:tcW w:type="dxa" w:w="2304"/>
          </w:tcPr>
          <w:p>
            <w:pPr>
              <w:spacing w:after="0"/>
            </w:pPr>
            <w:r/>
            <w:r>
              <w:rPr>
                <w:b w:val="0"/>
                <w:i w:val="0"/>
                <w:sz w:val="15"/>
              </w:rPr>
              <w:t>No third-party interference (§6).</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§2.5 verbatim; limit to Landlord and its agents (not lessees/licensees); no interference with operations; Landlord bears risk of non-compliance with safety rules.</w:t>
            </w:r>
          </w:p>
        </w:tc>
      </w:tr>
      <w:tr>
        <w:tc>
          <w:tcPr>
            <w:tcW w:type="dxa" w:w="432"/>
          </w:tcPr>
          <w:p>
            <w:pPr>
              <w:spacing w:after="0"/>
            </w:pPr>
            <w:r/>
            <w:r>
              <w:rPr>
                <w:b w:val="0"/>
                <w:i w:val="0"/>
                <w:sz w:val="15"/>
              </w:rPr>
              <w:t>26</w:t>
            </w:r>
          </w:p>
        </w:tc>
        <w:tc>
          <w:tcPr>
            <w:tcW w:type="dxa" w:w="1584"/>
          </w:tcPr>
          <w:p>
            <w:pPr>
              <w:spacing w:after="0"/>
            </w:pPr>
            <w:r/>
            <w:r>
              <w:rPr>
                <w:b w:val="0"/>
                <w:i w:val="0"/>
                <w:sz w:val="15"/>
              </w:rPr>
              <w:t>Grant, access route and title (§2.1; Ex. B)</w:t>
            </w:r>
          </w:p>
        </w:tc>
        <w:tc>
          <w:tcPr>
            <w:tcW w:type="dxa" w:w="2808"/>
          </w:tcPr>
          <w:p>
            <w:pPr>
              <w:spacing w:after="0"/>
            </w:pPr>
            <w:r/>
            <w:r>
              <w:rPr>
                <w:b w:val="0"/>
                <w:i w:val="0"/>
                <w:sz w:val="15"/>
              </w:rPr>
              <w:t>Rights limited to the Improvement Area (Ex. B “to be attached,” subject to Landlord approval); ingress/egress over routes “reasonably designated by Landlord”; grant subject to all record encumbrances and Reserved Rights.</w:t>
            </w:r>
          </w:p>
        </w:tc>
        <w:tc>
          <w:tcPr>
            <w:tcW w:type="dxa" w:w="2808"/>
          </w:tcPr>
          <w:p>
            <w:pPr>
              <w:spacing w:after="0"/>
            </w:pPr>
            <w:r/>
            <w:r>
              <w:rPr>
                <w:b w:val="0"/>
                <w:i w:val="0"/>
                <w:sz w:val="15"/>
              </w:rPr>
              <w:t>AR §2.1, Ex. B, Ex. C: express surface, airspace, solar-irradiance and transmission rights; defined Improvement Area (setbacks only); recorded 60-ft access easement; Permitted Exceptions schedule (Ex. D).</w:t>
            </w:r>
          </w:p>
        </w:tc>
        <w:tc>
          <w:tcPr>
            <w:tcW w:type="dxa" w:w="2304"/>
          </w:tcPr>
          <w:p>
            <w:pPr>
              <w:spacing w:after="0"/>
            </w:pPr>
            <w:r/>
            <w:r>
              <w:rPr>
                <w:b w:val="0"/>
                <w:i w:val="0"/>
                <w:sz w:val="15"/>
              </w:rPr>
              <w:t>§6: Landlord rep of title free of encumbrances that would interfere; recorded memorandum.</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Improvement Area = entire Premises less CUP setbacks; express solar, airspace, transmission/gen-tie and access easement rights for Term + decommissioning; Permitted Exceptions schedule based on title report and ALTA survey.</w:t>
            </w:r>
          </w:p>
        </w:tc>
      </w:tr>
      <w:tr>
        <w:tc>
          <w:tcPr>
            <w:tcW w:type="dxa" w:w="432"/>
          </w:tcPr>
          <w:p>
            <w:pPr>
              <w:spacing w:after="0"/>
            </w:pPr>
            <w:r/>
            <w:r>
              <w:rPr>
                <w:b w:val="0"/>
                <w:i w:val="0"/>
                <w:sz w:val="15"/>
              </w:rPr>
              <w:t>27</w:t>
            </w:r>
          </w:p>
        </w:tc>
        <w:tc>
          <w:tcPr>
            <w:tcW w:type="dxa" w:w="1584"/>
          </w:tcPr>
          <w:p>
            <w:pPr>
              <w:spacing w:after="0"/>
            </w:pPr>
            <w:r/>
            <w:r>
              <w:rPr>
                <w:b w:val="0"/>
                <w:i w:val="0"/>
                <w:sz w:val="15"/>
              </w:rPr>
              <w:t>Permitted use / alterations / construction plans (§§2.2, 9.1–9.2)</w:t>
            </w:r>
          </w:p>
        </w:tc>
        <w:tc>
          <w:tcPr>
            <w:tcW w:type="dxa" w:w="2808"/>
          </w:tcPr>
          <w:p>
            <w:pPr>
              <w:spacing w:after="0"/>
            </w:pPr>
            <w:r/>
            <w:r>
              <w:rPr>
                <w:b w:val="0"/>
                <w:i w:val="0"/>
                <w:sz w:val="15"/>
              </w:rPr>
              <w:t>Use limited to listed purposes; Landlord approval of construction plans (reasonable discretion); Landlord silence = deemed disapproval; covers “any construction activities,” potentially including repowering.</w:t>
            </w:r>
          </w:p>
        </w:tc>
        <w:tc>
          <w:tcPr>
            <w:tcW w:type="dxa" w:w="2808"/>
          </w:tcPr>
          <w:p>
            <w:pPr>
              <w:spacing w:after="0"/>
            </w:pPr>
            <w:r/>
            <w:r>
              <w:rPr>
                <w:b w:val="0"/>
                <w:i w:val="0"/>
                <w:sz w:val="15"/>
              </w:rPr>
              <w:t>AR §§8.1, 8.4: right to construct per law/CUP; alterations, upgrades, repowering and added BESS without consent (within Improvement Area); notice within 30 days. PB: not addressed.</w:t>
            </w:r>
          </w:p>
        </w:tc>
        <w:tc>
          <w:tcPr>
            <w:tcW w:type="dxa" w:w="2304"/>
          </w:tcPr>
          <w:p>
            <w:pPr>
              <w:spacing w:after="0"/>
            </w:pPr>
            <w:r/>
            <w:r>
              <w:rPr>
                <w:b w:val="0"/>
                <w:i w:val="0"/>
                <w:sz w:val="15"/>
              </w:rPr>
              <w:t>Indirectly: no landlord hold-up of construction/financing.</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Delete approval right or limit to informational review of site plan consistency with Ex. B/CUP; silence = deemed approval within 15 business days; repowering/BESS additions without consent.</w:t>
            </w:r>
          </w:p>
        </w:tc>
      </w:tr>
      <w:tr>
        <w:tc>
          <w:tcPr>
            <w:tcW w:type="dxa" w:w="2808"/>
            <w:gridSpan w:val="7"/>
            <w:shd w:val="clear" w:color="auto" w:fill="D9E1F2"/>
          </w:tcPr>
          <w:p>
            <w:r/>
            <w:r>
              <w:rPr>
                <w:b/>
                <w:sz w:val="17"/>
              </w:rPr>
              <w:t>ASSIGNMENT AND FINANCING</w:t>
            </w:r>
          </w:p>
        </w:tc>
      </w:tr>
      <w:tr>
        <w:tc>
          <w:tcPr>
            <w:tcW w:type="dxa" w:w="432"/>
          </w:tcPr>
          <w:p>
            <w:pPr>
              <w:spacing w:after="0"/>
            </w:pPr>
            <w:r/>
            <w:r>
              <w:rPr>
                <w:b w:val="0"/>
                <w:i w:val="0"/>
                <w:sz w:val="15"/>
              </w:rPr>
              <w:t>28</w:t>
            </w:r>
          </w:p>
        </w:tc>
        <w:tc>
          <w:tcPr>
            <w:tcW w:type="dxa" w:w="1584"/>
          </w:tcPr>
          <w:p>
            <w:pPr>
              <w:spacing w:after="0"/>
            </w:pPr>
            <w:r/>
            <w:r>
              <w:rPr>
                <w:b w:val="0"/>
                <w:i w:val="0"/>
                <w:sz w:val="15"/>
              </w:rPr>
              <w:t>Assignment consent and encumbrances (§10.1)</w:t>
            </w:r>
          </w:p>
        </w:tc>
        <w:tc>
          <w:tcPr>
            <w:tcW w:type="dxa" w:w="2808"/>
          </w:tcPr>
          <w:p>
            <w:pPr>
              <w:spacing w:after="0"/>
            </w:pPr>
            <w:r/>
            <w:r>
              <w:rPr>
                <w:b w:val="0"/>
                <w:i w:val="0"/>
                <w:sz w:val="15"/>
              </w:rPr>
              <w:t>Landlord consent in sole and absolute discretion for any assignment, sublease, pledge or encumbrance, expressly including leasehold mortgages; violation void and an EoD.</w:t>
            </w:r>
          </w:p>
        </w:tc>
        <w:tc>
          <w:tcPr>
            <w:tcW w:type="dxa" w:w="2808"/>
          </w:tcPr>
          <w:p>
            <w:pPr>
              <w:spacing w:after="0"/>
            </w:pPr>
            <w:r/>
            <w:r>
              <w:rPr>
                <w:b w:val="0"/>
                <w:i w:val="0"/>
                <w:sz w:val="15"/>
              </w:rPr>
              <w:t>PB §6: not unreasonably withheld, conditioned or delayed; sole discretion “never acceptable”; carve-outs for affiliates, lenders/foreclosure, sale of assets/equity. AR §§9.1–9.2, 10.1: reasonableness with objective criteria ($25M TNW, solar experience, assumption), 30-day deemed consent, four permitted transfers, leasehold mortgage without consent.</w:t>
            </w:r>
          </w:p>
        </w:tc>
        <w:tc>
          <w:tcPr>
            <w:tcW w:type="dxa" w:w="2304"/>
          </w:tcPr>
          <w:p>
            <w:pPr>
              <w:spacing w:after="0"/>
            </w:pPr>
            <w:r/>
            <w:r>
              <w:rPr>
                <w:b w:val="0"/>
                <w:i w:val="0"/>
                <w:sz w:val="15"/>
              </w:rPr>
              <w:t>§2.1–2.2, 2.5: reasonableness; permitted transfers without consent or fee (affiliate, collateral/foreclosure, sale of substantially all assets, tax equity); notice within 30 days after transfer. Sole discretion is a deal-breaker.</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AR Article 9/§10.1 plus Cascade tax-equity carve-out; express right to grant Leasehold Mortgages without consent; deemed consent after 30 days.</w:t>
            </w:r>
          </w:p>
        </w:tc>
      </w:tr>
      <w:tr>
        <w:tc>
          <w:tcPr>
            <w:tcW w:type="dxa" w:w="432"/>
          </w:tcPr>
          <w:p>
            <w:pPr>
              <w:spacing w:after="0"/>
            </w:pPr>
            <w:r/>
            <w:r>
              <w:rPr>
                <w:b w:val="0"/>
                <w:i w:val="0"/>
                <w:sz w:val="15"/>
              </w:rPr>
              <w:t>29</w:t>
            </w:r>
          </w:p>
        </w:tc>
        <w:tc>
          <w:tcPr>
            <w:tcW w:type="dxa" w:w="1584"/>
          </w:tcPr>
          <w:p>
            <w:pPr>
              <w:spacing w:after="0"/>
            </w:pPr>
            <w:r/>
            <w:r>
              <w:rPr>
                <w:b w:val="0"/>
                <w:i w:val="0"/>
                <w:sz w:val="15"/>
              </w:rPr>
              <w:t>Change of control (§10.2)</w:t>
            </w:r>
          </w:p>
        </w:tc>
        <w:tc>
          <w:tcPr>
            <w:tcW w:type="dxa" w:w="2808"/>
          </w:tcPr>
          <w:p>
            <w:pPr>
              <w:spacing w:after="0"/>
            </w:pPr>
            <w:r/>
            <w:r>
              <w:rPr>
                <w:b w:val="0"/>
                <w:i w:val="0"/>
                <w:sz w:val="15"/>
              </w:rPr>
              <w:t>Any direct or indirect change of ownership/control at any tier (including pledges of equity, fund-level transfers) is an assignment requiring sole-discretion consent.</w:t>
            </w:r>
          </w:p>
        </w:tc>
        <w:tc>
          <w:tcPr>
            <w:tcW w:type="dxa" w:w="2808"/>
          </w:tcPr>
          <w:p>
            <w:pPr>
              <w:spacing w:after="0"/>
            </w:pPr>
            <w:r/>
            <w:r>
              <w:rPr>
                <w:b w:val="0"/>
                <w:i w:val="0"/>
                <w:sz w:val="15"/>
              </w:rPr>
              <w:t>PB §6: upstream changes should not be assignments or require consent/notice. AR §9.3: only direct transfer of ≥50% of Tenant voting equity within 12 months (reasonableness); indirect changes excluded.</w:t>
            </w:r>
          </w:p>
        </w:tc>
        <w:tc>
          <w:tcPr>
            <w:tcW w:type="dxa" w:w="2304"/>
          </w:tcPr>
          <w:p>
            <w:pPr>
              <w:spacing w:after="0"/>
            </w:pPr>
            <w:r/>
            <w:r>
              <w:rPr>
                <w:b w:val="0"/>
                <w:i w:val="0"/>
                <w:sz w:val="15"/>
              </w:rPr>
              <w:t>§2.3: upstream change of control must not be an assignment or trigger consent.</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Delete; fallback AR §9.3 (direct ≥50% only, reasonableness standard, tax-equity flips and pledges excluded).</w:t>
            </w:r>
          </w:p>
        </w:tc>
      </w:tr>
      <w:tr>
        <w:tc>
          <w:tcPr>
            <w:tcW w:type="dxa" w:w="432"/>
          </w:tcPr>
          <w:p>
            <w:pPr>
              <w:spacing w:after="0"/>
            </w:pPr>
            <w:r/>
            <w:r>
              <w:rPr>
                <w:b w:val="0"/>
                <w:i w:val="0"/>
                <w:sz w:val="15"/>
              </w:rPr>
              <w:t>30</w:t>
            </w:r>
          </w:p>
        </w:tc>
        <w:tc>
          <w:tcPr>
            <w:tcW w:type="dxa" w:w="1584"/>
          </w:tcPr>
          <w:p>
            <w:pPr>
              <w:spacing w:after="0"/>
            </w:pPr>
            <w:r/>
            <w:r>
              <w:rPr>
                <w:b w:val="0"/>
                <w:i w:val="0"/>
                <w:sz w:val="15"/>
              </w:rPr>
              <w:t>Continuing liability (§10.3)</w:t>
            </w:r>
          </w:p>
        </w:tc>
        <w:tc>
          <w:tcPr>
            <w:tcW w:type="dxa" w:w="2808"/>
          </w:tcPr>
          <w:p>
            <w:pPr>
              <w:spacing w:after="0"/>
            </w:pPr>
            <w:r/>
            <w:r>
              <w:rPr>
                <w:b w:val="0"/>
                <w:i w:val="0"/>
                <w:sz w:val="15"/>
              </w:rPr>
              <w:t>Original Tenant jointly and severally liable for the full Term including extensions after any assignment.</w:t>
            </w:r>
          </w:p>
        </w:tc>
        <w:tc>
          <w:tcPr>
            <w:tcW w:type="dxa" w:w="2808"/>
          </w:tcPr>
          <w:p>
            <w:pPr>
              <w:spacing w:after="0"/>
            </w:pPr>
            <w:r/>
            <w:r>
              <w:rPr>
                <w:b w:val="0"/>
                <w:i w:val="0"/>
                <w:sz w:val="15"/>
              </w:rPr>
              <w:t>PB §6: release on assignment to creditworthy assignee. AR §9.4: full release on assumption by assignee with ≥$25M TNW or guaranty.</w:t>
            </w:r>
          </w:p>
        </w:tc>
        <w:tc>
          <w:tcPr>
            <w:tcW w:type="dxa" w:w="2304"/>
          </w:tcPr>
          <w:p>
            <w:pPr>
              <w:spacing w:after="0"/>
            </w:pPr>
            <w:r/>
            <w:r>
              <w:rPr>
                <w:b w:val="0"/>
                <w:i w:val="0"/>
                <w:sz w:val="15"/>
              </w:rPr>
              <w:t>§2.4: release required; continuing liability not acceptable.</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§9.4.</w:t>
            </w:r>
          </w:p>
        </w:tc>
      </w:tr>
      <w:tr>
        <w:tc>
          <w:tcPr>
            <w:tcW w:type="dxa" w:w="432"/>
          </w:tcPr>
          <w:p>
            <w:pPr>
              <w:spacing w:after="0"/>
            </w:pPr>
            <w:r/>
            <w:r>
              <w:rPr>
                <w:b w:val="0"/>
                <w:i w:val="0"/>
                <w:sz w:val="15"/>
              </w:rPr>
              <w:t>31</w:t>
            </w:r>
          </w:p>
        </w:tc>
        <w:tc>
          <w:tcPr>
            <w:tcW w:type="dxa" w:w="1584"/>
          </w:tcPr>
          <w:p>
            <w:pPr>
              <w:spacing w:after="0"/>
            </w:pPr>
            <w:r/>
            <w:r>
              <w:rPr>
                <w:b w:val="0"/>
                <w:i w:val="0"/>
                <w:sz w:val="15"/>
              </w:rPr>
              <w:t>Assignment fee (§10.4)</w:t>
            </w:r>
          </w:p>
        </w:tc>
        <w:tc>
          <w:tcPr>
            <w:tcW w:type="dxa" w:w="2808"/>
          </w:tcPr>
          <w:p>
            <w:pPr>
              <w:spacing w:after="0"/>
            </w:pPr>
            <w:r/>
            <w:r>
              <w:rPr>
                <w:b w:val="0"/>
                <w:i w:val="0"/>
                <w:sz w:val="15"/>
              </w:rPr>
              <w:t>$25,000 non-refundable fee plus Landlord’s attorneys’/consultant fees for any assignment.</w:t>
            </w:r>
          </w:p>
        </w:tc>
        <w:tc>
          <w:tcPr>
            <w:tcW w:type="dxa" w:w="2808"/>
          </w:tcPr>
          <w:p>
            <w:pPr>
              <w:spacing w:after="0"/>
            </w:pPr>
            <w:r/>
            <w:r>
              <w:rPr>
                <w:b w:val="0"/>
                <w:i w:val="0"/>
                <w:sz w:val="15"/>
              </w:rPr>
              <w:t>AR: none. PB: not addressed.</w:t>
            </w:r>
          </w:p>
        </w:tc>
        <w:tc>
          <w:tcPr>
            <w:tcW w:type="dxa" w:w="2304"/>
          </w:tcPr>
          <w:p>
            <w:pPr>
              <w:spacing w:after="0"/>
            </w:pPr>
            <w:r/>
            <w:r>
              <w:rPr>
                <w:b w:val="0"/>
                <w:i w:val="0"/>
                <w:sz w:val="15"/>
              </w:rPr>
              <w:t>§2.2: no transfer fee, premium or consideration for permitted transfers.</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Delete fee; reimburse reasonable documented out-of-pocket costs for consent-required transfers only (cap, e.g., $5,000).</w:t>
            </w:r>
          </w:p>
        </w:tc>
      </w:tr>
      <w:tr>
        <w:tc>
          <w:tcPr>
            <w:tcW w:type="dxa" w:w="432"/>
          </w:tcPr>
          <w:p>
            <w:pPr>
              <w:spacing w:after="0"/>
            </w:pPr>
            <w:r/>
            <w:r>
              <w:rPr>
                <w:b w:val="0"/>
                <w:i w:val="0"/>
                <w:sz w:val="15"/>
              </w:rPr>
              <w:t>32</w:t>
            </w:r>
          </w:p>
        </w:tc>
        <w:tc>
          <w:tcPr>
            <w:tcW w:type="dxa" w:w="1584"/>
          </w:tcPr>
          <w:p>
            <w:pPr>
              <w:spacing w:after="0"/>
            </w:pPr>
            <w:r/>
            <w:r>
              <w:rPr>
                <w:b w:val="0"/>
                <w:i w:val="0"/>
                <w:sz w:val="15"/>
              </w:rPr>
              <w:t>Lender protections (Art. 17)</w:t>
            </w:r>
          </w:p>
        </w:tc>
        <w:tc>
          <w:tcPr>
            <w:tcW w:type="dxa" w:w="2808"/>
          </w:tcPr>
          <w:p>
            <w:pPr>
              <w:spacing w:after="0"/>
            </w:pPr>
            <w:r/>
            <w:r>
              <w:rPr>
                <w:b w:val="0"/>
                <w:i w:val="0"/>
                <w:sz w:val="15"/>
              </w:rPr>
              <w:t>Estoppel, SNDA, leasehold mortgagee protections and financing cooperation all “Reserved — Intentionally Omitted.”</w:t>
            </w:r>
          </w:p>
        </w:tc>
        <w:tc>
          <w:tcPr>
            <w:tcW w:type="dxa" w:w="2808"/>
          </w:tcPr>
          <w:p>
            <w:pPr>
              <w:spacing w:after="0"/>
            </w:pPr>
            <w:r/>
            <w:r>
              <w:rPr>
                <w:b w:val="0"/>
                <w:i w:val="0"/>
                <w:sz w:val="15"/>
              </w:rPr>
              <w:t>PB §7: all five required; no acceptable omission. AR Art. 10: all provisions, incl. new lease and no amendment without mortgagee consent.</w:t>
            </w:r>
          </w:p>
        </w:tc>
        <w:tc>
          <w:tcPr>
            <w:tcW w:type="dxa" w:w="2304"/>
          </w:tcPr>
          <w:p>
            <w:pPr>
              <w:spacing w:after="0"/>
            </w:pPr>
            <w:r/>
            <w:r>
              <w:rPr>
                <w:b w:val="0"/>
                <w:i w:val="0"/>
                <w:sz w:val="15"/>
              </w:rPr>
              <w:t>§3 (REQUIRED): estoppel in 15 business days with deemed confirmation; SNDA in 15 business days; lender notices; lender cure 60/90 days after Tenant cure + foreclosure period; no termination without lender cure; new lease; cooperation (failure = Landlord default); Landlord counsel fees reimbursed.</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Insert full lender article based on AR Art. 10 with Cascade cure periods (60/90 days after Tenant’s cure period, plus foreclosure extension, ≥180 days), new-lease right, mortgagee consent to amendments/surrender, cooperation covenant, deemed estoppel/SNDA.</w:t>
            </w:r>
          </w:p>
        </w:tc>
      </w:tr>
      <w:tr>
        <w:tc>
          <w:tcPr>
            <w:tcW w:type="dxa" w:w="2808"/>
            <w:gridSpan w:val="7"/>
            <w:shd w:val="clear" w:color="auto" w:fill="D9E1F2"/>
          </w:tcPr>
          <w:p>
            <w:r/>
            <w:r>
              <w:rPr>
                <w:b/>
                <w:sz w:val="17"/>
              </w:rPr>
              <w:t>IMPROVEMENTS AND DECOMMISSIONING</w:t>
            </w:r>
          </w:p>
        </w:tc>
      </w:tr>
      <w:tr>
        <w:tc>
          <w:tcPr>
            <w:tcW w:type="dxa" w:w="432"/>
          </w:tcPr>
          <w:p>
            <w:pPr>
              <w:spacing w:after="0"/>
            </w:pPr>
            <w:r/>
            <w:r>
              <w:rPr>
                <w:b w:val="0"/>
                <w:i w:val="0"/>
                <w:sz w:val="15"/>
              </w:rPr>
              <w:t>33</w:t>
            </w:r>
          </w:p>
        </w:tc>
        <w:tc>
          <w:tcPr>
            <w:tcW w:type="dxa" w:w="1584"/>
          </w:tcPr>
          <w:p>
            <w:pPr>
              <w:spacing w:after="0"/>
            </w:pPr>
            <w:r/>
            <w:r>
              <w:rPr>
                <w:b w:val="0"/>
                <w:i w:val="0"/>
                <w:sz w:val="15"/>
              </w:rPr>
              <w:t>Forfeiture of Improvements on default (§14.3(d))</w:t>
            </w:r>
          </w:p>
        </w:tc>
        <w:tc>
          <w:tcPr>
            <w:tcW w:type="dxa" w:w="2808"/>
          </w:tcPr>
          <w:p>
            <w:pPr>
              <w:spacing w:after="0"/>
            </w:pPr>
            <w:r/>
            <w:r>
              <w:rPr>
                <w:b w:val="0"/>
                <w:i w:val="0"/>
                <w:sz w:val="15"/>
              </w:rPr>
              <w:t>On termination for EoD, all Improvements automatically become Landlord’s property without compensation; irrevocable waiver.</w:t>
            </w:r>
          </w:p>
        </w:tc>
        <w:tc>
          <w:tcPr>
            <w:tcW w:type="dxa" w:w="2808"/>
          </w:tcPr>
          <w:p>
            <w:pPr>
              <w:spacing w:after="0"/>
            </w:pPr>
            <w:r/>
            <w:r>
              <w:rPr>
                <w:b w:val="0"/>
                <w:i w:val="0"/>
                <w:sz w:val="15"/>
              </w:rPr>
              <w:t>PB §9.3: forfeiture “never acceptable,” likely unenforceable penalty. AR §12.4: no seizure/forfeiture for any reason.</w:t>
            </w:r>
          </w:p>
        </w:tc>
        <w:tc>
          <w:tcPr>
            <w:tcW w:type="dxa" w:w="2304"/>
          </w:tcPr>
          <w:p>
            <w:pPr>
              <w:spacing w:after="0"/>
            </w:pPr>
            <w:r/>
            <w:r>
              <w:rPr>
                <w:b w:val="0"/>
                <w:i w:val="0"/>
                <w:sz w:val="15"/>
              </w:rPr>
              <w:t>§5.2: absolute, non-waivable prohibition.</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Delete; insert AR §§11.1–11.3, 12.4.</w:t>
            </w:r>
          </w:p>
        </w:tc>
      </w:tr>
      <w:tr>
        <w:tc>
          <w:tcPr>
            <w:tcW w:type="dxa" w:w="432"/>
          </w:tcPr>
          <w:p>
            <w:pPr>
              <w:spacing w:after="0"/>
            </w:pPr>
            <w:r/>
            <w:r>
              <w:rPr>
                <w:b w:val="0"/>
                <w:i w:val="0"/>
                <w:sz w:val="15"/>
              </w:rPr>
              <w:t>34</w:t>
            </w:r>
          </w:p>
        </w:tc>
        <w:tc>
          <w:tcPr>
            <w:tcW w:type="dxa" w:w="1584"/>
          </w:tcPr>
          <w:p>
            <w:pPr>
              <w:spacing w:after="0"/>
            </w:pPr>
            <w:r/>
            <w:r>
              <w:rPr>
                <w:b w:val="0"/>
                <w:i w:val="0"/>
                <w:sz w:val="15"/>
              </w:rPr>
              <w:t>Ownership on expiry; retention (§§11.2, 12.3(b))</w:t>
            </w:r>
          </w:p>
        </w:tc>
        <w:tc>
          <w:tcPr>
            <w:tcW w:type="dxa" w:w="2808"/>
          </w:tcPr>
          <w:p>
            <w:pPr>
              <w:spacing w:after="0"/>
            </w:pPr>
            <w:r/>
            <w:r>
              <w:rPr>
                <w:b w:val="0"/>
                <w:i w:val="0"/>
                <w:sz w:val="15"/>
              </w:rPr>
              <w:t>Improvements left after the 6-month Decommissioning Period vest in Landlord; Landlord may elect to retain Improvements on late decommissioning; no lender access period.</w:t>
            </w:r>
          </w:p>
        </w:tc>
        <w:tc>
          <w:tcPr>
            <w:tcW w:type="dxa" w:w="2808"/>
          </w:tcPr>
          <w:p>
            <w:pPr>
              <w:spacing w:after="0"/>
            </w:pPr>
            <w:r/>
            <w:r>
              <w:rPr>
                <w:b w:val="0"/>
                <w:i w:val="0"/>
                <w:sz w:val="15"/>
              </w:rPr>
              <w:t>PB §9.3: Tenant retains ownership; Landlord option to require abandonment in place acceptable. AR §§11.1, 14.1: Tenant owns at all times; 18 months to remove.</w:t>
            </w:r>
          </w:p>
        </w:tc>
        <w:tc>
          <w:tcPr>
            <w:tcW w:type="dxa" w:w="2304"/>
          </w:tcPr>
          <w:p>
            <w:pPr>
              <w:spacing w:after="0"/>
            </w:pPr>
            <w:r/>
            <w:r>
              <w:rPr>
                <w:b w:val="0"/>
                <w:i w:val="0"/>
                <w:sz w:val="15"/>
              </w:rPr>
              <w:t>§5.1–5.4: Tenant ownership during and after Term; right to remove; lender 12-month access to remove collateral.</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Tenant/lender ownership at all times; removal right for 18 months; Landlord may elect (by notice) to keep specified roads/fencing in place; 12-month lender access (Cascade §5.4).</w:t>
            </w:r>
          </w:p>
        </w:tc>
      </w:tr>
      <w:tr>
        <w:tc>
          <w:tcPr>
            <w:tcW w:type="dxa" w:w="432"/>
          </w:tcPr>
          <w:p>
            <w:pPr>
              <w:spacing w:after="0"/>
            </w:pPr>
            <w:r/>
            <w:r>
              <w:rPr>
                <w:b w:val="0"/>
                <w:i w:val="0"/>
                <w:sz w:val="15"/>
              </w:rPr>
              <w:t>35</w:t>
            </w:r>
          </w:p>
        </w:tc>
        <w:tc>
          <w:tcPr>
            <w:tcW w:type="dxa" w:w="1584"/>
          </w:tcPr>
          <w:p>
            <w:pPr>
              <w:spacing w:after="0"/>
            </w:pPr>
            <w:r/>
            <w:r>
              <w:rPr>
                <w:b w:val="0"/>
                <w:i w:val="0"/>
                <w:sz w:val="15"/>
              </w:rPr>
              <w:t>UCC / landlord lien (absent)</w:t>
            </w:r>
          </w:p>
        </w:tc>
        <w:tc>
          <w:tcPr>
            <w:tcW w:type="dxa" w:w="2808"/>
          </w:tcPr>
          <w:p>
            <w:pPr>
              <w:spacing w:after="0"/>
            </w:pPr>
            <w:r/>
            <w:r>
              <w:rPr>
                <w:b w:val="0"/>
                <w:i w:val="0"/>
                <w:sz w:val="15"/>
              </w:rPr>
              <w:t>No acknowledgment that Improvements are personal property for UCC purposes; no lien waiver.</w:t>
            </w:r>
          </w:p>
        </w:tc>
        <w:tc>
          <w:tcPr>
            <w:tcW w:type="dxa" w:w="2808"/>
          </w:tcPr>
          <w:p>
            <w:pPr>
              <w:spacing w:after="0"/>
            </w:pPr>
            <w:r/>
            <w:r>
              <w:rPr>
                <w:b w:val="0"/>
                <w:i w:val="0"/>
                <w:sz w:val="15"/>
              </w:rPr>
              <w:t>AR §§11.2–11.3: lien and distraint waiver; cooperation with filings.</w:t>
            </w:r>
          </w:p>
        </w:tc>
        <w:tc>
          <w:tcPr>
            <w:tcW w:type="dxa" w:w="2304"/>
          </w:tcPr>
          <w:p>
            <w:pPr>
              <w:spacing w:after="0"/>
            </w:pPr>
            <w:r/>
            <w:r>
              <w:rPr>
                <w:b w:val="0"/>
                <w:i w:val="0"/>
                <w:sz w:val="15"/>
              </w:rPr>
              <w:t>§5.5: consent to UCC fixture filings; waiver of landlord’s lien.</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Insert AR §§11.2–11.3 and Cascade §5.5 consent.</w:t>
            </w:r>
          </w:p>
        </w:tc>
      </w:tr>
      <w:tr>
        <w:tc>
          <w:tcPr>
            <w:tcW w:type="dxa" w:w="432"/>
          </w:tcPr>
          <w:p>
            <w:pPr>
              <w:spacing w:after="0"/>
            </w:pPr>
            <w:r/>
            <w:r>
              <w:rPr>
                <w:b w:val="0"/>
                <w:i w:val="0"/>
                <w:sz w:val="15"/>
              </w:rPr>
              <w:t>36</w:t>
            </w:r>
          </w:p>
        </w:tc>
        <w:tc>
          <w:tcPr>
            <w:tcW w:type="dxa" w:w="1584"/>
          </w:tcPr>
          <w:p>
            <w:pPr>
              <w:spacing w:after="0"/>
            </w:pPr>
            <w:r/>
            <w:r>
              <w:rPr>
                <w:b w:val="0"/>
                <w:i w:val="0"/>
                <w:sz w:val="15"/>
              </w:rPr>
              <w:t>Decommissioning scope and period (§12.1)</w:t>
            </w:r>
          </w:p>
        </w:tc>
        <w:tc>
          <w:tcPr>
            <w:tcW w:type="dxa" w:w="2808"/>
          </w:tcPr>
          <w:p>
            <w:pPr>
              <w:spacing w:after="0"/>
            </w:pPr>
            <w:r/>
            <w:r>
              <w:rPr>
                <w:b w:val="0"/>
                <w:i w:val="0"/>
                <w:sz w:val="15"/>
              </w:rPr>
              <w:t>Restore to “original condition” as of Effective Date; remove foundations/cables to 4 ft; remove all roads/gravel; recontour/revegetate; 6 months.</w:t>
            </w:r>
          </w:p>
        </w:tc>
        <w:tc>
          <w:tcPr>
            <w:tcW w:type="dxa" w:w="2808"/>
          </w:tcPr>
          <w:p>
            <w:pPr>
              <w:spacing w:after="0"/>
            </w:pPr>
            <w:r/>
            <w:r>
              <w:rPr>
                <w:b w:val="0"/>
                <w:i w:val="0"/>
                <w:sz w:val="15"/>
              </w:rPr>
              <w:t>PB §10: 12–18 months (≥12). AR §§14.1–14.2: 18 months (+FM/permitting/seasonal); restore to reasonably comparable condition allowing wear and permitted grading; 36-inch depth; deeper cable may remain.</w:t>
            </w:r>
          </w:p>
        </w:tc>
        <w:tc>
          <w:tcPr>
            <w:tcW w:type="dxa" w:w="2304"/>
          </w:tcPr>
          <w:p>
            <w:pPr>
              <w:spacing w:after="0"/>
            </w:pPr>
            <w:r/>
            <w:r>
              <w:rPr>
                <w:b w:val="0"/>
                <w:i w:val="0"/>
                <w:sz w:val="15"/>
              </w:rPr>
              <w:t>§6: removal period ≥12 months.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§§14.1–14.2 (18 months; 36 inches unless CUP requires more; Landlord may elect to keep roads); conform to CUP decommissioning plan.</w:t>
            </w:r>
          </w:p>
        </w:tc>
      </w:tr>
      <w:tr>
        <w:tc>
          <w:tcPr>
            <w:tcW w:type="dxa" w:w="432"/>
          </w:tcPr>
          <w:p>
            <w:pPr>
              <w:spacing w:after="0"/>
            </w:pPr>
            <w:r/>
            <w:r>
              <w:rPr>
                <w:b w:val="0"/>
                <w:i w:val="0"/>
                <w:sz w:val="15"/>
              </w:rPr>
              <w:t>37</w:t>
            </w:r>
          </w:p>
        </w:tc>
        <w:tc>
          <w:tcPr>
            <w:tcW w:type="dxa" w:w="1584"/>
          </w:tcPr>
          <w:p>
            <w:pPr>
              <w:spacing w:after="0"/>
            </w:pPr>
            <w:r/>
            <w:r>
              <w:rPr>
                <w:b w:val="0"/>
                <w:i w:val="0"/>
                <w:sz w:val="15"/>
              </w:rPr>
              <w:t>Decommissioning security (§12.2)</w:t>
            </w:r>
          </w:p>
        </w:tc>
        <w:tc>
          <w:tcPr>
            <w:tcW w:type="dxa" w:w="2808"/>
          </w:tcPr>
          <w:p>
            <w:pPr>
              <w:spacing w:after="0"/>
            </w:pPr>
            <w:r/>
            <w:r>
              <w:rPr>
                <w:b w:val="0"/>
                <w:i w:val="0"/>
                <w:sz w:val="15"/>
              </w:rPr>
              <w:t>Surety bond at 150% of estimate, posted by 5th anniversary of Commencement; estimate by Landlord-designated Aldersgate Engineering Associates (sole discretion), re-evaluated every 3 years; Tenant pays consultant; no right to contest; no salvage credit.</w:t>
            </w:r>
          </w:p>
        </w:tc>
        <w:tc>
          <w:tcPr>
            <w:tcW w:type="dxa" w:w="2808"/>
          </w:tcPr>
          <w:p>
            <w:pPr>
              <w:spacing w:after="0"/>
            </w:pPr>
            <w:r/>
            <w:r>
              <w:rPr>
                <w:b w:val="0"/>
                <w:i w:val="0"/>
                <w:sz w:val="15"/>
              </w:rPr>
              <w:t>PB §10: 100% (≤110%), not before Year 10, mutually agreed PE, update every 5 years, Tenant participates in estimate. AR §14.3: 100%, Year 10, mutual engineer, net of salvage, 5-yr updates, bond or LOC at Tenant’s election, corporate guaranty option.</w:t>
            </w:r>
          </w:p>
        </w:tc>
        <w:tc>
          <w:tcPr>
            <w:tcW w:type="dxa" w:w="2304"/>
          </w:tcPr>
          <w:p>
            <w:pPr>
              <w:spacing w:after="0"/>
            </w:pPr>
            <w:r/>
            <w:r>
              <w:rPr>
                <w:b w:val="0"/>
                <w:i w:val="0"/>
                <w:sz w:val="15"/>
              </w:rPr>
              <w:t>§6: ≤100% of estimated net cost (net of salvage) by mutually agreed independent engineer; not earlier than Year 10.</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§14.3. Illustration: $30k–$50k/MW × 150 MW = $4.5–$7.5M gross; Draft 150% of high case = $11.25M posted at Year 5.</w:t>
            </w:r>
          </w:p>
        </w:tc>
      </w:tr>
      <w:tr>
        <w:tc>
          <w:tcPr>
            <w:tcW w:type="dxa" w:w="432"/>
          </w:tcPr>
          <w:p>
            <w:pPr>
              <w:spacing w:after="0"/>
            </w:pPr>
            <w:r/>
            <w:r>
              <w:rPr>
                <w:b w:val="0"/>
                <w:i w:val="0"/>
                <w:sz w:val="15"/>
              </w:rPr>
              <w:t>38</w:t>
            </w:r>
          </w:p>
        </w:tc>
        <w:tc>
          <w:tcPr>
            <w:tcW w:type="dxa" w:w="1584"/>
          </w:tcPr>
          <w:p>
            <w:pPr>
              <w:spacing w:after="0"/>
            </w:pPr>
            <w:r/>
            <w:r>
              <w:rPr>
                <w:b w:val="0"/>
                <w:i w:val="0"/>
                <w:sz w:val="15"/>
              </w:rPr>
              <w:t>Failure to decommission (§12.3)</w:t>
            </w:r>
          </w:p>
        </w:tc>
        <w:tc>
          <w:tcPr>
            <w:tcW w:type="dxa" w:w="2808"/>
          </w:tcPr>
          <w:p>
            <w:pPr>
              <w:spacing w:after="0"/>
            </w:pPr>
            <w:r/>
            <w:r>
              <w:rPr>
                <w:b w:val="0"/>
                <w:i w:val="0"/>
                <w:sz w:val="15"/>
              </w:rPr>
              <w:t>Without notice, Landlord may decommission and charge 200% of actual cost as LDs and/or keep Improvements.</w:t>
            </w:r>
          </w:p>
        </w:tc>
        <w:tc>
          <w:tcPr>
            <w:tcW w:type="dxa" w:w="2808"/>
          </w:tcPr>
          <w:p>
            <w:pPr>
              <w:spacing w:after="0"/>
            </w:pPr>
            <w:r/>
            <w:r>
              <w:rPr>
                <w:b w:val="0"/>
                <w:i w:val="0"/>
                <w:sz w:val="15"/>
              </w:rPr>
              <w:t>PB §10: actual documented cost + 10%–15%; 200% punitive and likely unenforceable (Civ. Code §1671). AR §14.4: 60 days’ notice to Tenant and mortgagees, draw on security for actual cost + 10%, excess returned.</w:t>
            </w:r>
          </w:p>
        </w:tc>
        <w:tc>
          <w:tcPr>
            <w:tcW w:type="dxa" w:w="2304"/>
          </w:tcPr>
          <w:p>
            <w:pPr>
              <w:spacing w:after="0"/>
            </w:pPr>
            <w:r/>
            <w:r>
              <w:rPr>
                <w:b w:val="0"/>
                <w:i w:val="0"/>
                <w:sz w:val="15"/>
              </w:rPr>
              <w:t>Indirect (no early cash traps; no forfeiture).</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§14.4.</w:t>
            </w:r>
          </w:p>
        </w:tc>
      </w:tr>
      <w:tr>
        <w:tc>
          <w:tcPr>
            <w:tcW w:type="dxa" w:w="2808"/>
            <w:gridSpan w:val="7"/>
            <w:shd w:val="clear" w:color="auto" w:fill="D9E1F2"/>
          </w:tcPr>
          <w:p>
            <w:r/>
            <w:r>
              <w:rPr>
                <w:b/>
                <w:sz w:val="17"/>
              </w:rPr>
              <w:t>RISK ALLOCATION</w:t>
            </w:r>
          </w:p>
        </w:tc>
      </w:tr>
      <w:tr>
        <w:tc>
          <w:tcPr>
            <w:tcW w:type="dxa" w:w="432"/>
          </w:tcPr>
          <w:p>
            <w:pPr>
              <w:spacing w:after="0"/>
            </w:pPr>
            <w:r/>
            <w:r>
              <w:rPr>
                <w:b w:val="0"/>
                <w:i w:val="0"/>
                <w:sz w:val="15"/>
              </w:rPr>
              <w:t>39</w:t>
            </w:r>
          </w:p>
        </w:tc>
        <w:tc>
          <w:tcPr>
            <w:tcW w:type="dxa" w:w="1584"/>
          </w:tcPr>
          <w:p>
            <w:pPr>
              <w:spacing w:after="0"/>
            </w:pPr>
            <w:r/>
            <w:r>
              <w:rPr>
                <w:b w:val="0"/>
                <w:i w:val="0"/>
                <w:sz w:val="15"/>
              </w:rPr>
              <w:t>Indemnity and limitation of liability (§§13.1–13.3)</w:t>
            </w:r>
          </w:p>
        </w:tc>
        <w:tc>
          <w:tcPr>
            <w:tcW w:type="dxa" w:w="2808"/>
          </w:tcPr>
          <w:p>
            <w:pPr>
              <w:spacing w:after="0"/>
            </w:pPr>
            <w:r/>
            <w:r>
              <w:rPr>
                <w:b w:val="0"/>
                <w:i w:val="0"/>
                <w:sz w:val="15"/>
              </w:rPr>
              <w:t>One-way Tenant indemnity (incl. for any breach) with no carve-out for Landlord negligence/willful misconduct; Landlord gives no indemnity; consequential-damages waiver protects Landlord only.</w:t>
            </w:r>
          </w:p>
        </w:tc>
        <w:tc>
          <w:tcPr>
            <w:tcW w:type="dxa" w:w="2808"/>
          </w:tcPr>
          <w:p>
            <w:pPr>
              <w:spacing w:after="0"/>
            </w:pPr>
            <w:r/>
            <w:r>
              <w:rPr>
                <w:b w:val="0"/>
                <w:i w:val="0"/>
                <w:sz w:val="15"/>
              </w:rPr>
              <w:t>AR §§17.1–17.3: mutual indemnities with negligence carve-outs; mutual consequential-damages waiver with carve-outs (indemnity, forfeiture prohibition, decommissioning, gross negligence). PB: not addressed.</w:t>
            </w:r>
          </w:p>
        </w:tc>
        <w:tc>
          <w:tcPr>
            <w:tcW w:type="dxa" w:w="2304"/>
          </w:tcPr>
          <w:p>
            <w:pPr>
              <w:spacing w:after="0"/>
            </w:pPr>
            <w:r/>
            <w:r>
              <w:rPr>
                <w:b w:val="0"/>
                <w:i w:val="0"/>
                <w:sz w:val="15"/>
              </w:rPr>
              <w:t>Not addressed.</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AR Article 17 (mutual).</w:t>
            </w:r>
          </w:p>
        </w:tc>
      </w:tr>
      <w:tr>
        <w:tc>
          <w:tcPr>
            <w:tcW w:type="dxa" w:w="432"/>
          </w:tcPr>
          <w:p>
            <w:pPr>
              <w:spacing w:after="0"/>
            </w:pPr>
            <w:r/>
            <w:r>
              <w:rPr>
                <w:b w:val="0"/>
                <w:i w:val="0"/>
                <w:sz w:val="15"/>
              </w:rPr>
              <w:t>40</w:t>
            </w:r>
          </w:p>
        </w:tc>
        <w:tc>
          <w:tcPr>
            <w:tcW w:type="dxa" w:w="1584"/>
          </w:tcPr>
          <w:p>
            <w:pPr>
              <w:spacing w:after="0"/>
            </w:pPr>
            <w:r/>
            <w:r>
              <w:rPr>
                <w:b w:val="0"/>
                <w:i w:val="0"/>
                <w:sz w:val="15"/>
              </w:rPr>
              <w:t>Environmental condition (§§2.3, 18.2–18.3)</w:t>
            </w:r>
          </w:p>
        </w:tc>
        <w:tc>
          <w:tcPr>
            <w:tcW w:type="dxa" w:w="2808"/>
          </w:tcPr>
          <w:p>
            <w:pPr>
              <w:spacing w:after="0"/>
            </w:pPr>
            <w:r/>
            <w:r>
              <w:rPr>
                <w:b w:val="0"/>
                <w:i w:val="0"/>
                <w:sz w:val="15"/>
              </w:rPr>
              <w:t>As-is; Tenant waives claims re condition; Tenant accepts all pre-existing contamination; no Landlord environmental rep or indemnity.</w:t>
            </w:r>
          </w:p>
        </w:tc>
        <w:tc>
          <w:tcPr>
            <w:tcW w:type="dxa" w:w="2808"/>
          </w:tcPr>
          <w:p>
            <w:pPr>
              <w:spacing w:after="0"/>
            </w:pPr>
            <w:r/>
            <w:r>
              <w:rPr>
                <w:b w:val="0"/>
                <w:i w:val="0"/>
                <w:sz w:val="15"/>
              </w:rPr>
              <w:t>PB §13.4: Landlord responsible for pre-existing contamination; baseline Phase I (Phase II if warranted) before execution. AR §§15.1(d), 16.3: Landlord knowledge rep and indemnity for pre-existing conditions.</w:t>
            </w:r>
          </w:p>
        </w:tc>
        <w:tc>
          <w:tcPr>
            <w:tcW w:type="dxa" w:w="2304"/>
          </w:tcPr>
          <w:p>
            <w:pPr>
              <w:spacing w:after="0"/>
            </w:pPr>
            <w:r/>
            <w:r>
              <w:rPr>
                <w:b w:val="0"/>
                <w:i w:val="0"/>
                <w:sz w:val="15"/>
              </w:rPr>
              <w:t>§6: Landlord rep of no environmental claims.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Baseline Phase I ESA before execution; Landlord rep (knowledge) and indemnity for pre-existing conditions; Tenant indemnity limited to Tenant-introduced contamination (§18.2 10-yr survival acceptable).</w:t>
            </w:r>
          </w:p>
        </w:tc>
      </w:tr>
      <w:tr>
        <w:tc>
          <w:tcPr>
            <w:tcW w:type="dxa" w:w="432"/>
          </w:tcPr>
          <w:p>
            <w:pPr>
              <w:spacing w:after="0"/>
            </w:pPr>
            <w:r/>
            <w:r>
              <w:rPr>
                <w:b w:val="0"/>
                <w:i w:val="0"/>
                <w:sz w:val="15"/>
              </w:rPr>
              <w:t>41</w:t>
            </w:r>
          </w:p>
        </w:tc>
        <w:tc>
          <w:tcPr>
            <w:tcW w:type="dxa" w:w="1584"/>
          </w:tcPr>
          <w:p>
            <w:pPr>
              <w:spacing w:after="0"/>
            </w:pPr>
            <w:r/>
            <w:r>
              <w:rPr>
                <w:b w:val="0"/>
                <w:i w:val="0"/>
                <w:sz w:val="15"/>
              </w:rPr>
              <w:t>Landlord representations (§19.1)</w:t>
            </w:r>
          </w:p>
        </w:tc>
        <w:tc>
          <w:tcPr>
            <w:tcW w:type="dxa" w:w="2808"/>
          </w:tcPr>
          <w:p>
            <w:pPr>
              <w:spacing w:after="0"/>
            </w:pPr>
            <w:r/>
            <w:r>
              <w:rPr>
                <w:b w:val="0"/>
                <w:i w:val="0"/>
                <w:sz w:val="15"/>
              </w:rPr>
              <w:t>Fee title “subject to all easements … and encumbrances of record”; no reps on hazardous materials, existing leases/options/mineral leases, legal access, or liens.</w:t>
            </w:r>
          </w:p>
        </w:tc>
        <w:tc>
          <w:tcPr>
            <w:tcW w:type="dxa" w:w="2808"/>
          </w:tcPr>
          <w:p>
            <w:pPr>
              <w:spacing w:after="0"/>
            </w:pPr>
            <w:r/>
            <w:r>
              <w:rPr>
                <w:b w:val="0"/>
                <w:i w:val="0"/>
                <w:sz w:val="15"/>
              </w:rPr>
              <w:t>AR §15.1: title free of interfering encumbrances subject to scheduled Permitted Exceptions; environmental knowledge rep; no condemnation; legal access; no third-party leases/options.</w:t>
            </w:r>
          </w:p>
        </w:tc>
        <w:tc>
          <w:tcPr>
            <w:tcW w:type="dxa" w:w="2304"/>
          </w:tcPr>
          <w:p>
            <w:pPr>
              <w:spacing w:after="0"/>
            </w:pPr>
            <w:r/>
            <w:r>
              <w:rPr>
                <w:b w:val="0"/>
                <w:i w:val="0"/>
                <w:sz w:val="15"/>
              </w:rPr>
              <w:t>§6: title free of interfering encumbrances; authority; no conflicts; no condemnation, environmental claims or liens.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§15.1 plus express rep that no mineral, oil and gas, agricultural or other lease, option or surface-use right affecting the Premises has been granted or is under negotiation (or disclose).</w:t>
            </w:r>
          </w:p>
        </w:tc>
      </w:tr>
      <w:tr>
        <w:tc>
          <w:tcPr>
            <w:tcW w:type="dxa" w:w="2808"/>
            <w:gridSpan w:val="7"/>
            <w:shd w:val="clear" w:color="auto" w:fill="D9E1F2"/>
          </w:tcPr>
          <w:p>
            <w:r/>
            <w:r>
              <w:rPr>
                <w:b/>
                <w:sz w:val="17"/>
              </w:rPr>
              <w:t>DEFAULT, REMEDIES AND TERMINATION</w:t>
            </w:r>
          </w:p>
        </w:tc>
      </w:tr>
      <w:tr>
        <w:tc>
          <w:tcPr>
            <w:tcW w:type="dxa" w:w="432"/>
          </w:tcPr>
          <w:p>
            <w:pPr>
              <w:spacing w:after="0"/>
            </w:pPr>
            <w:r/>
            <w:r>
              <w:rPr>
                <w:b w:val="0"/>
                <w:i w:val="0"/>
                <w:sz w:val="15"/>
              </w:rPr>
              <w:t>42</w:t>
            </w:r>
          </w:p>
        </w:tc>
        <w:tc>
          <w:tcPr>
            <w:tcW w:type="dxa" w:w="1584"/>
          </w:tcPr>
          <w:p>
            <w:pPr>
              <w:spacing w:after="0"/>
            </w:pPr>
            <w:r/>
            <w:r>
              <w:rPr>
                <w:b w:val="0"/>
                <w:i w:val="0"/>
                <w:sz w:val="15"/>
              </w:rPr>
              <w:t>Events of Default (§14.1)</w:t>
            </w:r>
          </w:p>
        </w:tc>
        <w:tc>
          <w:tcPr>
            <w:tcW w:type="dxa" w:w="2808"/>
          </w:tcPr>
          <w:p>
            <w:pPr>
              <w:spacing w:after="0"/>
            </w:pPr>
            <w:r/>
            <w:r>
              <w:rPr>
                <w:b w:val="0"/>
                <w:i w:val="0"/>
                <w:sz w:val="15"/>
              </w:rPr>
              <w:t>Payment failure “when due” is an EoD; any non-monetary failure; involuntary bankruptcy not dismissed in 60 days; failure to meet construction deadline; abandonment 90 days with no carve-outs; misrepresentation.</w:t>
            </w:r>
          </w:p>
        </w:tc>
        <w:tc>
          <w:tcPr>
            <w:tcW w:type="dxa" w:w="2808"/>
          </w:tcPr>
          <w:p>
            <w:pPr>
              <w:spacing w:after="0"/>
            </w:pPr>
            <w:r/>
            <w:r>
              <w:rPr>
                <w:b w:val="0"/>
                <w:i w:val="0"/>
                <w:sz w:val="15"/>
              </w:rPr>
              <w:t>AR §12.1: EoD only after notice and cure; bankruptcy 90 days; abandonment 12 months excluding FM, maintenance, repowering. PB §8.</w:t>
            </w:r>
          </w:p>
        </w:tc>
        <w:tc>
          <w:tcPr>
            <w:tcW w:type="dxa" w:w="2304"/>
          </w:tcPr>
          <w:p>
            <w:pPr>
              <w:spacing w:after="0"/>
            </w:pPr>
            <w:r/>
            <w:r>
              <w:rPr>
                <w:b w:val="0"/>
                <w:i w:val="0"/>
                <w:sz w:val="15"/>
              </w:rPr>
              <w:t>§4: notice and cure before any remedy.</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§12.1; delete §14.1(e); abandonment ≥12 months with carve-outs (including pre-construction interconnection wait).</w:t>
            </w:r>
          </w:p>
        </w:tc>
      </w:tr>
      <w:tr>
        <w:tc>
          <w:tcPr>
            <w:tcW w:type="dxa" w:w="432"/>
          </w:tcPr>
          <w:p>
            <w:pPr>
              <w:spacing w:after="0"/>
            </w:pPr>
            <w:r/>
            <w:r>
              <w:rPr>
                <w:b w:val="0"/>
                <w:i w:val="0"/>
                <w:sz w:val="15"/>
              </w:rPr>
              <w:t>43</w:t>
            </w:r>
          </w:p>
        </w:tc>
        <w:tc>
          <w:tcPr>
            <w:tcW w:type="dxa" w:w="1584"/>
          </w:tcPr>
          <w:p>
            <w:pPr>
              <w:spacing w:after="0"/>
            </w:pPr>
            <w:r/>
            <w:r>
              <w:rPr>
                <w:b w:val="0"/>
                <w:i w:val="0"/>
                <w:sz w:val="15"/>
              </w:rPr>
              <w:t>Cure periods (§14.2)</w:t>
            </w:r>
          </w:p>
        </w:tc>
        <w:tc>
          <w:tcPr>
            <w:tcW w:type="dxa" w:w="2808"/>
          </w:tcPr>
          <w:p>
            <w:pPr>
              <w:spacing w:after="0"/>
            </w:pPr>
            <w:r/>
            <w:r>
              <w:rPr>
                <w:b w:val="0"/>
                <w:i w:val="0"/>
                <w:sz w:val="15"/>
              </w:rPr>
              <w:t>15 calendar days for all defaults, monetary or non-monetary; no extension for diligent cure; no lender cure.</w:t>
            </w:r>
          </w:p>
        </w:tc>
        <w:tc>
          <w:tcPr>
            <w:tcW w:type="dxa" w:w="2808"/>
          </w:tcPr>
          <w:p>
            <w:pPr>
              <w:spacing w:after="0"/>
            </w:pPr>
            <w:r/>
            <w:r>
              <w:rPr>
                <w:b w:val="0"/>
                <w:i w:val="0"/>
                <w:sz w:val="15"/>
              </w:rPr>
              <w:t>PB §8: 30 days monetary / 60 days non-monetary, extendable (to 120 days total per Market Standard; AR allows 60 + 120 = 180); 15 days “unacceptable under any circumstances.” AR §12.1.</w:t>
            </w:r>
          </w:p>
        </w:tc>
        <w:tc>
          <w:tcPr>
            <w:tcW w:type="dxa" w:w="2304"/>
          </w:tcPr>
          <w:p>
            <w:pPr>
              <w:spacing w:after="0"/>
            </w:pPr>
            <w:r/>
            <w:r>
              <w:rPr>
                <w:b w:val="0"/>
                <w:i w:val="0"/>
                <w:sz w:val="15"/>
              </w:rPr>
              <w:t>§4.1 (REQUIRED): ≥30/≥60 days with extension; plus lender cure periods.</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30 days monetary / 60 days non-monetary extendable up to 180 days total with diligent pursuit (AR); lender cure per Cascade §3.3.</w:t>
            </w:r>
          </w:p>
        </w:tc>
      </w:tr>
      <w:tr>
        <w:tc>
          <w:tcPr>
            <w:tcW w:type="dxa" w:w="432"/>
          </w:tcPr>
          <w:p>
            <w:pPr>
              <w:spacing w:after="0"/>
            </w:pPr>
            <w:r/>
            <w:r>
              <w:rPr>
                <w:b w:val="0"/>
                <w:i w:val="0"/>
                <w:sz w:val="15"/>
              </w:rPr>
              <w:t>44</w:t>
            </w:r>
          </w:p>
        </w:tc>
        <w:tc>
          <w:tcPr>
            <w:tcW w:type="dxa" w:w="1584"/>
          </w:tcPr>
          <w:p>
            <w:pPr>
              <w:spacing w:after="0"/>
            </w:pPr>
            <w:r/>
            <w:r>
              <w:rPr>
                <w:b w:val="0"/>
                <w:i w:val="0"/>
                <w:sz w:val="15"/>
              </w:rPr>
              <w:t>Landlord remedies (§14.3)</w:t>
            </w:r>
          </w:p>
        </w:tc>
        <w:tc>
          <w:tcPr>
            <w:tcW w:type="dxa" w:w="2808"/>
          </w:tcPr>
          <w:p>
            <w:pPr>
              <w:spacing w:after="0"/>
            </w:pPr>
            <w:r/>
            <w:r>
              <w:rPr>
                <w:b w:val="0"/>
                <w:i w:val="0"/>
                <w:sz w:val="15"/>
              </w:rPr>
              <w:t>Termination; re-entry “with or without process of law”; security application; forfeiture; accelerated Rent for remainder of Term plus Extension Term Landlord deems likely, discounted at 5%, credit only for amounts actually received on reletting.</w:t>
            </w:r>
          </w:p>
        </w:tc>
        <w:tc>
          <w:tcPr>
            <w:tcW w:type="dxa" w:w="2808"/>
          </w:tcPr>
          <w:p>
            <w:pPr>
              <w:spacing w:after="0"/>
            </w:pPr>
            <w:r/>
            <w:r>
              <w:rPr>
                <w:b w:val="0"/>
                <w:i w:val="0"/>
                <w:sz w:val="15"/>
              </w:rPr>
              <w:t>AR §12.2: termination on 30 days’ notice after all cure periods incl. lender; damages at law under California law; no forfeiture.</w:t>
            </w:r>
          </w:p>
        </w:tc>
        <w:tc>
          <w:tcPr>
            <w:tcW w:type="dxa" w:w="2304"/>
          </w:tcPr>
          <w:p>
            <w:pPr>
              <w:spacing w:after="0"/>
            </w:pPr>
            <w:r/>
            <w:r>
              <w:rPr>
                <w:b w:val="0"/>
                <w:i w:val="0"/>
                <w:sz w:val="15"/>
              </w:rPr>
              <w:t>§3.3(e), §4.2: no remedy against leasehold without lender notice/cure.</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§12.2; damages limited to Civ. Code §1951.2 measure; no self-help; no acceleration of Extension Term rent; delete forfeiture.</w:t>
            </w:r>
          </w:p>
        </w:tc>
      </w:tr>
      <w:tr>
        <w:tc>
          <w:tcPr>
            <w:tcW w:type="dxa" w:w="432"/>
          </w:tcPr>
          <w:p>
            <w:pPr>
              <w:spacing w:after="0"/>
            </w:pPr>
            <w:r/>
            <w:r>
              <w:rPr>
                <w:b w:val="0"/>
                <w:i w:val="0"/>
                <w:sz w:val="15"/>
              </w:rPr>
              <w:t>45</w:t>
            </w:r>
          </w:p>
        </w:tc>
        <w:tc>
          <w:tcPr>
            <w:tcW w:type="dxa" w:w="1584"/>
          </w:tcPr>
          <w:p>
            <w:pPr>
              <w:spacing w:after="0"/>
            </w:pPr>
            <w:r/>
            <w:r>
              <w:rPr>
                <w:b w:val="0"/>
                <w:i w:val="0"/>
                <w:sz w:val="15"/>
              </w:rPr>
              <w:t>Landlord termination rights (§15.1)</w:t>
            </w:r>
          </w:p>
        </w:tc>
        <w:tc>
          <w:tcPr>
            <w:tcW w:type="dxa" w:w="2808"/>
          </w:tcPr>
          <w:p>
            <w:pPr>
              <w:spacing w:after="0"/>
            </w:pPr>
            <w:r/>
            <w:r>
              <w:rPr>
                <w:b w:val="0"/>
                <w:i w:val="0"/>
                <w:sz w:val="15"/>
              </w:rPr>
              <w:t>Termination for missed construction deadline, 90-day abandonment, or any uncured EoD.</w:t>
            </w:r>
          </w:p>
        </w:tc>
        <w:tc>
          <w:tcPr>
            <w:tcW w:type="dxa" w:w="2808"/>
          </w:tcPr>
          <w:p>
            <w:pPr>
              <w:spacing w:after="0"/>
            </w:pPr>
            <w:r/>
            <w:r>
              <w:rPr>
                <w:b w:val="0"/>
                <w:i w:val="0"/>
                <w:sz w:val="15"/>
              </w:rPr>
              <w:t>PB §9.1: only for uncured material default after Tenant and lender cure; never while lender diligently curing.</w:t>
            </w:r>
          </w:p>
        </w:tc>
        <w:tc>
          <w:tcPr>
            <w:tcW w:type="dxa" w:w="2304"/>
          </w:tcPr>
          <w:p>
            <w:pPr>
              <w:spacing w:after="0"/>
            </w:pPr>
            <w:r/>
            <w:r>
              <w:rPr>
                <w:b w:val="0"/>
                <w:i w:val="0"/>
                <w:sz w:val="15"/>
              </w:rPr>
              <w:t>§3.3(e), §4.4.</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Limit to uncured monetary default and material non-monetary default after Tenant and lender cure periods, plus revised construction-deadline right.</w:t>
            </w:r>
          </w:p>
        </w:tc>
      </w:tr>
      <w:tr>
        <w:tc>
          <w:tcPr>
            <w:tcW w:type="dxa" w:w="432"/>
          </w:tcPr>
          <w:p>
            <w:pPr>
              <w:spacing w:after="0"/>
            </w:pPr>
            <w:r/>
            <w:r>
              <w:rPr>
                <w:b w:val="0"/>
                <w:i w:val="0"/>
                <w:sz w:val="15"/>
              </w:rPr>
              <w:t>46</w:t>
            </w:r>
          </w:p>
        </w:tc>
        <w:tc>
          <w:tcPr>
            <w:tcW w:type="dxa" w:w="1584"/>
          </w:tcPr>
          <w:p>
            <w:pPr>
              <w:spacing w:after="0"/>
            </w:pPr>
            <w:r/>
            <w:r>
              <w:rPr>
                <w:b w:val="0"/>
                <w:i w:val="0"/>
                <w:sz w:val="15"/>
              </w:rPr>
              <w:t>Tenant termination rights (§15.2)</w:t>
            </w:r>
          </w:p>
        </w:tc>
        <w:tc>
          <w:tcPr>
            <w:tcW w:type="dxa" w:w="2808"/>
          </w:tcPr>
          <w:p>
            <w:pPr>
              <w:spacing w:after="0"/>
            </w:pPr>
            <w:r/>
            <w:r>
              <w:rPr>
                <w:b w:val="0"/>
                <w:i w:val="0"/>
                <w:sz w:val="15"/>
              </w:rPr>
              <w:t>None, for any reason; express waiver of Civ. Code §§1932–1933.</w:t>
            </w:r>
          </w:p>
        </w:tc>
        <w:tc>
          <w:tcPr>
            <w:tcW w:type="dxa" w:w="2808"/>
          </w:tcPr>
          <w:p>
            <w:pPr>
              <w:spacing w:after="0"/>
            </w:pPr>
            <w:r/>
            <w:r>
              <w:rPr>
                <w:b w:val="0"/>
                <w:i w:val="0"/>
                <w:sz w:val="15"/>
              </w:rPr>
              <w:t>PB §9.2: condemnation &gt;25%, FM &gt;365 days, change in law — all required; absence must be escalated. AR §§13.1–13.3 (60/90/180-day notice).</w:t>
            </w:r>
          </w:p>
        </w:tc>
        <w:tc>
          <w:tcPr>
            <w:tcW w:type="dxa" w:w="2304"/>
          </w:tcPr>
          <w:p>
            <w:pPr>
              <w:spacing w:after="0"/>
            </w:pPr>
            <w:r/>
            <w:r>
              <w:rPr>
                <w:b w:val="0"/>
                <w:i w:val="0"/>
                <w:sz w:val="15"/>
              </w:rPr>
              <w:t>§6: same three triggers required.</w:t>
            </w:r>
          </w:p>
        </w:tc>
        <w:tc>
          <w:tcPr>
            <w:tcW w:type="dxa" w:w="1080"/>
            <w:shd w:val="clear" w:color="auto" w:fill="C00000"/>
          </w:tcPr>
          <w:p>
            <w:pPr>
              <w:spacing w:after="0"/>
            </w:pPr>
            <w:r>
              <w:rPr>
                <w:b/>
                <w:color w:val="FFFFFF"/>
              </w:rPr>
            </w:r>
            <w:r>
              <w:rPr>
                <w:b/>
                <w:i w:val="0"/>
                <w:color w:val="FFFFFF"/>
                <w:sz w:val="15"/>
              </w:rPr>
              <w:t>CRITICAL</w:t>
            </w:r>
          </w:p>
        </w:tc>
        <w:tc>
          <w:tcPr>
            <w:tcW w:type="dxa" w:w="2808"/>
          </w:tcPr>
          <w:p>
            <w:pPr>
              <w:spacing w:after="0"/>
            </w:pPr>
            <w:r/>
            <w:r>
              <w:rPr>
                <w:b w:val="0"/>
                <w:i w:val="0"/>
                <w:sz w:val="15"/>
              </w:rPr>
              <w:t>AR Article 13; add Option-Period termination for infeasibility (interconnection, permitting, financing) on 30–60 days’ notice.</w:t>
            </w:r>
          </w:p>
        </w:tc>
      </w:tr>
      <w:tr>
        <w:tc>
          <w:tcPr>
            <w:tcW w:type="dxa" w:w="432"/>
          </w:tcPr>
          <w:p>
            <w:pPr>
              <w:spacing w:after="0"/>
            </w:pPr>
            <w:r/>
            <w:r>
              <w:rPr>
                <w:b w:val="0"/>
                <w:i w:val="0"/>
                <w:sz w:val="15"/>
              </w:rPr>
              <w:t>47</w:t>
            </w:r>
          </w:p>
        </w:tc>
        <w:tc>
          <w:tcPr>
            <w:tcW w:type="dxa" w:w="1584"/>
          </w:tcPr>
          <w:p>
            <w:pPr>
              <w:spacing w:after="0"/>
            </w:pPr>
            <w:r/>
            <w:r>
              <w:rPr>
                <w:b w:val="0"/>
                <w:i w:val="0"/>
                <w:sz w:val="15"/>
              </w:rPr>
              <w:t>Landlord default / Tenant remedies (absent)</w:t>
            </w:r>
          </w:p>
        </w:tc>
        <w:tc>
          <w:tcPr>
            <w:tcW w:type="dxa" w:w="2808"/>
          </w:tcPr>
          <w:p>
            <w:pPr>
              <w:spacing w:after="0"/>
            </w:pPr>
            <w:r/>
            <w:r>
              <w:rPr>
                <w:b w:val="0"/>
                <w:i w:val="0"/>
                <w:sz w:val="15"/>
              </w:rPr>
              <w:t>No Landlord default provision; no Tenant self-help or offset.</w:t>
            </w:r>
          </w:p>
        </w:tc>
        <w:tc>
          <w:tcPr>
            <w:tcW w:type="dxa" w:w="2808"/>
          </w:tcPr>
          <w:p>
            <w:pPr>
              <w:spacing w:after="0"/>
            </w:pPr>
            <w:r/>
            <w:r>
              <w:rPr>
                <w:b w:val="0"/>
                <w:i w:val="0"/>
                <w:sz w:val="15"/>
              </w:rPr>
              <w:t>AR §12.3: 30-day cure, Tenant may cure and offset, terminate, or sue.</w:t>
            </w:r>
          </w:p>
        </w:tc>
        <w:tc>
          <w:tcPr>
            <w:tcW w:type="dxa" w:w="2304"/>
          </w:tcPr>
          <w:p>
            <w:pPr>
              <w:spacing w:after="0"/>
            </w:pPr>
            <w:r/>
            <w:r>
              <w:rPr>
                <w:b w:val="0"/>
                <w:i w:val="0"/>
                <w:sz w:val="15"/>
              </w:rPr>
              <w:t>§3.4: Landlord failure to cooperate with financing is a Landlord default.</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AR §12.3 plus Cascade §3.4 cooperation default.</w:t>
            </w:r>
          </w:p>
        </w:tc>
      </w:tr>
      <w:tr>
        <w:tc>
          <w:tcPr>
            <w:tcW w:type="dxa" w:w="432"/>
          </w:tcPr>
          <w:p>
            <w:pPr>
              <w:spacing w:after="0"/>
            </w:pPr>
            <w:r/>
            <w:r>
              <w:rPr>
                <w:b w:val="0"/>
                <w:i w:val="0"/>
                <w:sz w:val="15"/>
              </w:rPr>
              <w:t>48</w:t>
            </w:r>
          </w:p>
        </w:tc>
        <w:tc>
          <w:tcPr>
            <w:tcW w:type="dxa" w:w="1584"/>
          </w:tcPr>
          <w:p>
            <w:pPr>
              <w:spacing w:after="0"/>
            </w:pPr>
            <w:r/>
            <w:r>
              <w:rPr>
                <w:b w:val="0"/>
                <w:i w:val="0"/>
                <w:sz w:val="15"/>
              </w:rPr>
              <w:t>Condemnation (Art. 16)</w:t>
            </w:r>
          </w:p>
        </w:tc>
        <w:tc>
          <w:tcPr>
            <w:tcW w:type="dxa" w:w="2808"/>
          </w:tcPr>
          <w:p>
            <w:pPr>
              <w:spacing w:after="0"/>
            </w:pPr>
            <w:r/>
            <w:r>
              <w:rPr>
                <w:b w:val="0"/>
                <w:i w:val="0"/>
                <w:sz w:val="15"/>
              </w:rPr>
              <w:t>Landlord takes entire award; no Rent reduction on partial taking; no Tenant termination; Tenant may claim separately only if Landlord’s award not reduced.</w:t>
            </w:r>
          </w:p>
        </w:tc>
        <w:tc>
          <w:tcPr>
            <w:tcW w:type="dxa" w:w="2808"/>
          </w:tcPr>
          <w:p>
            <w:pPr>
              <w:spacing w:after="0"/>
            </w:pPr>
            <w:r/>
            <w:r>
              <w:rPr>
                <w:b w:val="0"/>
                <w:i w:val="0"/>
                <w:sz w:val="15"/>
              </w:rPr>
              <w:t>PB §13.3: &gt;25% taking → Tenant termination; award allocated (Tenant: leasehold, facility, improvements); independent participation. AR §13.1: same plus equitable rent reduction and lost profits.</w:t>
            </w:r>
          </w:p>
        </w:tc>
        <w:tc>
          <w:tcPr>
            <w:tcW w:type="dxa" w:w="2304"/>
          </w:tcPr>
          <w:p>
            <w:pPr>
              <w:spacing w:after="0"/>
            </w:pPr>
            <w:r/>
            <w:r>
              <w:rPr>
                <w:b w:val="0"/>
                <w:i w:val="0"/>
                <w:sz w:val="15"/>
              </w:rPr>
              <w:t>§6: Tenant termination if &gt;25% taken or project unviable.</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§13.1.</w:t>
            </w:r>
          </w:p>
        </w:tc>
      </w:tr>
      <w:tr>
        <w:tc>
          <w:tcPr>
            <w:tcW w:type="dxa" w:w="432"/>
          </w:tcPr>
          <w:p>
            <w:pPr>
              <w:spacing w:after="0"/>
            </w:pPr>
            <w:r/>
            <w:r>
              <w:rPr>
                <w:b w:val="0"/>
                <w:i w:val="0"/>
                <w:sz w:val="15"/>
              </w:rPr>
              <w:t>49</w:t>
            </w:r>
          </w:p>
        </w:tc>
        <w:tc>
          <w:tcPr>
            <w:tcW w:type="dxa" w:w="1584"/>
          </w:tcPr>
          <w:p>
            <w:pPr>
              <w:spacing w:after="0"/>
            </w:pPr>
            <w:r/>
            <w:r>
              <w:rPr>
                <w:b w:val="0"/>
                <w:i w:val="0"/>
                <w:sz w:val="15"/>
              </w:rPr>
              <w:t>Force Majeure (Art. 1; §20.8)</w:t>
            </w:r>
          </w:p>
        </w:tc>
        <w:tc>
          <w:tcPr>
            <w:tcW w:type="dxa" w:w="2808"/>
          </w:tcPr>
          <w:p>
            <w:pPr>
              <w:spacing w:after="0"/>
            </w:pPr>
            <w:r/>
            <w:r>
              <w:rPr>
                <w:b w:val="0"/>
                <w:i w:val="0"/>
                <w:sz w:val="15"/>
              </w:rPr>
              <w:t>Broad definition (includes governmental delay in permits and failure of third-party transmission providers) but never excuses Rent and does not expressly extend Commencement, construction or Option Period deadlines.</w:t>
            </w:r>
          </w:p>
        </w:tc>
        <w:tc>
          <w:tcPr>
            <w:tcW w:type="dxa" w:w="2808"/>
          </w:tcPr>
          <w:p>
            <w:pPr>
              <w:spacing w:after="0"/>
            </w:pPr>
            <w:r/>
            <w:r>
              <w:rPr>
                <w:b w:val="0"/>
                <w:i w:val="0"/>
                <w:sz w:val="15"/>
              </w:rPr>
              <w:t>AR: FM includes interconnection/CAISO queue delays and change in law; extends Commencement (≤12 months) and construction deadline; rent abatement after 90 days; Tenant termination after 365 days.</w:t>
            </w:r>
          </w:p>
        </w:tc>
        <w:tc>
          <w:tcPr>
            <w:tcW w:type="dxa" w:w="2304"/>
          </w:tcPr>
          <w:p>
            <w:pPr>
              <w:spacing w:after="0"/>
            </w:pPr>
            <w:r/>
            <w:r>
              <w:rPr>
                <w:b w:val="0"/>
                <w:i w:val="0"/>
                <w:sz w:val="15"/>
              </w:rPr>
              <w:t>§6: Tenant termination after 365 days of FM.</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FM definition and mechanics; expressly extend all Tenant deadlines; abatement after 90 days; termination after 365 days.</w:t>
            </w:r>
          </w:p>
        </w:tc>
      </w:tr>
      <w:tr>
        <w:tc>
          <w:tcPr>
            <w:tcW w:type="dxa" w:w="2808"/>
            <w:gridSpan w:val="7"/>
            <w:shd w:val="clear" w:color="auto" w:fill="D9E1F2"/>
          </w:tcPr>
          <w:p>
            <w:r/>
            <w:r>
              <w:rPr>
                <w:b/>
                <w:sz w:val="17"/>
              </w:rPr>
              <w:t>MISCELLANEOUS</w:t>
            </w:r>
          </w:p>
        </w:tc>
      </w:tr>
      <w:tr>
        <w:tc>
          <w:tcPr>
            <w:tcW w:type="dxa" w:w="432"/>
          </w:tcPr>
          <w:p>
            <w:pPr>
              <w:spacing w:after="0"/>
            </w:pPr>
            <w:r/>
            <w:r>
              <w:rPr>
                <w:b w:val="0"/>
                <w:i w:val="0"/>
                <w:sz w:val="15"/>
              </w:rPr>
              <w:t>50</w:t>
            </w:r>
          </w:p>
        </w:tc>
        <w:tc>
          <w:tcPr>
            <w:tcW w:type="dxa" w:w="1584"/>
          </w:tcPr>
          <w:p>
            <w:pPr>
              <w:spacing w:after="0"/>
            </w:pPr>
            <w:r/>
            <w:r>
              <w:rPr>
                <w:b w:val="0"/>
                <w:i w:val="0"/>
                <w:sz w:val="15"/>
              </w:rPr>
              <w:t>Quiet enjoyment (§20.10)</w:t>
            </w:r>
          </w:p>
        </w:tc>
        <w:tc>
          <w:tcPr>
            <w:tcW w:type="dxa" w:w="2808"/>
          </w:tcPr>
          <w:p>
            <w:pPr>
              <w:spacing w:after="0"/>
            </w:pPr>
            <w:r/>
            <w:r>
              <w:rPr>
                <w:b w:val="0"/>
                <w:i w:val="0"/>
                <w:sz w:val="15"/>
              </w:rPr>
              <w:t>Subject to Landlord’s Reserved Rights and conditioned on Tenant “not in default” (no notice/cure qualifier).</w:t>
            </w:r>
          </w:p>
        </w:tc>
        <w:tc>
          <w:tcPr>
            <w:tcW w:type="dxa" w:w="2808"/>
          </w:tcPr>
          <w:p>
            <w:pPr>
              <w:spacing w:after="0"/>
            </w:pPr>
            <w:r/>
            <w:r>
              <w:rPr>
                <w:b w:val="0"/>
                <w:i w:val="0"/>
                <w:sz w:val="15"/>
              </w:rPr>
              <w:t>PB §13.1: full Term incl. extensions, runs with land. AR §2.3: conditioned on no default beyond cure periods; Landlord defends title.</w:t>
            </w:r>
          </w:p>
        </w:tc>
        <w:tc>
          <w:tcPr>
            <w:tcW w:type="dxa" w:w="2304"/>
          </w:tcPr>
          <w:p>
            <w:pPr>
              <w:spacing w:after="0"/>
            </w:pPr>
            <w:r/>
            <w:r>
              <w:rPr>
                <w:b w:val="0"/>
                <w:i w:val="0"/>
                <w:sz w:val="15"/>
              </w:rPr>
              <w:t>§6: quiet enjoyment for full initial and extension terms.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AR §2.3; delete subordination to Reserved Rights (other than no-surface-use mineral retention).</w:t>
            </w:r>
          </w:p>
        </w:tc>
      </w:tr>
      <w:tr>
        <w:tc>
          <w:tcPr>
            <w:tcW w:type="dxa" w:w="432"/>
          </w:tcPr>
          <w:p>
            <w:pPr>
              <w:spacing w:after="0"/>
            </w:pPr>
            <w:r/>
            <w:r>
              <w:rPr>
                <w:b w:val="0"/>
                <w:i w:val="0"/>
                <w:sz w:val="15"/>
              </w:rPr>
              <w:t>51</w:t>
            </w:r>
          </w:p>
        </w:tc>
        <w:tc>
          <w:tcPr>
            <w:tcW w:type="dxa" w:w="1584"/>
          </w:tcPr>
          <w:p>
            <w:pPr>
              <w:spacing w:after="0"/>
            </w:pPr>
            <w:r/>
            <w:r>
              <w:rPr>
                <w:b w:val="0"/>
                <w:i w:val="0"/>
                <w:sz w:val="15"/>
              </w:rPr>
              <w:t>Memorandum of Lease (§20.9; Ex. C)</w:t>
            </w:r>
          </w:p>
        </w:tc>
        <w:tc>
          <w:tcPr>
            <w:tcW w:type="dxa" w:w="2808"/>
          </w:tcPr>
          <w:p>
            <w:pPr>
              <w:spacing w:after="0"/>
            </w:pPr>
            <w:r/>
            <w:r>
              <w:rPr>
                <w:b w:val="0"/>
                <w:i w:val="0"/>
                <w:sz w:val="15"/>
              </w:rPr>
              <w:t>Recording permissive (“may”); recorded via Hawksmere Ventures Title &amp; Escrow; return to Landlord’s counsel; memorandum silent on leasehold financing, No Surface Use Covenant and ag prohibition.</w:t>
            </w:r>
          </w:p>
        </w:tc>
        <w:tc>
          <w:tcPr>
            <w:tcW w:type="dxa" w:w="2808"/>
          </w:tcPr>
          <w:p>
            <w:pPr>
              <w:spacing w:after="0"/>
            </w:pPr>
            <w:r/>
            <w:r>
              <w:rPr>
                <w:b w:val="0"/>
                <w:i w:val="0"/>
                <w:sz w:val="15"/>
              </w:rPr>
              <w:t>PB §13.2: Tenant right to record; Landlord must execute in recordable form. AR §18.8, Ex. E: either party may record; memo references leasehold financing and No Surface Use Covenant; returned to WC&amp;P.</w:t>
            </w:r>
          </w:p>
        </w:tc>
        <w:tc>
          <w:tcPr>
            <w:tcW w:type="dxa" w:w="2304"/>
          </w:tcPr>
          <w:p>
            <w:pPr>
              <w:spacing w:after="0"/>
            </w:pPr>
            <w:r/>
            <w:r>
              <w:rPr>
                <w:b w:val="0"/>
                <w:i w:val="0"/>
                <w:sz w:val="15"/>
              </w:rPr>
              <w:t>§6: record at or before loan closing; identify term, extension options and leasehold mortgage.</w:t>
            </w:r>
          </w:p>
        </w:tc>
        <w:tc>
          <w:tcPr>
            <w:tcW w:type="dxa" w:w="1080"/>
            <w:shd w:val="clear" w:color="auto" w:fill="BF9000"/>
          </w:tcPr>
          <w:p>
            <w:pPr>
              <w:spacing w:after="0"/>
            </w:pPr>
            <w:r>
              <w:rPr>
                <w:b/>
                <w:color w:val="FFFFFF"/>
              </w:rPr>
            </w:r>
            <w:r>
              <w:rPr>
                <w:b/>
                <w:i w:val="0"/>
                <w:color w:val="FFFFFF"/>
                <w:sz w:val="15"/>
              </w:rPr>
              <w:t>MEDIUM</w:t>
            </w:r>
          </w:p>
        </w:tc>
        <w:tc>
          <w:tcPr>
            <w:tcW w:type="dxa" w:w="2808"/>
          </w:tcPr>
          <w:p>
            <w:pPr>
              <w:spacing w:after="0"/>
            </w:pPr>
            <w:r/>
            <w:r>
              <w:rPr>
                <w:b w:val="0"/>
                <w:i w:val="0"/>
                <w:sz w:val="15"/>
              </w:rPr>
              <w:t>Mandatory execution and recording at signing; memo to recite term, both options, leasehold-mortgage right, No Surface Use Covenant and agricultural prohibition; return to WC&amp;P.</w:t>
            </w:r>
          </w:p>
        </w:tc>
      </w:tr>
      <w:tr>
        <w:tc>
          <w:tcPr>
            <w:tcW w:type="dxa" w:w="432"/>
          </w:tcPr>
          <w:p>
            <w:pPr>
              <w:spacing w:after="0"/>
            </w:pPr>
            <w:r/>
            <w:r>
              <w:rPr>
                <w:b w:val="0"/>
                <w:i w:val="0"/>
                <w:sz w:val="15"/>
              </w:rPr>
              <w:t>52</w:t>
            </w:r>
          </w:p>
        </w:tc>
        <w:tc>
          <w:tcPr>
            <w:tcW w:type="dxa" w:w="1584"/>
          </w:tcPr>
          <w:p>
            <w:pPr>
              <w:spacing w:after="0"/>
            </w:pPr>
            <w:r/>
            <w:r>
              <w:rPr>
                <w:b w:val="0"/>
                <w:i w:val="0"/>
                <w:sz w:val="15"/>
              </w:rPr>
              <w:t>Dispute resolution / jury waiver (§§20.5, 20.7)</w:t>
            </w:r>
          </w:p>
        </w:tc>
        <w:tc>
          <w:tcPr>
            <w:tcW w:type="dxa" w:w="2808"/>
          </w:tcPr>
          <w:p>
            <w:pPr>
              <w:spacing w:after="0"/>
            </w:pPr>
            <w:r/>
            <w:r>
              <w:rPr>
                <w:b w:val="0"/>
                <w:i w:val="0"/>
                <w:sz w:val="15"/>
              </w:rPr>
              <w:t>Exclusive venue Kern County Superior Court or E.D. Cal. (Bakersfield); pre-dispute jury waiver.</w:t>
            </w:r>
          </w:p>
        </w:tc>
        <w:tc>
          <w:tcPr>
            <w:tcW w:type="dxa" w:w="2808"/>
          </w:tcPr>
          <w:p>
            <w:pPr>
              <w:spacing w:after="0"/>
            </w:pPr>
            <w:r/>
            <w:r>
              <w:rPr>
                <w:b w:val="0"/>
                <w:i w:val="0"/>
                <w:sz w:val="15"/>
              </w:rPr>
              <w:t>PB §13.5: JAMS arbitration or Kern County Superior Court litigation both market. AR §18.3: JAMS arbitration (LA).</w:t>
            </w:r>
          </w:p>
        </w:tc>
        <w:tc>
          <w:tcPr>
            <w:tcW w:type="dxa" w:w="2304"/>
          </w:tcPr>
          <w:p>
            <w:pPr>
              <w:spacing w:after="0"/>
            </w:pPr>
            <w:r/>
            <w:r>
              <w:rPr>
                <w:b w:val="0"/>
                <w:i w:val="0"/>
                <w:sz w:val="15"/>
              </w:rPr>
              <w:t>—</w:t>
            </w:r>
          </w:p>
        </w:tc>
        <w:tc>
          <w:tcPr>
            <w:tcW w:type="dxa" w:w="1080"/>
            <w:shd w:val="clear" w:color="auto" w:fill="548235"/>
          </w:tcPr>
          <w:p>
            <w:pPr>
              <w:spacing w:after="0"/>
            </w:pPr>
            <w:r>
              <w:rPr>
                <w:b/>
                <w:color w:val="FFFFFF"/>
              </w:rPr>
            </w:r>
            <w:r>
              <w:rPr>
                <w:b/>
                <w:i w:val="0"/>
                <w:color w:val="FFFFFF"/>
                <w:sz w:val="15"/>
              </w:rPr>
              <w:t>LOW</w:t>
            </w:r>
          </w:p>
        </w:tc>
        <w:tc>
          <w:tcPr>
            <w:tcW w:type="dxa" w:w="2808"/>
          </w:tcPr>
          <w:p>
            <w:pPr>
              <w:spacing w:after="0"/>
            </w:pPr>
            <w:r/>
            <w:r>
              <w:rPr>
                <w:b w:val="0"/>
                <w:i w:val="0"/>
                <w:sz w:val="15"/>
              </w:rPr>
              <w:t>Venue acceptable. Jury waiver is likely unenforceable in California (Section 6.C); replace with JAMS arbitration (AR §18.3) or judicial reference (CCP §638).</w:t>
            </w:r>
          </w:p>
        </w:tc>
      </w:tr>
      <w:tr>
        <w:tc>
          <w:tcPr>
            <w:tcW w:type="dxa" w:w="432"/>
          </w:tcPr>
          <w:p>
            <w:pPr>
              <w:spacing w:after="0"/>
            </w:pPr>
            <w:r/>
            <w:r>
              <w:rPr>
                <w:b w:val="0"/>
                <w:i w:val="0"/>
                <w:sz w:val="15"/>
              </w:rPr>
              <w:t>53</w:t>
            </w:r>
          </w:p>
        </w:tc>
        <w:tc>
          <w:tcPr>
            <w:tcW w:type="dxa" w:w="1584"/>
          </w:tcPr>
          <w:p>
            <w:pPr>
              <w:spacing w:after="0"/>
            </w:pPr>
            <w:r/>
            <w:r>
              <w:rPr>
                <w:b w:val="0"/>
                <w:i w:val="0"/>
                <w:sz w:val="15"/>
              </w:rPr>
              <w:t>Attorneys’ fees; governing law; counterparts (§§20.4, 20.11, 20.13)</w:t>
            </w:r>
          </w:p>
        </w:tc>
        <w:tc>
          <w:tcPr>
            <w:tcW w:type="dxa" w:w="2808"/>
          </w:tcPr>
          <w:p>
            <w:pPr>
              <w:spacing w:after="0"/>
            </w:pPr>
            <w:r/>
            <w:r>
              <w:rPr>
                <w:b w:val="0"/>
                <w:i w:val="0"/>
                <w:sz w:val="15"/>
              </w:rPr>
              <w:t>California law; prevailing-party fees; electronic signatures.</w:t>
            </w:r>
          </w:p>
        </w:tc>
        <w:tc>
          <w:tcPr>
            <w:tcW w:type="dxa" w:w="2808"/>
          </w:tcPr>
          <w:p>
            <w:pPr>
              <w:spacing w:after="0"/>
            </w:pPr>
            <w:r/>
            <w:r>
              <w:rPr>
                <w:b w:val="0"/>
                <w:i w:val="0"/>
                <w:sz w:val="15"/>
              </w:rPr>
              <w:t>AR §§18.2, 18.10, 18.11: same.</w:t>
            </w:r>
          </w:p>
        </w:tc>
        <w:tc>
          <w:tcPr>
            <w:tcW w:type="dxa" w:w="2304"/>
          </w:tcPr>
          <w:p>
            <w:pPr>
              <w:spacing w:after="0"/>
            </w:pPr>
            <w:r/>
            <w:r>
              <w:rPr>
                <w:b w:val="0"/>
                <w:i w:val="0"/>
                <w:sz w:val="15"/>
              </w:rPr>
              <w:t>—</w:t>
            </w:r>
          </w:p>
        </w:tc>
        <w:tc>
          <w:tcPr>
            <w:tcW w:type="dxa" w:w="1080"/>
            <w:shd w:val="clear" w:color="auto" w:fill="548235"/>
          </w:tcPr>
          <w:p>
            <w:pPr>
              <w:spacing w:after="0"/>
            </w:pPr>
            <w:r>
              <w:rPr>
                <w:b/>
                <w:color w:val="FFFFFF"/>
              </w:rPr>
            </w:r>
            <w:r>
              <w:rPr>
                <w:b/>
                <w:i w:val="0"/>
                <w:color w:val="FFFFFF"/>
                <w:sz w:val="15"/>
              </w:rPr>
              <w:t>WITHIN MARKET</w:t>
            </w:r>
          </w:p>
        </w:tc>
        <w:tc>
          <w:tcPr>
            <w:tcW w:type="dxa" w:w="2808"/>
          </w:tcPr>
          <w:p>
            <w:pPr>
              <w:spacing w:after="0"/>
            </w:pPr>
            <w:r/>
            <w:r>
              <w:rPr>
                <w:b w:val="0"/>
                <w:i w:val="0"/>
                <w:sz w:val="15"/>
              </w:rPr>
              <w:t>Accept.</w:t>
            </w:r>
          </w:p>
        </w:tc>
      </w:tr>
      <w:tr>
        <w:tc>
          <w:tcPr>
            <w:tcW w:type="dxa" w:w="432"/>
          </w:tcPr>
          <w:p>
            <w:pPr>
              <w:spacing w:after="0"/>
            </w:pPr>
            <w:r/>
            <w:r>
              <w:rPr>
                <w:b w:val="0"/>
                <w:i w:val="0"/>
                <w:sz w:val="15"/>
              </w:rPr>
              <w:t>54</w:t>
            </w:r>
          </w:p>
        </w:tc>
        <w:tc>
          <w:tcPr>
            <w:tcW w:type="dxa" w:w="1584"/>
          </w:tcPr>
          <w:p>
            <w:pPr>
              <w:spacing w:after="0"/>
            </w:pPr>
            <w:r/>
            <w:r>
              <w:rPr>
                <w:b w:val="0"/>
                <w:i w:val="0"/>
                <w:sz w:val="15"/>
              </w:rPr>
              <w:t>Time of essence (§20.16)</w:t>
            </w:r>
          </w:p>
        </w:tc>
        <w:tc>
          <w:tcPr>
            <w:tcW w:type="dxa" w:w="2808"/>
          </w:tcPr>
          <w:p>
            <w:pPr>
              <w:spacing w:after="0"/>
            </w:pPr>
            <w:r/>
            <w:r>
              <w:rPr>
                <w:b w:val="0"/>
                <w:i w:val="0"/>
                <w:sz w:val="15"/>
              </w:rPr>
              <w:t>Time of essence for every provision.</w:t>
            </w:r>
          </w:p>
        </w:tc>
        <w:tc>
          <w:tcPr>
            <w:tcW w:type="dxa" w:w="2808"/>
          </w:tcPr>
          <w:p>
            <w:pPr>
              <w:spacing w:after="0"/>
            </w:pPr>
            <w:r/>
            <w:r>
              <w:rPr>
                <w:b w:val="0"/>
                <w:i w:val="0"/>
                <w:sz w:val="15"/>
              </w:rPr>
              <w:t>AR §18.12: subject to express extensions.</w:t>
            </w:r>
          </w:p>
        </w:tc>
        <w:tc>
          <w:tcPr>
            <w:tcW w:type="dxa" w:w="2304"/>
          </w:tcPr>
          <w:p>
            <w:pPr>
              <w:spacing w:after="0"/>
            </w:pPr>
            <w:r/>
            <w:r>
              <w:rPr>
                <w:b w:val="0"/>
                <w:i w:val="0"/>
                <w:sz w:val="15"/>
              </w:rPr>
              <w:t>—</w:t>
            </w:r>
          </w:p>
        </w:tc>
        <w:tc>
          <w:tcPr>
            <w:tcW w:type="dxa" w:w="1080"/>
            <w:shd w:val="clear" w:color="auto" w:fill="548235"/>
          </w:tcPr>
          <w:p>
            <w:pPr>
              <w:spacing w:after="0"/>
            </w:pPr>
            <w:r>
              <w:rPr>
                <w:b/>
                <w:color w:val="FFFFFF"/>
              </w:rPr>
            </w:r>
            <w:r>
              <w:rPr>
                <w:b/>
                <w:i w:val="0"/>
                <w:color w:val="FFFFFF"/>
                <w:sz w:val="15"/>
              </w:rPr>
              <w:t>LOW</w:t>
            </w:r>
          </w:p>
        </w:tc>
        <w:tc>
          <w:tcPr>
            <w:tcW w:type="dxa" w:w="2808"/>
          </w:tcPr>
          <w:p>
            <w:pPr>
              <w:spacing w:after="0"/>
            </w:pPr>
            <w:r/>
            <w:r>
              <w:rPr>
                <w:b w:val="0"/>
                <w:i w:val="0"/>
                <w:sz w:val="15"/>
              </w:rPr>
              <w:t>Add “subject to applicable notice, cure and extension periods.”</w:t>
            </w:r>
          </w:p>
        </w:tc>
      </w:tr>
      <w:tr>
        <w:tc>
          <w:tcPr>
            <w:tcW w:type="dxa" w:w="432"/>
          </w:tcPr>
          <w:p>
            <w:pPr>
              <w:spacing w:after="0"/>
            </w:pPr>
            <w:r/>
            <w:r>
              <w:rPr>
                <w:b w:val="0"/>
                <w:i w:val="0"/>
                <w:sz w:val="15"/>
              </w:rPr>
              <w:t>55</w:t>
            </w:r>
          </w:p>
        </w:tc>
        <w:tc>
          <w:tcPr>
            <w:tcW w:type="dxa" w:w="1584"/>
          </w:tcPr>
          <w:p>
            <w:pPr>
              <w:spacing w:after="0"/>
            </w:pPr>
            <w:r/>
            <w:r>
              <w:rPr>
                <w:b w:val="0"/>
                <w:i w:val="0"/>
                <w:sz w:val="15"/>
              </w:rPr>
              <w:t>Confidentiality (absent)</w:t>
            </w:r>
          </w:p>
        </w:tc>
        <w:tc>
          <w:tcPr>
            <w:tcW w:type="dxa" w:w="2808"/>
          </w:tcPr>
          <w:p>
            <w:pPr>
              <w:spacing w:after="0"/>
            </w:pPr>
            <w:r/>
            <w:r>
              <w:rPr>
                <w:b w:val="0"/>
                <w:i w:val="0"/>
                <w:sz w:val="15"/>
              </w:rPr>
              <w:t>None.</w:t>
            </w:r>
          </w:p>
        </w:tc>
        <w:tc>
          <w:tcPr>
            <w:tcW w:type="dxa" w:w="2808"/>
          </w:tcPr>
          <w:p>
            <w:pPr>
              <w:spacing w:after="0"/>
            </w:pPr>
            <w:r/>
            <w:r>
              <w:rPr>
                <w:b w:val="0"/>
                <w:i w:val="0"/>
                <w:sz w:val="15"/>
              </w:rPr>
              <w:t>AR §18.13: financial terms confidential; carve-outs for financing and assignees.</w:t>
            </w:r>
          </w:p>
        </w:tc>
        <w:tc>
          <w:tcPr>
            <w:tcW w:type="dxa" w:w="2304"/>
          </w:tcPr>
          <w:p>
            <w:pPr>
              <w:spacing w:after="0"/>
            </w:pPr>
            <w:r/>
            <w:r>
              <w:rPr>
                <w:b w:val="0"/>
                <w:i w:val="0"/>
                <w:sz w:val="15"/>
              </w:rPr>
              <w:t>—</w:t>
            </w:r>
          </w:p>
        </w:tc>
        <w:tc>
          <w:tcPr>
            <w:tcW w:type="dxa" w:w="1080"/>
            <w:shd w:val="clear" w:color="auto" w:fill="548235"/>
          </w:tcPr>
          <w:p>
            <w:pPr>
              <w:spacing w:after="0"/>
            </w:pPr>
            <w:r>
              <w:rPr>
                <w:b/>
                <w:color w:val="FFFFFF"/>
              </w:rPr>
            </w:r>
            <w:r>
              <w:rPr>
                <w:b/>
                <w:i w:val="0"/>
                <w:color w:val="FFFFFF"/>
                <w:sz w:val="15"/>
              </w:rPr>
              <w:t>LOW</w:t>
            </w:r>
          </w:p>
        </w:tc>
        <w:tc>
          <w:tcPr>
            <w:tcW w:type="dxa" w:w="2808"/>
          </w:tcPr>
          <w:p>
            <w:pPr>
              <w:spacing w:after="0"/>
            </w:pPr>
            <w:r/>
            <w:r>
              <w:rPr>
                <w:b w:val="0"/>
                <w:i w:val="0"/>
                <w:sz w:val="15"/>
              </w:rPr>
              <w:t>Add AR §18.13 (protects REP’s rent data across portfolio).</w:t>
            </w:r>
          </w:p>
        </w:tc>
      </w:tr>
      <w:tr>
        <w:tc>
          <w:tcPr>
            <w:tcW w:type="dxa" w:w="432"/>
          </w:tcPr>
          <w:p>
            <w:pPr>
              <w:spacing w:after="0"/>
            </w:pPr>
            <w:r/>
            <w:r>
              <w:rPr>
                <w:b w:val="0"/>
                <w:i w:val="0"/>
                <w:sz w:val="15"/>
              </w:rPr>
              <w:t>56</w:t>
            </w:r>
          </w:p>
        </w:tc>
        <w:tc>
          <w:tcPr>
            <w:tcW w:type="dxa" w:w="1584"/>
          </w:tcPr>
          <w:p>
            <w:pPr>
              <w:spacing w:after="0"/>
            </w:pPr>
            <w:r/>
            <w:r>
              <w:rPr>
                <w:b w:val="0"/>
                <w:i w:val="0"/>
                <w:sz w:val="15"/>
              </w:rPr>
              <w:t>Legal description and acreage (Ex. A)</w:t>
            </w:r>
          </w:p>
        </w:tc>
        <w:tc>
          <w:tcPr>
            <w:tcW w:type="dxa" w:w="2808"/>
          </w:tcPr>
          <w:p>
            <w:pPr>
              <w:spacing w:after="0"/>
            </w:pPr>
            <w:r/>
            <w:r>
              <w:rPr>
                <w:b w:val="0"/>
                <w:i w:val="0"/>
                <w:sz w:val="15"/>
              </w:rPr>
              <w:t>Rent computed on 1,240 acres; Record of Survey references blank; Parcel 2 description appears to overlap Parcel 1 by ≈275 acres (Parcel 1 runs 1,443.2 ft into Sec. 23; Parcel 2 runs 3,466.8 ft north from the south line of the NW¼ of Sec. 23, i.e., ≈827 ft into Sec. 14), and its 5,282.5-ft and 3,466.8-ft calls exceed quarter-section dimensions (~2,640 ft); “Township 11 South” appears inconsistent with a Mojave-area location (north of the SB Baseline). Literal reading yields ≈960 unique acres.</w:t>
            </w:r>
          </w:p>
        </w:tc>
        <w:tc>
          <w:tcPr>
            <w:tcW w:type="dxa" w:w="2808"/>
          </w:tcPr>
          <w:p>
            <w:pPr>
              <w:spacing w:after="0"/>
            </w:pPr>
            <w:r/>
            <w:r>
              <w:rPr>
                <w:b w:val="0"/>
                <w:i w:val="0"/>
                <w:sz w:val="15"/>
              </w:rPr>
              <w:t>AR Ex. A based on preliminary title report and ALTA/NSPS survey; Permitted Exceptions in Ex. D.</w:t>
            </w:r>
          </w:p>
        </w:tc>
        <w:tc>
          <w:tcPr>
            <w:tcW w:type="dxa" w:w="2304"/>
          </w:tcPr>
          <w:p>
            <w:pPr>
              <w:spacing w:after="0"/>
            </w:pPr>
            <w:r/>
            <w:r>
              <w:rPr>
                <w:b w:val="0"/>
                <w:i w:val="0"/>
                <w:sz w:val="15"/>
              </w:rPr>
              <w:t>Title insurance and survey are standard closing deliverables.</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Obtain ALTA/NSPS survey and preliminary title report; correct descriptions before execution; rent payable on surveyed acreage with true-up mechanism.</w:t>
            </w:r>
          </w:p>
        </w:tc>
      </w:tr>
      <w:tr>
        <w:tc>
          <w:tcPr>
            <w:tcW w:type="dxa" w:w="432"/>
          </w:tcPr>
          <w:p>
            <w:pPr>
              <w:spacing w:after="0"/>
            </w:pPr>
            <w:r/>
            <w:r>
              <w:rPr>
                <w:b w:val="0"/>
                <w:i w:val="0"/>
                <w:sz w:val="15"/>
              </w:rPr>
              <w:t>57</w:t>
            </w:r>
          </w:p>
        </w:tc>
        <w:tc>
          <w:tcPr>
            <w:tcW w:type="dxa" w:w="1584"/>
          </w:tcPr>
          <w:p>
            <w:pPr>
              <w:spacing w:after="0"/>
            </w:pPr>
            <w:r/>
            <w:r>
              <w:rPr>
                <w:b w:val="0"/>
                <w:i w:val="0"/>
                <w:sz w:val="15"/>
              </w:rPr>
              <w:t>Improvement Area (Ex. B)</w:t>
            </w:r>
          </w:p>
        </w:tc>
        <w:tc>
          <w:tcPr>
            <w:tcW w:type="dxa" w:w="2808"/>
          </w:tcPr>
          <w:p>
            <w:pPr>
              <w:spacing w:after="0"/>
            </w:pPr>
            <w:r/>
            <w:r>
              <w:rPr>
                <w:b w:val="0"/>
                <w:i w:val="0"/>
                <w:sz w:val="15"/>
              </w:rPr>
              <w:t>“To be attached”; prepared by Tenant’s engineer; subject to Landlord approval before execution; defines scope of Tenant’s rights and of Landlord’s agricultural reservation.</w:t>
            </w:r>
          </w:p>
        </w:tc>
        <w:tc>
          <w:tcPr>
            <w:tcW w:type="dxa" w:w="2808"/>
          </w:tcPr>
          <w:p>
            <w:pPr>
              <w:spacing w:after="0"/>
            </w:pPr>
            <w:r/>
            <w:r>
              <w:rPr>
                <w:b w:val="0"/>
                <w:i w:val="0"/>
                <w:sz w:val="15"/>
              </w:rPr>
              <w:t>AR Ex. B: defined by objective setbacks (100-ft property line, 200-ft wash buffer, easement exclusions).</w:t>
            </w:r>
          </w:p>
        </w:tc>
        <w:tc>
          <w:tcPr>
            <w:tcW w:type="dxa" w:w="2304"/>
          </w:tcPr>
          <w:p>
            <w:pPr>
              <w:spacing w:after="0"/>
            </w:pPr>
            <w:r/>
            <w:r>
              <w:rPr>
                <w:b w:val="0"/>
                <w:i w:val="0"/>
                <w:sz w:val="15"/>
              </w:rPr>
              <w:t>—</w:t>
            </w:r>
          </w:p>
        </w:tc>
        <w:tc>
          <w:tcPr>
            <w:tcW w:type="dxa" w:w="1080"/>
            <w:shd w:val="clear" w:color="auto" w:fill="E26B0A"/>
          </w:tcPr>
          <w:p>
            <w:pPr>
              <w:spacing w:after="0"/>
            </w:pPr>
            <w:r>
              <w:rPr>
                <w:b/>
                <w:color w:val="FFFFFF"/>
              </w:rPr>
            </w:r>
            <w:r>
              <w:rPr>
                <w:b/>
                <w:i w:val="0"/>
                <w:color w:val="FFFFFF"/>
                <w:sz w:val="15"/>
              </w:rPr>
              <w:t>HIGH</w:t>
            </w:r>
          </w:p>
        </w:tc>
        <w:tc>
          <w:tcPr>
            <w:tcW w:type="dxa" w:w="2808"/>
          </w:tcPr>
          <w:p>
            <w:pPr>
              <w:spacing w:after="0"/>
            </w:pPr>
            <w:r/>
            <w:r>
              <w:rPr>
                <w:b w:val="0"/>
                <w:i w:val="0"/>
                <w:sz w:val="15"/>
              </w:rPr>
              <w:t>Define Improvement Area as entire Premises less CUP-required setbacks; attach before execution; Tenant may adjust within Premises on notice.</w:t>
            </w:r>
          </w:p>
        </w:tc>
      </w:tr>
    </w:tbl>
    <w:p>
      <w:pPr>
        <w:spacing w:after="120"/>
      </w:pPr>
      <w:r>
        <w:rPr>
          <w:b/>
          <w:i w:val="0"/>
          <w:sz w:val="18"/>
        </w:rPr>
        <w:t>Matrix totals: 57 provisions reviewed — 15 Critical, 27 High, 8 Medium, 7 Low/Within Market.</w:t>
      </w:r>
    </w:p>
    <w:p>
      <w:pPr>
        <w:sectPr>
          <w:pgSz w:w="15840" w:h="12240" w:orient="landscape"/>
          <w:pgMar w:top="1008" w:right="1008" w:bottom="1008" w:left="1008" w:header="720" w:footer="720" w:gutter="0"/>
          <w:cols w:space="720"/>
          <w:docGrid w:linePitch="360"/>
        </w:sectPr>
      </w:pPr>
    </w:p>
    <w:p>
      <w:pPr>
        <w:pStyle w:val="Heading1"/>
      </w:pPr>
      <w:r>
        <w:rPr>
          <w:color w:val="1F3864"/>
        </w:rPr>
        <w:t>5. Provisions Within Market (Concession Candidates)</w:t>
      </w:r>
    </w:p>
    <w:p>
      <w:pPr>
        <w:spacing w:after="120"/>
        <w:jc w:val="both"/>
      </w:pPr>
      <w:r>
        <w:rPr>
          <w:b w:val="0"/>
          <w:i w:val="0"/>
          <w:sz w:val="21"/>
        </w:rPr>
        <w:t>The following Draft provisions are consistent with the Playbook and/or Antelope Ridge and should not be flagged as deviations; conceding them early supports the educational approach recommended in the Cheng Email:</w:t>
      </w:r>
    </w:p>
    <w:p>
      <w:pPr>
        <w:pStyle w:val="ListBullet"/>
        <w:spacing w:after="60"/>
      </w:pPr>
      <w:r>
        <w:rPr>
          <w:b/>
          <w:i w:val="0"/>
          <w:sz w:val="20"/>
        </w:rPr>
        <w:t>Insurance limits (§7.1):</w:t>
      </w:r>
      <w:r>
        <w:rPr>
          <w:b w:val="0"/>
          <w:i w:val="0"/>
          <w:sz w:val="20"/>
        </w:rPr>
        <w:t xml:space="preserve"> CGL $10M/$20M, pollution $10M, auto $2M, WC/EL statutory/$1M are at the top of, but within, the Playbook range and identical to Antelope Ridge §7.1. The Playbook expressly cautions that these should not be flagged as excessive.</w:t>
      </w:r>
    </w:p>
    <w:p>
      <w:pPr>
        <w:pStyle w:val="ListBullet"/>
        <w:spacing w:after="60"/>
      </w:pPr>
      <w:r>
        <w:rPr>
          <w:b/>
          <w:i w:val="0"/>
          <w:sz w:val="20"/>
        </w:rPr>
        <w:t>Option Period Rent (§4.1):</w:t>
      </w:r>
      <w:r>
        <w:rPr>
          <w:b w:val="0"/>
          <w:i w:val="0"/>
          <w:sz w:val="20"/>
        </w:rPr>
        <w:t xml:space="preserve"> $50/acre ($62,000/yr) is within the $40–$75 market range and equal to Antelope Ridge. The Playbook allows up to $100/acre, which gives REP room to trade (e.g., a modest increase in exchange for the 36-month backstop and 30-month construction deadline; each $25/acre costs $31,000/yr, versus ≈$964,000 of pre-COD Base Rent at risk under the Draft).</w:t>
      </w:r>
    </w:p>
    <w:p>
      <w:pPr>
        <w:pStyle w:val="ListBullet"/>
        <w:spacing w:after="60"/>
      </w:pPr>
      <w:r>
        <w:rPr>
          <w:b/>
          <w:i w:val="0"/>
          <w:sz w:val="20"/>
        </w:rPr>
        <w:t>Governing law and venue (§§20.4–20.5):</w:t>
      </w:r>
      <w:r>
        <w:rPr>
          <w:b w:val="0"/>
          <w:i w:val="0"/>
          <w:sz w:val="20"/>
        </w:rPr>
        <w:t xml:space="preserve"> California law and Kern County Superior Court litigation are within the Playbook (§13.5); only the jury waiver needs to be fixed.</w:t>
      </w:r>
    </w:p>
    <w:p>
      <w:pPr>
        <w:pStyle w:val="ListBullet"/>
        <w:spacing w:after="60"/>
      </w:pPr>
      <w:r>
        <w:rPr>
          <w:b/>
          <w:i w:val="0"/>
          <w:sz w:val="20"/>
        </w:rPr>
        <w:t>Prevailing-party attorneys’ fees, counterparts, waiver of subrogation, compliance with laws, utilities/interconnection responsibility, Tenant environmental compliance and the 10-year environmental-indemnity survival (§§7.3, 9.4, 9.5, 18.1, 18.2, 20.11, 20.13)</w:t>
      </w:r>
      <w:r>
        <w:rPr>
          <w:b w:val="0"/>
          <w:i w:val="0"/>
          <w:sz w:val="20"/>
        </w:rPr>
        <w:t xml:space="preserve"> are consistent with Antelope Ridge.</w:t>
      </w:r>
    </w:p>
    <w:p>
      <w:pPr>
        <w:pStyle w:val="ListBullet"/>
        <w:spacing w:after="60"/>
      </w:pPr>
      <w:r>
        <w:rPr>
          <w:b/>
          <w:i w:val="0"/>
          <w:sz w:val="20"/>
        </w:rPr>
        <w:t>Ownership of Improvements during the Term (§11.1)</w:t>
      </w:r>
      <w:r>
        <w:rPr>
          <w:b w:val="0"/>
          <w:i w:val="0"/>
          <w:sz w:val="20"/>
        </w:rPr>
        <w:t xml:space="preserve"> correctly treats Improvements as Tenant’s personal property — the problem is the vesting and forfeiture provisions that override it (§§11.2, 12.3(b), 14.3(d)).</w:t>
      </w:r>
    </w:p>
    <w:p>
      <w:pPr>
        <w:pStyle w:val="Heading1"/>
      </w:pPr>
      <w:r>
        <w:rPr>
          <w:color w:val="1F3864"/>
        </w:rPr>
        <w:t>6. Source-Document Discrepancies and Corrections</w:t>
      </w:r>
    </w:p>
    <w:p>
      <w:pPr>
        <w:spacing w:after="120"/>
        <w:jc w:val="both"/>
      </w:pPr>
      <w:r>
        <w:rPr>
          <w:b w:val="0"/>
          <w:i w:val="0"/>
          <w:sz w:val="21"/>
        </w:rPr>
        <w:t>Because REP will rely on these documents in negotiation (and the Playbook may be shared in part with the Landlord’s counsel), the following inconsistencies should be corrected before any figures are cited externally.</w:t>
      </w:r>
    </w:p>
    <w:p>
      <w:pPr>
        <w:pStyle w:val="Heading2"/>
      </w:pPr>
      <w:r>
        <w:rPr>
          <w:color w:val="1F3864"/>
        </w:rPr>
        <w:t>6.A Playbook vs. executed Antelope Ridge lease and Cascade (Aug. 2024)</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val="clear" w:color="auto" w:fill="1F3864"/>
          </w:tcPr>
          <w:p>
            <w:r/>
            <w:r>
              <w:rPr>
                <w:b/>
                <w:color w:val="FFFFFF"/>
                <w:sz w:val="17"/>
              </w:rPr>
              <w:t>Topic</w:t>
            </w:r>
          </w:p>
        </w:tc>
        <w:tc>
          <w:tcPr>
            <w:tcW w:type="dxa" w:w="2736"/>
            <w:shd w:val="clear" w:color="auto" w:fill="1F3864"/>
          </w:tcPr>
          <w:p>
            <w:r/>
            <w:r>
              <w:rPr>
                <w:b/>
                <w:color w:val="FFFFFF"/>
                <w:sz w:val="17"/>
              </w:rPr>
              <w:t>Playbook statement</w:t>
            </w:r>
          </w:p>
        </w:tc>
        <w:tc>
          <w:tcPr>
            <w:tcW w:type="dxa" w:w="3168"/>
            <w:shd w:val="clear" w:color="auto" w:fill="1F3864"/>
          </w:tcPr>
          <w:p>
            <w:r/>
            <w:r>
              <w:rPr>
                <w:b/>
                <w:color w:val="FFFFFF"/>
                <w:sz w:val="17"/>
              </w:rPr>
              <w:t>Executed document</w:t>
            </w:r>
          </w:p>
        </w:tc>
        <w:tc>
          <w:tcPr>
            <w:tcW w:type="dxa" w:w="2448"/>
            <w:shd w:val="clear" w:color="auto" w:fill="1F3864"/>
          </w:tcPr>
          <w:p>
            <w:r/>
            <w:r>
              <w:rPr>
                <w:b/>
                <w:color w:val="FFFFFF"/>
                <w:sz w:val="17"/>
              </w:rPr>
              <w:t>Recommendation</w:t>
            </w:r>
          </w:p>
        </w:tc>
      </w:tr>
      <w:tr>
        <w:tc>
          <w:tcPr>
            <w:tcW w:type="dxa" w:w="1584"/>
          </w:tcPr>
          <w:p>
            <w:pPr>
              <w:spacing w:after="20"/>
            </w:pPr>
            <w:r/>
            <w:r>
              <w:rPr>
                <w:b w:val="0"/>
                <w:i w:val="0"/>
                <w:sz w:val="17"/>
              </w:rPr>
              <w:t>AR term</w:t>
            </w:r>
          </w:p>
        </w:tc>
        <w:tc>
          <w:tcPr>
            <w:tcW w:type="dxa" w:w="2736"/>
          </w:tcPr>
          <w:p>
            <w:pPr>
              <w:spacing w:after="20"/>
            </w:pPr>
            <w:r/>
            <w:r>
              <w:rPr>
                <w:b w:val="0"/>
                <w:i w:val="0"/>
                <w:sz w:val="17"/>
              </w:rPr>
              <w:t>35-yr initial + 2×5 = 45 yrs (§2 Notes)</w:t>
            </w:r>
          </w:p>
        </w:tc>
        <w:tc>
          <w:tcPr>
            <w:tcW w:type="dxa" w:w="3168"/>
          </w:tcPr>
          <w:p>
            <w:pPr>
              <w:spacing w:after="20"/>
            </w:pPr>
            <w:r/>
            <w:r>
              <w:rPr>
                <w:b w:val="0"/>
                <w:i w:val="0"/>
                <w:sz w:val="17"/>
              </w:rPr>
              <w:t>AR §§3.1, 3.4, Ex. E: 30-yr initial + 2×5 = 40 yrs</w:t>
            </w:r>
          </w:p>
        </w:tc>
        <w:tc>
          <w:tcPr>
            <w:tcW w:type="dxa" w:w="2448"/>
          </w:tcPr>
          <w:p>
            <w:pPr>
              <w:spacing w:after="20"/>
            </w:pPr>
            <w:r/>
            <w:r>
              <w:rPr>
                <w:b w:val="0"/>
                <w:i w:val="0"/>
                <w:sz w:val="17"/>
              </w:rPr>
              <w:t>Cite AR as 40 yrs; argue 35 yrs from Playbook/Cascade preference (Cascade §1.1: 30 yrs from COD minimum)</w:t>
            </w:r>
          </w:p>
        </w:tc>
      </w:tr>
      <w:tr>
        <w:tc>
          <w:tcPr>
            <w:tcW w:type="dxa" w:w="1584"/>
            <w:shd w:val="clear" w:color="auto" w:fill="F2F2F2"/>
          </w:tcPr>
          <w:p>
            <w:pPr>
              <w:spacing w:after="20"/>
            </w:pPr>
            <w:r/>
            <w:r>
              <w:rPr>
                <w:b w:val="0"/>
                <w:i w:val="0"/>
                <w:sz w:val="17"/>
              </w:rPr>
              <w:t>AR base rent</w:t>
            </w:r>
          </w:p>
        </w:tc>
        <w:tc>
          <w:tcPr>
            <w:tcW w:type="dxa" w:w="2736"/>
            <w:shd w:val="clear" w:color="auto" w:fill="F2F2F2"/>
          </w:tcPr>
          <w:p>
            <w:pPr>
              <w:spacing w:after="20"/>
            </w:pPr>
            <w:r/>
            <w:r>
              <w:rPr>
                <w:b w:val="0"/>
                <w:i w:val="0"/>
                <w:sz w:val="17"/>
              </w:rPr>
              <w:t>$950/acre flat (§§3.2, 3.3 Notes)</w:t>
            </w:r>
          </w:p>
        </w:tc>
        <w:tc>
          <w:tcPr>
            <w:tcW w:type="dxa" w:w="3168"/>
            <w:shd w:val="clear" w:color="auto" w:fill="F2F2F2"/>
          </w:tcPr>
          <w:p>
            <w:pPr>
              <w:spacing w:after="20"/>
            </w:pPr>
            <w:r/>
            <w:r>
              <w:rPr>
                <w:b w:val="0"/>
                <w:i w:val="0"/>
                <w:sz w:val="17"/>
              </w:rPr>
              <w:t>AR §4.2: $900/acre ($1,332,000 on 1,480 acres) + 2% simple</w:t>
            </w:r>
          </w:p>
        </w:tc>
        <w:tc>
          <w:tcPr>
            <w:tcW w:type="dxa" w:w="2448"/>
            <w:shd w:val="clear" w:color="auto" w:fill="F2F2F2"/>
          </w:tcPr>
          <w:p>
            <w:pPr>
              <w:spacing w:after="20"/>
            </w:pPr>
            <w:r/>
            <w:r>
              <w:rPr>
                <w:b w:val="0"/>
                <w:i w:val="0"/>
                <w:sz w:val="17"/>
              </w:rPr>
              <w:t>Use $900/acre as the comparable</w:t>
            </w:r>
          </w:p>
        </w:tc>
      </w:tr>
      <w:tr>
        <w:tc>
          <w:tcPr>
            <w:tcW w:type="dxa" w:w="1584"/>
          </w:tcPr>
          <w:p>
            <w:pPr>
              <w:spacing w:after="20"/>
            </w:pPr>
            <w:r/>
            <w:r>
              <w:rPr>
                <w:b w:val="0"/>
                <w:i w:val="0"/>
                <w:sz w:val="17"/>
              </w:rPr>
              <w:t>AR security</w:t>
            </w:r>
          </w:p>
        </w:tc>
        <w:tc>
          <w:tcPr>
            <w:tcW w:type="dxa" w:w="2736"/>
          </w:tcPr>
          <w:p>
            <w:pPr>
              <w:spacing w:after="20"/>
            </w:pPr>
            <w:r/>
            <w:r>
              <w:rPr>
                <w:b w:val="0"/>
                <w:i w:val="0"/>
                <w:sz w:val="17"/>
              </w:rPr>
              <w:t>LOC = 9 months (~$675,000), reduced to 6 months after COD + 6 months (§5 Notes); $675,000 is also inconsistent with 9 months at $950 × 1,480 acres (≈$1.05M)</w:t>
            </w:r>
          </w:p>
        </w:tc>
        <w:tc>
          <w:tcPr>
            <w:tcW w:type="dxa" w:w="3168"/>
          </w:tcPr>
          <w:p>
            <w:pPr>
              <w:spacing w:after="20"/>
            </w:pPr>
            <w:r/>
            <w:r>
              <w:rPr>
                <w:b w:val="0"/>
                <w:i w:val="0"/>
                <w:sz w:val="17"/>
              </w:rPr>
              <w:t>AR §§5.1, 5.4: $798,000 LOC (≈7.2 months; lease says “approximately six”), reduced to 3 months at 2nd anniversary of COD</w:t>
            </w:r>
          </w:p>
        </w:tc>
        <w:tc>
          <w:tcPr>
            <w:tcW w:type="dxa" w:w="2448"/>
          </w:tcPr>
          <w:p>
            <w:pPr>
              <w:spacing w:after="20"/>
            </w:pPr>
            <w:r/>
            <w:r>
              <w:rPr>
                <w:b w:val="0"/>
                <w:i w:val="0"/>
                <w:sz w:val="17"/>
              </w:rPr>
              <w:t>Cite AR actuals; propose 6 months with Playbook 50% reduction</w:t>
            </w:r>
          </w:p>
        </w:tc>
      </w:tr>
      <w:tr>
        <w:tc>
          <w:tcPr>
            <w:tcW w:type="dxa" w:w="1584"/>
            <w:shd w:val="clear" w:color="auto" w:fill="F2F2F2"/>
          </w:tcPr>
          <w:p>
            <w:pPr>
              <w:spacing w:after="20"/>
            </w:pPr>
            <w:r/>
            <w:r>
              <w:rPr>
                <w:b w:val="0"/>
                <w:i w:val="0"/>
                <w:sz w:val="17"/>
              </w:rPr>
              <w:t>AR construction deadline</w:t>
            </w:r>
          </w:p>
        </w:tc>
        <w:tc>
          <w:tcPr>
            <w:tcW w:type="dxa" w:w="2736"/>
            <w:shd w:val="clear" w:color="auto" w:fill="F2F2F2"/>
          </w:tcPr>
          <w:p>
            <w:pPr>
              <w:spacing w:after="20"/>
            </w:pPr>
            <w:r/>
            <w:r>
              <w:rPr>
                <w:b w:val="0"/>
                <w:i w:val="0"/>
                <w:sz w:val="17"/>
              </w:rPr>
              <w:t>30 months with automatic 12-month extensions (§4 Notes)</w:t>
            </w:r>
          </w:p>
        </w:tc>
        <w:tc>
          <w:tcPr>
            <w:tcW w:type="dxa" w:w="3168"/>
            <w:shd w:val="clear" w:color="auto" w:fill="F2F2F2"/>
          </w:tcPr>
          <w:p>
            <w:pPr>
              <w:spacing w:after="20"/>
            </w:pPr>
            <w:r/>
            <w:r>
              <w:rPr>
                <w:b w:val="0"/>
                <w:i w:val="0"/>
                <w:sz w:val="17"/>
              </w:rPr>
              <w:t>AR §3.6: 24 months, day-for-day FM extension, 90-day notice and cure; AR §3.2 also extends Commencement by up to 12 months for FM</w:t>
            </w:r>
          </w:p>
        </w:tc>
        <w:tc>
          <w:tcPr>
            <w:tcW w:type="dxa" w:w="2448"/>
            <w:shd w:val="clear" w:color="auto" w:fill="F2F2F2"/>
          </w:tcPr>
          <w:p>
            <w:pPr>
              <w:spacing w:after="20"/>
            </w:pPr>
            <w:r/>
            <w:r>
              <w:rPr>
                <w:b w:val="0"/>
                <w:i w:val="0"/>
                <w:sz w:val="17"/>
              </w:rPr>
              <w:t>Cite AR accurately; 30 months is an ask, not the comparable</w:t>
            </w:r>
          </w:p>
        </w:tc>
      </w:tr>
      <w:tr>
        <w:tc>
          <w:tcPr>
            <w:tcW w:type="dxa" w:w="1584"/>
          </w:tcPr>
          <w:p>
            <w:pPr>
              <w:spacing w:after="20"/>
            </w:pPr>
            <w:r/>
            <w:r>
              <w:rPr>
                <w:b w:val="0"/>
                <w:i w:val="0"/>
                <w:sz w:val="17"/>
              </w:rPr>
              <w:t>AR lender cure periods</w:t>
            </w:r>
          </w:p>
        </w:tc>
        <w:tc>
          <w:tcPr>
            <w:tcW w:type="dxa" w:w="2736"/>
          </w:tcPr>
          <w:p>
            <w:pPr>
              <w:spacing w:after="20"/>
            </w:pPr>
            <w:r/>
            <w:r>
              <w:rPr>
                <w:b w:val="0"/>
                <w:i w:val="0"/>
                <w:sz w:val="17"/>
              </w:rPr>
              <w:t>60 days monetary / 90 days non-monetary + 180 days (§§7, 8 Notes)</w:t>
            </w:r>
          </w:p>
        </w:tc>
        <w:tc>
          <w:tcPr>
            <w:tcW w:type="dxa" w:w="3168"/>
          </w:tcPr>
          <w:p>
            <w:pPr>
              <w:spacing w:after="20"/>
            </w:pPr>
            <w:r/>
            <w:r>
              <w:rPr>
                <w:b w:val="0"/>
                <w:i w:val="0"/>
                <w:sz w:val="17"/>
              </w:rPr>
              <w:t>AR §10.2(b): 30/60 days after Tenant cure + 180 days; Cascade §3.3(c) now requires 60/90 after Tenant cure</w:t>
            </w:r>
          </w:p>
        </w:tc>
        <w:tc>
          <w:tcPr>
            <w:tcW w:type="dxa" w:w="2448"/>
          </w:tcPr>
          <w:p>
            <w:pPr>
              <w:spacing w:after="20"/>
            </w:pPr>
            <w:r/>
            <w:r>
              <w:rPr>
                <w:b w:val="0"/>
                <w:i w:val="0"/>
                <w:sz w:val="17"/>
              </w:rPr>
              <w:t>Draft to Cascade standard; do not cite AR as 60/90</w:t>
            </w:r>
          </w:p>
        </w:tc>
      </w:tr>
      <w:tr>
        <w:tc>
          <w:tcPr>
            <w:tcW w:type="dxa" w:w="1584"/>
            <w:shd w:val="clear" w:color="auto" w:fill="F2F2F2"/>
          </w:tcPr>
          <w:p>
            <w:pPr>
              <w:spacing w:after="20"/>
            </w:pPr>
            <w:r/>
            <w:r>
              <w:rPr>
                <w:b w:val="0"/>
                <w:i w:val="0"/>
                <w:sz w:val="17"/>
              </w:rPr>
              <w:t>Non-monetary cure extension</w:t>
            </w:r>
          </w:p>
        </w:tc>
        <w:tc>
          <w:tcPr>
            <w:tcW w:type="dxa" w:w="2736"/>
            <w:shd w:val="clear" w:color="auto" w:fill="F2F2F2"/>
          </w:tcPr>
          <w:p>
            <w:pPr>
              <w:spacing w:after="20"/>
            </w:pPr>
            <w:r/>
            <w:r>
              <w:rPr>
                <w:b w:val="0"/>
                <w:i w:val="0"/>
                <w:sz w:val="17"/>
              </w:rPr>
              <w:t>Market Standard: up to 120 days total; Notes: AR extendable to 180 days</w:t>
            </w:r>
          </w:p>
        </w:tc>
        <w:tc>
          <w:tcPr>
            <w:tcW w:type="dxa" w:w="3168"/>
            <w:shd w:val="clear" w:color="auto" w:fill="F2F2F2"/>
          </w:tcPr>
          <w:p>
            <w:pPr>
              <w:spacing w:after="20"/>
            </w:pPr>
            <w:r/>
            <w:r>
              <w:rPr>
                <w:b w:val="0"/>
                <w:i w:val="0"/>
                <w:sz w:val="17"/>
              </w:rPr>
              <w:t>AR §12.1(b): 60 days + up to 120 additional = 180 days</w:t>
            </w:r>
          </w:p>
        </w:tc>
        <w:tc>
          <w:tcPr>
            <w:tcW w:type="dxa" w:w="2448"/>
            <w:shd w:val="clear" w:color="auto" w:fill="F2F2F2"/>
          </w:tcPr>
          <w:p>
            <w:pPr>
              <w:spacing w:after="20"/>
            </w:pPr>
            <w:r/>
            <w:r>
              <w:rPr>
                <w:b w:val="0"/>
                <w:i w:val="0"/>
                <w:sz w:val="17"/>
              </w:rPr>
              <w:t>Ask for AR (180 days total)</w:t>
            </w:r>
          </w:p>
        </w:tc>
      </w:tr>
      <w:tr>
        <w:tc>
          <w:tcPr>
            <w:tcW w:type="dxa" w:w="1584"/>
          </w:tcPr>
          <w:p>
            <w:pPr>
              <w:spacing w:after="20"/>
            </w:pPr>
            <w:r/>
            <w:r>
              <w:rPr>
                <w:b w:val="0"/>
                <w:i w:val="0"/>
                <w:sz w:val="17"/>
              </w:rPr>
              <w:t>Self-insurance threshold</w:t>
            </w:r>
          </w:p>
        </w:tc>
        <w:tc>
          <w:tcPr>
            <w:tcW w:type="dxa" w:w="2736"/>
          </w:tcPr>
          <w:p>
            <w:pPr>
              <w:spacing w:after="20"/>
            </w:pPr>
            <w:r/>
            <w:r>
              <w:rPr>
                <w:b w:val="0"/>
                <w:i w:val="0"/>
                <w:sz w:val="17"/>
              </w:rPr>
              <w:t>$500M net tangible assets or investment grade (§12)</w:t>
            </w:r>
          </w:p>
        </w:tc>
        <w:tc>
          <w:tcPr>
            <w:tcW w:type="dxa" w:w="3168"/>
          </w:tcPr>
          <w:p>
            <w:pPr>
              <w:spacing w:after="20"/>
            </w:pPr>
            <w:r/>
            <w:r>
              <w:rPr>
                <w:b w:val="0"/>
                <w:i w:val="0"/>
                <w:sz w:val="17"/>
              </w:rPr>
              <w:t>AR §7.4: $100M TNW; Cascade §6: investment-grade entities may self-insure</w:t>
            </w:r>
          </w:p>
        </w:tc>
        <w:tc>
          <w:tcPr>
            <w:tcW w:type="dxa" w:w="2448"/>
          </w:tcPr>
          <w:p>
            <w:pPr>
              <w:spacing w:after="20"/>
            </w:pPr>
            <w:r/>
            <w:r>
              <w:rPr>
                <w:b w:val="0"/>
                <w:i w:val="0"/>
                <w:sz w:val="17"/>
              </w:rPr>
              <w:t>Ask for AR/Cascade standard</w:t>
            </w:r>
          </w:p>
        </w:tc>
      </w:tr>
      <w:tr>
        <w:tc>
          <w:tcPr>
            <w:tcW w:type="dxa" w:w="1584"/>
            <w:shd w:val="clear" w:color="auto" w:fill="F2F2F2"/>
          </w:tcPr>
          <w:p>
            <w:pPr>
              <w:spacing w:after="20"/>
            </w:pPr>
            <w:r/>
            <w:r>
              <w:rPr>
                <w:b w:val="0"/>
                <w:i w:val="0"/>
                <w:sz w:val="17"/>
              </w:rPr>
              <w:t>Lease-term test</w:t>
            </w:r>
          </w:p>
        </w:tc>
        <w:tc>
          <w:tcPr>
            <w:tcW w:type="dxa" w:w="2736"/>
            <w:shd w:val="clear" w:color="auto" w:fill="F2F2F2"/>
          </w:tcPr>
          <w:p>
            <w:pPr>
              <w:spacing w:after="20"/>
            </w:pPr>
            <w:r/>
            <w:r>
              <w:rPr>
                <w:b w:val="0"/>
                <w:i w:val="0"/>
                <w:sz w:val="17"/>
              </w:rPr>
              <w:t>Lease (incl. unilateral options) must exceed loan maturity by 5 yrs; 18-yr loan → ≥23 yrs post-COD (§2; App. B)</w:t>
            </w:r>
          </w:p>
        </w:tc>
        <w:tc>
          <w:tcPr>
            <w:tcW w:type="dxa" w:w="3168"/>
            <w:shd w:val="clear" w:color="auto" w:fill="F2F2F2"/>
          </w:tcPr>
          <w:p>
            <w:pPr>
              <w:spacing w:after="20"/>
            </w:pPr>
            <w:r/>
            <w:r>
              <w:rPr>
                <w:b w:val="0"/>
                <w:i w:val="0"/>
                <w:sz w:val="17"/>
              </w:rPr>
              <w:t>Cascade §§1.1–1.4: initial term ≥30 yrs from COD; total ≥40 yrs; 22-yr amortization + 3-yr tail</w:t>
            </w:r>
          </w:p>
        </w:tc>
        <w:tc>
          <w:tcPr>
            <w:tcW w:type="dxa" w:w="2448"/>
            <w:shd w:val="clear" w:color="auto" w:fill="F2F2F2"/>
          </w:tcPr>
          <w:p>
            <w:pPr>
              <w:spacing w:after="20"/>
            </w:pPr>
            <w:r/>
            <w:r>
              <w:rPr>
                <w:b w:val="0"/>
                <w:i w:val="0"/>
                <w:sz w:val="17"/>
              </w:rPr>
              <w:t>Update Playbook; Draft (~24.3 yrs post-COD) would pass the old test but fails Cascade</w:t>
            </w:r>
          </w:p>
        </w:tc>
      </w:tr>
      <w:tr>
        <w:tc>
          <w:tcPr>
            <w:tcW w:type="dxa" w:w="1584"/>
          </w:tcPr>
          <w:p>
            <w:pPr>
              <w:spacing w:after="20"/>
            </w:pPr>
            <w:r/>
            <w:r>
              <w:rPr>
                <w:b w:val="0"/>
                <w:i w:val="0"/>
                <w:sz w:val="17"/>
              </w:rPr>
              <w:t>Commencement formulation</w:t>
            </w:r>
          </w:p>
        </w:tc>
        <w:tc>
          <w:tcPr>
            <w:tcW w:type="dxa" w:w="2736"/>
          </w:tcPr>
          <w:p>
            <w:pPr>
              <w:spacing w:after="20"/>
            </w:pPr>
            <w:r/>
            <w:r>
              <w:rPr>
                <w:b w:val="0"/>
                <w:i w:val="0"/>
                <w:sz w:val="17"/>
              </w:rPr>
              <w:t>Market Standard text: “later of” COD or date certain (§4)</w:t>
            </w:r>
          </w:p>
        </w:tc>
        <w:tc>
          <w:tcPr>
            <w:tcW w:type="dxa" w:w="3168"/>
          </w:tcPr>
          <w:p>
            <w:pPr>
              <w:spacing w:after="20"/>
            </w:pPr>
            <w:r/>
            <w:r>
              <w:rPr>
                <w:b w:val="0"/>
                <w:i w:val="0"/>
                <w:sz w:val="17"/>
              </w:rPr>
              <w:t>PB Acceptable Range/Notes, Cascade, AR §3.2: “earlier of” COD or 36 months</w:t>
            </w:r>
          </w:p>
        </w:tc>
        <w:tc>
          <w:tcPr>
            <w:tcW w:type="dxa" w:w="2448"/>
          </w:tcPr>
          <w:p>
            <w:pPr>
              <w:spacing w:after="20"/>
            </w:pPr>
            <w:r/>
            <w:r>
              <w:rPr>
                <w:b w:val="0"/>
                <w:i w:val="0"/>
                <w:sz w:val="17"/>
              </w:rPr>
              <w:t>Use “earlier of” + FM extension</w:t>
            </w:r>
          </w:p>
        </w:tc>
      </w:tr>
      <w:tr>
        <w:tc>
          <w:tcPr>
            <w:tcW w:type="dxa" w:w="1584"/>
            <w:shd w:val="clear" w:color="auto" w:fill="F2F2F2"/>
          </w:tcPr>
          <w:p>
            <w:pPr>
              <w:spacing w:after="20"/>
            </w:pPr>
            <w:r/>
            <w:r>
              <w:rPr>
                <w:b w:val="0"/>
                <w:i w:val="0"/>
                <w:sz w:val="17"/>
              </w:rPr>
              <w:t>Escalation impact</w:t>
            </w:r>
          </w:p>
        </w:tc>
        <w:tc>
          <w:tcPr>
            <w:tcW w:type="dxa" w:w="2736"/>
            <w:shd w:val="clear" w:color="auto" w:fill="F2F2F2"/>
          </w:tcPr>
          <w:p>
            <w:pPr>
              <w:spacing w:after="20"/>
            </w:pPr>
            <w:r/>
            <w:r>
              <w:rPr>
                <w:b w:val="0"/>
                <w:i w:val="0"/>
                <w:sz w:val="17"/>
              </w:rPr>
              <w:t>3% compounding vs. 2% simple = ≈55% cumulative overpayment (§3.4)</w:t>
            </w:r>
          </w:p>
        </w:tc>
        <w:tc>
          <w:tcPr>
            <w:tcW w:type="dxa" w:w="3168"/>
            <w:shd w:val="clear" w:color="auto" w:fill="F2F2F2"/>
          </w:tcPr>
          <w:p>
            <w:pPr>
              <w:spacing w:after="20"/>
            </w:pPr>
            <w:r/>
            <w:r>
              <w:rPr>
                <w:b w:val="0"/>
                <w:i w:val="0"/>
                <w:sz w:val="17"/>
              </w:rPr>
              <w:t>Correct figure ≈17.6% cumulative (36.46 vs. 31.00 multipliers); ≈37% in Year 25</w:t>
            </w:r>
          </w:p>
        </w:tc>
        <w:tc>
          <w:tcPr>
            <w:tcW w:type="dxa" w:w="2448"/>
            <w:shd w:val="clear" w:color="auto" w:fill="F2F2F2"/>
          </w:tcPr>
          <w:p>
            <w:pPr>
              <w:spacing w:after="20"/>
            </w:pPr>
            <w:r/>
            <w:r>
              <w:rPr>
                <w:b w:val="0"/>
                <w:i w:val="0"/>
                <w:sz w:val="17"/>
              </w:rPr>
              <w:t>Correct before use</w:t>
            </w:r>
          </w:p>
        </w:tc>
      </w:tr>
      <w:tr>
        <w:tc>
          <w:tcPr>
            <w:tcW w:type="dxa" w:w="1584"/>
          </w:tcPr>
          <w:p>
            <w:pPr>
              <w:spacing w:after="20"/>
            </w:pPr>
            <w:r/>
            <w:r>
              <w:rPr>
                <w:b w:val="0"/>
                <w:i w:val="0"/>
                <w:sz w:val="17"/>
              </w:rPr>
              <w:t>Extension rent cap</w:t>
            </w:r>
          </w:p>
        </w:tc>
        <w:tc>
          <w:tcPr>
            <w:tcW w:type="dxa" w:w="2736"/>
          </w:tcPr>
          <w:p>
            <w:pPr>
              <w:spacing w:after="20"/>
            </w:pPr>
            <w:r/>
            <w:r>
              <w:rPr>
                <w:b w:val="0"/>
                <w:i w:val="0"/>
                <w:sz w:val="17"/>
              </w:rPr>
              <w:t>Floor = final-year rent; cap 110% (§2)</w:t>
            </w:r>
          </w:p>
        </w:tc>
        <w:tc>
          <w:tcPr>
            <w:tcW w:type="dxa" w:w="3168"/>
          </w:tcPr>
          <w:p>
            <w:pPr>
              <w:spacing w:after="20"/>
            </w:pPr>
            <w:r/>
            <w:r>
              <w:rPr>
                <w:b w:val="0"/>
                <w:i w:val="0"/>
                <w:sz w:val="17"/>
              </w:rPr>
              <w:t>Cascade §1.5: “cap equal to the greater of” final-year rent and FMV (reads as a floor); AR §4.4: greater of final-year rent or FMV, no cap</w:t>
            </w:r>
          </w:p>
        </w:tc>
        <w:tc>
          <w:tcPr>
            <w:tcW w:type="dxa" w:w="2448"/>
          </w:tcPr>
          <w:p>
            <w:pPr>
              <w:spacing w:after="20"/>
            </w:pPr>
            <w:r/>
            <w:r>
              <w:rPr>
                <w:b w:val="0"/>
                <w:i w:val="0"/>
                <w:sz w:val="17"/>
              </w:rPr>
              <w:t>Confirm intent with Cascade; Playbook floor/110% cap structure satisfies Cascade’s literal wording</w:t>
            </w:r>
          </w:p>
        </w:tc>
      </w:tr>
      <w:tr>
        <w:tc>
          <w:tcPr>
            <w:tcW w:type="dxa" w:w="1584"/>
            <w:shd w:val="clear" w:color="auto" w:fill="F2F2F2"/>
          </w:tcPr>
          <w:p>
            <w:pPr>
              <w:spacing w:after="20"/>
            </w:pPr>
            <w:r/>
            <w:r>
              <w:rPr>
                <w:b w:val="0"/>
                <w:i w:val="0"/>
                <w:sz w:val="17"/>
              </w:rPr>
              <w:t>Permitted transfers</w:t>
            </w:r>
          </w:p>
        </w:tc>
        <w:tc>
          <w:tcPr>
            <w:tcW w:type="dxa" w:w="2736"/>
            <w:shd w:val="clear" w:color="auto" w:fill="F2F2F2"/>
          </w:tcPr>
          <w:p>
            <w:pPr>
              <w:spacing w:after="20"/>
            </w:pPr>
            <w:r/>
            <w:r>
              <w:rPr>
                <w:b w:val="0"/>
                <w:i w:val="0"/>
                <w:sz w:val="17"/>
              </w:rPr>
              <w:t>Affiliate, lender, sale of assets/equity (§6)</w:t>
            </w:r>
          </w:p>
        </w:tc>
        <w:tc>
          <w:tcPr>
            <w:tcW w:type="dxa" w:w="3168"/>
            <w:shd w:val="clear" w:color="auto" w:fill="F2F2F2"/>
          </w:tcPr>
          <w:p>
            <w:pPr>
              <w:spacing w:after="20"/>
            </w:pPr>
            <w:r/>
            <w:r>
              <w:rPr>
                <w:b w:val="0"/>
                <w:i w:val="0"/>
                <w:sz w:val="17"/>
              </w:rPr>
              <w:t>Cascade §2.2(d) adds tax-equity transfers; §2.2 bars any transfer fee</w:t>
            </w:r>
          </w:p>
        </w:tc>
        <w:tc>
          <w:tcPr>
            <w:tcW w:type="dxa" w:w="2448"/>
            <w:shd w:val="clear" w:color="auto" w:fill="F2F2F2"/>
          </w:tcPr>
          <w:p>
            <w:pPr>
              <w:spacing w:after="20"/>
            </w:pPr>
            <w:r/>
            <w:r>
              <w:rPr>
                <w:b w:val="0"/>
                <w:i w:val="0"/>
                <w:sz w:val="17"/>
              </w:rPr>
              <w:t>Add tax-equity carve-out; delete §10.4 fee</w:t>
            </w:r>
          </w:p>
        </w:tc>
      </w:tr>
      <w:tr>
        <w:tc>
          <w:tcPr>
            <w:tcW w:type="dxa" w:w="1584"/>
          </w:tcPr>
          <w:p>
            <w:pPr>
              <w:spacing w:after="20"/>
            </w:pPr>
            <w:r/>
            <w:r>
              <w:rPr>
                <w:b w:val="0"/>
                <w:i w:val="0"/>
                <w:sz w:val="17"/>
              </w:rPr>
              <w:t>Late charges</w:t>
            </w:r>
          </w:p>
        </w:tc>
        <w:tc>
          <w:tcPr>
            <w:tcW w:type="dxa" w:w="2736"/>
          </w:tcPr>
          <w:p>
            <w:pPr>
              <w:spacing w:after="20"/>
            </w:pPr>
            <w:r/>
            <w:r>
              <w:rPr>
                <w:b w:val="0"/>
                <w:i w:val="0"/>
                <w:sz w:val="17"/>
              </w:rPr>
              <w:t>Silent</w:t>
            </w:r>
          </w:p>
        </w:tc>
        <w:tc>
          <w:tcPr>
            <w:tcW w:type="dxa" w:w="3168"/>
          </w:tcPr>
          <w:p>
            <w:pPr>
              <w:spacing w:after="20"/>
            </w:pPr>
            <w:r/>
            <w:r>
              <w:rPr>
                <w:b w:val="0"/>
                <w:i w:val="0"/>
                <w:sz w:val="17"/>
              </w:rPr>
              <w:t>Cascade §4.1(a): none during 30-day cure</w:t>
            </w:r>
          </w:p>
        </w:tc>
        <w:tc>
          <w:tcPr>
            <w:tcW w:type="dxa" w:w="2448"/>
          </w:tcPr>
          <w:p>
            <w:pPr>
              <w:spacing w:after="20"/>
            </w:pPr>
            <w:r/>
            <w:r>
              <w:rPr>
                <w:b w:val="0"/>
                <w:i w:val="0"/>
                <w:sz w:val="17"/>
              </w:rPr>
              <w:t>Conform §4.5</w:t>
            </w:r>
          </w:p>
        </w:tc>
      </w:tr>
      <w:tr>
        <w:tc>
          <w:tcPr>
            <w:tcW w:type="dxa" w:w="1584"/>
            <w:shd w:val="clear" w:color="auto" w:fill="F2F2F2"/>
          </w:tcPr>
          <w:p>
            <w:pPr>
              <w:spacing w:after="20"/>
            </w:pPr>
            <w:r/>
            <w:r>
              <w:rPr>
                <w:b w:val="0"/>
                <w:i w:val="0"/>
                <w:sz w:val="17"/>
              </w:rPr>
              <w:t>Decommissioning estimate</w:t>
            </w:r>
          </w:p>
        </w:tc>
        <w:tc>
          <w:tcPr>
            <w:tcW w:type="dxa" w:w="2736"/>
            <w:shd w:val="clear" w:color="auto" w:fill="F2F2F2"/>
          </w:tcPr>
          <w:p>
            <w:pPr>
              <w:spacing w:after="20"/>
            </w:pPr>
            <w:r/>
            <w:r>
              <w:rPr>
                <w:b w:val="0"/>
                <w:i w:val="0"/>
                <w:sz w:val="17"/>
              </w:rPr>
              <w:t>Mutually agreed PE (§10)</w:t>
            </w:r>
          </w:p>
        </w:tc>
        <w:tc>
          <w:tcPr>
            <w:tcW w:type="dxa" w:w="3168"/>
            <w:shd w:val="clear" w:color="auto" w:fill="F2F2F2"/>
          </w:tcPr>
          <w:p>
            <w:pPr>
              <w:spacing w:after="20"/>
            </w:pPr>
            <w:r/>
            <w:r>
              <w:rPr>
                <w:b w:val="0"/>
                <w:i w:val="0"/>
                <w:sz w:val="17"/>
              </w:rPr>
              <w:t>Cascade §6 and AR §14.3(b): net of salvage value</w:t>
            </w:r>
          </w:p>
        </w:tc>
        <w:tc>
          <w:tcPr>
            <w:tcW w:type="dxa" w:w="2448"/>
            <w:shd w:val="clear" w:color="auto" w:fill="F2F2F2"/>
          </w:tcPr>
          <w:p>
            <w:pPr>
              <w:spacing w:after="20"/>
            </w:pPr>
            <w:r/>
            <w:r>
              <w:rPr>
                <w:b w:val="0"/>
                <w:i w:val="0"/>
                <w:sz w:val="17"/>
              </w:rPr>
              <w:t>Require salvage credit</w:t>
            </w:r>
          </w:p>
        </w:tc>
      </w:tr>
    </w:tbl>
    <w:p>
      <w:pPr>
        <w:spacing w:after="40"/>
      </w:pPr>
    </w:p>
    <w:p>
      <w:pPr>
        <w:spacing w:after="120"/>
        <w:jc w:val="both"/>
      </w:pPr>
      <w:r>
        <w:rPr>
          <w:b/>
          <w:i w:val="0"/>
          <w:sz w:val="21"/>
        </w:rPr>
        <w:t>Comparable acreage caveat.</w:t>
      </w:r>
      <w:r>
        <w:rPr>
          <w:b w:val="0"/>
          <w:i w:val="0"/>
          <w:sz w:val="21"/>
        </w:rPr>
        <w:t xml:space="preserve"> Antelope Ridge Exhibit A states 640 + 520 + 320 = 1,480 acres, but the aliquot descriptions appear to describe less (e.g., the S½ of Section 14 is ~320 acres, not 640; Parcel 2’s S½ of S½ of Section 14 lies within Parcel 1; Parcel 3’s W½NW¼ + W½SW¼ is ~160 acres). Because all per-acre comparisons rely on 1,480 acres, we recommend confirming the AR surveyed acreage (Landmark ALTA survey, Jan. 15, 2022) before citing AR per-acre figures to the Landlord.</w:t>
      </w:r>
    </w:p>
    <w:p>
      <w:pPr>
        <w:pStyle w:val="Heading2"/>
      </w:pPr>
      <w:r>
        <w:rPr>
          <w:color w:val="1F3864"/>
        </w:rPr>
        <w:t>6.B Corrections to the Cheng Email (for internal accuracy)</w:t>
      </w:r>
    </w:p>
    <w:p>
      <w:pPr>
        <w:pStyle w:val="ListBullet"/>
        <w:spacing w:after="60"/>
      </w:pPr>
      <w:r>
        <w:rPr>
          <w:b/>
          <w:i w:val="0"/>
          <w:sz w:val="20"/>
        </w:rPr>
        <w:t>Term arithmetic.</w:t>
      </w:r>
      <w:r>
        <w:rPr>
          <w:b w:val="0"/>
          <w:i w:val="0"/>
          <w:sz w:val="20"/>
        </w:rPr>
        <w:t xml:space="preserve"> The Initial Term runs 25 years from the Commencement Date, not from execution; with the 24-month backstop it would expire no later than about October 15, 2051 (not October 2049). The conclusion is unchanged — the term is still roughly 5.7 years short of Cascade’s 30-years-from-COD minimum and short of the 22-year amortization + 3-year tail (≈June 2052).</w:t>
      </w:r>
    </w:p>
    <w:p>
      <w:pPr>
        <w:pStyle w:val="ListBullet"/>
        <w:spacing w:after="60"/>
      </w:pPr>
      <w:r>
        <w:rPr>
          <w:b/>
          <w:i w:val="0"/>
          <w:sz w:val="20"/>
        </w:rPr>
        <w:t>Agricultural reservation trigger.</w:t>
      </w:r>
      <w:r>
        <w:rPr>
          <w:b w:val="0"/>
          <w:i w:val="0"/>
          <w:sz w:val="20"/>
        </w:rPr>
        <w:t xml:space="preserve"> §8.1 reserves farming on land “not located within the Improvement Area” (Exhibit B), not land not “actively occupied” by equipment — so the breadth of Exhibit B is decisive.</w:t>
      </w:r>
    </w:p>
    <w:p>
      <w:pPr>
        <w:pStyle w:val="ListBullet"/>
        <w:spacing w:after="60"/>
      </w:pPr>
      <w:r>
        <w:rPr>
          <w:b/>
          <w:i w:val="0"/>
          <w:sz w:val="20"/>
        </w:rPr>
        <w:t>Year 25 rent.</w:t>
      </w:r>
      <w:r>
        <w:rPr>
          <w:b w:val="0"/>
          <w:i w:val="0"/>
          <w:sz w:val="20"/>
        </w:rPr>
        <w:t xml:space="preserve"> Under §4.4’s reset mechanics Year 25 Base Rent ($2,532,075) is 1.86x Year 1, not “more than doubled” (the per-acre rate does nearly double, to ≈$2,042/acre).</w:t>
      </w:r>
    </w:p>
    <w:p>
      <w:pPr>
        <w:pStyle w:val="ListBullet"/>
        <w:spacing w:after="60"/>
      </w:pPr>
      <w:r>
        <w:rPr>
          <w:b/>
          <w:i w:val="0"/>
          <w:sz w:val="20"/>
        </w:rPr>
        <w:t>“Later of” COD formulation</w:t>
      </w:r>
      <w:r>
        <w:rPr>
          <w:b w:val="0"/>
          <w:i w:val="0"/>
          <w:sz w:val="20"/>
        </w:rPr>
        <w:t xml:space="preserve"> — see Section 3.B; recommend “earlier of” COD or 36 months with FM extension, matching AR.</w:t>
      </w:r>
    </w:p>
    <w:p>
      <w:pPr>
        <w:pStyle w:val="ListBullet"/>
        <w:spacing w:after="60"/>
      </w:pPr>
      <w:r>
        <w:rPr>
          <w:b/>
          <w:i w:val="0"/>
          <w:sz w:val="20"/>
        </w:rPr>
        <w:t>Antelope Ridge ≈6.5% land cost</w:t>
      </w:r>
      <w:r>
        <w:rPr>
          <w:b w:val="0"/>
          <w:i w:val="0"/>
          <w:sz w:val="20"/>
        </w:rPr>
        <w:t xml:space="preserve"> cannot be verified from the AR lease (it depends on Antelope Ridge revenue, which is not in the file); Finance should confirm before it is used externally.</w:t>
      </w:r>
    </w:p>
    <w:p>
      <w:pPr>
        <w:pStyle w:val="ListBullet"/>
        <w:spacing w:after="60"/>
      </w:pPr>
      <w:r>
        <w:rPr>
          <w:b w:val="0"/>
          <w:i w:val="0"/>
          <w:sz w:val="20"/>
        </w:rPr>
        <w:t>Confirmed: the $1,869,750 / 12.94% Year 1 calculation, the $14.45M revenue figure, the $198M capital cost, the ≈April 15, 2026 construction deadline and ≈October 15, 2026 Commencement backstop, and the description of §8.2 (“without restriction”).</w:t>
      </w:r>
    </w:p>
    <w:p>
      <w:pPr>
        <w:pStyle w:val="Heading2"/>
      </w:pPr>
      <w:r>
        <w:rPr>
          <w:color w:val="1F3864"/>
        </w:rPr>
        <w:t>6.C California enforceability observations (Draft provisions)</w:t>
      </w:r>
    </w:p>
    <w:p>
      <w:pPr>
        <w:spacing w:after="120"/>
        <w:jc w:val="both"/>
      </w:pPr>
      <w:r>
        <w:rPr>
          <w:b w:val="0"/>
          <w:i/>
          <w:sz w:val="19"/>
        </w:rPr>
        <w:t>These points support the request to delete or rewrite the provisions; they are not a substitute for doing so, because Cascade will not lend against a lease whose protection depends on a court declining to enforce a clause. To be confirmed in the final redraft memorandum.</w:t>
      </w:r>
    </w:p>
    <w:p>
      <w:pPr>
        <w:pStyle w:val="ListBullet"/>
        <w:spacing w:after="60"/>
      </w:pPr>
      <w:r>
        <w:rPr>
          <w:b/>
          <w:i w:val="0"/>
          <w:sz w:val="20"/>
        </w:rPr>
        <w:t>Jury waiver (§20.7).</w:t>
      </w:r>
      <w:r>
        <w:rPr>
          <w:b w:val="0"/>
          <w:i w:val="0"/>
          <w:sz w:val="20"/>
        </w:rPr>
        <w:t xml:space="preserve"> Pre-dispute contractual jury waivers are unenforceable in California (Grafton Partners L.P. v. Superior Court (2005) 36 Cal.4th 944). If the parties want a non-jury forum, use JAMS arbitration (as in AR §18.3) or a general judicial reference (Code Civ. Proc. §638).</w:t>
      </w:r>
    </w:p>
    <w:p>
      <w:pPr>
        <w:pStyle w:val="ListBullet"/>
        <w:spacing w:after="60"/>
      </w:pPr>
      <w:r>
        <w:rPr>
          <w:b/>
          <w:i w:val="0"/>
          <w:sz w:val="20"/>
        </w:rPr>
        <w:t>Liquidated damages (§§3.5, 4.5, 12.3).</w:t>
      </w:r>
      <w:r>
        <w:rPr>
          <w:b w:val="0"/>
          <w:i w:val="0"/>
          <w:sz w:val="20"/>
        </w:rPr>
        <w:t xml:space="preserve"> Under Civ. Code §1671(b) and Ridgley v. Topa Thrift &amp; Loan Assn. (1998) 17 Cal.4th 970, a charge that bears no reasonable relationship to anticipated damages is an unenforceable penalty. A 200% multiplier of actual decommissioning cost is by definition not an estimate of damages; the 5% late fee on top of 18% interest is similarly exposed.</w:t>
      </w:r>
    </w:p>
    <w:p>
      <w:pPr>
        <w:pStyle w:val="ListBullet"/>
        <w:spacing w:after="60"/>
      </w:pPr>
      <w:r>
        <w:rPr>
          <w:b/>
          <w:i w:val="0"/>
          <w:sz w:val="20"/>
        </w:rPr>
        <w:t>Forfeiture (§§11.2, 12.3(b), 14.3(d)).</w:t>
      </w:r>
      <w:r>
        <w:rPr>
          <w:b w:val="0"/>
          <w:i w:val="0"/>
          <w:sz w:val="20"/>
        </w:rPr>
        <w:t xml:space="preserve"> Conditions involving forfeiture are strictly construed against the party benefited (Civ. Code §1442) and courts may relieve against forfeiture (Civ. Code §3275); the Playbook (§9.3) also notes the penalty analysis.</w:t>
      </w:r>
    </w:p>
    <w:p>
      <w:pPr>
        <w:pStyle w:val="ListBullet"/>
        <w:spacing w:after="60"/>
      </w:pPr>
      <w:r>
        <w:rPr>
          <w:b/>
          <w:i w:val="0"/>
          <w:sz w:val="20"/>
        </w:rPr>
        <w:t>Damages on termination (§14.3(e)).</w:t>
      </w:r>
      <w:r>
        <w:rPr>
          <w:b w:val="0"/>
          <w:i w:val="0"/>
          <w:sz w:val="20"/>
        </w:rPr>
        <w:t xml:space="preserve"> Civ. Code §1951.2 limits recovery of post-termination rent to the amount by which unpaid rent exceeds the rental loss the tenant proves could reasonably be avoided, discounted at the Federal Reserve Bank of San Francisco discount rate plus 1%. The Draft’s 5% discount rate, credit only for amounts “actually received,” and inclusion of an unexercised Extension Term depart from the statutory measure.</w:t>
      </w:r>
    </w:p>
    <w:p>
      <w:pPr>
        <w:pStyle w:val="ListBullet"/>
        <w:spacing w:after="60"/>
      </w:pPr>
      <w:r>
        <w:rPr>
          <w:b/>
          <w:i w:val="0"/>
          <w:sz w:val="20"/>
        </w:rPr>
        <w:t>Self-help re-entry (§14.3(b)).</w:t>
      </w:r>
      <w:r>
        <w:rPr>
          <w:b w:val="0"/>
          <w:i w:val="0"/>
          <w:sz w:val="20"/>
        </w:rPr>
        <w:t xml:space="preserve"> Re-entry “with or without process of law” is of doubtful enforceability under California’s forcible entry and detainer statutes (Code Civ. Proc. §1159 et seq.) and is a safety hazard at an energized facility; remedies should run through judicial process.</w:t>
      </w:r>
    </w:p>
    <w:p>
      <w:pPr>
        <w:pStyle w:val="ListBullet"/>
        <w:spacing w:after="60"/>
      </w:pPr>
      <w:r>
        <w:rPr>
          <w:b/>
          <w:i w:val="0"/>
          <w:sz w:val="20"/>
        </w:rPr>
        <w:t>Security deposit (§§5.2–5.3).</w:t>
      </w:r>
      <w:r>
        <w:rPr>
          <w:b w:val="0"/>
          <w:i w:val="0"/>
          <w:sz w:val="20"/>
        </w:rPr>
        <w:t xml:space="preserve"> Civ. Code §1950.7 governs commercial security deposits, limiting the purposes for which a landlord may apply the deposit and setting return deadlines; the “whether or not then due/finally determined” deductions and the 120-day post-decommissioning return should be conformed (moot if an LOC is used).</w:t>
      </w:r>
    </w:p>
    <w:p>
      <w:pPr>
        <w:pStyle w:val="ListBullet"/>
        <w:spacing w:after="60"/>
      </w:pPr>
      <w:r>
        <w:rPr>
          <w:b/>
          <w:i w:val="0"/>
          <w:sz w:val="20"/>
        </w:rPr>
        <w:t>Waiver of Civ. Code §§1932–1933 (§15.2)</w:t>
      </w:r>
      <w:r>
        <w:rPr>
          <w:b w:val="0"/>
          <w:i w:val="0"/>
          <w:sz w:val="20"/>
        </w:rPr>
        <w:t xml:space="preserve"> is customary in ground leases, and acceptable once the express Tenant termination rights in Section 3.D are added.</w:t>
      </w:r>
    </w:p>
    <w:p>
      <w:pPr>
        <w:pStyle w:val="Heading2"/>
      </w:pPr>
      <w:r>
        <w:rPr>
          <w:color w:val="1F3864"/>
        </w:rPr>
        <w:t>6.D Drafting errors and internal inconsistencies in the Hargrove Draft</w:t>
      </w:r>
    </w:p>
    <w:p>
      <w:pPr>
        <w:pStyle w:val="ListBullet"/>
        <w:spacing w:after="60"/>
      </w:pPr>
      <w:r>
        <w:rPr>
          <w:b w:val="0"/>
          <w:i w:val="0"/>
          <w:sz w:val="20"/>
        </w:rPr>
        <w:t>§4.4 illustrations mis-computed (Year 10: $1,779,711 not $1,779,706; Year 25: $2,532,075 not $2,530,279); Year 11 rent is lower than escalated Year 10 rent.</w:t>
      </w:r>
    </w:p>
    <w:p>
      <w:pPr>
        <w:pStyle w:val="ListBullet"/>
        <w:spacing w:after="60"/>
      </w:pPr>
      <w:r>
        <w:rPr>
          <w:b w:val="0"/>
          <w:i w:val="0"/>
          <w:sz w:val="20"/>
        </w:rPr>
        <w:t>§3.2 36-month Option Period cap and automatic termination can never operate because the Commencement Date occurs no later than 24 months; the provision nonetheless conflicts with Cascade §4.4.</w:t>
      </w:r>
    </w:p>
    <w:p>
      <w:pPr>
        <w:pStyle w:val="ListBullet"/>
        <w:spacing w:after="60"/>
      </w:pPr>
      <w:r>
        <w:rPr>
          <w:b w:val="0"/>
          <w:i w:val="0"/>
          <w:sz w:val="20"/>
        </w:rPr>
        <w:t>§4.3 measures the Revenue Share “during each Lease Year” but calculates and pays it on a calendar-year basis.</w:t>
      </w:r>
    </w:p>
    <w:p>
      <w:pPr>
        <w:pStyle w:val="ListBullet"/>
        <w:spacing w:after="60"/>
      </w:pPr>
      <w:r>
        <w:rPr>
          <w:b w:val="0"/>
          <w:i w:val="0"/>
          <w:sz w:val="20"/>
        </w:rPr>
        <w:t>§7.2 requires insurance certificates 10 days before the Effective Date (and §7.1 coverage from the Effective Date), although builder’s risk and construction-phase coverages are not needed during the Option Period.</w:t>
      </w:r>
    </w:p>
    <w:p>
      <w:pPr>
        <w:pStyle w:val="ListBullet"/>
        <w:spacing w:after="60"/>
      </w:pPr>
      <w:r>
        <w:rPr>
          <w:b w:val="0"/>
          <w:i w:val="0"/>
          <w:sz w:val="20"/>
        </w:rPr>
        <w:t>§9.2 treats Landlord silence as deemed disapproval, creating an indefinite approval loop that interacts with the 18-month construction deadline.</w:t>
      </w:r>
    </w:p>
    <w:p>
      <w:pPr>
        <w:pStyle w:val="ListBullet"/>
        <w:spacing w:after="60"/>
      </w:pPr>
      <w:r>
        <w:rPr>
          <w:b w:val="0"/>
          <w:i w:val="0"/>
          <w:sz w:val="20"/>
        </w:rPr>
        <w:t>§§3.5, 14.1(e) and 15.1(a) triple-count the construction-deadline failure (termination right, Event of Default, and independent termination right), and §3.5’s LD language conflicts with §14.3’s cumulative damages remedy.</w:t>
      </w:r>
    </w:p>
    <w:p>
      <w:pPr>
        <w:pStyle w:val="ListBullet"/>
        <w:spacing w:after="60"/>
      </w:pPr>
      <w:r>
        <w:rPr>
          <w:b w:val="0"/>
          <w:i w:val="0"/>
          <w:sz w:val="20"/>
        </w:rPr>
        <w:t>Exhibit A: overlapping and dimensionally inconsistent calls for APN 287-041-15, blank Record of Survey references, and an apparent township-designation error (see matrix); Exhibit B (Improvement Area) not attached; Exhibit C Memorandum returns to Landlord’s counsel and omits key protections.</w:t>
      </w:r>
    </w:p>
    <w:p>
      <w:pPr>
        <w:pStyle w:val="Heading1"/>
      </w:pPr>
      <w:r>
        <w:rPr>
          <w:color w:val="1F3864"/>
        </w:rPr>
        <w:t>7. Items Requiring General Counsel Escalation (Playbook Escalation Protocol)</w:t>
      </w:r>
    </w:p>
    <w:p>
      <w:pPr>
        <w:spacing w:after="120"/>
        <w:jc w:val="both"/>
      </w:pPr>
      <w:r>
        <w:rPr>
          <w:b w:val="0"/>
          <w:i w:val="0"/>
          <w:sz w:val="21"/>
        </w:rPr>
        <w:t xml:space="preserve">Each item below falls outside the Playbook Acceptable Range and requires GC approval before any term sheet or LOI. Total: </w:t>
      </w:r>
      <w:r>
        <w:rPr>
          <w:b/>
          <w:i w:val="0"/>
          <w:sz w:val="21"/>
        </w:rPr>
        <w:t>23 items.</w:t>
      </w:r>
      <w:r>
        <w:rPr>
          <w:b w:val="0"/>
          <w:i w:val="0"/>
          <w:sz w:val="21"/>
        </w:rPr>
        <w:t xml:space="preserve"> The total-land-cost breach separately triggers the mandatory Development/Finance financial review (Playbook §1).</w:t>
      </w:r>
    </w:p>
    <w:p>
      <w:pPr>
        <w:pStyle w:val="ListNumber"/>
        <w:spacing w:after="60"/>
      </w:pPr>
      <w:r>
        <w:rPr>
          <w:b w:val="0"/>
          <w:i w:val="0"/>
          <w:sz w:val="20"/>
        </w:rPr>
        <w:t>Initial Term below 30 years (§3.1)</w:t>
      </w:r>
    </w:p>
    <w:p>
      <w:pPr>
        <w:pStyle w:val="ListNumber"/>
        <w:spacing w:after="60"/>
      </w:pPr>
      <w:r>
        <w:rPr>
          <w:b w:val="0"/>
          <w:i w:val="0"/>
          <w:sz w:val="20"/>
        </w:rPr>
        <w:t>Mutual-consent extension option; total potential term below 40 years (§3.3)</w:t>
      </w:r>
    </w:p>
    <w:p>
      <w:pPr>
        <w:pStyle w:val="ListNumber"/>
        <w:spacing w:after="60"/>
      </w:pPr>
      <w:r>
        <w:rPr>
          <w:b w:val="0"/>
          <w:i w:val="0"/>
          <w:sz w:val="20"/>
        </w:rPr>
        <w:t>Extension rent set by Landlord-selected appraiser (§3.4)</w:t>
      </w:r>
    </w:p>
    <w:p>
      <w:pPr>
        <w:pStyle w:val="ListNumber"/>
        <w:spacing w:after="60"/>
      </w:pPr>
      <w:r>
        <w:rPr>
          <w:b w:val="0"/>
          <w:i w:val="0"/>
          <w:sz w:val="20"/>
        </w:rPr>
        <w:t>Base Rent step-up to $1,350/acre (§4.2(b))</w:t>
      </w:r>
    </w:p>
    <w:p>
      <w:pPr>
        <w:pStyle w:val="ListNumber"/>
        <w:spacing w:after="60"/>
      </w:pPr>
      <w:r>
        <w:rPr>
          <w:b w:val="0"/>
          <w:i w:val="0"/>
          <w:sz w:val="20"/>
        </w:rPr>
        <w:t>Additive revenue share calculated on gross revenue (§4.3)</w:t>
      </w:r>
    </w:p>
    <w:p>
      <w:pPr>
        <w:pStyle w:val="ListNumber"/>
        <w:spacing w:after="60"/>
      </w:pPr>
      <w:r>
        <w:rPr>
          <w:b w:val="0"/>
          <w:i w:val="0"/>
          <w:sz w:val="20"/>
        </w:rPr>
        <w:t>3.0% compounding escalation (§4.4)</w:t>
      </w:r>
    </w:p>
    <w:p>
      <w:pPr>
        <w:pStyle w:val="ListNumber"/>
        <w:spacing w:after="60"/>
      </w:pPr>
      <w:r>
        <w:rPr>
          <w:b w:val="0"/>
          <w:i w:val="0"/>
          <w:sz w:val="20"/>
        </w:rPr>
        <w:t>Total land cost above 8% of projected revenue (also triggers mandatory Development/Finance review) (§§4.2–4.4)</w:t>
      </w:r>
    </w:p>
    <w:p>
      <w:pPr>
        <w:pStyle w:val="ListNumber"/>
        <w:spacing w:after="60"/>
      </w:pPr>
      <w:r>
        <w:rPr>
          <w:b w:val="0"/>
          <w:i w:val="0"/>
          <w:sz w:val="20"/>
        </w:rPr>
        <w:t>24-month Commencement Date backstop (Art. 1)</w:t>
      </w:r>
    </w:p>
    <w:p>
      <w:pPr>
        <w:pStyle w:val="ListNumber"/>
        <w:spacing w:after="60"/>
      </w:pPr>
      <w:r>
        <w:rPr>
          <w:b w:val="0"/>
          <w:i w:val="0"/>
          <w:sz w:val="20"/>
        </w:rPr>
        <w:t>18-month construction deadline without extensions (§3.5)</w:t>
      </w:r>
    </w:p>
    <w:p>
      <w:pPr>
        <w:pStyle w:val="ListNumber"/>
        <w:spacing w:after="60"/>
      </w:pPr>
      <w:r>
        <w:rPr>
          <w:b w:val="0"/>
          <w:i w:val="0"/>
          <w:sz w:val="20"/>
        </w:rPr>
        <w:t>$3,000,000 cash security deposit (form and amount) (§5.1)</w:t>
      </w:r>
    </w:p>
    <w:p>
      <w:pPr>
        <w:pStyle w:val="ListNumber"/>
        <w:spacing w:after="60"/>
      </w:pPr>
      <w:r>
        <w:rPr>
          <w:b w:val="0"/>
          <w:i w:val="0"/>
          <w:sz w:val="20"/>
        </w:rPr>
        <w:t>Sole-and-absolute-discretion assignment consent; prohibition of leasehold mortgages (§10.1)</w:t>
      </w:r>
    </w:p>
    <w:p>
      <w:pPr>
        <w:pStyle w:val="ListNumber"/>
        <w:spacing w:after="60"/>
      </w:pPr>
      <w:r>
        <w:rPr>
          <w:b w:val="0"/>
          <w:i w:val="0"/>
          <w:sz w:val="20"/>
        </w:rPr>
        <w:t>Upstream change-of-control trigger (§10.2)</w:t>
      </w:r>
    </w:p>
    <w:p>
      <w:pPr>
        <w:pStyle w:val="ListNumber"/>
        <w:spacing w:after="60"/>
      </w:pPr>
      <w:r>
        <w:rPr>
          <w:b w:val="0"/>
          <w:i w:val="0"/>
          <w:sz w:val="20"/>
        </w:rPr>
        <w:t>Continuing joint-and-several liability after assignment (§10.3)</w:t>
      </w:r>
    </w:p>
    <w:p>
      <w:pPr>
        <w:pStyle w:val="ListNumber"/>
        <w:spacing w:after="60"/>
      </w:pPr>
      <w:r>
        <w:rPr>
          <w:b w:val="0"/>
          <w:i w:val="0"/>
          <w:sz w:val="20"/>
        </w:rPr>
        <w:t>Omission of all lender protections (Art. 17)</w:t>
      </w:r>
    </w:p>
    <w:p>
      <w:pPr>
        <w:pStyle w:val="ListNumber"/>
        <w:spacing w:after="60"/>
      </w:pPr>
      <w:r>
        <w:rPr>
          <w:b w:val="0"/>
          <w:i w:val="0"/>
          <w:sz w:val="20"/>
        </w:rPr>
        <w:t>15-day uniform cure period (§14.2)</w:t>
      </w:r>
    </w:p>
    <w:p>
      <w:pPr>
        <w:pStyle w:val="ListNumber"/>
        <w:spacing w:after="60"/>
      </w:pPr>
      <w:r>
        <w:rPr>
          <w:b w:val="0"/>
          <w:i w:val="0"/>
          <w:sz w:val="20"/>
        </w:rPr>
        <w:t>No Tenant termination rights (§15.2)</w:t>
      </w:r>
    </w:p>
    <w:p>
      <w:pPr>
        <w:pStyle w:val="ListNumber"/>
        <w:spacing w:after="60"/>
      </w:pPr>
      <w:r>
        <w:rPr>
          <w:b w:val="0"/>
          <w:i w:val="0"/>
          <w:sz w:val="20"/>
        </w:rPr>
        <w:t>Forfeiture of Improvements on default (§14.3(d))</w:t>
      </w:r>
    </w:p>
    <w:p>
      <w:pPr>
        <w:pStyle w:val="ListNumber"/>
        <w:spacing w:after="60"/>
      </w:pPr>
      <w:r>
        <w:rPr>
          <w:b w:val="0"/>
          <w:i w:val="0"/>
          <w:sz w:val="20"/>
        </w:rPr>
        <w:t>Decommissioning security at 150%, posted Year 5, Landlord-selected engineer (§12.2)</w:t>
      </w:r>
    </w:p>
    <w:p>
      <w:pPr>
        <w:pStyle w:val="ListNumber"/>
        <w:spacing w:after="60"/>
      </w:pPr>
      <w:r>
        <w:rPr>
          <w:b w:val="0"/>
          <w:i w:val="0"/>
          <w:sz w:val="20"/>
        </w:rPr>
        <w:t>6-month decommissioning period (§12.1)</w:t>
      </w:r>
    </w:p>
    <w:p>
      <w:pPr>
        <w:pStyle w:val="ListNumber"/>
        <w:spacing w:after="60"/>
      </w:pPr>
      <w:r>
        <w:rPr>
          <w:b w:val="0"/>
          <w:i w:val="0"/>
          <w:sz w:val="20"/>
        </w:rPr>
        <w:t>200% decommissioning liquidated damages (§12.3)</w:t>
      </w:r>
    </w:p>
    <w:p>
      <w:pPr>
        <w:pStyle w:val="ListNumber"/>
        <w:spacing w:after="60"/>
      </w:pPr>
      <w:r>
        <w:rPr>
          <w:b w:val="0"/>
          <w:i w:val="0"/>
          <w:sz w:val="20"/>
        </w:rPr>
        <w:t>Agricultural reservation within the Premises (§8.1)</w:t>
      </w:r>
    </w:p>
    <w:p>
      <w:pPr>
        <w:pStyle w:val="ListNumber"/>
        <w:spacing w:after="60"/>
      </w:pPr>
      <w:r>
        <w:rPr>
          <w:b w:val="0"/>
          <w:i w:val="0"/>
          <w:sz w:val="20"/>
        </w:rPr>
        <w:t>Unrestricted mineral reservation without no-surface-use covenant (§8.2)</w:t>
      </w:r>
    </w:p>
    <w:p>
      <w:pPr>
        <w:pStyle w:val="ListNumber"/>
        <w:spacing w:after="60"/>
      </w:pPr>
      <w:r>
        <w:rPr>
          <w:b w:val="0"/>
          <w:i w:val="0"/>
          <w:sz w:val="20"/>
        </w:rPr>
        <w:t>Landlord access without notice or escort (§8.4)</w:t>
      </w:r>
    </w:p>
    <w:p>
      <w:pPr>
        <w:pStyle w:val="Heading1"/>
      </w:pPr>
      <w:r>
        <w:rPr>
          <w:color w:val="1F3864"/>
        </w:rPr>
        <w:t>8. Diligence Items to Run in Parallel</w:t>
      </w:r>
    </w:p>
    <w:p>
      <w:pPr>
        <w:pStyle w:val="ListBullet"/>
        <w:spacing w:after="60"/>
      </w:pPr>
      <w:r>
        <w:rPr>
          <w:b/>
          <w:i w:val="0"/>
          <w:sz w:val="20"/>
        </w:rPr>
        <w:t>Title and mineral estate.</w:t>
      </w:r>
      <w:r>
        <w:rPr>
          <w:b w:val="0"/>
          <w:i w:val="0"/>
          <w:sz w:val="20"/>
        </w:rPr>
        <w:t xml:space="preserve"> Preliminary title report (Hawksmere Ventures Title &amp; Escrow, which handled Antelope Ridge) and a mineral-ownership search for both APNs; identify any severed mineral estates, recorded oil and gas leases, or options. Request written disclosure of the status of Randall Hargrove’s discussions with the exploration company and a standstill on any mineral lease covering the Premises pending execution.</w:t>
      </w:r>
    </w:p>
    <w:p>
      <w:pPr>
        <w:pStyle w:val="ListBullet"/>
        <w:spacing w:after="60"/>
      </w:pPr>
      <w:r>
        <w:rPr>
          <w:b/>
          <w:i w:val="0"/>
          <w:sz w:val="20"/>
        </w:rPr>
        <w:t>ALTA/NSPS survey and acreage.</w:t>
      </w:r>
      <w:r>
        <w:rPr>
          <w:b w:val="0"/>
          <w:i w:val="0"/>
          <w:sz w:val="20"/>
        </w:rPr>
        <w:t xml:space="preserve"> Resolve the Exhibit A overlap/township issues; confirm the 1,240-acre rent basis; prepare Exhibit B from survey and CUP setbacks.</w:t>
      </w:r>
    </w:p>
    <w:p>
      <w:pPr>
        <w:pStyle w:val="ListBullet"/>
        <w:spacing w:after="60"/>
      </w:pPr>
      <w:r>
        <w:rPr>
          <w:b/>
          <w:i w:val="0"/>
          <w:sz w:val="20"/>
        </w:rPr>
        <w:t>Fee mortgages.</w:t>
      </w:r>
      <w:r>
        <w:rPr>
          <w:b w:val="0"/>
          <w:i w:val="0"/>
          <w:sz w:val="20"/>
        </w:rPr>
        <w:t xml:space="preserve"> Identify any deed of trust on the ranch; obtain a fee-mortgagee SNDA/non-disturbance agreement at or before closing (Cascade §3.2).</w:t>
      </w:r>
    </w:p>
    <w:p>
      <w:pPr>
        <w:pStyle w:val="ListBullet"/>
        <w:spacing w:after="60"/>
      </w:pPr>
      <w:r>
        <w:rPr>
          <w:b/>
          <w:i w:val="0"/>
          <w:sz w:val="20"/>
        </w:rPr>
        <w:t>Agricultural preserve status.</w:t>
      </w:r>
      <w:r>
        <w:rPr>
          <w:b w:val="0"/>
          <w:i w:val="0"/>
          <w:sz w:val="20"/>
        </w:rPr>
        <w:t xml:space="preserve"> Confirm whether either APN is subject to a Williamson Act (California Land Conservation Act) contract or agricultural preserve and, if so, how CUP No. 2023-0847 addressed it and who bears any cancellation/non-renewal cost.</w:t>
      </w:r>
    </w:p>
    <w:p>
      <w:pPr>
        <w:pStyle w:val="ListBullet"/>
        <w:spacing w:after="60"/>
      </w:pPr>
      <w:r>
        <w:rPr>
          <w:b/>
          <w:i w:val="0"/>
          <w:sz w:val="20"/>
        </w:rPr>
        <w:t>Phase I ESA (Phase II if warranted).</w:t>
      </w:r>
      <w:r>
        <w:rPr>
          <w:b w:val="0"/>
          <w:i w:val="0"/>
          <w:sz w:val="20"/>
        </w:rPr>
        <w:t xml:space="preserve"> Establish a baseline before execution (Playbook §13.4); the Draft’s as-is/waiver provisions make this essential.</w:t>
      </w:r>
    </w:p>
    <w:p>
      <w:pPr>
        <w:pStyle w:val="ListBullet"/>
        <w:spacing w:after="60"/>
      </w:pPr>
      <w:r>
        <w:rPr>
          <w:b/>
          <w:i w:val="0"/>
          <w:sz w:val="20"/>
        </w:rPr>
        <w:t>CUP No. 2023-0847 conditions.</w:t>
      </w:r>
      <w:r>
        <w:rPr>
          <w:b w:val="0"/>
          <w:i w:val="0"/>
          <w:sz w:val="20"/>
        </w:rPr>
        <w:t xml:space="preserve"> Confirm setbacks, decommissioning plan and any County financial-assurance requirement (credit any County decommissioning bond against lease Decommissioning Security to avoid double-posting), dust-control/water requirements, and BESS conditions.</w:t>
      </w:r>
    </w:p>
    <w:p>
      <w:pPr>
        <w:pStyle w:val="ListBullet"/>
        <w:spacing w:after="60"/>
      </w:pPr>
      <w:r>
        <w:rPr>
          <w:b/>
          <w:i w:val="0"/>
          <w:sz w:val="20"/>
        </w:rPr>
        <w:t>Access and gen-tie routes.</w:t>
      </w:r>
      <w:r>
        <w:rPr>
          <w:b w:val="0"/>
          <w:i w:val="0"/>
          <w:sz w:val="20"/>
        </w:rPr>
        <w:t xml:space="preserve"> Confirm legal access from Solano Flats Road and the gen-tie route to the point of interconnection; if either crosses other Hargrove ranch land (14,200 acres), obtain recorded easements for the Term and Decommissioning Period.</w:t>
      </w:r>
    </w:p>
    <w:p>
      <w:pPr>
        <w:pStyle w:val="ListBullet"/>
        <w:spacing w:after="60"/>
      </w:pPr>
      <w:r>
        <w:rPr>
          <w:b/>
          <w:i w:val="0"/>
          <w:sz w:val="20"/>
        </w:rPr>
        <w:t>Interconnection and PPA schedule.</w:t>
      </w:r>
      <w:r>
        <w:rPr>
          <w:b w:val="0"/>
          <w:i w:val="0"/>
          <w:sz w:val="20"/>
        </w:rPr>
        <w:t xml:space="preserve"> Obtain the current CAISO cluster-study schedule and the Pacific Basin PPA’s COD/guaranteed-COD dates to calibrate the Commencement backstop and construction deadline.</w:t>
      </w:r>
    </w:p>
    <w:p>
      <w:pPr>
        <w:pStyle w:val="ListBullet"/>
        <w:spacing w:after="60"/>
      </w:pPr>
      <w:r>
        <w:rPr>
          <w:b/>
          <w:i w:val="0"/>
          <w:sz w:val="20"/>
        </w:rPr>
        <w:t>Landlord authority.</w:t>
      </w:r>
      <w:r>
        <w:rPr>
          <w:b w:val="0"/>
          <w:i w:val="0"/>
          <w:sz w:val="20"/>
        </w:rPr>
        <w:t xml:space="preserve"> Hargrove Management Inc. as general partner; confirm partnership-agreement consent requirements and signing authority for Randall Hargrove (President) and Colleen Hargrove-Díaz (Vice President).</w:t>
      </w:r>
    </w:p>
    <w:p>
      <w:pPr>
        <w:pStyle w:val="ListBullet"/>
        <w:spacing w:after="60"/>
      </w:pPr>
      <w:r>
        <w:rPr>
          <w:b/>
          <w:i w:val="0"/>
          <w:sz w:val="20"/>
        </w:rPr>
        <w:t>Water source.</w:t>
      </w:r>
      <w:r>
        <w:rPr>
          <w:b w:val="0"/>
          <w:i w:val="0"/>
          <w:sz w:val="20"/>
        </w:rPr>
        <w:t xml:space="preserve"> Identify well capacity and groundwater-sustainability-plan constraints for construction and O&amp;M water.</w:t>
      </w:r>
    </w:p>
    <w:p>
      <w:pPr>
        <w:pStyle w:val="Heading1"/>
      </w:pPr>
      <w:r>
        <w:rPr>
          <w:color w:val="1F3864"/>
        </w:rPr>
        <w:t>9. Negotiation Strategy and Next Steps</w:t>
      </w:r>
    </w:p>
    <w:p>
      <w:pPr>
        <w:spacing w:after="120"/>
        <w:jc w:val="both"/>
      </w:pPr>
      <w:r>
        <w:rPr>
          <w:b/>
          <w:i w:val="0"/>
          <w:sz w:val="21"/>
        </w:rPr>
        <w:t>Approach.</w:t>
      </w:r>
      <w:r>
        <w:rPr>
          <w:b w:val="0"/>
          <w:i w:val="0"/>
          <w:sz w:val="21"/>
        </w:rPr>
        <w:t xml:space="preserve"> Consistent with the Cheng Email, we recommend an educational rather than adversarial approach with Thornberry &amp; Cahill, which appears unfamiliar with project-finance requirements (Playbook §7 Notes anticipates this). Practical steps:</w:t>
      </w:r>
    </w:p>
    <w:p>
      <w:pPr>
        <w:pStyle w:val="ListBullet"/>
        <w:spacing w:after="60"/>
      </w:pPr>
      <w:r>
        <w:rPr>
          <w:b/>
          <w:i w:val="0"/>
          <w:sz w:val="20"/>
        </w:rPr>
        <w:t>Replace, don’t mark up.</w:t>
      </w:r>
      <w:r>
        <w:rPr>
          <w:b w:val="0"/>
          <w:i w:val="0"/>
          <w:sz w:val="20"/>
        </w:rPr>
        <w:t xml:space="preserve"> Propose that the parties work from a REP form based on the executed Antelope Ridge lease (adapted to Cascade’s August 2024 requirements), with a short cover memorandum explaining why each lender provision is required. Cascade itself recommends sharing its requirements with landlords early.</w:t>
      </w:r>
    </w:p>
    <w:p>
      <w:pPr>
        <w:pStyle w:val="ListBullet"/>
        <w:spacing w:after="60"/>
      </w:pPr>
      <w:r>
        <w:rPr>
          <w:b/>
          <w:i w:val="0"/>
          <w:sz w:val="20"/>
        </w:rPr>
        <w:t>Tier the asks.</w:t>
      </w:r>
      <w:r>
        <w:rPr>
          <w:b w:val="0"/>
          <w:i w:val="0"/>
          <w:sz w:val="20"/>
        </w:rPr>
        <w:t xml:space="preserve"> Tier 1 — lender/bankability items framed as Cascade requirements rather than REP preferences (lender article, financing and transfers, no forfeiture, cure periods, Tenant termination rights, no surface use and agricultural prohibition, term and unilateral options, 36-month Commencement backstop). Tier 2 — economics (revenue share, step-up, escalation, deposit). Tier 3 — clean-up (access protocol, decommissioning mechanics, taxes, reps, indemnities, dispute resolution).</w:t>
      </w:r>
    </w:p>
    <w:p>
      <w:pPr>
        <w:pStyle w:val="ListBullet"/>
        <w:spacing w:after="60"/>
      </w:pPr>
      <w:r>
        <w:rPr>
          <w:b/>
          <w:i w:val="0"/>
          <w:sz w:val="20"/>
        </w:rPr>
        <w:t>Currency to trade.</w:t>
      </w:r>
      <w:r>
        <w:rPr>
          <w:b w:val="0"/>
          <w:i w:val="0"/>
          <w:sz w:val="20"/>
        </w:rPr>
        <w:t xml:space="preserve"> Accept the insurance package and Option Period Rent as drafted; consider a modest Option Period Rent increase (within the Playbook’s $100/acre ceiling) or paid Option Period extensions in exchange for the 36-month backstop and 30-month construction deadline; offer an LOC (rather than cash) at the upper end of 6–12 months only if needed to close the economics gap; allow Landlord to elect to keep roads/fencing on decommissioning; accept reasonable informational review of the site plan.</w:t>
      </w:r>
    </w:p>
    <w:p>
      <w:pPr>
        <w:pStyle w:val="ListBullet"/>
        <w:spacing w:after="60"/>
      </w:pPr>
      <w:r>
        <w:rPr>
          <w:b/>
          <w:i w:val="0"/>
          <w:sz w:val="20"/>
        </w:rPr>
        <w:t>Do not anchor rent until Finance confirms Cascade’s 8% methodology</w:t>
      </w:r>
      <w:r>
        <w:rPr>
          <w:b w:val="0"/>
          <w:i w:val="0"/>
          <w:sz w:val="20"/>
        </w:rPr>
        <w:t xml:space="preserve"> (Section 3.A.5); the Playbook range alone does not guarantee compliance at this site.</w:t>
      </w:r>
    </w:p>
    <w:p>
      <w:pPr>
        <w:pStyle w:val="ListBullet"/>
        <w:spacing w:after="60"/>
      </w:pPr>
      <w:r>
        <w:rPr>
          <w:b/>
          <w:i w:val="0"/>
          <w:sz w:val="20"/>
        </w:rPr>
        <w:t>Timeline to October 15, 2024 target execution (~5 weeks):</w:t>
      </w:r>
      <w:r>
        <w:rPr>
          <w:b w:val="0"/>
          <w:i w:val="0"/>
          <w:sz w:val="20"/>
        </w:rPr>
        <w:t xml:space="preserve"> (i) internal alignment call with REP (Thursday/Friday this week, per the Cheng Email) and GC escalation approvals; (ii) issues list/term sheet to Mitchell Cahill within one week; (iii) principals’ call including Colleen Hargrove-Díaz the following week; (iv) full REP-form redraft circulated by early October; (v) title, survey and Phase I commissioned immediately. If title/survey or the mineral issue cannot be resolved by October 15, consider signing with the No Surface Use Covenant and a title/survey condition rather than slipping the date — but do not sign the Draft structure under time pressure.</w:t>
      </w:r>
    </w:p>
    <w:p>
      <w:pPr>
        <w:pStyle w:val="ListBullet"/>
        <w:spacing w:after="60"/>
      </w:pPr>
      <w:r>
        <w:rPr>
          <w:b/>
          <w:i w:val="0"/>
          <w:sz w:val="20"/>
        </w:rPr>
        <w:t>Escalate</w:t>
      </w:r>
      <w:r>
        <w:rPr>
          <w:b w:val="0"/>
          <w:i w:val="0"/>
          <w:sz w:val="20"/>
        </w:rPr>
        <w:t xml:space="preserve"> the Section 7 list to the General Counsel now so that REP’s negotiating mandate is set before the first call with Landlord’s counsel.</w:t>
      </w:r>
    </w:p>
    <w:p>
      <w:pPr>
        <w:pStyle w:val="Heading1"/>
      </w:pPr>
      <w:r>
        <w:rPr>
          <w:color w:val="1F3864"/>
        </w:rPr>
        <w:t>Appendix A — Draft Rent Schedule vs. Alternatives (flat $14.45M revenue)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864"/>
            <w:shd w:val="clear" w:color="auto" w:fill="1F3864"/>
          </w:tcPr>
          <w:p>
            <w:r/>
            <w:r>
              <w:rPr>
                <w:b/>
                <w:color w:val="FFFFFF"/>
                <w:sz w:val="17"/>
              </w:rPr>
              <w:t>Lease Yr</w:t>
            </w:r>
          </w:p>
        </w:tc>
        <w:tc>
          <w:tcPr>
            <w:tcW w:type="dxa" w:w="1512"/>
            <w:shd w:val="clear" w:color="auto" w:fill="1F3864"/>
          </w:tcPr>
          <w:p>
            <w:r/>
            <w:r>
              <w:rPr>
                <w:b/>
                <w:color w:val="FFFFFF"/>
                <w:sz w:val="17"/>
              </w:rPr>
              <w:t>Draft Base Rent</w:t>
            </w:r>
          </w:p>
        </w:tc>
        <w:tc>
          <w:tcPr>
            <w:tcW w:type="dxa" w:w="1656"/>
            <w:shd w:val="clear" w:color="auto" w:fill="1F3864"/>
          </w:tcPr>
          <w:p>
            <w:r/>
            <w:r>
              <w:rPr>
                <w:b/>
                <w:color w:val="FFFFFF"/>
                <w:sz w:val="17"/>
              </w:rPr>
              <w:t>Draft Base + 3.5% Share</w:t>
            </w:r>
          </w:p>
        </w:tc>
        <w:tc>
          <w:tcPr>
            <w:tcW w:type="dxa" w:w="1008"/>
            <w:shd w:val="clear" w:color="auto" w:fill="1F3864"/>
          </w:tcPr>
          <w:p>
            <w:r/>
            <w:r>
              <w:rPr>
                <w:b/>
                <w:color w:val="FFFFFF"/>
                <w:sz w:val="17"/>
              </w:rPr>
              <w:t>% of Rev.</w:t>
            </w:r>
          </w:p>
        </w:tc>
        <w:tc>
          <w:tcPr>
            <w:tcW w:type="dxa" w:w="1584"/>
            <w:shd w:val="clear" w:color="auto" w:fill="1F3864"/>
          </w:tcPr>
          <w:p>
            <w:r/>
            <w:r>
              <w:rPr>
                <w:b/>
                <w:color w:val="FFFFFF"/>
                <w:sz w:val="17"/>
              </w:rPr>
              <w:t>$1,100/ac, 2% simple</w:t>
            </w:r>
          </w:p>
        </w:tc>
        <w:tc>
          <w:tcPr>
            <w:tcW w:type="dxa" w:w="1584"/>
            <w:shd w:val="clear" w:color="auto" w:fill="1F3864"/>
          </w:tcPr>
          <w:p>
            <w:r/>
            <w:r>
              <w:rPr>
                <w:b/>
                <w:color w:val="FFFFFF"/>
                <w:sz w:val="17"/>
              </w:rPr>
              <w:t>$950/ac, 2% simple</w:t>
            </w:r>
          </w:p>
        </w:tc>
        <w:tc>
          <w:tcPr>
            <w:tcW w:type="dxa" w:w="1584"/>
            <w:shd w:val="clear" w:color="auto" w:fill="1F3864"/>
          </w:tcPr>
          <w:p>
            <w:r/>
            <w:r>
              <w:rPr>
                <w:b/>
                <w:color w:val="FFFFFF"/>
                <w:sz w:val="17"/>
              </w:rPr>
              <w:t>$900/ac (AR), 2% simple</w:t>
            </w:r>
          </w:p>
        </w:tc>
      </w:tr>
      <w:tr>
        <w:tc>
          <w:tcPr>
            <w:tcW w:type="dxa" w:w="864"/>
          </w:tcPr>
          <w:p>
            <w:pPr>
              <w:spacing w:after="20"/>
            </w:pPr>
            <w:r/>
            <w:r>
              <w:rPr>
                <w:b w:val="0"/>
                <w:i w:val="0"/>
                <w:sz w:val="17"/>
              </w:rPr>
              <w:t>1</w:t>
            </w:r>
          </w:p>
        </w:tc>
        <w:tc>
          <w:tcPr>
            <w:tcW w:type="dxa" w:w="1512"/>
          </w:tcPr>
          <w:p>
            <w:pPr>
              <w:spacing w:after="20"/>
            </w:pPr>
            <w:r/>
            <w:r>
              <w:rPr>
                <w:b w:val="0"/>
                <w:i w:val="0"/>
                <w:sz w:val="17"/>
              </w:rPr>
              <w:t>$1,364,000</w:t>
            </w:r>
          </w:p>
        </w:tc>
        <w:tc>
          <w:tcPr>
            <w:tcW w:type="dxa" w:w="1656"/>
          </w:tcPr>
          <w:p>
            <w:pPr>
              <w:spacing w:after="20"/>
            </w:pPr>
            <w:r/>
            <w:r>
              <w:rPr>
                <w:b w:val="0"/>
                <w:i w:val="0"/>
                <w:sz w:val="17"/>
              </w:rPr>
              <w:t>$1,869,750</w:t>
            </w:r>
          </w:p>
        </w:tc>
        <w:tc>
          <w:tcPr>
            <w:tcW w:type="dxa" w:w="1008"/>
          </w:tcPr>
          <w:p>
            <w:pPr>
              <w:spacing w:after="20"/>
            </w:pPr>
            <w:r/>
            <w:r>
              <w:rPr>
                <w:b w:val="0"/>
                <w:i w:val="0"/>
                <w:sz w:val="17"/>
              </w:rPr>
              <w:t>12.94%</w:t>
            </w:r>
          </w:p>
        </w:tc>
        <w:tc>
          <w:tcPr>
            <w:tcW w:type="dxa" w:w="1584"/>
          </w:tcPr>
          <w:p>
            <w:pPr>
              <w:spacing w:after="20"/>
            </w:pPr>
            <w:r/>
            <w:r>
              <w:rPr>
                <w:b w:val="0"/>
                <w:i w:val="0"/>
                <w:sz w:val="17"/>
              </w:rPr>
              <w:t>$1,364,000</w:t>
            </w:r>
          </w:p>
        </w:tc>
        <w:tc>
          <w:tcPr>
            <w:tcW w:type="dxa" w:w="1584"/>
          </w:tcPr>
          <w:p>
            <w:pPr>
              <w:spacing w:after="20"/>
            </w:pPr>
            <w:r/>
            <w:r>
              <w:rPr>
                <w:b w:val="0"/>
                <w:i w:val="0"/>
                <w:sz w:val="17"/>
              </w:rPr>
              <w:t>$1,178,000</w:t>
            </w:r>
          </w:p>
        </w:tc>
        <w:tc>
          <w:tcPr>
            <w:tcW w:type="dxa" w:w="1584"/>
          </w:tcPr>
          <w:p>
            <w:pPr>
              <w:spacing w:after="20"/>
            </w:pPr>
            <w:r/>
            <w:r>
              <w:rPr>
                <w:b w:val="0"/>
                <w:i w:val="0"/>
                <w:sz w:val="17"/>
              </w:rPr>
              <w:t>$1,116,000</w:t>
            </w:r>
          </w:p>
        </w:tc>
      </w:tr>
      <w:tr>
        <w:tc>
          <w:tcPr>
            <w:tcW w:type="dxa" w:w="864"/>
            <w:shd w:val="clear" w:color="auto" w:fill="F2F2F2"/>
          </w:tcPr>
          <w:p>
            <w:pPr>
              <w:spacing w:after="20"/>
            </w:pPr>
            <w:r/>
            <w:r>
              <w:rPr>
                <w:b w:val="0"/>
                <w:i w:val="0"/>
                <w:sz w:val="17"/>
              </w:rPr>
              <w:t>2</w:t>
            </w:r>
          </w:p>
        </w:tc>
        <w:tc>
          <w:tcPr>
            <w:tcW w:type="dxa" w:w="1512"/>
            <w:shd w:val="clear" w:color="auto" w:fill="F2F2F2"/>
          </w:tcPr>
          <w:p>
            <w:pPr>
              <w:spacing w:after="20"/>
            </w:pPr>
            <w:r/>
            <w:r>
              <w:rPr>
                <w:b w:val="0"/>
                <w:i w:val="0"/>
                <w:sz w:val="17"/>
              </w:rPr>
              <w:t>$1,404,920</w:t>
            </w:r>
          </w:p>
        </w:tc>
        <w:tc>
          <w:tcPr>
            <w:tcW w:type="dxa" w:w="1656"/>
            <w:shd w:val="clear" w:color="auto" w:fill="F2F2F2"/>
          </w:tcPr>
          <w:p>
            <w:pPr>
              <w:spacing w:after="20"/>
            </w:pPr>
            <w:r/>
            <w:r>
              <w:rPr>
                <w:b w:val="0"/>
                <w:i w:val="0"/>
                <w:sz w:val="17"/>
              </w:rPr>
              <w:t>$1,910,670</w:t>
            </w:r>
          </w:p>
        </w:tc>
        <w:tc>
          <w:tcPr>
            <w:tcW w:type="dxa" w:w="1008"/>
            <w:shd w:val="clear" w:color="auto" w:fill="F2F2F2"/>
          </w:tcPr>
          <w:p>
            <w:pPr>
              <w:spacing w:after="20"/>
            </w:pPr>
            <w:r/>
            <w:r>
              <w:rPr>
                <w:b w:val="0"/>
                <w:i w:val="0"/>
                <w:sz w:val="17"/>
              </w:rPr>
              <w:t>13.22%</w:t>
            </w:r>
          </w:p>
        </w:tc>
        <w:tc>
          <w:tcPr>
            <w:tcW w:type="dxa" w:w="1584"/>
            <w:shd w:val="clear" w:color="auto" w:fill="F2F2F2"/>
          </w:tcPr>
          <w:p>
            <w:pPr>
              <w:spacing w:after="20"/>
            </w:pPr>
            <w:r/>
            <w:r>
              <w:rPr>
                <w:b w:val="0"/>
                <w:i w:val="0"/>
                <w:sz w:val="17"/>
              </w:rPr>
              <w:t>$1,391,280</w:t>
            </w:r>
          </w:p>
        </w:tc>
        <w:tc>
          <w:tcPr>
            <w:tcW w:type="dxa" w:w="1584"/>
            <w:shd w:val="clear" w:color="auto" w:fill="F2F2F2"/>
          </w:tcPr>
          <w:p>
            <w:pPr>
              <w:spacing w:after="20"/>
            </w:pPr>
            <w:r/>
            <w:r>
              <w:rPr>
                <w:b w:val="0"/>
                <w:i w:val="0"/>
                <w:sz w:val="17"/>
              </w:rPr>
              <w:t>$1,201,560</w:t>
            </w:r>
          </w:p>
        </w:tc>
        <w:tc>
          <w:tcPr>
            <w:tcW w:type="dxa" w:w="1584"/>
            <w:shd w:val="clear" w:color="auto" w:fill="F2F2F2"/>
          </w:tcPr>
          <w:p>
            <w:pPr>
              <w:spacing w:after="20"/>
            </w:pPr>
            <w:r/>
            <w:r>
              <w:rPr>
                <w:b w:val="0"/>
                <w:i w:val="0"/>
                <w:sz w:val="17"/>
              </w:rPr>
              <w:t>$1,138,320</w:t>
            </w:r>
          </w:p>
        </w:tc>
      </w:tr>
      <w:tr>
        <w:tc>
          <w:tcPr>
            <w:tcW w:type="dxa" w:w="864"/>
          </w:tcPr>
          <w:p>
            <w:pPr>
              <w:spacing w:after="20"/>
            </w:pPr>
            <w:r/>
            <w:r>
              <w:rPr>
                <w:b w:val="0"/>
                <w:i w:val="0"/>
                <w:sz w:val="17"/>
              </w:rPr>
              <w:t>3</w:t>
            </w:r>
          </w:p>
        </w:tc>
        <w:tc>
          <w:tcPr>
            <w:tcW w:type="dxa" w:w="1512"/>
          </w:tcPr>
          <w:p>
            <w:pPr>
              <w:spacing w:after="20"/>
            </w:pPr>
            <w:r/>
            <w:r>
              <w:rPr>
                <w:b w:val="0"/>
                <w:i w:val="0"/>
                <w:sz w:val="17"/>
              </w:rPr>
              <w:t>$1,447,068</w:t>
            </w:r>
          </w:p>
        </w:tc>
        <w:tc>
          <w:tcPr>
            <w:tcW w:type="dxa" w:w="1656"/>
          </w:tcPr>
          <w:p>
            <w:pPr>
              <w:spacing w:after="20"/>
            </w:pPr>
            <w:r/>
            <w:r>
              <w:rPr>
                <w:b w:val="0"/>
                <w:i w:val="0"/>
                <w:sz w:val="17"/>
              </w:rPr>
              <w:t>$1,952,818</w:t>
            </w:r>
          </w:p>
        </w:tc>
        <w:tc>
          <w:tcPr>
            <w:tcW w:type="dxa" w:w="1008"/>
          </w:tcPr>
          <w:p>
            <w:pPr>
              <w:spacing w:after="20"/>
            </w:pPr>
            <w:r/>
            <w:r>
              <w:rPr>
                <w:b w:val="0"/>
                <w:i w:val="0"/>
                <w:sz w:val="17"/>
              </w:rPr>
              <w:t>13.51%</w:t>
            </w:r>
          </w:p>
        </w:tc>
        <w:tc>
          <w:tcPr>
            <w:tcW w:type="dxa" w:w="1584"/>
          </w:tcPr>
          <w:p>
            <w:pPr>
              <w:spacing w:after="20"/>
            </w:pPr>
            <w:r/>
            <w:r>
              <w:rPr>
                <w:b w:val="0"/>
                <w:i w:val="0"/>
                <w:sz w:val="17"/>
              </w:rPr>
              <w:t>$1,418,560</w:t>
            </w:r>
          </w:p>
        </w:tc>
        <w:tc>
          <w:tcPr>
            <w:tcW w:type="dxa" w:w="1584"/>
          </w:tcPr>
          <w:p>
            <w:pPr>
              <w:spacing w:after="20"/>
            </w:pPr>
            <w:r/>
            <w:r>
              <w:rPr>
                <w:b w:val="0"/>
                <w:i w:val="0"/>
                <w:sz w:val="17"/>
              </w:rPr>
              <w:t>$1,225,120</w:t>
            </w:r>
          </w:p>
        </w:tc>
        <w:tc>
          <w:tcPr>
            <w:tcW w:type="dxa" w:w="1584"/>
          </w:tcPr>
          <w:p>
            <w:pPr>
              <w:spacing w:after="20"/>
            </w:pPr>
            <w:r/>
            <w:r>
              <w:rPr>
                <w:b w:val="0"/>
                <w:i w:val="0"/>
                <w:sz w:val="17"/>
              </w:rPr>
              <w:t>$1,160,640</w:t>
            </w:r>
          </w:p>
        </w:tc>
      </w:tr>
      <w:tr>
        <w:tc>
          <w:tcPr>
            <w:tcW w:type="dxa" w:w="864"/>
            <w:shd w:val="clear" w:color="auto" w:fill="F2F2F2"/>
          </w:tcPr>
          <w:p>
            <w:pPr>
              <w:spacing w:after="20"/>
            </w:pPr>
            <w:r/>
            <w:r>
              <w:rPr>
                <w:b w:val="0"/>
                <w:i w:val="0"/>
                <w:sz w:val="17"/>
              </w:rPr>
              <w:t>4</w:t>
            </w:r>
          </w:p>
        </w:tc>
        <w:tc>
          <w:tcPr>
            <w:tcW w:type="dxa" w:w="1512"/>
            <w:shd w:val="clear" w:color="auto" w:fill="F2F2F2"/>
          </w:tcPr>
          <w:p>
            <w:pPr>
              <w:spacing w:after="20"/>
            </w:pPr>
            <w:r/>
            <w:r>
              <w:rPr>
                <w:b w:val="0"/>
                <w:i w:val="0"/>
                <w:sz w:val="17"/>
              </w:rPr>
              <w:t>$1,490,480</w:t>
            </w:r>
          </w:p>
        </w:tc>
        <w:tc>
          <w:tcPr>
            <w:tcW w:type="dxa" w:w="1656"/>
            <w:shd w:val="clear" w:color="auto" w:fill="F2F2F2"/>
          </w:tcPr>
          <w:p>
            <w:pPr>
              <w:spacing w:after="20"/>
            </w:pPr>
            <w:r/>
            <w:r>
              <w:rPr>
                <w:b w:val="0"/>
                <w:i w:val="0"/>
                <w:sz w:val="17"/>
              </w:rPr>
              <w:t>$1,996,230</w:t>
            </w:r>
          </w:p>
        </w:tc>
        <w:tc>
          <w:tcPr>
            <w:tcW w:type="dxa" w:w="1008"/>
            <w:shd w:val="clear" w:color="auto" w:fill="F2F2F2"/>
          </w:tcPr>
          <w:p>
            <w:pPr>
              <w:spacing w:after="20"/>
            </w:pPr>
            <w:r/>
            <w:r>
              <w:rPr>
                <w:b w:val="0"/>
                <w:i w:val="0"/>
                <w:sz w:val="17"/>
              </w:rPr>
              <w:t>13.81%</w:t>
            </w:r>
          </w:p>
        </w:tc>
        <w:tc>
          <w:tcPr>
            <w:tcW w:type="dxa" w:w="1584"/>
            <w:shd w:val="clear" w:color="auto" w:fill="F2F2F2"/>
          </w:tcPr>
          <w:p>
            <w:pPr>
              <w:spacing w:after="20"/>
            </w:pPr>
            <w:r/>
            <w:r>
              <w:rPr>
                <w:b w:val="0"/>
                <w:i w:val="0"/>
                <w:sz w:val="17"/>
              </w:rPr>
              <w:t>$1,445,840</w:t>
            </w:r>
          </w:p>
        </w:tc>
        <w:tc>
          <w:tcPr>
            <w:tcW w:type="dxa" w:w="1584"/>
            <w:shd w:val="clear" w:color="auto" w:fill="F2F2F2"/>
          </w:tcPr>
          <w:p>
            <w:pPr>
              <w:spacing w:after="20"/>
            </w:pPr>
            <w:r/>
            <w:r>
              <w:rPr>
                <w:b w:val="0"/>
                <w:i w:val="0"/>
                <w:sz w:val="17"/>
              </w:rPr>
              <w:t>$1,248,680</w:t>
            </w:r>
          </w:p>
        </w:tc>
        <w:tc>
          <w:tcPr>
            <w:tcW w:type="dxa" w:w="1584"/>
            <w:shd w:val="clear" w:color="auto" w:fill="F2F2F2"/>
          </w:tcPr>
          <w:p>
            <w:pPr>
              <w:spacing w:after="20"/>
            </w:pPr>
            <w:r/>
            <w:r>
              <w:rPr>
                <w:b w:val="0"/>
                <w:i w:val="0"/>
                <w:sz w:val="17"/>
              </w:rPr>
              <w:t>$1,182,960</w:t>
            </w:r>
          </w:p>
        </w:tc>
      </w:tr>
      <w:tr>
        <w:tc>
          <w:tcPr>
            <w:tcW w:type="dxa" w:w="864"/>
          </w:tcPr>
          <w:p>
            <w:pPr>
              <w:spacing w:after="20"/>
            </w:pPr>
            <w:r/>
            <w:r>
              <w:rPr>
                <w:b w:val="0"/>
                <w:i w:val="0"/>
                <w:sz w:val="17"/>
              </w:rPr>
              <w:t>5</w:t>
            </w:r>
          </w:p>
        </w:tc>
        <w:tc>
          <w:tcPr>
            <w:tcW w:type="dxa" w:w="1512"/>
          </w:tcPr>
          <w:p>
            <w:pPr>
              <w:spacing w:after="20"/>
            </w:pPr>
            <w:r/>
            <w:r>
              <w:rPr>
                <w:b w:val="0"/>
                <w:i w:val="0"/>
                <w:sz w:val="17"/>
              </w:rPr>
              <w:t>$1,535,194</w:t>
            </w:r>
          </w:p>
        </w:tc>
        <w:tc>
          <w:tcPr>
            <w:tcW w:type="dxa" w:w="1656"/>
          </w:tcPr>
          <w:p>
            <w:pPr>
              <w:spacing w:after="20"/>
            </w:pPr>
            <w:r/>
            <w:r>
              <w:rPr>
                <w:b w:val="0"/>
                <w:i w:val="0"/>
                <w:sz w:val="17"/>
              </w:rPr>
              <w:t>$2,040,944</w:t>
            </w:r>
          </w:p>
        </w:tc>
        <w:tc>
          <w:tcPr>
            <w:tcW w:type="dxa" w:w="1008"/>
          </w:tcPr>
          <w:p>
            <w:pPr>
              <w:spacing w:after="20"/>
            </w:pPr>
            <w:r/>
            <w:r>
              <w:rPr>
                <w:b w:val="0"/>
                <w:i w:val="0"/>
                <w:sz w:val="17"/>
              </w:rPr>
              <w:t>14.12%</w:t>
            </w:r>
          </w:p>
        </w:tc>
        <w:tc>
          <w:tcPr>
            <w:tcW w:type="dxa" w:w="1584"/>
          </w:tcPr>
          <w:p>
            <w:pPr>
              <w:spacing w:after="20"/>
            </w:pPr>
            <w:r/>
            <w:r>
              <w:rPr>
                <w:b w:val="0"/>
                <w:i w:val="0"/>
                <w:sz w:val="17"/>
              </w:rPr>
              <w:t>$1,473,120</w:t>
            </w:r>
          </w:p>
        </w:tc>
        <w:tc>
          <w:tcPr>
            <w:tcW w:type="dxa" w:w="1584"/>
          </w:tcPr>
          <w:p>
            <w:pPr>
              <w:spacing w:after="20"/>
            </w:pPr>
            <w:r/>
            <w:r>
              <w:rPr>
                <w:b w:val="0"/>
                <w:i w:val="0"/>
                <w:sz w:val="17"/>
              </w:rPr>
              <w:t>$1,272,240</w:t>
            </w:r>
          </w:p>
        </w:tc>
        <w:tc>
          <w:tcPr>
            <w:tcW w:type="dxa" w:w="1584"/>
          </w:tcPr>
          <w:p>
            <w:pPr>
              <w:spacing w:after="20"/>
            </w:pPr>
            <w:r/>
            <w:r>
              <w:rPr>
                <w:b w:val="0"/>
                <w:i w:val="0"/>
                <w:sz w:val="17"/>
              </w:rPr>
              <w:t>$1,205,280</w:t>
            </w:r>
          </w:p>
        </w:tc>
      </w:tr>
      <w:tr>
        <w:tc>
          <w:tcPr>
            <w:tcW w:type="dxa" w:w="864"/>
            <w:shd w:val="clear" w:color="auto" w:fill="F2F2F2"/>
          </w:tcPr>
          <w:p>
            <w:pPr>
              <w:spacing w:after="20"/>
            </w:pPr>
            <w:r/>
            <w:r>
              <w:rPr>
                <w:b w:val="0"/>
                <w:i w:val="0"/>
                <w:sz w:val="17"/>
              </w:rPr>
              <w:t>6</w:t>
            </w:r>
          </w:p>
        </w:tc>
        <w:tc>
          <w:tcPr>
            <w:tcW w:type="dxa" w:w="1512"/>
            <w:shd w:val="clear" w:color="auto" w:fill="F2F2F2"/>
          </w:tcPr>
          <w:p>
            <w:pPr>
              <w:spacing w:after="20"/>
            </w:pPr>
            <w:r/>
            <w:r>
              <w:rPr>
                <w:b w:val="0"/>
                <w:i w:val="0"/>
                <w:sz w:val="17"/>
              </w:rPr>
              <w:t>$1,581,250</w:t>
            </w:r>
          </w:p>
        </w:tc>
        <w:tc>
          <w:tcPr>
            <w:tcW w:type="dxa" w:w="1656"/>
            <w:shd w:val="clear" w:color="auto" w:fill="F2F2F2"/>
          </w:tcPr>
          <w:p>
            <w:pPr>
              <w:spacing w:after="20"/>
            </w:pPr>
            <w:r/>
            <w:r>
              <w:rPr>
                <w:b w:val="0"/>
                <w:i w:val="0"/>
                <w:sz w:val="17"/>
              </w:rPr>
              <w:t>$2,087,000</w:t>
            </w:r>
          </w:p>
        </w:tc>
        <w:tc>
          <w:tcPr>
            <w:tcW w:type="dxa" w:w="1008"/>
            <w:shd w:val="clear" w:color="auto" w:fill="F2F2F2"/>
          </w:tcPr>
          <w:p>
            <w:pPr>
              <w:spacing w:after="20"/>
            </w:pPr>
            <w:r/>
            <w:r>
              <w:rPr>
                <w:b w:val="0"/>
                <w:i w:val="0"/>
                <w:sz w:val="17"/>
              </w:rPr>
              <w:t>14.44%</w:t>
            </w:r>
          </w:p>
        </w:tc>
        <w:tc>
          <w:tcPr>
            <w:tcW w:type="dxa" w:w="1584"/>
            <w:shd w:val="clear" w:color="auto" w:fill="F2F2F2"/>
          </w:tcPr>
          <w:p>
            <w:pPr>
              <w:spacing w:after="20"/>
            </w:pPr>
            <w:r/>
            <w:r>
              <w:rPr>
                <w:b w:val="0"/>
                <w:i w:val="0"/>
                <w:sz w:val="17"/>
              </w:rPr>
              <w:t>$1,500,400</w:t>
            </w:r>
          </w:p>
        </w:tc>
        <w:tc>
          <w:tcPr>
            <w:tcW w:type="dxa" w:w="1584"/>
            <w:shd w:val="clear" w:color="auto" w:fill="F2F2F2"/>
          </w:tcPr>
          <w:p>
            <w:pPr>
              <w:spacing w:after="20"/>
            </w:pPr>
            <w:r/>
            <w:r>
              <w:rPr>
                <w:b w:val="0"/>
                <w:i w:val="0"/>
                <w:sz w:val="17"/>
              </w:rPr>
              <w:t>$1,295,800</w:t>
            </w:r>
          </w:p>
        </w:tc>
        <w:tc>
          <w:tcPr>
            <w:tcW w:type="dxa" w:w="1584"/>
            <w:shd w:val="clear" w:color="auto" w:fill="F2F2F2"/>
          </w:tcPr>
          <w:p>
            <w:pPr>
              <w:spacing w:after="20"/>
            </w:pPr>
            <w:r/>
            <w:r>
              <w:rPr>
                <w:b w:val="0"/>
                <w:i w:val="0"/>
                <w:sz w:val="17"/>
              </w:rPr>
              <w:t>$1,227,600</w:t>
            </w:r>
          </w:p>
        </w:tc>
      </w:tr>
      <w:tr>
        <w:tc>
          <w:tcPr>
            <w:tcW w:type="dxa" w:w="864"/>
          </w:tcPr>
          <w:p>
            <w:pPr>
              <w:spacing w:after="20"/>
            </w:pPr>
            <w:r/>
            <w:r>
              <w:rPr>
                <w:b w:val="0"/>
                <w:i w:val="0"/>
                <w:sz w:val="17"/>
              </w:rPr>
              <w:t>7</w:t>
            </w:r>
          </w:p>
        </w:tc>
        <w:tc>
          <w:tcPr>
            <w:tcW w:type="dxa" w:w="1512"/>
          </w:tcPr>
          <w:p>
            <w:pPr>
              <w:spacing w:after="20"/>
            </w:pPr>
            <w:r/>
            <w:r>
              <w:rPr>
                <w:b w:val="0"/>
                <w:i w:val="0"/>
                <w:sz w:val="17"/>
              </w:rPr>
              <w:t>$1,628,687</w:t>
            </w:r>
          </w:p>
        </w:tc>
        <w:tc>
          <w:tcPr>
            <w:tcW w:type="dxa" w:w="1656"/>
          </w:tcPr>
          <w:p>
            <w:pPr>
              <w:spacing w:after="20"/>
            </w:pPr>
            <w:r/>
            <w:r>
              <w:rPr>
                <w:b w:val="0"/>
                <w:i w:val="0"/>
                <w:sz w:val="17"/>
              </w:rPr>
              <w:t>$2,134,437</w:t>
            </w:r>
          </w:p>
        </w:tc>
        <w:tc>
          <w:tcPr>
            <w:tcW w:type="dxa" w:w="1008"/>
          </w:tcPr>
          <w:p>
            <w:pPr>
              <w:spacing w:after="20"/>
            </w:pPr>
            <w:r/>
            <w:r>
              <w:rPr>
                <w:b w:val="0"/>
                <w:i w:val="0"/>
                <w:sz w:val="17"/>
              </w:rPr>
              <w:t>14.77%</w:t>
            </w:r>
          </w:p>
        </w:tc>
        <w:tc>
          <w:tcPr>
            <w:tcW w:type="dxa" w:w="1584"/>
          </w:tcPr>
          <w:p>
            <w:pPr>
              <w:spacing w:after="20"/>
            </w:pPr>
            <w:r/>
            <w:r>
              <w:rPr>
                <w:b w:val="0"/>
                <w:i w:val="0"/>
                <w:sz w:val="17"/>
              </w:rPr>
              <w:t>$1,527,680</w:t>
            </w:r>
          </w:p>
        </w:tc>
        <w:tc>
          <w:tcPr>
            <w:tcW w:type="dxa" w:w="1584"/>
          </w:tcPr>
          <w:p>
            <w:pPr>
              <w:spacing w:after="20"/>
            </w:pPr>
            <w:r/>
            <w:r>
              <w:rPr>
                <w:b w:val="0"/>
                <w:i w:val="0"/>
                <w:sz w:val="17"/>
              </w:rPr>
              <w:t>$1,319,360</w:t>
            </w:r>
          </w:p>
        </w:tc>
        <w:tc>
          <w:tcPr>
            <w:tcW w:type="dxa" w:w="1584"/>
          </w:tcPr>
          <w:p>
            <w:pPr>
              <w:spacing w:after="20"/>
            </w:pPr>
            <w:r/>
            <w:r>
              <w:rPr>
                <w:b w:val="0"/>
                <w:i w:val="0"/>
                <w:sz w:val="17"/>
              </w:rPr>
              <w:t>$1,249,920</w:t>
            </w:r>
          </w:p>
        </w:tc>
      </w:tr>
      <w:tr>
        <w:tc>
          <w:tcPr>
            <w:tcW w:type="dxa" w:w="864"/>
            <w:shd w:val="clear" w:color="auto" w:fill="F2F2F2"/>
          </w:tcPr>
          <w:p>
            <w:pPr>
              <w:spacing w:after="20"/>
            </w:pPr>
            <w:r/>
            <w:r>
              <w:rPr>
                <w:b w:val="0"/>
                <w:i w:val="0"/>
                <w:sz w:val="17"/>
              </w:rPr>
              <w:t>8</w:t>
            </w:r>
          </w:p>
        </w:tc>
        <w:tc>
          <w:tcPr>
            <w:tcW w:type="dxa" w:w="1512"/>
            <w:shd w:val="clear" w:color="auto" w:fill="F2F2F2"/>
          </w:tcPr>
          <w:p>
            <w:pPr>
              <w:spacing w:after="20"/>
            </w:pPr>
            <w:r/>
            <w:r>
              <w:rPr>
                <w:b w:val="0"/>
                <w:i w:val="0"/>
                <w:sz w:val="17"/>
              </w:rPr>
              <w:t>$1,677,548</w:t>
            </w:r>
          </w:p>
        </w:tc>
        <w:tc>
          <w:tcPr>
            <w:tcW w:type="dxa" w:w="1656"/>
            <w:shd w:val="clear" w:color="auto" w:fill="F2F2F2"/>
          </w:tcPr>
          <w:p>
            <w:pPr>
              <w:spacing w:after="20"/>
            </w:pPr>
            <w:r/>
            <w:r>
              <w:rPr>
                <w:b w:val="0"/>
                <w:i w:val="0"/>
                <w:sz w:val="17"/>
              </w:rPr>
              <w:t>$2,183,298</w:t>
            </w:r>
          </w:p>
        </w:tc>
        <w:tc>
          <w:tcPr>
            <w:tcW w:type="dxa" w:w="1008"/>
            <w:shd w:val="clear" w:color="auto" w:fill="F2F2F2"/>
          </w:tcPr>
          <w:p>
            <w:pPr>
              <w:spacing w:after="20"/>
            </w:pPr>
            <w:r/>
            <w:r>
              <w:rPr>
                <w:b w:val="0"/>
                <w:i w:val="0"/>
                <w:sz w:val="17"/>
              </w:rPr>
              <w:t>15.11%</w:t>
            </w:r>
          </w:p>
        </w:tc>
        <w:tc>
          <w:tcPr>
            <w:tcW w:type="dxa" w:w="1584"/>
            <w:shd w:val="clear" w:color="auto" w:fill="F2F2F2"/>
          </w:tcPr>
          <w:p>
            <w:pPr>
              <w:spacing w:after="20"/>
            </w:pPr>
            <w:r/>
            <w:r>
              <w:rPr>
                <w:b w:val="0"/>
                <w:i w:val="0"/>
                <w:sz w:val="17"/>
              </w:rPr>
              <w:t>$1,554,960</w:t>
            </w:r>
          </w:p>
        </w:tc>
        <w:tc>
          <w:tcPr>
            <w:tcW w:type="dxa" w:w="1584"/>
            <w:shd w:val="clear" w:color="auto" w:fill="F2F2F2"/>
          </w:tcPr>
          <w:p>
            <w:pPr>
              <w:spacing w:after="20"/>
            </w:pPr>
            <w:r/>
            <w:r>
              <w:rPr>
                <w:b w:val="0"/>
                <w:i w:val="0"/>
                <w:sz w:val="17"/>
              </w:rPr>
              <w:t>$1,342,920</w:t>
            </w:r>
          </w:p>
        </w:tc>
        <w:tc>
          <w:tcPr>
            <w:tcW w:type="dxa" w:w="1584"/>
            <w:shd w:val="clear" w:color="auto" w:fill="F2F2F2"/>
          </w:tcPr>
          <w:p>
            <w:pPr>
              <w:spacing w:after="20"/>
            </w:pPr>
            <w:r/>
            <w:r>
              <w:rPr>
                <w:b w:val="0"/>
                <w:i w:val="0"/>
                <w:sz w:val="17"/>
              </w:rPr>
              <w:t>$1,272,240</w:t>
            </w:r>
          </w:p>
        </w:tc>
      </w:tr>
      <w:tr>
        <w:tc>
          <w:tcPr>
            <w:tcW w:type="dxa" w:w="864"/>
          </w:tcPr>
          <w:p>
            <w:pPr>
              <w:spacing w:after="20"/>
            </w:pPr>
            <w:r/>
            <w:r>
              <w:rPr>
                <w:b w:val="0"/>
                <w:i w:val="0"/>
                <w:sz w:val="17"/>
              </w:rPr>
              <w:t>9</w:t>
            </w:r>
          </w:p>
        </w:tc>
        <w:tc>
          <w:tcPr>
            <w:tcW w:type="dxa" w:w="1512"/>
          </w:tcPr>
          <w:p>
            <w:pPr>
              <w:spacing w:after="20"/>
            </w:pPr>
            <w:r/>
            <w:r>
              <w:rPr>
                <w:b w:val="0"/>
                <w:i w:val="0"/>
                <w:sz w:val="17"/>
              </w:rPr>
              <w:t>$1,727,874</w:t>
            </w:r>
          </w:p>
        </w:tc>
        <w:tc>
          <w:tcPr>
            <w:tcW w:type="dxa" w:w="1656"/>
          </w:tcPr>
          <w:p>
            <w:pPr>
              <w:spacing w:after="20"/>
            </w:pPr>
            <w:r/>
            <w:r>
              <w:rPr>
                <w:b w:val="0"/>
                <w:i w:val="0"/>
                <w:sz w:val="17"/>
              </w:rPr>
              <w:t>$2,233,624</w:t>
            </w:r>
          </w:p>
        </w:tc>
        <w:tc>
          <w:tcPr>
            <w:tcW w:type="dxa" w:w="1008"/>
          </w:tcPr>
          <w:p>
            <w:pPr>
              <w:spacing w:after="20"/>
            </w:pPr>
            <w:r/>
            <w:r>
              <w:rPr>
                <w:b w:val="0"/>
                <w:i w:val="0"/>
                <w:sz w:val="17"/>
              </w:rPr>
              <w:t>15.46%</w:t>
            </w:r>
          </w:p>
        </w:tc>
        <w:tc>
          <w:tcPr>
            <w:tcW w:type="dxa" w:w="1584"/>
          </w:tcPr>
          <w:p>
            <w:pPr>
              <w:spacing w:after="20"/>
            </w:pPr>
            <w:r/>
            <w:r>
              <w:rPr>
                <w:b w:val="0"/>
                <w:i w:val="0"/>
                <w:sz w:val="17"/>
              </w:rPr>
              <w:t>$1,582,240</w:t>
            </w:r>
          </w:p>
        </w:tc>
        <w:tc>
          <w:tcPr>
            <w:tcW w:type="dxa" w:w="1584"/>
          </w:tcPr>
          <w:p>
            <w:pPr>
              <w:spacing w:after="20"/>
            </w:pPr>
            <w:r/>
            <w:r>
              <w:rPr>
                <w:b w:val="0"/>
                <w:i w:val="0"/>
                <w:sz w:val="17"/>
              </w:rPr>
              <w:t>$1,366,480</w:t>
            </w:r>
          </w:p>
        </w:tc>
        <w:tc>
          <w:tcPr>
            <w:tcW w:type="dxa" w:w="1584"/>
          </w:tcPr>
          <w:p>
            <w:pPr>
              <w:spacing w:after="20"/>
            </w:pPr>
            <w:r/>
            <w:r>
              <w:rPr>
                <w:b w:val="0"/>
                <w:i w:val="0"/>
                <w:sz w:val="17"/>
              </w:rPr>
              <w:t>$1,294,560</w:t>
            </w:r>
          </w:p>
        </w:tc>
      </w:tr>
      <w:tr>
        <w:tc>
          <w:tcPr>
            <w:tcW w:type="dxa" w:w="864"/>
            <w:shd w:val="clear" w:color="auto" w:fill="F2F2F2"/>
          </w:tcPr>
          <w:p>
            <w:pPr>
              <w:spacing w:after="20"/>
            </w:pPr>
            <w:r/>
            <w:r>
              <w:rPr>
                <w:b w:val="0"/>
                <w:i w:val="0"/>
                <w:sz w:val="17"/>
              </w:rPr>
              <w:t>10</w:t>
            </w:r>
          </w:p>
        </w:tc>
        <w:tc>
          <w:tcPr>
            <w:tcW w:type="dxa" w:w="1512"/>
            <w:shd w:val="clear" w:color="auto" w:fill="F2F2F2"/>
          </w:tcPr>
          <w:p>
            <w:pPr>
              <w:spacing w:after="20"/>
            </w:pPr>
            <w:r/>
            <w:r>
              <w:rPr>
                <w:b w:val="0"/>
                <w:i w:val="0"/>
                <w:sz w:val="17"/>
              </w:rPr>
              <w:t>$1,779,711</w:t>
            </w:r>
          </w:p>
        </w:tc>
        <w:tc>
          <w:tcPr>
            <w:tcW w:type="dxa" w:w="1656"/>
            <w:shd w:val="clear" w:color="auto" w:fill="F2F2F2"/>
          </w:tcPr>
          <w:p>
            <w:pPr>
              <w:spacing w:after="20"/>
            </w:pPr>
            <w:r/>
            <w:r>
              <w:rPr>
                <w:b w:val="0"/>
                <w:i w:val="0"/>
                <w:sz w:val="17"/>
              </w:rPr>
              <w:t>$2,285,461</w:t>
            </w:r>
          </w:p>
        </w:tc>
        <w:tc>
          <w:tcPr>
            <w:tcW w:type="dxa" w:w="1008"/>
            <w:shd w:val="clear" w:color="auto" w:fill="F2F2F2"/>
          </w:tcPr>
          <w:p>
            <w:pPr>
              <w:spacing w:after="20"/>
            </w:pPr>
            <w:r/>
            <w:r>
              <w:rPr>
                <w:b w:val="0"/>
                <w:i w:val="0"/>
                <w:sz w:val="17"/>
              </w:rPr>
              <w:t>15.82%</w:t>
            </w:r>
          </w:p>
        </w:tc>
        <w:tc>
          <w:tcPr>
            <w:tcW w:type="dxa" w:w="1584"/>
            <w:shd w:val="clear" w:color="auto" w:fill="F2F2F2"/>
          </w:tcPr>
          <w:p>
            <w:pPr>
              <w:spacing w:after="20"/>
            </w:pPr>
            <w:r/>
            <w:r>
              <w:rPr>
                <w:b w:val="0"/>
                <w:i w:val="0"/>
                <w:sz w:val="17"/>
              </w:rPr>
              <w:t>$1,609,520</w:t>
            </w:r>
          </w:p>
        </w:tc>
        <w:tc>
          <w:tcPr>
            <w:tcW w:type="dxa" w:w="1584"/>
            <w:shd w:val="clear" w:color="auto" w:fill="F2F2F2"/>
          </w:tcPr>
          <w:p>
            <w:pPr>
              <w:spacing w:after="20"/>
            </w:pPr>
            <w:r/>
            <w:r>
              <w:rPr>
                <w:b w:val="0"/>
                <w:i w:val="0"/>
                <w:sz w:val="17"/>
              </w:rPr>
              <w:t>$1,390,040</w:t>
            </w:r>
          </w:p>
        </w:tc>
        <w:tc>
          <w:tcPr>
            <w:tcW w:type="dxa" w:w="1584"/>
            <w:shd w:val="clear" w:color="auto" w:fill="F2F2F2"/>
          </w:tcPr>
          <w:p>
            <w:pPr>
              <w:spacing w:after="20"/>
            </w:pPr>
            <w:r/>
            <w:r>
              <w:rPr>
                <w:b w:val="0"/>
                <w:i w:val="0"/>
                <w:sz w:val="17"/>
              </w:rPr>
              <w:t>$1,316,880</w:t>
            </w:r>
          </w:p>
        </w:tc>
      </w:tr>
      <w:tr>
        <w:tc>
          <w:tcPr>
            <w:tcW w:type="dxa" w:w="864"/>
          </w:tcPr>
          <w:p>
            <w:pPr>
              <w:spacing w:after="20"/>
            </w:pPr>
            <w:r/>
            <w:r>
              <w:rPr>
                <w:b w:val="0"/>
                <w:i w:val="0"/>
                <w:sz w:val="17"/>
              </w:rPr>
              <w:t>11</w:t>
            </w:r>
          </w:p>
        </w:tc>
        <w:tc>
          <w:tcPr>
            <w:tcW w:type="dxa" w:w="1512"/>
          </w:tcPr>
          <w:p>
            <w:pPr>
              <w:spacing w:after="20"/>
            </w:pPr>
            <w:r/>
            <w:r>
              <w:rPr>
                <w:b w:val="0"/>
                <w:i w:val="0"/>
                <w:sz w:val="17"/>
              </w:rPr>
              <w:t>$1,674,000</w:t>
            </w:r>
          </w:p>
        </w:tc>
        <w:tc>
          <w:tcPr>
            <w:tcW w:type="dxa" w:w="1656"/>
          </w:tcPr>
          <w:p>
            <w:pPr>
              <w:spacing w:after="20"/>
            </w:pPr>
            <w:r/>
            <w:r>
              <w:rPr>
                <w:b w:val="0"/>
                <w:i w:val="0"/>
                <w:sz w:val="17"/>
              </w:rPr>
              <w:t>$2,179,750</w:t>
            </w:r>
          </w:p>
        </w:tc>
        <w:tc>
          <w:tcPr>
            <w:tcW w:type="dxa" w:w="1008"/>
          </w:tcPr>
          <w:p>
            <w:pPr>
              <w:spacing w:after="20"/>
            </w:pPr>
            <w:r/>
            <w:r>
              <w:rPr>
                <w:b w:val="0"/>
                <w:i w:val="0"/>
                <w:sz w:val="17"/>
              </w:rPr>
              <w:t>15.08%</w:t>
            </w:r>
          </w:p>
        </w:tc>
        <w:tc>
          <w:tcPr>
            <w:tcW w:type="dxa" w:w="1584"/>
          </w:tcPr>
          <w:p>
            <w:pPr>
              <w:spacing w:after="20"/>
            </w:pPr>
            <w:r/>
            <w:r>
              <w:rPr>
                <w:b w:val="0"/>
                <w:i w:val="0"/>
                <w:sz w:val="17"/>
              </w:rPr>
              <w:t>$1,636,800</w:t>
            </w:r>
          </w:p>
        </w:tc>
        <w:tc>
          <w:tcPr>
            <w:tcW w:type="dxa" w:w="1584"/>
          </w:tcPr>
          <w:p>
            <w:pPr>
              <w:spacing w:after="20"/>
            </w:pPr>
            <w:r/>
            <w:r>
              <w:rPr>
                <w:b w:val="0"/>
                <w:i w:val="0"/>
                <w:sz w:val="17"/>
              </w:rPr>
              <w:t>$1,413,600</w:t>
            </w:r>
          </w:p>
        </w:tc>
        <w:tc>
          <w:tcPr>
            <w:tcW w:type="dxa" w:w="1584"/>
          </w:tcPr>
          <w:p>
            <w:pPr>
              <w:spacing w:after="20"/>
            </w:pPr>
            <w:r/>
            <w:r>
              <w:rPr>
                <w:b w:val="0"/>
                <w:i w:val="0"/>
                <w:sz w:val="17"/>
              </w:rPr>
              <w:t>$1,339,200</w:t>
            </w:r>
          </w:p>
        </w:tc>
      </w:tr>
      <w:tr>
        <w:tc>
          <w:tcPr>
            <w:tcW w:type="dxa" w:w="864"/>
            <w:shd w:val="clear" w:color="auto" w:fill="F2F2F2"/>
          </w:tcPr>
          <w:p>
            <w:pPr>
              <w:spacing w:after="20"/>
            </w:pPr>
            <w:r/>
            <w:r>
              <w:rPr>
                <w:b w:val="0"/>
                <w:i w:val="0"/>
                <w:sz w:val="17"/>
              </w:rPr>
              <w:t>12</w:t>
            </w:r>
          </w:p>
        </w:tc>
        <w:tc>
          <w:tcPr>
            <w:tcW w:type="dxa" w:w="1512"/>
            <w:shd w:val="clear" w:color="auto" w:fill="F2F2F2"/>
          </w:tcPr>
          <w:p>
            <w:pPr>
              <w:spacing w:after="20"/>
            </w:pPr>
            <w:r/>
            <w:r>
              <w:rPr>
                <w:b w:val="0"/>
                <w:i w:val="0"/>
                <w:sz w:val="17"/>
              </w:rPr>
              <w:t>$1,724,220</w:t>
            </w:r>
          </w:p>
        </w:tc>
        <w:tc>
          <w:tcPr>
            <w:tcW w:type="dxa" w:w="1656"/>
            <w:shd w:val="clear" w:color="auto" w:fill="F2F2F2"/>
          </w:tcPr>
          <w:p>
            <w:pPr>
              <w:spacing w:after="20"/>
            </w:pPr>
            <w:r/>
            <w:r>
              <w:rPr>
                <w:b w:val="0"/>
                <w:i w:val="0"/>
                <w:sz w:val="17"/>
              </w:rPr>
              <w:t>$2,229,970</w:t>
            </w:r>
          </w:p>
        </w:tc>
        <w:tc>
          <w:tcPr>
            <w:tcW w:type="dxa" w:w="1008"/>
            <w:shd w:val="clear" w:color="auto" w:fill="F2F2F2"/>
          </w:tcPr>
          <w:p>
            <w:pPr>
              <w:spacing w:after="20"/>
            </w:pPr>
            <w:r/>
            <w:r>
              <w:rPr>
                <w:b w:val="0"/>
                <w:i w:val="0"/>
                <w:sz w:val="17"/>
              </w:rPr>
              <w:t>15.43%</w:t>
            </w:r>
          </w:p>
        </w:tc>
        <w:tc>
          <w:tcPr>
            <w:tcW w:type="dxa" w:w="1584"/>
            <w:shd w:val="clear" w:color="auto" w:fill="F2F2F2"/>
          </w:tcPr>
          <w:p>
            <w:pPr>
              <w:spacing w:after="20"/>
            </w:pPr>
            <w:r/>
            <w:r>
              <w:rPr>
                <w:b w:val="0"/>
                <w:i w:val="0"/>
                <w:sz w:val="17"/>
              </w:rPr>
              <w:t>$1,664,080</w:t>
            </w:r>
          </w:p>
        </w:tc>
        <w:tc>
          <w:tcPr>
            <w:tcW w:type="dxa" w:w="1584"/>
            <w:shd w:val="clear" w:color="auto" w:fill="F2F2F2"/>
          </w:tcPr>
          <w:p>
            <w:pPr>
              <w:spacing w:after="20"/>
            </w:pPr>
            <w:r/>
            <w:r>
              <w:rPr>
                <w:b w:val="0"/>
                <w:i w:val="0"/>
                <w:sz w:val="17"/>
              </w:rPr>
              <w:t>$1,437,160</w:t>
            </w:r>
          </w:p>
        </w:tc>
        <w:tc>
          <w:tcPr>
            <w:tcW w:type="dxa" w:w="1584"/>
            <w:shd w:val="clear" w:color="auto" w:fill="F2F2F2"/>
          </w:tcPr>
          <w:p>
            <w:pPr>
              <w:spacing w:after="20"/>
            </w:pPr>
            <w:r/>
            <w:r>
              <w:rPr>
                <w:b w:val="0"/>
                <w:i w:val="0"/>
                <w:sz w:val="17"/>
              </w:rPr>
              <w:t>$1,361,520</w:t>
            </w:r>
          </w:p>
        </w:tc>
      </w:tr>
      <w:tr>
        <w:tc>
          <w:tcPr>
            <w:tcW w:type="dxa" w:w="864"/>
          </w:tcPr>
          <w:p>
            <w:pPr>
              <w:spacing w:after="20"/>
            </w:pPr>
            <w:r/>
            <w:r>
              <w:rPr>
                <w:b w:val="0"/>
                <w:i w:val="0"/>
                <w:sz w:val="17"/>
              </w:rPr>
              <w:t>13</w:t>
            </w:r>
          </w:p>
        </w:tc>
        <w:tc>
          <w:tcPr>
            <w:tcW w:type="dxa" w:w="1512"/>
          </w:tcPr>
          <w:p>
            <w:pPr>
              <w:spacing w:after="20"/>
            </w:pPr>
            <w:r/>
            <w:r>
              <w:rPr>
                <w:b w:val="0"/>
                <w:i w:val="0"/>
                <w:sz w:val="17"/>
              </w:rPr>
              <w:t>$1,775,947</w:t>
            </w:r>
          </w:p>
        </w:tc>
        <w:tc>
          <w:tcPr>
            <w:tcW w:type="dxa" w:w="1656"/>
          </w:tcPr>
          <w:p>
            <w:pPr>
              <w:spacing w:after="20"/>
            </w:pPr>
            <w:r/>
            <w:r>
              <w:rPr>
                <w:b w:val="0"/>
                <w:i w:val="0"/>
                <w:sz w:val="17"/>
              </w:rPr>
              <w:t>$2,281,697</w:t>
            </w:r>
          </w:p>
        </w:tc>
        <w:tc>
          <w:tcPr>
            <w:tcW w:type="dxa" w:w="1008"/>
          </w:tcPr>
          <w:p>
            <w:pPr>
              <w:spacing w:after="20"/>
            </w:pPr>
            <w:r/>
            <w:r>
              <w:rPr>
                <w:b w:val="0"/>
                <w:i w:val="0"/>
                <w:sz w:val="17"/>
              </w:rPr>
              <w:t>15.79%</w:t>
            </w:r>
          </w:p>
        </w:tc>
        <w:tc>
          <w:tcPr>
            <w:tcW w:type="dxa" w:w="1584"/>
          </w:tcPr>
          <w:p>
            <w:pPr>
              <w:spacing w:after="20"/>
            </w:pPr>
            <w:r/>
            <w:r>
              <w:rPr>
                <w:b w:val="0"/>
                <w:i w:val="0"/>
                <w:sz w:val="17"/>
              </w:rPr>
              <w:t>$1,691,360</w:t>
            </w:r>
          </w:p>
        </w:tc>
        <w:tc>
          <w:tcPr>
            <w:tcW w:type="dxa" w:w="1584"/>
          </w:tcPr>
          <w:p>
            <w:pPr>
              <w:spacing w:after="20"/>
            </w:pPr>
            <w:r/>
            <w:r>
              <w:rPr>
                <w:b w:val="0"/>
                <w:i w:val="0"/>
                <w:sz w:val="17"/>
              </w:rPr>
              <w:t>$1,460,720</w:t>
            </w:r>
          </w:p>
        </w:tc>
        <w:tc>
          <w:tcPr>
            <w:tcW w:type="dxa" w:w="1584"/>
          </w:tcPr>
          <w:p>
            <w:pPr>
              <w:spacing w:after="20"/>
            </w:pPr>
            <w:r/>
            <w:r>
              <w:rPr>
                <w:b w:val="0"/>
                <w:i w:val="0"/>
                <w:sz w:val="17"/>
              </w:rPr>
              <w:t>$1,383,840</w:t>
            </w:r>
          </w:p>
        </w:tc>
      </w:tr>
      <w:tr>
        <w:tc>
          <w:tcPr>
            <w:tcW w:type="dxa" w:w="864"/>
            <w:shd w:val="clear" w:color="auto" w:fill="F2F2F2"/>
          </w:tcPr>
          <w:p>
            <w:pPr>
              <w:spacing w:after="20"/>
            </w:pPr>
            <w:r/>
            <w:r>
              <w:rPr>
                <w:b w:val="0"/>
                <w:i w:val="0"/>
                <w:sz w:val="17"/>
              </w:rPr>
              <w:t>14</w:t>
            </w:r>
          </w:p>
        </w:tc>
        <w:tc>
          <w:tcPr>
            <w:tcW w:type="dxa" w:w="1512"/>
            <w:shd w:val="clear" w:color="auto" w:fill="F2F2F2"/>
          </w:tcPr>
          <w:p>
            <w:pPr>
              <w:spacing w:after="20"/>
            </w:pPr>
            <w:r/>
            <w:r>
              <w:rPr>
                <w:b w:val="0"/>
                <w:i w:val="0"/>
                <w:sz w:val="17"/>
              </w:rPr>
              <w:t>$1,829,225</w:t>
            </w:r>
          </w:p>
        </w:tc>
        <w:tc>
          <w:tcPr>
            <w:tcW w:type="dxa" w:w="1656"/>
            <w:shd w:val="clear" w:color="auto" w:fill="F2F2F2"/>
          </w:tcPr>
          <w:p>
            <w:pPr>
              <w:spacing w:after="20"/>
            </w:pPr>
            <w:r/>
            <w:r>
              <w:rPr>
                <w:b w:val="0"/>
                <w:i w:val="0"/>
                <w:sz w:val="17"/>
              </w:rPr>
              <w:t>$2,334,975</w:t>
            </w:r>
          </w:p>
        </w:tc>
        <w:tc>
          <w:tcPr>
            <w:tcW w:type="dxa" w:w="1008"/>
            <w:shd w:val="clear" w:color="auto" w:fill="F2F2F2"/>
          </w:tcPr>
          <w:p>
            <w:pPr>
              <w:spacing w:after="20"/>
            </w:pPr>
            <w:r/>
            <w:r>
              <w:rPr>
                <w:b w:val="0"/>
                <w:i w:val="0"/>
                <w:sz w:val="17"/>
              </w:rPr>
              <w:t>16.16%</w:t>
            </w:r>
          </w:p>
        </w:tc>
        <w:tc>
          <w:tcPr>
            <w:tcW w:type="dxa" w:w="1584"/>
            <w:shd w:val="clear" w:color="auto" w:fill="F2F2F2"/>
          </w:tcPr>
          <w:p>
            <w:pPr>
              <w:spacing w:after="20"/>
            </w:pPr>
            <w:r/>
            <w:r>
              <w:rPr>
                <w:b w:val="0"/>
                <w:i w:val="0"/>
                <w:sz w:val="17"/>
              </w:rPr>
              <w:t>$1,718,640</w:t>
            </w:r>
          </w:p>
        </w:tc>
        <w:tc>
          <w:tcPr>
            <w:tcW w:type="dxa" w:w="1584"/>
            <w:shd w:val="clear" w:color="auto" w:fill="F2F2F2"/>
          </w:tcPr>
          <w:p>
            <w:pPr>
              <w:spacing w:after="20"/>
            </w:pPr>
            <w:r/>
            <w:r>
              <w:rPr>
                <w:b w:val="0"/>
                <w:i w:val="0"/>
                <w:sz w:val="17"/>
              </w:rPr>
              <w:t>$1,484,280</w:t>
            </w:r>
          </w:p>
        </w:tc>
        <w:tc>
          <w:tcPr>
            <w:tcW w:type="dxa" w:w="1584"/>
            <w:shd w:val="clear" w:color="auto" w:fill="F2F2F2"/>
          </w:tcPr>
          <w:p>
            <w:pPr>
              <w:spacing w:after="20"/>
            </w:pPr>
            <w:r/>
            <w:r>
              <w:rPr>
                <w:b w:val="0"/>
                <w:i w:val="0"/>
                <w:sz w:val="17"/>
              </w:rPr>
              <w:t>$1,406,160</w:t>
            </w:r>
          </w:p>
        </w:tc>
      </w:tr>
      <w:tr>
        <w:tc>
          <w:tcPr>
            <w:tcW w:type="dxa" w:w="864"/>
          </w:tcPr>
          <w:p>
            <w:pPr>
              <w:spacing w:after="20"/>
            </w:pPr>
            <w:r/>
            <w:r>
              <w:rPr>
                <w:b w:val="0"/>
                <w:i w:val="0"/>
                <w:sz w:val="17"/>
              </w:rPr>
              <w:t>15</w:t>
            </w:r>
          </w:p>
        </w:tc>
        <w:tc>
          <w:tcPr>
            <w:tcW w:type="dxa" w:w="1512"/>
          </w:tcPr>
          <w:p>
            <w:pPr>
              <w:spacing w:after="20"/>
            </w:pPr>
            <w:r/>
            <w:r>
              <w:rPr>
                <w:b w:val="0"/>
                <w:i w:val="0"/>
                <w:sz w:val="17"/>
              </w:rPr>
              <w:t>$1,884,102</w:t>
            </w:r>
          </w:p>
        </w:tc>
        <w:tc>
          <w:tcPr>
            <w:tcW w:type="dxa" w:w="1656"/>
          </w:tcPr>
          <w:p>
            <w:pPr>
              <w:spacing w:after="20"/>
            </w:pPr>
            <w:r/>
            <w:r>
              <w:rPr>
                <w:b w:val="0"/>
                <w:i w:val="0"/>
                <w:sz w:val="17"/>
              </w:rPr>
              <w:t>$2,389,852</w:t>
            </w:r>
          </w:p>
        </w:tc>
        <w:tc>
          <w:tcPr>
            <w:tcW w:type="dxa" w:w="1008"/>
          </w:tcPr>
          <w:p>
            <w:pPr>
              <w:spacing w:after="20"/>
            </w:pPr>
            <w:r/>
            <w:r>
              <w:rPr>
                <w:b w:val="0"/>
                <w:i w:val="0"/>
                <w:sz w:val="17"/>
              </w:rPr>
              <w:t>16.54%</w:t>
            </w:r>
          </w:p>
        </w:tc>
        <w:tc>
          <w:tcPr>
            <w:tcW w:type="dxa" w:w="1584"/>
          </w:tcPr>
          <w:p>
            <w:pPr>
              <w:spacing w:after="20"/>
            </w:pPr>
            <w:r/>
            <w:r>
              <w:rPr>
                <w:b w:val="0"/>
                <w:i w:val="0"/>
                <w:sz w:val="17"/>
              </w:rPr>
              <w:t>$1,745,920</w:t>
            </w:r>
          </w:p>
        </w:tc>
        <w:tc>
          <w:tcPr>
            <w:tcW w:type="dxa" w:w="1584"/>
          </w:tcPr>
          <w:p>
            <w:pPr>
              <w:spacing w:after="20"/>
            </w:pPr>
            <w:r/>
            <w:r>
              <w:rPr>
                <w:b w:val="0"/>
                <w:i w:val="0"/>
                <w:sz w:val="17"/>
              </w:rPr>
              <w:t>$1,507,840</w:t>
            </w:r>
          </w:p>
        </w:tc>
        <w:tc>
          <w:tcPr>
            <w:tcW w:type="dxa" w:w="1584"/>
          </w:tcPr>
          <w:p>
            <w:pPr>
              <w:spacing w:after="20"/>
            </w:pPr>
            <w:r/>
            <w:r>
              <w:rPr>
                <w:b w:val="0"/>
                <w:i w:val="0"/>
                <w:sz w:val="17"/>
              </w:rPr>
              <w:t>$1,428,480</w:t>
            </w:r>
          </w:p>
        </w:tc>
      </w:tr>
      <w:tr>
        <w:tc>
          <w:tcPr>
            <w:tcW w:type="dxa" w:w="864"/>
            <w:shd w:val="clear" w:color="auto" w:fill="F2F2F2"/>
          </w:tcPr>
          <w:p>
            <w:pPr>
              <w:spacing w:after="20"/>
            </w:pPr>
            <w:r/>
            <w:r>
              <w:rPr>
                <w:b w:val="0"/>
                <w:i w:val="0"/>
                <w:sz w:val="17"/>
              </w:rPr>
              <w:t>16</w:t>
            </w:r>
          </w:p>
        </w:tc>
        <w:tc>
          <w:tcPr>
            <w:tcW w:type="dxa" w:w="1512"/>
            <w:shd w:val="clear" w:color="auto" w:fill="F2F2F2"/>
          </w:tcPr>
          <w:p>
            <w:pPr>
              <w:spacing w:after="20"/>
            </w:pPr>
            <w:r/>
            <w:r>
              <w:rPr>
                <w:b w:val="0"/>
                <w:i w:val="0"/>
                <w:sz w:val="17"/>
              </w:rPr>
              <w:t>$1,940,625</w:t>
            </w:r>
          </w:p>
        </w:tc>
        <w:tc>
          <w:tcPr>
            <w:tcW w:type="dxa" w:w="1656"/>
            <w:shd w:val="clear" w:color="auto" w:fill="F2F2F2"/>
          </w:tcPr>
          <w:p>
            <w:pPr>
              <w:spacing w:after="20"/>
            </w:pPr>
            <w:r/>
            <w:r>
              <w:rPr>
                <w:b w:val="0"/>
                <w:i w:val="0"/>
                <w:sz w:val="17"/>
              </w:rPr>
              <w:t>$2,446,375</w:t>
            </w:r>
          </w:p>
        </w:tc>
        <w:tc>
          <w:tcPr>
            <w:tcW w:type="dxa" w:w="1008"/>
            <w:shd w:val="clear" w:color="auto" w:fill="F2F2F2"/>
          </w:tcPr>
          <w:p>
            <w:pPr>
              <w:spacing w:after="20"/>
            </w:pPr>
            <w:r/>
            <w:r>
              <w:rPr>
                <w:b w:val="0"/>
                <w:i w:val="0"/>
                <w:sz w:val="17"/>
              </w:rPr>
              <w:t>16.93%</w:t>
            </w:r>
          </w:p>
        </w:tc>
        <w:tc>
          <w:tcPr>
            <w:tcW w:type="dxa" w:w="1584"/>
            <w:shd w:val="clear" w:color="auto" w:fill="F2F2F2"/>
          </w:tcPr>
          <w:p>
            <w:pPr>
              <w:spacing w:after="20"/>
            </w:pPr>
            <w:r/>
            <w:r>
              <w:rPr>
                <w:b w:val="0"/>
                <w:i w:val="0"/>
                <w:sz w:val="17"/>
              </w:rPr>
              <w:t>$1,773,200</w:t>
            </w:r>
          </w:p>
        </w:tc>
        <w:tc>
          <w:tcPr>
            <w:tcW w:type="dxa" w:w="1584"/>
            <w:shd w:val="clear" w:color="auto" w:fill="F2F2F2"/>
          </w:tcPr>
          <w:p>
            <w:pPr>
              <w:spacing w:after="20"/>
            </w:pPr>
            <w:r/>
            <w:r>
              <w:rPr>
                <w:b w:val="0"/>
                <w:i w:val="0"/>
                <w:sz w:val="17"/>
              </w:rPr>
              <w:t>$1,531,400</w:t>
            </w:r>
          </w:p>
        </w:tc>
        <w:tc>
          <w:tcPr>
            <w:tcW w:type="dxa" w:w="1584"/>
            <w:shd w:val="clear" w:color="auto" w:fill="F2F2F2"/>
          </w:tcPr>
          <w:p>
            <w:pPr>
              <w:spacing w:after="20"/>
            </w:pPr>
            <w:r/>
            <w:r>
              <w:rPr>
                <w:b w:val="0"/>
                <w:i w:val="0"/>
                <w:sz w:val="17"/>
              </w:rPr>
              <w:t>$1,450,800</w:t>
            </w:r>
          </w:p>
        </w:tc>
      </w:tr>
      <w:tr>
        <w:tc>
          <w:tcPr>
            <w:tcW w:type="dxa" w:w="864"/>
          </w:tcPr>
          <w:p>
            <w:pPr>
              <w:spacing w:after="20"/>
            </w:pPr>
            <w:r/>
            <w:r>
              <w:rPr>
                <w:b w:val="0"/>
                <w:i w:val="0"/>
                <w:sz w:val="17"/>
              </w:rPr>
              <w:t>17</w:t>
            </w:r>
          </w:p>
        </w:tc>
        <w:tc>
          <w:tcPr>
            <w:tcW w:type="dxa" w:w="1512"/>
          </w:tcPr>
          <w:p>
            <w:pPr>
              <w:spacing w:after="20"/>
            </w:pPr>
            <w:r/>
            <w:r>
              <w:rPr>
                <w:b w:val="0"/>
                <w:i w:val="0"/>
                <w:sz w:val="17"/>
              </w:rPr>
              <w:t>$1,998,844</w:t>
            </w:r>
          </w:p>
        </w:tc>
        <w:tc>
          <w:tcPr>
            <w:tcW w:type="dxa" w:w="1656"/>
          </w:tcPr>
          <w:p>
            <w:pPr>
              <w:spacing w:after="20"/>
            </w:pPr>
            <w:r/>
            <w:r>
              <w:rPr>
                <w:b w:val="0"/>
                <w:i w:val="0"/>
                <w:sz w:val="17"/>
              </w:rPr>
              <w:t>$2,504,594</w:t>
            </w:r>
          </w:p>
        </w:tc>
        <w:tc>
          <w:tcPr>
            <w:tcW w:type="dxa" w:w="1008"/>
          </w:tcPr>
          <w:p>
            <w:pPr>
              <w:spacing w:after="20"/>
            </w:pPr>
            <w:r/>
            <w:r>
              <w:rPr>
                <w:b w:val="0"/>
                <w:i w:val="0"/>
                <w:sz w:val="17"/>
              </w:rPr>
              <w:t>17.33%</w:t>
            </w:r>
          </w:p>
        </w:tc>
        <w:tc>
          <w:tcPr>
            <w:tcW w:type="dxa" w:w="1584"/>
          </w:tcPr>
          <w:p>
            <w:pPr>
              <w:spacing w:after="20"/>
            </w:pPr>
            <w:r/>
            <w:r>
              <w:rPr>
                <w:b w:val="0"/>
                <w:i w:val="0"/>
                <w:sz w:val="17"/>
              </w:rPr>
              <w:t>$1,800,480</w:t>
            </w:r>
          </w:p>
        </w:tc>
        <w:tc>
          <w:tcPr>
            <w:tcW w:type="dxa" w:w="1584"/>
          </w:tcPr>
          <w:p>
            <w:pPr>
              <w:spacing w:after="20"/>
            </w:pPr>
            <w:r/>
            <w:r>
              <w:rPr>
                <w:b w:val="0"/>
                <w:i w:val="0"/>
                <w:sz w:val="17"/>
              </w:rPr>
              <w:t>$1,554,960</w:t>
            </w:r>
          </w:p>
        </w:tc>
        <w:tc>
          <w:tcPr>
            <w:tcW w:type="dxa" w:w="1584"/>
          </w:tcPr>
          <w:p>
            <w:pPr>
              <w:spacing w:after="20"/>
            </w:pPr>
            <w:r/>
            <w:r>
              <w:rPr>
                <w:b w:val="0"/>
                <w:i w:val="0"/>
                <w:sz w:val="17"/>
              </w:rPr>
              <w:t>$1,473,120</w:t>
            </w:r>
          </w:p>
        </w:tc>
      </w:tr>
      <w:tr>
        <w:tc>
          <w:tcPr>
            <w:tcW w:type="dxa" w:w="864"/>
            <w:shd w:val="clear" w:color="auto" w:fill="F2F2F2"/>
          </w:tcPr>
          <w:p>
            <w:pPr>
              <w:spacing w:after="20"/>
            </w:pPr>
            <w:r/>
            <w:r>
              <w:rPr>
                <w:b w:val="0"/>
                <w:i w:val="0"/>
                <w:sz w:val="17"/>
              </w:rPr>
              <w:t>18</w:t>
            </w:r>
          </w:p>
        </w:tc>
        <w:tc>
          <w:tcPr>
            <w:tcW w:type="dxa" w:w="1512"/>
            <w:shd w:val="clear" w:color="auto" w:fill="F2F2F2"/>
          </w:tcPr>
          <w:p>
            <w:pPr>
              <w:spacing w:after="20"/>
            </w:pPr>
            <w:r/>
            <w:r>
              <w:rPr>
                <w:b w:val="0"/>
                <w:i w:val="0"/>
                <w:sz w:val="17"/>
              </w:rPr>
              <w:t>$2,058,809</w:t>
            </w:r>
          </w:p>
        </w:tc>
        <w:tc>
          <w:tcPr>
            <w:tcW w:type="dxa" w:w="1656"/>
            <w:shd w:val="clear" w:color="auto" w:fill="F2F2F2"/>
          </w:tcPr>
          <w:p>
            <w:pPr>
              <w:spacing w:after="20"/>
            </w:pPr>
            <w:r/>
            <w:r>
              <w:rPr>
                <w:b w:val="0"/>
                <w:i w:val="0"/>
                <w:sz w:val="17"/>
              </w:rPr>
              <w:t>$2,564,559</w:t>
            </w:r>
          </w:p>
        </w:tc>
        <w:tc>
          <w:tcPr>
            <w:tcW w:type="dxa" w:w="1008"/>
            <w:shd w:val="clear" w:color="auto" w:fill="F2F2F2"/>
          </w:tcPr>
          <w:p>
            <w:pPr>
              <w:spacing w:after="20"/>
            </w:pPr>
            <w:r/>
            <w:r>
              <w:rPr>
                <w:b w:val="0"/>
                <w:i w:val="0"/>
                <w:sz w:val="17"/>
              </w:rPr>
              <w:t>17.75%</w:t>
            </w:r>
          </w:p>
        </w:tc>
        <w:tc>
          <w:tcPr>
            <w:tcW w:type="dxa" w:w="1584"/>
            <w:shd w:val="clear" w:color="auto" w:fill="F2F2F2"/>
          </w:tcPr>
          <w:p>
            <w:pPr>
              <w:spacing w:after="20"/>
            </w:pPr>
            <w:r/>
            <w:r>
              <w:rPr>
                <w:b w:val="0"/>
                <w:i w:val="0"/>
                <w:sz w:val="17"/>
              </w:rPr>
              <w:t>$1,827,760</w:t>
            </w:r>
          </w:p>
        </w:tc>
        <w:tc>
          <w:tcPr>
            <w:tcW w:type="dxa" w:w="1584"/>
            <w:shd w:val="clear" w:color="auto" w:fill="F2F2F2"/>
          </w:tcPr>
          <w:p>
            <w:pPr>
              <w:spacing w:after="20"/>
            </w:pPr>
            <w:r/>
            <w:r>
              <w:rPr>
                <w:b w:val="0"/>
                <w:i w:val="0"/>
                <w:sz w:val="17"/>
              </w:rPr>
              <w:t>$1,578,520</w:t>
            </w:r>
          </w:p>
        </w:tc>
        <w:tc>
          <w:tcPr>
            <w:tcW w:type="dxa" w:w="1584"/>
            <w:shd w:val="clear" w:color="auto" w:fill="F2F2F2"/>
          </w:tcPr>
          <w:p>
            <w:pPr>
              <w:spacing w:after="20"/>
            </w:pPr>
            <w:r/>
            <w:r>
              <w:rPr>
                <w:b w:val="0"/>
                <w:i w:val="0"/>
                <w:sz w:val="17"/>
              </w:rPr>
              <w:t>$1,495,440</w:t>
            </w:r>
          </w:p>
        </w:tc>
      </w:tr>
      <w:tr>
        <w:tc>
          <w:tcPr>
            <w:tcW w:type="dxa" w:w="864"/>
          </w:tcPr>
          <w:p>
            <w:pPr>
              <w:spacing w:after="20"/>
            </w:pPr>
            <w:r/>
            <w:r>
              <w:rPr>
                <w:b w:val="0"/>
                <w:i w:val="0"/>
                <w:sz w:val="17"/>
              </w:rPr>
              <w:t>19</w:t>
            </w:r>
          </w:p>
        </w:tc>
        <w:tc>
          <w:tcPr>
            <w:tcW w:type="dxa" w:w="1512"/>
          </w:tcPr>
          <w:p>
            <w:pPr>
              <w:spacing w:after="20"/>
            </w:pPr>
            <w:r/>
            <w:r>
              <w:rPr>
                <w:b w:val="0"/>
                <w:i w:val="0"/>
                <w:sz w:val="17"/>
              </w:rPr>
              <w:t>$2,120,573</w:t>
            </w:r>
          </w:p>
        </w:tc>
        <w:tc>
          <w:tcPr>
            <w:tcW w:type="dxa" w:w="1656"/>
          </w:tcPr>
          <w:p>
            <w:pPr>
              <w:spacing w:after="20"/>
            </w:pPr>
            <w:r/>
            <w:r>
              <w:rPr>
                <w:b w:val="0"/>
                <w:i w:val="0"/>
                <w:sz w:val="17"/>
              </w:rPr>
              <w:t>$2,626,323</w:t>
            </w:r>
          </w:p>
        </w:tc>
        <w:tc>
          <w:tcPr>
            <w:tcW w:type="dxa" w:w="1008"/>
          </w:tcPr>
          <w:p>
            <w:pPr>
              <w:spacing w:after="20"/>
            </w:pPr>
            <w:r/>
            <w:r>
              <w:rPr>
                <w:b w:val="0"/>
                <w:i w:val="0"/>
                <w:sz w:val="17"/>
              </w:rPr>
              <w:t>18.18%</w:t>
            </w:r>
          </w:p>
        </w:tc>
        <w:tc>
          <w:tcPr>
            <w:tcW w:type="dxa" w:w="1584"/>
          </w:tcPr>
          <w:p>
            <w:pPr>
              <w:spacing w:after="20"/>
            </w:pPr>
            <w:r/>
            <w:r>
              <w:rPr>
                <w:b w:val="0"/>
                <w:i w:val="0"/>
                <w:sz w:val="17"/>
              </w:rPr>
              <w:t>$1,855,040</w:t>
            </w:r>
          </w:p>
        </w:tc>
        <w:tc>
          <w:tcPr>
            <w:tcW w:type="dxa" w:w="1584"/>
          </w:tcPr>
          <w:p>
            <w:pPr>
              <w:spacing w:after="20"/>
            </w:pPr>
            <w:r/>
            <w:r>
              <w:rPr>
                <w:b w:val="0"/>
                <w:i w:val="0"/>
                <w:sz w:val="17"/>
              </w:rPr>
              <w:t>$1,602,080</w:t>
            </w:r>
          </w:p>
        </w:tc>
        <w:tc>
          <w:tcPr>
            <w:tcW w:type="dxa" w:w="1584"/>
          </w:tcPr>
          <w:p>
            <w:pPr>
              <w:spacing w:after="20"/>
            </w:pPr>
            <w:r/>
            <w:r>
              <w:rPr>
                <w:b w:val="0"/>
                <w:i w:val="0"/>
                <w:sz w:val="17"/>
              </w:rPr>
              <w:t>$1,517,760</w:t>
            </w:r>
          </w:p>
        </w:tc>
      </w:tr>
      <w:tr>
        <w:tc>
          <w:tcPr>
            <w:tcW w:type="dxa" w:w="864"/>
            <w:shd w:val="clear" w:color="auto" w:fill="F2F2F2"/>
          </w:tcPr>
          <w:p>
            <w:pPr>
              <w:spacing w:after="20"/>
            </w:pPr>
            <w:r/>
            <w:r>
              <w:rPr>
                <w:b w:val="0"/>
                <w:i w:val="0"/>
                <w:sz w:val="17"/>
              </w:rPr>
              <w:t>20</w:t>
            </w:r>
          </w:p>
        </w:tc>
        <w:tc>
          <w:tcPr>
            <w:tcW w:type="dxa" w:w="1512"/>
            <w:shd w:val="clear" w:color="auto" w:fill="F2F2F2"/>
          </w:tcPr>
          <w:p>
            <w:pPr>
              <w:spacing w:after="20"/>
            </w:pPr>
            <w:r/>
            <w:r>
              <w:rPr>
                <w:b w:val="0"/>
                <w:i w:val="0"/>
                <w:sz w:val="17"/>
              </w:rPr>
              <w:t>$2,184,190</w:t>
            </w:r>
          </w:p>
        </w:tc>
        <w:tc>
          <w:tcPr>
            <w:tcW w:type="dxa" w:w="1656"/>
            <w:shd w:val="clear" w:color="auto" w:fill="F2F2F2"/>
          </w:tcPr>
          <w:p>
            <w:pPr>
              <w:spacing w:after="20"/>
            </w:pPr>
            <w:r/>
            <w:r>
              <w:rPr>
                <w:b w:val="0"/>
                <w:i w:val="0"/>
                <w:sz w:val="17"/>
              </w:rPr>
              <w:t>$2,689,940</w:t>
            </w:r>
          </w:p>
        </w:tc>
        <w:tc>
          <w:tcPr>
            <w:tcW w:type="dxa" w:w="1008"/>
            <w:shd w:val="clear" w:color="auto" w:fill="F2F2F2"/>
          </w:tcPr>
          <w:p>
            <w:pPr>
              <w:spacing w:after="20"/>
            </w:pPr>
            <w:r/>
            <w:r>
              <w:rPr>
                <w:b w:val="0"/>
                <w:i w:val="0"/>
                <w:sz w:val="17"/>
              </w:rPr>
              <w:t>18.62%</w:t>
            </w:r>
          </w:p>
        </w:tc>
        <w:tc>
          <w:tcPr>
            <w:tcW w:type="dxa" w:w="1584"/>
            <w:shd w:val="clear" w:color="auto" w:fill="F2F2F2"/>
          </w:tcPr>
          <w:p>
            <w:pPr>
              <w:spacing w:after="20"/>
            </w:pPr>
            <w:r/>
            <w:r>
              <w:rPr>
                <w:b w:val="0"/>
                <w:i w:val="0"/>
                <w:sz w:val="17"/>
              </w:rPr>
              <w:t>$1,882,320</w:t>
            </w:r>
          </w:p>
        </w:tc>
        <w:tc>
          <w:tcPr>
            <w:tcW w:type="dxa" w:w="1584"/>
            <w:shd w:val="clear" w:color="auto" w:fill="F2F2F2"/>
          </w:tcPr>
          <w:p>
            <w:pPr>
              <w:spacing w:after="20"/>
            </w:pPr>
            <w:r/>
            <w:r>
              <w:rPr>
                <w:b w:val="0"/>
                <w:i w:val="0"/>
                <w:sz w:val="17"/>
              </w:rPr>
              <w:t>$1,625,640</w:t>
            </w:r>
          </w:p>
        </w:tc>
        <w:tc>
          <w:tcPr>
            <w:tcW w:type="dxa" w:w="1584"/>
            <w:shd w:val="clear" w:color="auto" w:fill="F2F2F2"/>
          </w:tcPr>
          <w:p>
            <w:pPr>
              <w:spacing w:after="20"/>
            </w:pPr>
            <w:r/>
            <w:r>
              <w:rPr>
                <w:b w:val="0"/>
                <w:i w:val="0"/>
                <w:sz w:val="17"/>
              </w:rPr>
              <w:t>$1,540,080</w:t>
            </w:r>
          </w:p>
        </w:tc>
      </w:tr>
      <w:tr>
        <w:tc>
          <w:tcPr>
            <w:tcW w:type="dxa" w:w="864"/>
          </w:tcPr>
          <w:p>
            <w:pPr>
              <w:spacing w:after="20"/>
            </w:pPr>
            <w:r/>
            <w:r>
              <w:rPr>
                <w:b w:val="0"/>
                <w:i w:val="0"/>
                <w:sz w:val="17"/>
              </w:rPr>
              <w:t>21</w:t>
            </w:r>
          </w:p>
        </w:tc>
        <w:tc>
          <w:tcPr>
            <w:tcW w:type="dxa" w:w="1512"/>
          </w:tcPr>
          <w:p>
            <w:pPr>
              <w:spacing w:after="20"/>
            </w:pPr>
            <w:r/>
            <w:r>
              <w:rPr>
                <w:b w:val="0"/>
                <w:i w:val="0"/>
                <w:sz w:val="17"/>
              </w:rPr>
              <w:t>$2,249,716</w:t>
            </w:r>
          </w:p>
        </w:tc>
        <w:tc>
          <w:tcPr>
            <w:tcW w:type="dxa" w:w="1656"/>
          </w:tcPr>
          <w:p>
            <w:pPr>
              <w:spacing w:after="20"/>
            </w:pPr>
            <w:r/>
            <w:r>
              <w:rPr>
                <w:b w:val="0"/>
                <w:i w:val="0"/>
                <w:sz w:val="17"/>
              </w:rPr>
              <w:t>$2,755,466</w:t>
            </w:r>
          </w:p>
        </w:tc>
        <w:tc>
          <w:tcPr>
            <w:tcW w:type="dxa" w:w="1008"/>
          </w:tcPr>
          <w:p>
            <w:pPr>
              <w:spacing w:after="20"/>
            </w:pPr>
            <w:r/>
            <w:r>
              <w:rPr>
                <w:b w:val="0"/>
                <w:i w:val="0"/>
                <w:sz w:val="17"/>
              </w:rPr>
              <w:t>19.07%</w:t>
            </w:r>
          </w:p>
        </w:tc>
        <w:tc>
          <w:tcPr>
            <w:tcW w:type="dxa" w:w="1584"/>
          </w:tcPr>
          <w:p>
            <w:pPr>
              <w:spacing w:after="20"/>
            </w:pPr>
            <w:r/>
            <w:r>
              <w:rPr>
                <w:b w:val="0"/>
                <w:i w:val="0"/>
                <w:sz w:val="17"/>
              </w:rPr>
              <w:t>$1,909,600</w:t>
            </w:r>
          </w:p>
        </w:tc>
        <w:tc>
          <w:tcPr>
            <w:tcW w:type="dxa" w:w="1584"/>
          </w:tcPr>
          <w:p>
            <w:pPr>
              <w:spacing w:after="20"/>
            </w:pPr>
            <w:r/>
            <w:r>
              <w:rPr>
                <w:b w:val="0"/>
                <w:i w:val="0"/>
                <w:sz w:val="17"/>
              </w:rPr>
              <w:t>$1,649,200</w:t>
            </w:r>
          </w:p>
        </w:tc>
        <w:tc>
          <w:tcPr>
            <w:tcW w:type="dxa" w:w="1584"/>
          </w:tcPr>
          <w:p>
            <w:pPr>
              <w:spacing w:after="20"/>
            </w:pPr>
            <w:r/>
            <w:r>
              <w:rPr>
                <w:b w:val="0"/>
                <w:i w:val="0"/>
                <w:sz w:val="17"/>
              </w:rPr>
              <w:t>$1,562,400</w:t>
            </w:r>
          </w:p>
        </w:tc>
      </w:tr>
      <w:tr>
        <w:tc>
          <w:tcPr>
            <w:tcW w:type="dxa" w:w="864"/>
            <w:shd w:val="clear" w:color="auto" w:fill="F2F2F2"/>
          </w:tcPr>
          <w:p>
            <w:pPr>
              <w:spacing w:after="20"/>
            </w:pPr>
            <w:r/>
            <w:r>
              <w:rPr>
                <w:b w:val="0"/>
                <w:i w:val="0"/>
                <w:sz w:val="17"/>
              </w:rPr>
              <w:t>22</w:t>
            </w:r>
          </w:p>
        </w:tc>
        <w:tc>
          <w:tcPr>
            <w:tcW w:type="dxa" w:w="1512"/>
            <w:shd w:val="clear" w:color="auto" w:fill="F2F2F2"/>
          </w:tcPr>
          <w:p>
            <w:pPr>
              <w:spacing w:after="20"/>
            </w:pPr>
            <w:r/>
            <w:r>
              <w:rPr>
                <w:b w:val="0"/>
                <w:i w:val="0"/>
                <w:sz w:val="17"/>
              </w:rPr>
              <w:t>$2,317,207</w:t>
            </w:r>
          </w:p>
        </w:tc>
        <w:tc>
          <w:tcPr>
            <w:tcW w:type="dxa" w:w="1656"/>
            <w:shd w:val="clear" w:color="auto" w:fill="F2F2F2"/>
          </w:tcPr>
          <w:p>
            <w:pPr>
              <w:spacing w:after="20"/>
            </w:pPr>
            <w:r/>
            <w:r>
              <w:rPr>
                <w:b w:val="0"/>
                <w:i w:val="0"/>
                <w:sz w:val="17"/>
              </w:rPr>
              <w:t>$2,822,957</w:t>
            </w:r>
          </w:p>
        </w:tc>
        <w:tc>
          <w:tcPr>
            <w:tcW w:type="dxa" w:w="1008"/>
            <w:shd w:val="clear" w:color="auto" w:fill="F2F2F2"/>
          </w:tcPr>
          <w:p>
            <w:pPr>
              <w:spacing w:after="20"/>
            </w:pPr>
            <w:r/>
            <w:r>
              <w:rPr>
                <w:b w:val="0"/>
                <w:i w:val="0"/>
                <w:sz w:val="17"/>
              </w:rPr>
              <w:t>19.54%</w:t>
            </w:r>
          </w:p>
        </w:tc>
        <w:tc>
          <w:tcPr>
            <w:tcW w:type="dxa" w:w="1584"/>
            <w:shd w:val="clear" w:color="auto" w:fill="F2F2F2"/>
          </w:tcPr>
          <w:p>
            <w:pPr>
              <w:spacing w:after="20"/>
            </w:pPr>
            <w:r/>
            <w:r>
              <w:rPr>
                <w:b w:val="0"/>
                <w:i w:val="0"/>
                <w:sz w:val="17"/>
              </w:rPr>
              <w:t>$1,936,880</w:t>
            </w:r>
          </w:p>
        </w:tc>
        <w:tc>
          <w:tcPr>
            <w:tcW w:type="dxa" w:w="1584"/>
            <w:shd w:val="clear" w:color="auto" w:fill="F2F2F2"/>
          </w:tcPr>
          <w:p>
            <w:pPr>
              <w:spacing w:after="20"/>
            </w:pPr>
            <w:r/>
            <w:r>
              <w:rPr>
                <w:b w:val="0"/>
                <w:i w:val="0"/>
                <w:sz w:val="17"/>
              </w:rPr>
              <w:t>$1,672,760</w:t>
            </w:r>
          </w:p>
        </w:tc>
        <w:tc>
          <w:tcPr>
            <w:tcW w:type="dxa" w:w="1584"/>
            <w:shd w:val="clear" w:color="auto" w:fill="F2F2F2"/>
          </w:tcPr>
          <w:p>
            <w:pPr>
              <w:spacing w:after="20"/>
            </w:pPr>
            <w:r/>
            <w:r>
              <w:rPr>
                <w:b w:val="0"/>
                <w:i w:val="0"/>
                <w:sz w:val="17"/>
              </w:rPr>
              <w:t>$1,584,720</w:t>
            </w:r>
          </w:p>
        </w:tc>
      </w:tr>
      <w:tr>
        <w:tc>
          <w:tcPr>
            <w:tcW w:type="dxa" w:w="864"/>
          </w:tcPr>
          <w:p>
            <w:pPr>
              <w:spacing w:after="20"/>
            </w:pPr>
            <w:r/>
            <w:r>
              <w:rPr>
                <w:b w:val="0"/>
                <w:i w:val="0"/>
                <w:sz w:val="17"/>
              </w:rPr>
              <w:t>23</w:t>
            </w:r>
          </w:p>
        </w:tc>
        <w:tc>
          <w:tcPr>
            <w:tcW w:type="dxa" w:w="1512"/>
          </w:tcPr>
          <w:p>
            <w:pPr>
              <w:spacing w:after="20"/>
            </w:pPr>
            <w:r/>
            <w:r>
              <w:rPr>
                <w:b w:val="0"/>
                <w:i w:val="0"/>
                <w:sz w:val="17"/>
              </w:rPr>
              <w:t>$2,386,724</w:t>
            </w:r>
          </w:p>
        </w:tc>
        <w:tc>
          <w:tcPr>
            <w:tcW w:type="dxa" w:w="1656"/>
          </w:tcPr>
          <w:p>
            <w:pPr>
              <w:spacing w:after="20"/>
            </w:pPr>
            <w:r/>
            <w:r>
              <w:rPr>
                <w:b w:val="0"/>
                <w:i w:val="0"/>
                <w:sz w:val="17"/>
              </w:rPr>
              <w:t>$2,892,474</w:t>
            </w:r>
          </w:p>
        </w:tc>
        <w:tc>
          <w:tcPr>
            <w:tcW w:type="dxa" w:w="1008"/>
          </w:tcPr>
          <w:p>
            <w:pPr>
              <w:spacing w:after="20"/>
            </w:pPr>
            <w:r/>
            <w:r>
              <w:rPr>
                <w:b w:val="0"/>
                <w:i w:val="0"/>
                <w:sz w:val="17"/>
              </w:rPr>
              <w:t>20.02%</w:t>
            </w:r>
          </w:p>
        </w:tc>
        <w:tc>
          <w:tcPr>
            <w:tcW w:type="dxa" w:w="1584"/>
          </w:tcPr>
          <w:p>
            <w:pPr>
              <w:spacing w:after="20"/>
            </w:pPr>
            <w:r/>
            <w:r>
              <w:rPr>
                <w:b w:val="0"/>
                <w:i w:val="0"/>
                <w:sz w:val="17"/>
              </w:rPr>
              <w:t>$1,964,160</w:t>
            </w:r>
          </w:p>
        </w:tc>
        <w:tc>
          <w:tcPr>
            <w:tcW w:type="dxa" w:w="1584"/>
          </w:tcPr>
          <w:p>
            <w:pPr>
              <w:spacing w:after="20"/>
            </w:pPr>
            <w:r/>
            <w:r>
              <w:rPr>
                <w:b w:val="0"/>
                <w:i w:val="0"/>
                <w:sz w:val="17"/>
              </w:rPr>
              <w:t>$1,696,320</w:t>
            </w:r>
          </w:p>
        </w:tc>
        <w:tc>
          <w:tcPr>
            <w:tcW w:type="dxa" w:w="1584"/>
          </w:tcPr>
          <w:p>
            <w:pPr>
              <w:spacing w:after="20"/>
            </w:pPr>
            <w:r/>
            <w:r>
              <w:rPr>
                <w:b w:val="0"/>
                <w:i w:val="0"/>
                <w:sz w:val="17"/>
              </w:rPr>
              <w:t>$1,607,040</w:t>
            </w:r>
          </w:p>
        </w:tc>
      </w:tr>
      <w:tr>
        <w:tc>
          <w:tcPr>
            <w:tcW w:type="dxa" w:w="864"/>
            <w:shd w:val="clear" w:color="auto" w:fill="F2F2F2"/>
          </w:tcPr>
          <w:p>
            <w:pPr>
              <w:spacing w:after="20"/>
            </w:pPr>
            <w:r/>
            <w:r>
              <w:rPr>
                <w:b w:val="0"/>
                <w:i w:val="0"/>
                <w:sz w:val="17"/>
              </w:rPr>
              <w:t>24</w:t>
            </w:r>
          </w:p>
        </w:tc>
        <w:tc>
          <w:tcPr>
            <w:tcW w:type="dxa" w:w="1512"/>
            <w:shd w:val="clear" w:color="auto" w:fill="F2F2F2"/>
          </w:tcPr>
          <w:p>
            <w:pPr>
              <w:spacing w:after="20"/>
            </w:pPr>
            <w:r/>
            <w:r>
              <w:rPr>
                <w:b w:val="0"/>
                <w:i w:val="0"/>
                <w:sz w:val="17"/>
              </w:rPr>
              <w:t>$2,458,325</w:t>
            </w:r>
          </w:p>
        </w:tc>
        <w:tc>
          <w:tcPr>
            <w:tcW w:type="dxa" w:w="1656"/>
            <w:shd w:val="clear" w:color="auto" w:fill="F2F2F2"/>
          </w:tcPr>
          <w:p>
            <w:pPr>
              <w:spacing w:after="20"/>
            </w:pPr>
            <w:r/>
            <w:r>
              <w:rPr>
                <w:b w:val="0"/>
                <w:i w:val="0"/>
                <w:sz w:val="17"/>
              </w:rPr>
              <w:t>$2,964,075</w:t>
            </w:r>
          </w:p>
        </w:tc>
        <w:tc>
          <w:tcPr>
            <w:tcW w:type="dxa" w:w="1008"/>
            <w:shd w:val="clear" w:color="auto" w:fill="F2F2F2"/>
          </w:tcPr>
          <w:p>
            <w:pPr>
              <w:spacing w:after="20"/>
            </w:pPr>
            <w:r/>
            <w:r>
              <w:rPr>
                <w:b w:val="0"/>
                <w:i w:val="0"/>
                <w:sz w:val="17"/>
              </w:rPr>
              <w:t>20.51%</w:t>
            </w:r>
          </w:p>
        </w:tc>
        <w:tc>
          <w:tcPr>
            <w:tcW w:type="dxa" w:w="1584"/>
            <w:shd w:val="clear" w:color="auto" w:fill="F2F2F2"/>
          </w:tcPr>
          <w:p>
            <w:pPr>
              <w:spacing w:after="20"/>
            </w:pPr>
            <w:r/>
            <w:r>
              <w:rPr>
                <w:b w:val="0"/>
                <w:i w:val="0"/>
                <w:sz w:val="17"/>
              </w:rPr>
              <w:t>$1,991,440</w:t>
            </w:r>
          </w:p>
        </w:tc>
        <w:tc>
          <w:tcPr>
            <w:tcW w:type="dxa" w:w="1584"/>
            <w:shd w:val="clear" w:color="auto" w:fill="F2F2F2"/>
          </w:tcPr>
          <w:p>
            <w:pPr>
              <w:spacing w:after="20"/>
            </w:pPr>
            <w:r/>
            <w:r>
              <w:rPr>
                <w:b w:val="0"/>
                <w:i w:val="0"/>
                <w:sz w:val="17"/>
              </w:rPr>
              <w:t>$1,719,880</w:t>
            </w:r>
          </w:p>
        </w:tc>
        <w:tc>
          <w:tcPr>
            <w:tcW w:type="dxa" w:w="1584"/>
            <w:shd w:val="clear" w:color="auto" w:fill="F2F2F2"/>
          </w:tcPr>
          <w:p>
            <w:pPr>
              <w:spacing w:after="20"/>
            </w:pPr>
            <w:r/>
            <w:r>
              <w:rPr>
                <w:b w:val="0"/>
                <w:i w:val="0"/>
                <w:sz w:val="17"/>
              </w:rPr>
              <w:t>$1,629,360</w:t>
            </w:r>
          </w:p>
        </w:tc>
      </w:tr>
      <w:tr>
        <w:tc>
          <w:tcPr>
            <w:tcW w:type="dxa" w:w="864"/>
          </w:tcPr>
          <w:p>
            <w:pPr>
              <w:spacing w:after="20"/>
            </w:pPr>
            <w:r/>
            <w:r>
              <w:rPr>
                <w:b w:val="0"/>
                <w:i w:val="0"/>
                <w:sz w:val="17"/>
              </w:rPr>
              <w:t>25</w:t>
            </w:r>
          </w:p>
        </w:tc>
        <w:tc>
          <w:tcPr>
            <w:tcW w:type="dxa" w:w="1512"/>
          </w:tcPr>
          <w:p>
            <w:pPr>
              <w:spacing w:after="20"/>
            </w:pPr>
            <w:r/>
            <w:r>
              <w:rPr>
                <w:b w:val="0"/>
                <w:i w:val="0"/>
                <w:sz w:val="17"/>
              </w:rPr>
              <w:t>$2,532,075</w:t>
            </w:r>
          </w:p>
        </w:tc>
        <w:tc>
          <w:tcPr>
            <w:tcW w:type="dxa" w:w="1656"/>
          </w:tcPr>
          <w:p>
            <w:pPr>
              <w:spacing w:after="20"/>
            </w:pPr>
            <w:r/>
            <w:r>
              <w:rPr>
                <w:b w:val="0"/>
                <w:i w:val="0"/>
                <w:sz w:val="17"/>
              </w:rPr>
              <w:t>$3,037,825</w:t>
            </w:r>
          </w:p>
        </w:tc>
        <w:tc>
          <w:tcPr>
            <w:tcW w:type="dxa" w:w="1008"/>
          </w:tcPr>
          <w:p>
            <w:pPr>
              <w:spacing w:after="20"/>
            </w:pPr>
            <w:r/>
            <w:r>
              <w:rPr>
                <w:b w:val="0"/>
                <w:i w:val="0"/>
                <w:sz w:val="17"/>
              </w:rPr>
              <w:t>21.02%</w:t>
            </w:r>
          </w:p>
        </w:tc>
        <w:tc>
          <w:tcPr>
            <w:tcW w:type="dxa" w:w="1584"/>
          </w:tcPr>
          <w:p>
            <w:pPr>
              <w:spacing w:after="20"/>
            </w:pPr>
            <w:r/>
            <w:r>
              <w:rPr>
                <w:b w:val="0"/>
                <w:i w:val="0"/>
                <w:sz w:val="17"/>
              </w:rPr>
              <w:t>$2,018,720</w:t>
            </w:r>
          </w:p>
        </w:tc>
        <w:tc>
          <w:tcPr>
            <w:tcW w:type="dxa" w:w="1584"/>
          </w:tcPr>
          <w:p>
            <w:pPr>
              <w:spacing w:after="20"/>
            </w:pPr>
            <w:r/>
            <w:r>
              <w:rPr>
                <w:b w:val="0"/>
                <w:i w:val="0"/>
                <w:sz w:val="17"/>
              </w:rPr>
              <w:t>$1,743,440</w:t>
            </w:r>
          </w:p>
        </w:tc>
        <w:tc>
          <w:tcPr>
            <w:tcW w:type="dxa" w:w="1584"/>
          </w:tcPr>
          <w:p>
            <w:pPr>
              <w:spacing w:after="20"/>
            </w:pPr>
            <w:r/>
            <w:r>
              <w:rPr>
                <w:b w:val="0"/>
                <w:i w:val="0"/>
                <w:sz w:val="17"/>
              </w:rPr>
              <w:t>$1,651,680</w:t>
            </w:r>
          </w:p>
        </w:tc>
      </w:tr>
      <w:tr>
        <w:tc>
          <w:tcPr>
            <w:tcW w:type="dxa" w:w="864"/>
            <w:shd w:val="clear" w:color="auto" w:fill="F2F2F2"/>
          </w:tcPr>
          <w:p>
            <w:pPr>
              <w:spacing w:after="20"/>
            </w:pPr>
            <w:r/>
            <w:r>
              <w:rPr>
                <w:b w:val="0"/>
                <w:i w:val="0"/>
                <w:sz w:val="17"/>
              </w:rPr>
              <w:t>Total</w:t>
            </w:r>
          </w:p>
        </w:tc>
        <w:tc>
          <w:tcPr>
            <w:tcW w:type="dxa" w:w="1512"/>
            <w:shd w:val="clear" w:color="auto" w:fill="F2F2F2"/>
          </w:tcPr>
          <w:p>
            <w:pPr>
              <w:spacing w:after="20"/>
            </w:pPr>
            <w:r/>
            <w:r>
              <w:rPr>
                <w:b w:val="0"/>
                <w:i w:val="0"/>
                <w:sz w:val="17"/>
              </w:rPr>
              <w:t>$46,771,313</w:t>
            </w:r>
          </w:p>
        </w:tc>
        <w:tc>
          <w:tcPr>
            <w:tcW w:type="dxa" w:w="1656"/>
            <w:shd w:val="clear" w:color="auto" w:fill="F2F2F2"/>
          </w:tcPr>
          <w:p>
            <w:pPr>
              <w:spacing w:after="20"/>
            </w:pPr>
            <w:r/>
            <w:r>
              <w:rPr>
                <w:b w:val="0"/>
                <w:i w:val="0"/>
                <w:sz w:val="17"/>
              </w:rPr>
              <w:t>$59,415,063</w:t>
            </w:r>
          </w:p>
        </w:tc>
        <w:tc>
          <w:tcPr>
            <w:tcW w:type="dxa" w:w="1008"/>
            <w:shd w:val="clear" w:color="auto" w:fill="F2F2F2"/>
          </w:tcPr>
          <w:p>
            <w:pPr>
              <w:spacing w:after="20"/>
            </w:pPr>
            <w:r/>
          </w:p>
        </w:tc>
        <w:tc>
          <w:tcPr>
            <w:tcW w:type="dxa" w:w="1584"/>
            <w:shd w:val="clear" w:color="auto" w:fill="F2F2F2"/>
          </w:tcPr>
          <w:p>
            <w:pPr>
              <w:spacing w:after="20"/>
            </w:pPr>
            <w:r/>
            <w:r>
              <w:rPr>
                <w:b w:val="0"/>
                <w:i w:val="0"/>
                <w:sz w:val="17"/>
              </w:rPr>
              <w:t>$42,284,000</w:t>
            </w:r>
          </w:p>
        </w:tc>
        <w:tc>
          <w:tcPr>
            <w:tcW w:type="dxa" w:w="1584"/>
            <w:shd w:val="clear" w:color="auto" w:fill="F2F2F2"/>
          </w:tcPr>
          <w:p>
            <w:pPr>
              <w:spacing w:after="20"/>
            </w:pPr>
            <w:r/>
            <w:r>
              <w:rPr>
                <w:b w:val="0"/>
                <w:i w:val="0"/>
                <w:sz w:val="17"/>
              </w:rPr>
              <w:t>$36,518,000</w:t>
            </w:r>
          </w:p>
        </w:tc>
        <w:tc>
          <w:tcPr>
            <w:tcW w:type="dxa" w:w="1584"/>
            <w:shd w:val="clear" w:color="auto" w:fill="F2F2F2"/>
          </w:tcPr>
          <w:p>
            <w:pPr>
              <w:spacing w:after="20"/>
            </w:pPr>
            <w:r/>
            <w:r>
              <w:rPr>
                <w:b w:val="0"/>
                <w:i w:val="0"/>
                <w:sz w:val="17"/>
              </w:rPr>
              <w:t>$34,596,000</w:t>
            </w:r>
          </w:p>
        </w:tc>
      </w:tr>
    </w:tbl>
    <w:p>
      <w:pPr>
        <w:spacing w:after="40"/>
      </w:pPr>
    </w:p>
    <w:p>
      <w:pPr>
        <w:spacing w:after="120"/>
        <w:jc w:val="both"/>
      </w:pPr>
      <w:r>
        <w:rPr>
          <w:b w:val="0"/>
          <w:i/>
          <w:sz w:val="17"/>
        </w:rPr>
        <w:t>Assumptions: 1,240 acres; Revenue Share on constant $14,450,000 (340,000 MWh × $42.50/MWh) with no degradation, curtailment or post-PPA merchant adjustment; Draft escalation per §4.4 (3.0% compounding within each rent period, reset in Year 11); rounding to the nearest dollar. Revenue Share would be lower if generation degrades and would continue on merchant revenue after the PPA expires (~Year 20).</w:t>
      </w:r>
    </w:p>
    <w:p>
      <w:pPr>
        <w:spacing w:after="120"/>
      </w:pPr>
      <w:r>
        <w:rPr>
          <w:b w:val="0"/>
          <w:i/>
          <w:sz w:val="17"/>
        </w:rPr>
        <w:t>This report is based solely on the five documents identified in Section 2 and is a working draft for REP’s internal use and WC&amp;P partner review; it is not a final legal opinion.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Privileged &amp; Confidential — Attorney-Client Communication / Attorney Work Product — WC&amp;P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 Deviation Report — Solano Flats (Hargrove Draft)</dc:title>
  <dc:subject/>
  <dc:creator>Whitfield, Crane &amp; Polk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