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18"/>
        </w:rPr>
        <w:t>PRIVILEGED AND CONFIDENTIAL — ATTORNEY-CLIENT COMMUNICATION / ATTORNEY WORK PRODUCT</w:t>
      </w:r>
    </w:p>
    <w:p>
      <w:pPr>
        <w:spacing w:after="200"/>
        <w:jc w:val="center"/>
      </w:pPr>
      <w:r>
        <w:rPr>
          <w:b/>
          <w:sz w:val="28"/>
        </w:rPr>
        <w:t>MEMORANDUM</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016"/>
            <w:shd w:val="clear" w:color="auto" w:fill="D9E2F3"/>
          </w:tcPr>
          <w:p>
            <w:r/>
            <w:r>
              <w:rPr>
                <w:b/>
                <w:sz w:val="19"/>
              </w:rPr>
            </w:r>
          </w:p>
        </w:tc>
        <w:tc>
          <w:tcPr>
            <w:tcW w:type="dxa" w:w="7344"/>
            <w:shd w:val="clear" w:color="auto" w:fill="D9E2F3"/>
          </w:tcPr>
          <w:p>
            <w:r/>
            <w:r>
              <w:rPr>
                <w:b/>
                <w:sz w:val="19"/>
              </w:rPr>
            </w:r>
          </w:p>
        </w:tc>
      </w:tr>
      <w:tr>
        <w:tc>
          <w:tcPr>
            <w:tcW w:type="dxa" w:w="2016"/>
          </w:tcPr>
          <w:p>
            <w:r/>
            <w:r>
              <w:rPr>
                <w:b/>
                <w:sz w:val="19"/>
              </w:rPr>
              <w:t>To:</w:t>
            </w:r>
          </w:p>
        </w:tc>
        <w:tc>
          <w:tcPr>
            <w:tcW w:type="dxa" w:w="7344"/>
          </w:tcPr>
          <w:p>
            <w:r/>
            <w:r>
              <w:rPr>
                <w:sz w:val="19"/>
              </w:rPr>
              <w:t>Margaret Whitmore, Lead Partner, Whitmore &amp; Associates LLP</w:t>
            </w:r>
          </w:p>
        </w:tc>
      </w:tr>
      <w:tr>
        <w:tc>
          <w:tcPr>
            <w:tcW w:type="dxa" w:w="2016"/>
          </w:tcPr>
          <w:p>
            <w:r/>
            <w:r>
              <w:rPr>
                <w:b/>
                <w:sz w:val="19"/>
              </w:rPr>
              <w:t>From:</w:t>
            </w:r>
          </w:p>
        </w:tc>
        <w:tc>
          <w:tcPr>
            <w:tcW w:type="dxa" w:w="7344"/>
          </w:tcPr>
          <w:p>
            <w:r/>
            <w:r>
              <w:rPr>
                <w:sz w:val="19"/>
              </w:rPr>
              <w:t>Environmental Practice Group (Associate)</w:t>
            </w:r>
          </w:p>
        </w:tc>
      </w:tr>
      <w:tr>
        <w:tc>
          <w:tcPr>
            <w:tcW w:type="dxa" w:w="2016"/>
          </w:tcPr>
          <w:p>
            <w:r/>
            <w:r>
              <w:rPr>
                <w:b/>
                <w:sz w:val="19"/>
              </w:rPr>
              <w:t>Client / Matter:</w:t>
            </w:r>
          </w:p>
        </w:tc>
        <w:tc>
          <w:tcPr>
            <w:tcW w:type="dxa" w:w="7344"/>
          </w:tcPr>
          <w:p>
            <w:r/>
            <w:r>
              <w:rPr>
                <w:sz w:val="19"/>
              </w:rPr>
              <w:t xml:space="preserve">Cascade Chemical Holdings, Inc. (CCH) — Hargrove Industrial Complex Superfund Site, 1500 Old Mill Road, Millhaven, Ohio (EPA Site ID OHD987654321); </w:t>
            </w:r>
            <w:r>
              <w:rPr>
                <w:i/>
                <w:sz w:val="19"/>
              </w:rPr>
              <w:t>United States v. Cascade Chemical Holdings, Inc.</w:t>
            </w:r>
            <w:r>
              <w:rPr>
                <w:sz w:val="19"/>
              </w:rPr>
              <w:t>, No. 3:20-cv-00487-JHR (N.D. Ohio)</w:t>
            </w:r>
          </w:p>
        </w:tc>
      </w:tr>
      <w:tr>
        <w:tc>
          <w:tcPr>
            <w:tcW w:type="dxa" w:w="2016"/>
          </w:tcPr>
          <w:p>
            <w:r/>
            <w:r>
              <w:rPr>
                <w:b/>
                <w:sz w:val="19"/>
              </w:rPr>
              <w:t>Date:</w:t>
            </w:r>
          </w:p>
        </w:tc>
        <w:tc>
          <w:tcPr>
            <w:tcW w:type="dxa" w:w="7344"/>
          </w:tcPr>
          <w:p>
            <w:r/>
            <w:r>
              <w:rPr>
                <w:sz w:val="19"/>
              </w:rPr>
              <w:t>October 16, 2026</w:t>
            </w:r>
          </w:p>
        </w:tc>
      </w:tr>
      <w:tr>
        <w:tc>
          <w:tcPr>
            <w:tcW w:type="dxa" w:w="2016"/>
          </w:tcPr>
          <w:p>
            <w:r/>
            <w:r>
              <w:rPr>
                <w:b/>
                <w:sz w:val="19"/>
              </w:rPr>
              <w:t>Re:</w:t>
            </w:r>
          </w:p>
        </w:tc>
        <w:tc>
          <w:tcPr>
            <w:tcW w:type="dxa" w:w="7344"/>
          </w:tcPr>
          <w:p>
            <w:r/>
            <w:r>
              <w:rPr>
                <w:sz w:val="19"/>
              </w:rPr>
              <w:t>Compliance Gap Analysis — Remedial Action Work Plan (Terraverde, dated Dec. 20, 2024; submitted Jan. 15, 2025) against the Record of Decision (Sept. 15, 2021), the Consent Decree, the Terraverde Pre-Design Investigation Memorandum (Oct. 15, 2024), and the Millhaven CAG letter to EPA (Feb. 5, 2025)</w:t>
            </w:r>
          </w:p>
        </w:tc>
      </w:tr>
    </w:tbl>
    <w:p>
      <w:pPr>
        <w:spacing w:after="40"/>
      </w:pPr>
    </w:p>
    <w:p>
      <w:pPr>
        <w:pStyle w:val="Heading1"/>
      </w:pPr>
      <w:r>
        <w:t>I. Bottom Line</w:t>
      </w:r>
    </w:p>
    <w:p>
      <w:pPr>
        <w:spacing w:after="120"/>
      </w:pPr>
      <w:r>
        <w:t xml:space="preserve">The RAWP, as submitted, does not implement the ROD. Measured line-by-line against the ROD and the Consent Decree (CD), it departs from the selected remedy on </w:t>
      </w:r>
      <w:r>
        <w:rPr>
          <w:b/>
        </w:rPr>
        <w:t>at least 30 discrete requirements</w:t>
      </w:r>
      <w:r>
        <w:t>, and nearly every departure runs in the same direction: less excavation, fewer wells, thinner liners, weaker standards, less monitoring, and lower cost. None of these departures was submitted through the CD Section VII modification process, and none is supported by an ESD or ROD Amendment. Under CD ¶14 the ROD controls over the RAWP, and under CD ¶¶15 and 33 a RAWP that proposes deviations does not authorize them. EPA’s approval would not cure the problem either (CD ¶40).</w:t>
      </w:r>
    </w:p>
    <w:p>
      <w:pPr>
        <w:spacing w:after="120"/>
      </w:pPr>
      <w:r>
        <w:t>The most serious findings are:</w:t>
      </w:r>
    </w:p>
    <w:p>
      <w:pPr>
        <w:pStyle w:val="ListBullet"/>
        <w:spacing w:after="60"/>
      </w:pPr>
      <w:r>
        <w:rPr>
          <w:b/>
        </w:rPr>
        <w:t>Three changes that the CD itself classifies as “fundamental” and that require a ROD Amendment with public comment (CD ¶32(c)):</w:t>
      </w:r>
      <w:r>
        <w:t xml:space="preserve"> (1) the 1,4-dioxane cleanup level is raised tenfold, from 0.35 µg/L to 3.5 µg/L (RAWP §§2.2, 5.4); (2) the UV/hydrogen peroxide advanced oxidation process (AOP) unit is removed from the treatment train, and the RAWP relies on GAC for 1,4-dioxane, which the ROD found technically ineffective (RAWP §7.1; ROD §§2.9.3, 2.12.4); and (3) the groundwater restoration timeframe is projected at about 45 years, against a 30-year Performance Standard (RAWP §13.2; ROD §2.8; CD ¶¶5(k), 30).</w:t>
      </w:r>
    </w:p>
    <w:p>
      <w:pPr>
        <w:pStyle w:val="ListBullet"/>
        <w:spacing w:after="60"/>
      </w:pPr>
      <w:r>
        <w:rPr>
          <w:b/>
        </w:rPr>
        <w:t>Design reductions that the CD lists as Major Deviations ($5,000/day each, CD ¶¶49–50):</w:t>
      </w:r>
      <w:r>
        <w:t xml:space="preserve"> OU-1 excavation cut from 15 ft to 12 ft bgs; SEE well pairs cut from 14 to 12; thermal desorption standard relaxed from 1 to 5 mg/kg total VOCs; OU-2 excavation stopped at 10 ft, above the native clay (11.5–13.0 ft per the PDI); containment-cell liner reduced from 60-mil HDPE/24-in. clay to 40-mil/18-in.; leachate sent to the municipal POTW rather than to the on-site plant; extraction wells and trench cut from 12 wells/2,400 ft to 10 wells/2,000 ft; ERD points cut from 48 at 30-ft centers to 36 at 40-ft centers; and the OU-3 and OU-2 monitoring networks cut from 36 to 28 wells and from 8 to 6 wells.</w:t>
      </w:r>
    </w:p>
    <w:p>
      <w:pPr>
        <w:pStyle w:val="ListBullet"/>
        <w:spacing w:after="60"/>
      </w:pPr>
      <w:r>
        <w:rPr>
          <w:b/>
        </w:rPr>
        <w:t>Community-facing departures that directly match the CAG’s complaints:</w:t>
      </w:r>
      <w:r>
        <w:t xml:space="preserve"> the VOC fenceline action level is doubled (5 → 10 ppmv); the haul route moves from State Route 47 to County Road 12, which the CAG says runs through Millhaven Heights past a daycare and an elementary school; and OU-4 ecological monitoring is cut from 5 to 3 years, with ODNR left out of the Habitat Restoration Plan approval.</w:t>
      </w:r>
    </w:p>
    <w:p>
      <w:pPr>
        <w:pStyle w:val="ListBullet"/>
        <w:spacing w:after="60"/>
      </w:pPr>
      <w:r>
        <w:rPr>
          <w:b/>
        </w:rPr>
        <w:t>A credibility problem that compounds all of the above.</w:t>
      </w:r>
      <w:r>
        <w:t xml:space="preserve"> The RAWP repeatedly says the reductions are “optimized” or “refined” based on the 2024 PDI. But CCH’s own PDI memorandum, written by the same Terraverde project manager who certified the RAWP, recommends the opposite on every point it addresses. It recommends keeping the 15-ft depth, keeping all 14 SEE well pairs (and says “do not recommend adopting 12 well pairs in the RAWP”), keeping the 1 mg/kg standard, excavating to the clay, keeping the 60-mil/24-in. liner (“no technical basis … for reducing” it), and keeping all 8 OU-2 wells. The RAWP also says the PDI memo was submitted to EPA on October 15, 2024. If EPA has it, EPA holds a CCH document that contradicts the RAWP. Separately, the RAWP’s description of the PDI scope (42 borings, 186 samples, February–August 2024, groundwater and OU-4 work) does not match the memo (21 borings at OU-1 and OU-2 only, June 3–September 20, 2024).</w:t>
      </w:r>
    </w:p>
    <w:p>
      <w:pPr>
        <w:pStyle w:val="ListBullet"/>
        <w:spacing w:after="60"/>
      </w:pPr>
      <w:r>
        <w:rPr>
          <w:b/>
        </w:rPr>
        <w:t>The cost estimate tracks the scope cuts.</w:t>
      </w:r>
      <w:r>
        <w:t xml:space="preserve"> The RAWP estimate is $72.1 million against the ROD’s $89.4 million, a drop of $17.3 million (19.4%). Capital cost alone drops 33%, and OU-3 capital drops 48%. Financial assurance stays fixed at $89.4 million (CD ¶81). The CD has no mechanism for reducing it on the strength of a RAWP estimate.</w:t>
      </w:r>
    </w:p>
    <w:p>
      <w:pPr>
        <w:spacing w:after="120"/>
      </w:pPr>
      <w:r>
        <w:rPr>
          <w:b/>
        </w:rPr>
        <w:t>Recommendation.</w:t>
      </w:r>
      <w:r>
        <w:t xml:space="preserve"> CCH should not defend the RAWP as submitted. We recommend that CCH promptly withdraw it, or tell EPA it will revise it, and resubmit a version that conforms to the ROD. Any optimization CCH still wants should be pursued separately through a properly documented CD ¶35 modification request. The PDI memo shows one such optimization is supportable: variable-depth excavation at OU-1 governed by confirmation sampling. Under CD ¶¶49–52, stipulated-penalty exposure for Major Deviations generally runs from the date a deficient component becomes operational (¶50). If the RAWP is corrected before construction, most of that exposure can be avoided. Exposure that may already exist (late submittal, missing certification, incomplete ARAR matrix, haul-route and plan deficiencies) is discussed in Part VIII.</w:t>
      </w:r>
    </w:p>
    <w:p>
      <w:pPr>
        <w:pStyle w:val="Heading1"/>
      </w:pPr>
      <w:r>
        <w:t>II. Documents Reviewed and Assumptions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04"/>
            <w:shd w:val="clear" w:color="auto" w:fill="D9E2F3"/>
          </w:tcPr>
          <w:p>
            <w:r/>
            <w:r>
              <w:rPr>
                <w:b/>
                <w:sz w:val="17"/>
              </w:rPr>
              <w:t>Document</w:t>
            </w:r>
          </w:p>
        </w:tc>
        <w:tc>
          <w:tcPr>
            <w:tcW w:type="dxa" w:w="3168"/>
            <w:shd w:val="clear" w:color="auto" w:fill="D9E2F3"/>
          </w:tcPr>
          <w:p>
            <w:r/>
            <w:r>
              <w:rPr>
                <w:b/>
                <w:sz w:val="17"/>
              </w:rPr>
              <w:t>Date / Author</w:t>
            </w:r>
          </w:p>
        </w:tc>
        <w:tc>
          <w:tcPr>
            <w:tcW w:type="dxa" w:w="3888"/>
            <w:shd w:val="clear" w:color="auto" w:fill="D9E2F3"/>
          </w:tcPr>
          <w:p>
            <w:r/>
            <w:r>
              <w:rPr>
                <w:b/>
                <w:sz w:val="17"/>
              </w:rPr>
              <w:t>Role in this analysis</w:t>
            </w:r>
          </w:p>
        </w:tc>
      </w:tr>
      <w:tr>
        <w:tc>
          <w:tcPr>
            <w:tcW w:type="dxa" w:w="2304"/>
          </w:tcPr>
          <w:p>
            <w:r/>
            <w:r>
              <w:rPr>
                <w:sz w:val="17"/>
              </w:rPr>
              <w:t>Record of Decision (ROD)</w:t>
            </w:r>
          </w:p>
        </w:tc>
        <w:tc>
          <w:tcPr>
            <w:tcW w:type="dxa" w:w="3168"/>
          </w:tcPr>
          <w:p>
            <w:r/>
            <w:r>
              <w:rPr>
                <w:sz w:val="17"/>
              </w:rPr>
              <w:t>Sept. 15, 2021; EPA Region 5 (Volkov; Kendrick, Acting RA); Ohio EPA concurrence Sept. 10, 2021</w:t>
            </w:r>
          </w:p>
        </w:tc>
        <w:tc>
          <w:tcPr>
            <w:tcW w:type="dxa" w:w="3888"/>
          </w:tcPr>
          <w:p>
            <w:r/>
            <w:r>
              <w:rPr>
                <w:sz w:val="17"/>
              </w:rPr>
              <w:t>Controlling statement of the selected remedy, RAOs, cleanup levels, design minimums, and 47 ARARs (Table 2-1)</w:t>
            </w:r>
          </w:p>
        </w:tc>
      </w:tr>
      <w:tr>
        <w:tc>
          <w:tcPr>
            <w:tcW w:type="dxa" w:w="2304"/>
          </w:tcPr>
          <w:p>
            <w:r/>
            <w:r>
              <w:rPr>
                <w:sz w:val="17"/>
              </w:rPr>
              <w:t>Consent Decree (CD)</w:t>
            </w:r>
          </w:p>
        </w:tc>
        <w:tc>
          <w:tcPr>
            <w:tcW w:type="dxa" w:w="3168"/>
          </w:tcPr>
          <w:p>
            <w:r/>
            <w:r>
              <w:rPr>
                <w:sz w:val="17"/>
              </w:rPr>
              <w:t>Case No. 3:20-cv-00487-JHR (N.D. Ohio)</w:t>
            </w:r>
          </w:p>
        </w:tc>
        <w:tc>
          <w:tcPr>
            <w:tcW w:type="dxa" w:w="3888"/>
          </w:tcPr>
          <w:p>
            <w:r/>
            <w:r>
              <w:rPr>
                <w:sz w:val="17"/>
              </w:rPr>
              <w:t>Enforceable obligations: Performance Standards (¶5(k)), RAWP content (¶18), OU-specific requirements (¶¶22–25), cross-cutting requirements (¶¶26–31), modification categories (¶¶32–36), stipulated penalties (¶¶48–52), financial assurance (¶81)</w:t>
            </w:r>
          </w:p>
        </w:tc>
      </w:tr>
      <w:tr>
        <w:tc>
          <w:tcPr>
            <w:tcW w:type="dxa" w:w="2304"/>
          </w:tcPr>
          <w:p>
            <w:r/>
            <w:r>
              <w:rPr>
                <w:sz w:val="17"/>
              </w:rPr>
              <w:t>Remedial Action Work Plan (RAWP)</w:t>
            </w:r>
          </w:p>
        </w:tc>
        <w:tc>
          <w:tcPr>
            <w:tcW w:type="dxa" w:w="3168"/>
          </w:tcPr>
          <w:p>
            <w:r/>
            <w:r>
              <w:rPr>
                <w:sz w:val="17"/>
              </w:rPr>
              <w:t>Dec. 20, 2024 (certified by K. Brannick, P.E.); submitted Jan. 15, 2025; Terraverde Project No. TVE-2024-0347</w:t>
            </w:r>
          </w:p>
        </w:tc>
        <w:tc>
          <w:tcPr>
            <w:tcW w:type="dxa" w:w="3888"/>
          </w:tcPr>
          <w:p>
            <w:r/>
            <w:r>
              <w:rPr>
                <w:sz w:val="17"/>
              </w:rPr>
              <w:t>Document under review</w:t>
            </w:r>
          </w:p>
        </w:tc>
      </w:tr>
      <w:tr>
        <w:tc>
          <w:tcPr>
            <w:tcW w:type="dxa" w:w="2304"/>
          </w:tcPr>
          <w:p>
            <w:r/>
            <w:r>
              <w:rPr>
                <w:sz w:val="17"/>
              </w:rPr>
              <w:t>PDI Summary Memorandum</w:t>
            </w:r>
          </w:p>
        </w:tc>
        <w:tc>
          <w:tcPr>
            <w:tcW w:type="dxa" w:w="3168"/>
          </w:tcPr>
          <w:p>
            <w:r/>
            <w:r>
              <w:rPr>
                <w:sz w:val="17"/>
              </w:rPr>
              <w:t>Oct. 15, 2024; Brannick to Yamashita, cc Eng; marked privileged; Project No. TVE-2024-0387</w:t>
            </w:r>
          </w:p>
        </w:tc>
        <w:tc>
          <w:tcPr>
            <w:tcW w:type="dxa" w:w="3888"/>
          </w:tcPr>
          <w:p>
            <w:r/>
            <w:r>
              <w:rPr>
                <w:sz w:val="17"/>
              </w:rPr>
              <w:t>Underlying design data and Terraverde’s own recommendations for OU-1 and OU-2</w:t>
            </w:r>
          </w:p>
        </w:tc>
      </w:tr>
      <w:tr>
        <w:tc>
          <w:tcPr>
            <w:tcW w:type="dxa" w:w="2304"/>
          </w:tcPr>
          <w:p>
            <w:r/>
            <w:r>
              <w:rPr>
                <w:sz w:val="17"/>
              </w:rPr>
              <w:t>CAG letter to EPA</w:t>
            </w:r>
          </w:p>
        </w:tc>
        <w:tc>
          <w:tcPr>
            <w:tcW w:type="dxa" w:w="3168"/>
          </w:tcPr>
          <w:p>
            <w:r/>
            <w:r>
              <w:rPr>
                <w:sz w:val="17"/>
              </w:rPr>
              <w:t>Feb. 5, 2025; Ellen Dorsey to Dr. Volkov, cc R. Hess</w:t>
            </w:r>
          </w:p>
        </w:tc>
        <w:tc>
          <w:tcPr>
            <w:tcW w:type="dxa" w:w="3888"/>
          </w:tcPr>
          <w:p>
            <w:r/>
            <w:r>
              <w:rPr>
                <w:sz w:val="17"/>
              </w:rPr>
              <w:t>Community concerns likely to shape EPA’s review and any public process</w:t>
            </w:r>
          </w:p>
        </w:tc>
      </w:tr>
    </w:tbl>
    <w:p>
      <w:pPr>
        <w:spacing w:after="40"/>
      </w:pPr>
    </w:p>
    <w:p>
      <w:pPr>
        <w:spacing w:after="120"/>
      </w:pPr>
      <w:r>
        <w:rPr>
          <w:b/>
        </w:rPr>
        <w:t>Assumptions.</w:t>
      </w:r>
      <w:r>
        <w:t xml:space="preserve"> (1) We have not been given any EPA comments, approval, disapproval, ESD, or ROD Amendment issued after the RAWP was submitted. This memorandum therefore treats the January 15, 2025 RAWP as the operative submission. If EPA has since acted, the analysis below maps directly onto any EPA deficiency list. (2) We have not reviewed the 14 RAWP appendices, which are bound separately. These include the groundwater model update (App. I), the SEE design (App. C), and the cost worksheets (App. N). Several conclusions below are therefore limited to the main RAWP text. (3) The RAWP’s bracketed figure and appendix references are taken at face value.</w:t>
      </w:r>
    </w:p>
    <w:p>
      <w:pPr>
        <w:pStyle w:val="Heading1"/>
      </w:pPr>
      <w:r>
        <w:t>III. Governing Framework</w:t>
      </w:r>
    </w:p>
    <w:p>
      <w:pPr>
        <w:spacing w:after="120"/>
      </w:pPr>
      <w:r>
        <w:t>Five CD provisions control how every gap below should be assessed:</w:t>
      </w:r>
    </w:p>
    <w:p>
      <w:pPr>
        <w:pStyle w:val="ListBullet"/>
        <w:spacing w:after="60"/>
      </w:pPr>
      <w:r>
        <w:rPr>
          <w:b/>
        </w:rPr>
        <w:t>The ROD controls (CD ¶14).</w:t>
      </w:r>
      <w:r>
        <w:t xml:space="preserve"> The ROD governs the scope, nature, and Performance Standards of the remedy. The order of precedence is CD, then ROD, then RAWP. “Performance Standards” expressly include the 1 mg/kg thermal treatment standard, all four groundwater cleanup levels, the ROD excavation depths and volumes, and the 30-year and 5-year RAO timeframes (CD ¶5(k)).</w:t>
      </w:r>
    </w:p>
    <w:p>
      <w:pPr>
        <w:pStyle w:val="ListBullet"/>
        <w:spacing w:after="60"/>
      </w:pPr>
      <w:r>
        <w:rPr>
          <w:b/>
        </w:rPr>
        <w:t>No self-executing deviations (CD ¶¶15, 21, 33).</w:t>
      </w:r>
      <w:r>
        <w:t xml:space="preserve"> A deviation needs prior written EPA approval through Section VII. Submitting a RAWP that proposes deviations “does not constitute authorization,” and implementing an ESD-level or Amendment-level change without completing that process is itself a violation.</w:t>
      </w:r>
    </w:p>
    <w:p>
      <w:pPr>
        <w:pStyle w:val="ListBullet"/>
        <w:spacing w:after="60"/>
      </w:pPr>
      <w:r>
        <w:rPr>
          <w:b/>
        </w:rPr>
        <w:t>The RAWP must implement every ROD element (CD ¶18(i)–(xi)).</w:t>
      </w:r>
      <w:r>
        <w:t xml:space="preserve"> This includes ARAR compliance demonstrations for all 47 ARARs (¶18(vii); ¶29).</w:t>
      </w:r>
    </w:p>
    <w:p>
      <w:pPr>
        <w:pStyle w:val="ListBullet"/>
        <w:spacing w:after="60"/>
      </w:pPr>
      <w:r>
        <w:rPr>
          <w:b/>
        </w:rPr>
        <w:t>Modification tiers (CD ¶32).</w:t>
      </w:r>
      <w:r>
        <w:t xml:space="preserve"> Minor Modifications cover operational details only. </w:t>
      </w:r>
      <w:r>
        <w:rPr>
          <w:b/>
        </w:rPr>
        <w:t>ESD</w:t>
      </w:r>
      <w:r>
        <w:t xml:space="preserve"> changes include excavation-scope reductions above 10%, relaxed treatment standards, fewer extraction, injection, or monitoring wells, reduced monitoring frequency or coverage, and less protective containment-cell design. </w:t>
      </w:r>
      <w:r>
        <w:rPr>
          <w:b/>
        </w:rPr>
        <w:t>ROD Amendment</w:t>
      </w:r>
      <w:r>
        <w:t xml:space="preserve"> changes include any cleanup-level change, elimination of a treatment technology (AOP is named expressly), and any change that causes the remedy to miss the ROD RAO timeframe. EPA classifies in its sole discretion (¶33).</w:t>
      </w:r>
    </w:p>
    <w:p>
      <w:pPr>
        <w:pStyle w:val="ListBullet"/>
        <w:spacing w:after="60"/>
      </w:pPr>
      <w:r>
        <w:rPr>
          <w:b/>
        </w:rPr>
        <w:t>Justification standard (CD ¶¶35–36).</w:t>
      </w:r>
      <w:r>
        <w:t xml:space="preserve"> A modification request must include a side-by-side comparison, data, modeling, pilot results, a protectiveness and ARAR assessment, a proposed classification, and cost and schedule impacts. “Vague or generalized assertions that a proposed modification is ‘functionally equivalent’ to or ‘consistent with’ the ROD requirement shall not constitute adequate technical justification.” The RAWP relies on precisely that phrasing for the 5 mg/kg standard (RAWP §§2.2, 3.3).</w:t>
      </w:r>
    </w:p>
    <w:p>
      <w:pPr>
        <w:spacing w:after="120"/>
      </w:pPr>
      <w:r>
        <w:t xml:space="preserve">On penalties, CD ¶49 sets </w:t>
      </w:r>
      <w:r>
        <w:rPr>
          <w:b/>
        </w:rPr>
        <w:t>Major Deviations at $5,000/day</w:t>
      </w:r>
      <w:r>
        <w:t xml:space="preserve">. These include failing to implement a required component, installing fewer wells than specified, building below ROD design specifications, and missing RAO timeframes. CD ¶51 sets </w:t>
      </w:r>
      <w:r>
        <w:rPr>
          <w:b/>
        </w:rPr>
        <w:t>Minor Deviations at $1,500/day</w:t>
      </w:r>
      <w:r>
        <w:t>. These include late deliverables, incorrect regulatory citations, incomplete ARAR matrices, missing certifications, haul-route deviations, and deficient ancillary plans. EPA may reclassify a Minor Deviation as Major if protectiveness is implicated (¶52). Penalties keep accruing during dispute resolution (¶56). Increased cost of performance is not force majeure (¶68).</w:t>
      </w:r>
    </w:p>
    <w:p>
      <w:pPr>
        <w:sectPr>
          <w:footerReference w:type="default" r:id="rId9"/>
          <w:pgSz w:w="12240" w:h="15840"/>
          <w:pgMar w:top="1440" w:right="1440" w:bottom="1440" w:left="1440" w:header="720" w:footer="720" w:gutter="0"/>
          <w:cols w:space="720"/>
          <w:docGrid w:linePitch="360"/>
        </w:sectPr>
      </w:pPr>
    </w:p>
    <w:p>
      <w:pPr>
        <w:pStyle w:val="Heading1"/>
      </w:pPr>
      <w:r>
        <w:t>IV. Master Compliance Gap Table</w:t>
      </w:r>
    </w:p>
    <w:p>
      <w:pPr>
        <w:spacing w:after="120"/>
      </w:pPr>
      <w:r>
        <w:rPr>
          <w:sz w:val="18"/>
        </w:rPr>
        <w:t xml:space="preserve">Severity key: </w:t>
      </w:r>
      <w:r>
        <w:rPr>
          <w:b/>
          <w:sz w:val="18"/>
        </w:rPr>
        <w:t>Critical</w:t>
      </w:r>
      <w:r>
        <w:rPr>
          <w:sz w:val="18"/>
        </w:rPr>
        <w:t xml:space="preserve">: ROD Amendment-level change or direct threat to wellfield or community protection. </w:t>
      </w:r>
      <w:r>
        <w:rPr>
          <w:b/>
          <w:sz w:val="18"/>
        </w:rPr>
        <w:t>High</w:t>
      </w:r>
      <w:r>
        <w:rPr>
          <w:sz w:val="18"/>
        </w:rPr>
        <w:t xml:space="preserve">: ESD-level change or Major Deviation. </w:t>
      </w:r>
      <w:r>
        <w:rPr>
          <w:b/>
          <w:sz w:val="18"/>
        </w:rPr>
        <w:t>Moderate</w:t>
      </w:r>
      <w:r>
        <w:rPr>
          <w:sz w:val="18"/>
        </w:rPr>
        <w:t xml:space="preserve">: Minor Deviation or a plan deficiency that EPA may reclassify. </w:t>
      </w:r>
      <w:r>
        <w:rPr>
          <w:b/>
          <w:sz w:val="18"/>
        </w:rPr>
        <w:t>Low</w:t>
      </w:r>
      <w:r>
        <w:rPr>
          <w:sz w:val="18"/>
        </w:rPr>
        <w:t>: clarification or internal-consistency defect. The “CD treatment” column gives our view of how EPA would likely classify each item under CD ¶32 and ¶¶49/51. EPA has sole discretion over that classification (¶33).</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504"/>
            <w:shd w:val="clear" w:color="auto" w:fill="D9E2F3"/>
          </w:tcPr>
          <w:p>
            <w:r/>
            <w:r>
              <w:rPr>
                <w:b/>
                <w:sz w:val="15"/>
              </w:rPr>
              <w:t>#</w:t>
            </w:r>
          </w:p>
        </w:tc>
        <w:tc>
          <w:tcPr>
            <w:tcW w:type="dxa" w:w="1872"/>
            <w:shd w:val="clear" w:color="auto" w:fill="D9E2F3"/>
          </w:tcPr>
          <w:p>
            <w:r/>
            <w:r>
              <w:rPr>
                <w:b/>
                <w:sz w:val="15"/>
              </w:rPr>
              <w:t>Component</w:t>
            </w:r>
          </w:p>
        </w:tc>
        <w:tc>
          <w:tcPr>
            <w:tcW w:type="dxa" w:w="3240"/>
            <w:shd w:val="clear" w:color="auto" w:fill="D9E2F3"/>
          </w:tcPr>
          <w:p>
            <w:r/>
            <w:r>
              <w:rPr>
                <w:b/>
                <w:sz w:val="15"/>
              </w:rPr>
              <w:t>ROD / CD requirement</w:t>
            </w:r>
          </w:p>
        </w:tc>
        <w:tc>
          <w:tcPr>
            <w:tcW w:type="dxa" w:w="2880"/>
            <w:shd w:val="clear" w:color="auto" w:fill="D9E2F3"/>
          </w:tcPr>
          <w:p>
            <w:r/>
            <w:r>
              <w:rPr>
                <w:b/>
                <w:sz w:val="15"/>
              </w:rPr>
              <w:t>RAWP as submitted</w:t>
            </w:r>
          </w:p>
        </w:tc>
        <w:tc>
          <w:tcPr>
            <w:tcW w:type="dxa" w:w="2520"/>
            <w:shd w:val="clear" w:color="auto" w:fill="D9E2F3"/>
          </w:tcPr>
          <w:p>
            <w:r/>
            <w:r>
              <w:rPr>
                <w:b/>
                <w:sz w:val="15"/>
              </w:rPr>
              <w:t>PDI memo / other evidence</w:t>
            </w:r>
          </w:p>
        </w:tc>
        <w:tc>
          <w:tcPr>
            <w:tcW w:type="dxa" w:w="1152"/>
            <w:shd w:val="clear" w:color="auto" w:fill="D9E2F3"/>
          </w:tcPr>
          <w:p>
            <w:r/>
            <w:r>
              <w:rPr>
                <w:b/>
                <w:sz w:val="15"/>
              </w:rPr>
              <w:t>Severity</w:t>
            </w:r>
          </w:p>
        </w:tc>
        <w:tc>
          <w:tcPr>
            <w:tcW w:type="dxa" w:w="1944"/>
            <w:shd w:val="clear" w:color="auto" w:fill="D9E2F3"/>
          </w:tcPr>
          <w:p>
            <w:r/>
            <w:r>
              <w:rPr>
                <w:b/>
                <w:sz w:val="15"/>
              </w:rPr>
              <w:t>CD treatment</w:t>
            </w:r>
          </w:p>
        </w:tc>
      </w:tr>
      <w:tr>
        <w:tc>
          <w:tcPr>
            <w:tcW w:type="dxa" w:w="504"/>
          </w:tcPr>
          <w:p>
            <w:r/>
            <w:r>
              <w:rPr>
                <w:sz w:val="15"/>
              </w:rPr>
              <w:t>1</w:t>
            </w:r>
          </w:p>
        </w:tc>
        <w:tc>
          <w:tcPr>
            <w:tcW w:type="dxa" w:w="1872"/>
          </w:tcPr>
          <w:p>
            <w:r/>
            <w:r>
              <w:rPr>
                <w:sz w:val="15"/>
              </w:rPr>
              <w:t>OU-1 excavation depth</w:t>
            </w:r>
          </w:p>
        </w:tc>
        <w:tc>
          <w:tcPr>
            <w:tcW w:type="dxa" w:w="3240"/>
          </w:tcPr>
          <w:p>
            <w:r/>
            <w:r>
              <w:rPr>
                <w:sz w:val="15"/>
              </w:rPr>
              <w:t>Minimum 15 ft bgs across OU-1 (ROD §§1.4, 2.12.2); CD ¶22(a); depth is a Performance Standard (CD ¶5(k)(iii))</w:t>
            </w:r>
          </w:p>
        </w:tc>
        <w:tc>
          <w:tcPr>
            <w:tcW w:type="dxa" w:w="2880"/>
          </w:tcPr>
          <w:p>
            <w:r/>
            <w:r>
              <w:rPr>
                <w:sz w:val="15"/>
              </w:rPr>
              <w:t>12 ft bgs maximum (RAWP §3.1, Table 3-1), described as “optimized”</w:t>
            </w:r>
          </w:p>
        </w:tc>
        <w:tc>
          <w:tcPr>
            <w:tcW w:type="dxa" w:w="2520"/>
          </w:tcPr>
          <w:p>
            <w:r/>
            <w:r>
              <w:rPr>
                <w:sz w:val="15"/>
              </w:rPr>
              <w:t>5 of 12 borings exceed PRGs at 13.5–15 ft, e.g., Cr(VI) 42 mg/kg at SB-08 (≈7× PRG) and TCE 18 mg/kg at SB-12. PDI §5.1 recommends keeping 15 ft and says a blanket 12 ft leaves contamination in about 42% of the investigated area</w:t>
            </w:r>
          </w:p>
        </w:tc>
        <w:tc>
          <w:tcPr>
            <w:tcW w:type="dxa" w:w="1152"/>
            <w:shd w:val="clear" w:color="auto" w:fill="FCE5CD"/>
          </w:tcPr>
          <w:p>
            <w:r/>
            <w:r>
              <w:rPr>
                <w:sz w:val="15"/>
              </w:rPr>
              <w:t>High</w:t>
            </w:r>
          </w:p>
        </w:tc>
        <w:tc>
          <w:tcPr>
            <w:tcW w:type="dxa" w:w="1944"/>
          </w:tcPr>
          <w:p>
            <w:r/>
            <w:r>
              <w:rPr>
                <w:sz w:val="15"/>
              </w:rPr>
              <w:t>ESD at minimum (¶32(b)); Major Deviation (¶49(iii))</w:t>
            </w:r>
          </w:p>
        </w:tc>
      </w:tr>
      <w:tr>
        <w:tc>
          <w:tcPr>
            <w:tcW w:type="dxa" w:w="504"/>
          </w:tcPr>
          <w:p>
            <w:r/>
            <w:r>
              <w:rPr>
                <w:sz w:val="15"/>
              </w:rPr>
              <w:t>2</w:t>
            </w:r>
          </w:p>
        </w:tc>
        <w:tc>
          <w:tcPr>
            <w:tcW w:type="dxa" w:w="1872"/>
          </w:tcPr>
          <w:p>
            <w:r/>
            <w:r>
              <w:rPr>
                <w:sz w:val="15"/>
              </w:rPr>
              <w:t>OU-1 excavation volume</w:t>
            </w:r>
          </w:p>
        </w:tc>
        <w:tc>
          <w:tcPr>
            <w:tcW w:type="dxa" w:w="3240"/>
          </w:tcPr>
          <w:p>
            <w:r/>
            <w:r>
              <w:rPr>
                <w:sz w:val="15"/>
              </w:rPr>
              <w:t>≈42,000 cy (ROD §2.12.2; CD ¶22(a))</w:t>
            </w:r>
          </w:p>
        </w:tc>
        <w:tc>
          <w:tcPr>
            <w:tcW w:type="dxa" w:w="2880"/>
          </w:tcPr>
          <w:p>
            <w:r/>
            <w:r>
              <w:rPr>
                <w:sz w:val="15"/>
              </w:rPr>
              <w:t>38,200 cy (−9.0%) (Table 3-1)</w:t>
            </w:r>
          </w:p>
        </w:tc>
        <w:tc>
          <w:tcPr>
            <w:tcW w:type="dxa" w:w="2520"/>
          </w:tcPr>
          <w:p>
            <w:r/>
            <w:r>
              <w:rPr>
                <w:sz w:val="15"/>
              </w:rPr>
              <w:t xml:space="preserve">38,200 cy is the PDI’s </w:t>
            </w:r>
            <w:r>
              <w:rPr>
                <w:b/>
                <w:sz w:val="15"/>
              </w:rPr>
              <w:t>blended</w:t>
            </w:r>
            <w:r>
              <w:rPr>
                <w:sz w:val="15"/>
              </w:rPr>
              <w:t xml:space="preserve"> figure (12 ft in clean areas, 15 ft in the 5 deep areas) (PDI §3.4). The RAWP pairs that volume with a uniform 12-ft maximum, which is internally inconsistent. Volume at 15 ft = 40,500 cy</w:t>
            </w:r>
          </w:p>
        </w:tc>
        <w:tc>
          <w:tcPr>
            <w:tcW w:type="dxa" w:w="1152"/>
            <w:shd w:val="clear" w:color="auto" w:fill="FCE5CD"/>
          </w:tcPr>
          <w:p>
            <w:r/>
            <w:r>
              <w:rPr>
                <w:sz w:val="15"/>
              </w:rPr>
              <w:t>High</w:t>
            </w:r>
          </w:p>
        </w:tc>
        <w:tc>
          <w:tcPr>
            <w:tcW w:type="dxa" w:w="1944"/>
          </w:tcPr>
          <w:p>
            <w:r/>
            <w:r>
              <w:rPr>
                <w:sz w:val="15"/>
              </w:rPr>
              <w:t>Paired with the depth cut, a reduction in source-removal scope (¶32(b))</w:t>
            </w:r>
          </w:p>
        </w:tc>
      </w:tr>
      <w:tr>
        <w:tc>
          <w:tcPr>
            <w:tcW w:type="dxa" w:w="504"/>
          </w:tcPr>
          <w:p>
            <w:r/>
            <w:r>
              <w:rPr>
                <w:sz w:val="15"/>
              </w:rPr>
              <w:t>3</w:t>
            </w:r>
          </w:p>
        </w:tc>
        <w:tc>
          <w:tcPr>
            <w:tcW w:type="dxa" w:w="1872"/>
          </w:tcPr>
          <w:p>
            <w:r/>
            <w:r>
              <w:rPr>
                <w:sz w:val="15"/>
              </w:rPr>
              <w:t>Additional excavation trigger</w:t>
            </w:r>
          </w:p>
        </w:tc>
        <w:tc>
          <w:tcPr>
            <w:tcW w:type="dxa" w:w="3240"/>
          </w:tcPr>
          <w:p>
            <w:r/>
            <w:r>
              <w:rPr>
                <w:sz w:val="15"/>
              </w:rPr>
              <w:t>Confirmatory sidewall/bottom sampling to verify removal of all soils above industrial PRGs to the specified depth (ROD §2.12.2)</w:t>
            </w:r>
          </w:p>
        </w:tc>
        <w:tc>
          <w:tcPr>
            <w:tcW w:type="dxa" w:w="2880"/>
          </w:tcPr>
          <w:p>
            <w:r/>
            <w:r>
              <w:rPr>
                <w:sz w:val="15"/>
              </w:rPr>
              <w:t>Additional excavation only “until … practical limits of excavation are reached” (§3.1)</w:t>
            </w:r>
          </w:p>
        </w:tc>
        <w:tc>
          <w:tcPr>
            <w:tcW w:type="dxa" w:w="2520"/>
          </w:tcPr>
          <w:p>
            <w:r/>
            <w:r>
              <w:rPr>
                <w:sz w:val="15"/>
              </w:rPr>
              <w:t>The “practical limits” exception does not appear in the ROD</w:t>
            </w:r>
          </w:p>
        </w:tc>
        <w:tc>
          <w:tcPr>
            <w:tcW w:type="dxa" w:w="1152"/>
            <w:shd w:val="clear" w:color="auto" w:fill="FFF2CC"/>
          </w:tcPr>
          <w:p>
            <w:r/>
            <w:r>
              <w:rPr>
                <w:sz w:val="15"/>
              </w:rPr>
              <w:t>Moderate</w:t>
            </w:r>
          </w:p>
        </w:tc>
        <w:tc>
          <w:tcPr>
            <w:tcW w:type="dxa" w:w="1944"/>
          </w:tcPr>
          <w:p>
            <w:r/>
            <w:r>
              <w:rPr>
                <w:sz w:val="15"/>
              </w:rPr>
              <w:t>Unapproved qualifier on a Performance Standard</w:t>
            </w:r>
          </w:p>
        </w:tc>
      </w:tr>
      <w:tr>
        <w:tc>
          <w:tcPr>
            <w:tcW w:type="dxa" w:w="504"/>
          </w:tcPr>
          <w:p>
            <w:r/>
            <w:r>
              <w:rPr>
                <w:sz w:val="15"/>
              </w:rPr>
              <w:t>4</w:t>
            </w:r>
          </w:p>
        </w:tc>
        <w:tc>
          <w:tcPr>
            <w:tcW w:type="dxa" w:w="1872"/>
          </w:tcPr>
          <w:p>
            <w:r/>
            <w:r>
              <w:rPr>
                <w:sz w:val="15"/>
              </w:rPr>
              <w:t>Soil cleanup criteria list</w:t>
            </w:r>
          </w:p>
        </w:tc>
        <w:tc>
          <w:tcPr>
            <w:tcW w:type="dxa" w:w="3240"/>
          </w:tcPr>
          <w:p>
            <w:r/>
            <w:r>
              <w:rPr>
                <w:sz w:val="15"/>
              </w:rPr>
              <w:t>All soils exceeding industrial PRGs (ROD §§2.8, 2.12.2)</w:t>
            </w:r>
          </w:p>
        </w:tc>
        <w:tc>
          <w:tcPr>
            <w:tcW w:type="dxa" w:w="2880"/>
          </w:tcPr>
          <w:p>
            <w:r/>
            <w:r>
              <w:rPr>
                <w:sz w:val="15"/>
              </w:rPr>
              <w:t>Lists only PCP 3.8, Cr(VI) 6.3, and BaP 2.1 mg/kg; no TCE/PCE soil PRGs (§2.2)</w:t>
            </w:r>
          </w:p>
        </w:tc>
        <w:tc>
          <w:tcPr>
            <w:tcW w:type="dxa" w:w="2520"/>
          </w:tcPr>
          <w:p>
            <w:r/>
            <w:r>
              <w:rPr>
                <w:sz w:val="15"/>
              </w:rPr>
              <w:t>PDI applies a TCE industrial PRG of 3.2 mg/kg (PDI §3.1 table)</w:t>
            </w:r>
          </w:p>
        </w:tc>
        <w:tc>
          <w:tcPr>
            <w:tcW w:type="dxa" w:w="1152"/>
            <w:shd w:val="clear" w:color="auto" w:fill="FFF2CC"/>
          </w:tcPr>
          <w:p>
            <w:r/>
            <w:r>
              <w:rPr>
                <w:sz w:val="15"/>
              </w:rPr>
              <w:t>Moderate</w:t>
            </w:r>
          </w:p>
        </w:tc>
        <w:tc>
          <w:tcPr>
            <w:tcW w:type="dxa" w:w="1944"/>
          </w:tcPr>
          <w:p>
            <w:r/>
            <w:r>
              <w:rPr>
                <w:sz w:val="15"/>
              </w:rPr>
              <w:t>Incomplete Performance Standard; must add VOC PRGs</w:t>
            </w:r>
          </w:p>
        </w:tc>
      </w:tr>
      <w:tr>
        <w:tc>
          <w:tcPr>
            <w:tcW w:type="dxa" w:w="504"/>
          </w:tcPr>
          <w:p>
            <w:r/>
            <w:r>
              <w:rPr>
                <w:sz w:val="15"/>
              </w:rPr>
              <w:t>5</w:t>
            </w:r>
          </w:p>
        </w:tc>
        <w:tc>
          <w:tcPr>
            <w:tcW w:type="dxa" w:w="1872"/>
          </w:tcPr>
          <w:p>
            <w:r/>
            <w:r>
              <w:rPr>
                <w:sz w:val="15"/>
              </w:rPr>
              <w:t>SEE well pairs</w:t>
            </w:r>
          </w:p>
        </w:tc>
        <w:tc>
          <w:tcPr>
            <w:tcW w:type="dxa" w:w="3240"/>
          </w:tcPr>
          <w:p>
            <w:r/>
            <w:r>
              <w:rPr>
                <w:sz w:val="15"/>
              </w:rPr>
              <w:t>Minimum 14 pairs; design “shall maintain the minimum of 14” (ROD §2.12.2); CD ¶22(b)</w:t>
            </w:r>
          </w:p>
        </w:tc>
        <w:tc>
          <w:tcPr>
            <w:tcW w:type="dxa" w:w="2880"/>
          </w:tcPr>
          <w:p>
            <w:r/>
            <w:r>
              <w:rPr>
                <w:sz w:val="15"/>
              </w:rPr>
              <w:t>12 pairs at about 25-ft spacing (§3.2; Fig. 3-2)</w:t>
            </w:r>
          </w:p>
        </w:tc>
        <w:tc>
          <w:tcPr>
            <w:tcW w:type="dxa" w:w="2520"/>
          </w:tcPr>
          <w:p>
            <w:r/>
            <w:r>
              <w:rPr>
                <w:sz w:val="15"/>
              </w:rPr>
              <w:t>PDI §§3.3, 5.1: recommends 14 and “do[es] not recommend adopting 12 well pairs in the RAWP absent” full-scale data. No full-scale test has been run</w:t>
            </w:r>
          </w:p>
        </w:tc>
        <w:tc>
          <w:tcPr>
            <w:tcW w:type="dxa" w:w="1152"/>
            <w:shd w:val="clear" w:color="auto" w:fill="FCE5CD"/>
          </w:tcPr>
          <w:p>
            <w:r/>
            <w:r>
              <w:rPr>
                <w:sz w:val="15"/>
              </w:rPr>
              <w:t>High</w:t>
            </w:r>
          </w:p>
        </w:tc>
        <w:tc>
          <w:tcPr>
            <w:tcW w:type="dxa" w:w="1944"/>
          </w:tcPr>
          <w:p>
            <w:r/>
            <w:r>
              <w:rPr>
                <w:sz w:val="15"/>
              </w:rPr>
              <w:t>ESD (¶32(b)); Major Deviation (¶49(ii))</w:t>
            </w:r>
          </w:p>
        </w:tc>
      </w:tr>
      <w:tr>
        <w:tc>
          <w:tcPr>
            <w:tcW w:type="dxa" w:w="504"/>
          </w:tcPr>
          <w:p>
            <w:r/>
            <w:r>
              <w:rPr>
                <w:sz w:val="15"/>
              </w:rPr>
              <w:t>6</w:t>
            </w:r>
          </w:p>
        </w:tc>
        <w:tc>
          <w:tcPr>
            <w:tcW w:type="dxa" w:w="1872"/>
          </w:tcPr>
          <w:p>
            <w:r/>
            <w:r>
              <w:rPr>
                <w:sz w:val="15"/>
              </w:rPr>
              <w:t>DNAPL source-zone area</w:t>
            </w:r>
          </w:p>
        </w:tc>
        <w:tc>
          <w:tcPr>
            <w:tcW w:type="dxa" w:w="3240"/>
          </w:tcPr>
          <w:p>
            <w:r/>
            <w:r>
              <w:rPr>
                <w:sz w:val="15"/>
              </w:rPr>
              <w:t>3.5 acres (ROD §§1.4, 2.5.3, 2.12.2)</w:t>
            </w:r>
          </w:p>
        </w:tc>
        <w:tc>
          <w:tcPr>
            <w:tcW w:type="dxa" w:w="2880"/>
          </w:tcPr>
          <w:p>
            <w:r/>
            <w:r>
              <w:rPr>
                <w:sz w:val="15"/>
              </w:rPr>
              <w:t>≈1.5 acres (§3.2)</w:t>
            </w:r>
          </w:p>
        </w:tc>
        <w:tc>
          <w:tcPr>
            <w:tcW w:type="dxa" w:w="2520"/>
          </w:tcPr>
          <w:p>
            <w:r/>
            <w:r>
              <w:rPr>
                <w:sz w:val="15"/>
              </w:rPr>
              <w:t>PDI: ≈2.8 acres (§3.2). The RAWP figure matches neither the ROD nor the PDI</w:t>
            </w:r>
          </w:p>
        </w:tc>
        <w:tc>
          <w:tcPr>
            <w:tcW w:type="dxa" w:w="1152"/>
            <w:shd w:val="clear" w:color="auto" w:fill="FCE5CD"/>
          </w:tcPr>
          <w:p>
            <w:r/>
            <w:r>
              <w:rPr>
                <w:sz w:val="15"/>
              </w:rPr>
              <w:t>High</w:t>
            </w:r>
          </w:p>
        </w:tc>
        <w:tc>
          <w:tcPr>
            <w:tcW w:type="dxa" w:w="1944"/>
          </w:tcPr>
          <w:p>
            <w:r/>
            <w:r>
              <w:rPr>
                <w:sz w:val="15"/>
              </w:rPr>
              <w:t>Shrinks the treatment footprint without any supporting data</w:t>
            </w:r>
          </w:p>
        </w:tc>
      </w:tr>
      <w:tr>
        <w:tc>
          <w:tcPr>
            <w:tcW w:type="dxa" w:w="504"/>
          </w:tcPr>
          <w:p>
            <w:r/>
            <w:r>
              <w:rPr>
                <w:sz w:val="15"/>
              </w:rPr>
              <w:t>7</w:t>
            </w:r>
          </w:p>
        </w:tc>
        <w:tc>
          <w:tcPr>
            <w:tcW w:type="dxa" w:w="1872"/>
          </w:tcPr>
          <w:p>
            <w:r/>
            <w:r>
              <w:rPr>
                <w:sz w:val="15"/>
              </w:rPr>
              <w:t>SEE shutdown criterion</w:t>
            </w:r>
          </w:p>
        </w:tc>
        <w:tc>
          <w:tcPr>
            <w:tcW w:type="dxa" w:w="3240"/>
          </w:tcPr>
          <w:p>
            <w:r/>
            <w:r>
              <w:rPr>
                <w:sz w:val="15"/>
              </w:rPr>
              <w:t>Run until asymptotic recovery “as determined by EPA” (CD ¶22(b)); ROD §2.12.2 alternative (a)/(b) criteria</w:t>
            </w:r>
          </w:p>
        </w:tc>
        <w:tc>
          <w:tcPr>
            <w:tcW w:type="dxa" w:w="2880"/>
          </w:tcPr>
          <w:p>
            <w:r/>
            <w:r>
              <w:rPr>
                <w:sz w:val="15"/>
              </w:rPr>
              <w:t>Minimum 18 months or until asymptotic, “whichever occurs later”; CCH then evaluates (§3.2)</w:t>
            </w:r>
          </w:p>
        </w:tc>
        <w:tc>
          <w:tcPr>
            <w:tcW w:type="dxa" w:w="2520"/>
          </w:tcPr>
          <w:p>
            <w:r/>
            <w:r>
              <w:rPr>
                <w:sz w:val="15"/>
              </w:rPr>
              <w:t>—</w:t>
            </w:r>
          </w:p>
        </w:tc>
        <w:tc>
          <w:tcPr>
            <w:tcW w:type="dxa" w:w="1152"/>
            <w:shd w:val="clear" w:color="auto" w:fill="D9EAD3"/>
          </w:tcPr>
          <w:p>
            <w:r/>
            <w:r>
              <w:rPr>
                <w:sz w:val="15"/>
              </w:rPr>
              <w:t>Low</w:t>
            </w:r>
          </w:p>
        </w:tc>
        <w:tc>
          <w:tcPr>
            <w:tcW w:type="dxa" w:w="1944"/>
          </w:tcPr>
          <w:p>
            <w:r/>
            <w:r>
              <w:rPr>
                <w:sz w:val="15"/>
              </w:rPr>
              <w:t>Add EPA determination; otherwise acceptable</w:t>
            </w:r>
          </w:p>
        </w:tc>
      </w:tr>
      <w:tr>
        <w:tc>
          <w:tcPr>
            <w:tcW w:type="dxa" w:w="504"/>
          </w:tcPr>
          <w:p>
            <w:r/>
            <w:r>
              <w:rPr>
                <w:sz w:val="15"/>
              </w:rPr>
              <w:t>8</w:t>
            </w:r>
          </w:p>
        </w:tc>
        <w:tc>
          <w:tcPr>
            <w:tcW w:type="dxa" w:w="1872"/>
          </w:tcPr>
          <w:p>
            <w:r/>
            <w:r>
              <w:rPr>
                <w:sz w:val="15"/>
              </w:rPr>
              <w:t>Thermal treatment standard</w:t>
            </w:r>
          </w:p>
        </w:tc>
        <w:tc>
          <w:tcPr>
            <w:tcW w:type="dxa" w:w="3240"/>
          </w:tcPr>
          <w:p>
            <w:r/>
            <w:r>
              <w:rPr>
                <w:sz w:val="15"/>
              </w:rPr>
              <w:t xml:space="preserve">1 mg/kg total VOCs for </w:t>
            </w:r>
            <w:r>
              <w:rPr>
                <w:b/>
                <w:sz w:val="15"/>
              </w:rPr>
              <w:t>all</w:t>
            </w:r>
            <w:r>
              <w:rPr>
                <w:sz w:val="15"/>
              </w:rPr>
              <w:t xml:space="preserve"> treated soils regardless of reuse (ROD §2.12.2); CD ¶¶5(k)(i), 22(c)</w:t>
            </w:r>
          </w:p>
        </w:tc>
        <w:tc>
          <w:tcPr>
            <w:tcW w:type="dxa" w:w="2880"/>
          </w:tcPr>
          <w:p>
            <w:r/>
            <w:r>
              <w:rPr>
                <w:sz w:val="15"/>
              </w:rPr>
              <w:t>5 mg/kg, called “functionally equivalent” (§§2.2, 3.3, 3.4)</w:t>
            </w:r>
          </w:p>
        </w:tc>
        <w:tc>
          <w:tcPr>
            <w:tcW w:type="dxa" w:w="2520"/>
          </w:tcPr>
          <w:p>
            <w:r/>
            <w:r>
              <w:rPr>
                <w:sz w:val="15"/>
              </w:rPr>
              <w:t>PDI §5.1: “The RAWP should incorporate the ROD-specified standard of 1 mg/kg.” CD ¶36 rejects “functionally equivalent” as justification</w:t>
            </w:r>
          </w:p>
        </w:tc>
        <w:tc>
          <w:tcPr>
            <w:tcW w:type="dxa" w:w="1152"/>
            <w:shd w:val="clear" w:color="auto" w:fill="FCE5CD"/>
          </w:tcPr>
          <w:p>
            <w:r/>
            <w:r>
              <w:rPr>
                <w:sz w:val="15"/>
              </w:rPr>
              <w:t>High</w:t>
            </w:r>
          </w:p>
        </w:tc>
        <w:tc>
          <w:tcPr>
            <w:tcW w:type="dxa" w:w="1944"/>
          </w:tcPr>
          <w:p>
            <w:r/>
            <w:r>
              <w:rPr>
                <w:sz w:val="15"/>
              </w:rPr>
              <w:t>ESD (relaxed treatment standard, ¶32(b)); Major Deviation (¶49(i), (iv))</w:t>
            </w:r>
          </w:p>
        </w:tc>
      </w:tr>
      <w:tr>
        <w:tc>
          <w:tcPr>
            <w:tcW w:type="dxa" w:w="504"/>
          </w:tcPr>
          <w:p>
            <w:r/>
            <w:r>
              <w:rPr>
                <w:sz w:val="15"/>
              </w:rPr>
              <w:t>9</w:t>
            </w:r>
          </w:p>
        </w:tc>
        <w:tc>
          <w:tcPr>
            <w:tcW w:type="dxa" w:w="1872"/>
          </w:tcPr>
          <w:p>
            <w:r/>
            <w:r>
              <w:rPr>
                <w:sz w:val="15"/>
              </w:rPr>
              <w:t>Scope of thermal treatment</w:t>
            </w:r>
          </w:p>
        </w:tc>
        <w:tc>
          <w:tcPr>
            <w:tcW w:type="dxa" w:w="3240"/>
          </w:tcPr>
          <w:p>
            <w:r/>
            <w:r>
              <w:rPr>
                <w:sz w:val="15"/>
              </w:rPr>
              <w:t>“All excavated soils from OU-1” treated (CD ¶22(c))</w:t>
            </w:r>
          </w:p>
        </w:tc>
        <w:tc>
          <w:tcPr>
            <w:tcW w:type="dxa" w:w="2880"/>
          </w:tcPr>
          <w:p>
            <w:r/>
            <w:r>
              <w:rPr>
                <w:sz w:val="15"/>
              </w:rPr>
              <w:t>Only soils “that contain VOC contamination above the applicable cleanup standards” (§3.3)</w:t>
            </w:r>
          </w:p>
        </w:tc>
        <w:tc>
          <w:tcPr>
            <w:tcW w:type="dxa" w:w="2520"/>
          </w:tcPr>
          <w:p>
            <w:r/>
            <w:r>
              <w:rPr>
                <w:sz w:val="15"/>
              </w:rPr>
              <w:t>Treated backfill is screened only for total VOCs. Soils with Cr(VI), PCP, or BaP above PRGs could be returned as backfill</w:t>
            </w:r>
          </w:p>
        </w:tc>
        <w:tc>
          <w:tcPr>
            <w:tcW w:type="dxa" w:w="1152"/>
            <w:shd w:val="clear" w:color="auto" w:fill="FFF2CC"/>
          </w:tcPr>
          <w:p>
            <w:r/>
            <w:r>
              <w:rPr>
                <w:sz w:val="15"/>
              </w:rPr>
              <w:t>Moderate</w:t>
            </w:r>
          </w:p>
        </w:tc>
        <w:tc>
          <w:tcPr>
            <w:tcW w:type="dxa" w:w="1944"/>
          </w:tcPr>
          <w:p>
            <w:r/>
            <w:r>
              <w:rPr>
                <w:sz w:val="15"/>
              </w:rPr>
              <w:t>Clarify; add PRG screening of backfill</w:t>
            </w:r>
          </w:p>
        </w:tc>
      </w:tr>
      <w:tr>
        <w:tc>
          <w:tcPr>
            <w:tcW w:type="dxa" w:w="504"/>
          </w:tcPr>
          <w:p>
            <w:r/>
            <w:r>
              <w:rPr>
                <w:sz w:val="15"/>
              </w:rPr>
              <w:t>10</w:t>
            </w:r>
          </w:p>
        </w:tc>
        <w:tc>
          <w:tcPr>
            <w:tcW w:type="dxa" w:w="1872"/>
          </w:tcPr>
          <w:p>
            <w:r/>
            <w:r>
              <w:rPr>
                <w:sz w:val="15"/>
              </w:rPr>
              <w:t>OU-1 institutional controls</w:t>
            </w:r>
          </w:p>
        </w:tc>
        <w:tc>
          <w:tcPr>
            <w:tcW w:type="dxa" w:w="3240"/>
          </w:tcPr>
          <w:p>
            <w:r/>
            <w:r>
              <w:rPr>
                <w:sz w:val="15"/>
              </w:rPr>
              <w:t xml:space="preserve">Covenant prohibiting residential use, restricting subsurface intrusion </w:t>
            </w:r>
            <w:r>
              <w:rPr>
                <w:b/>
                <w:sz w:val="15"/>
              </w:rPr>
              <w:t>without prior EPA approval</w:t>
            </w:r>
            <w:r>
              <w:rPr>
                <w:sz w:val="15"/>
              </w:rPr>
              <w:t>, and prohibiting potable wells; site-wide IC program with plume-wide groundwater restrictions and periodic inspection/reporting (ROD §§2.6, 2.12.2, 2.12.6)</w:t>
            </w:r>
          </w:p>
        </w:tc>
        <w:tc>
          <w:tcPr>
            <w:tcW w:type="dxa" w:w="2880"/>
          </w:tcPr>
          <w:p>
            <w:r/>
            <w:r>
              <w:rPr>
                <w:sz w:val="15"/>
              </w:rPr>
              <w:t>Residential prohibition; no water-supply wells “within the OU-1 area”; “soil management” requirements (§3.5)</w:t>
            </w:r>
          </w:p>
        </w:tc>
        <w:tc>
          <w:tcPr>
            <w:tcW w:type="dxa" w:w="2520"/>
          </w:tcPr>
          <w:p>
            <w:r/>
            <w:r>
              <w:rPr>
                <w:sz w:val="15"/>
              </w:rPr>
              <w:t>No EPA-approval trigger; no plume-boundary well restriction; no IC inspection or reporting; OU-2 cell and OU-3 not covered</w:t>
            </w:r>
          </w:p>
        </w:tc>
        <w:tc>
          <w:tcPr>
            <w:tcW w:type="dxa" w:w="1152"/>
            <w:shd w:val="clear" w:color="auto" w:fill="FFF2CC"/>
          </w:tcPr>
          <w:p>
            <w:r/>
            <w:r>
              <w:rPr>
                <w:sz w:val="15"/>
              </w:rPr>
              <w:t>Moderate</w:t>
            </w:r>
          </w:p>
        </w:tc>
        <w:tc>
          <w:tcPr>
            <w:tcW w:type="dxa" w:w="1944"/>
          </w:tcPr>
          <w:p>
            <w:r/>
            <w:r>
              <w:rPr>
                <w:sz w:val="15"/>
              </w:rPr>
              <w:t>Plan deficiency; conform to ROD §2.12.6</w:t>
            </w:r>
          </w:p>
        </w:tc>
      </w:tr>
      <w:tr>
        <w:tc>
          <w:tcPr>
            <w:tcW w:type="dxa" w:w="504"/>
          </w:tcPr>
          <w:p>
            <w:r/>
            <w:r>
              <w:rPr>
                <w:sz w:val="15"/>
              </w:rPr>
              <w:t>11</w:t>
            </w:r>
          </w:p>
        </w:tc>
        <w:tc>
          <w:tcPr>
            <w:tcW w:type="dxa" w:w="1872"/>
          </w:tcPr>
          <w:p>
            <w:r/>
            <w:r>
              <w:rPr>
                <w:sz w:val="15"/>
              </w:rPr>
              <w:t>OU-2 excavation depth</w:t>
            </w:r>
          </w:p>
        </w:tc>
        <w:tc>
          <w:tcPr>
            <w:tcW w:type="dxa" w:w="3240"/>
          </w:tcPr>
          <w:p>
            <w:r/>
            <w:r>
              <w:rPr>
                <w:sz w:val="15"/>
              </w:rPr>
              <w:t>To the native clay, ≈12 ft (ROD §2.12.3; CD ¶23(a)); confirmatory sampling of the exposed clay surface; evaluate the upper clay</w:t>
            </w:r>
          </w:p>
        </w:tc>
        <w:tc>
          <w:tcPr>
            <w:tcW w:type="dxa" w:w="2880"/>
          </w:tcPr>
          <w:p>
            <w:r/>
            <w:r>
              <w:rPr>
                <w:sz w:val="15"/>
              </w:rPr>
              <w:t>Uniform 10 ft; further excavation only “considered” (§4.1)</w:t>
            </w:r>
          </w:p>
        </w:tc>
        <w:tc>
          <w:tcPr>
            <w:tcW w:type="dxa" w:w="2520"/>
          </w:tcPr>
          <w:p>
            <w:r/>
            <w:r>
              <w:rPr>
                <w:sz w:val="15"/>
              </w:rPr>
              <w:t>Clay at 11.5–13.0 ft (avg 12.1). A 10-ft cut “would not reach the native clay … in any” boring and leaves 1.5–3.0 ft of contaminated material (PDI §§4.1, 4.3, 5.2). PCP at 7.8 mg/kg at 12.5 ft (LG-05)</w:t>
            </w:r>
          </w:p>
        </w:tc>
        <w:tc>
          <w:tcPr>
            <w:tcW w:type="dxa" w:w="1152"/>
            <w:shd w:val="clear" w:color="auto" w:fill="FCE5CD"/>
          </w:tcPr>
          <w:p>
            <w:r/>
            <w:r>
              <w:rPr>
                <w:sz w:val="15"/>
              </w:rPr>
              <w:t>High</w:t>
            </w:r>
          </w:p>
        </w:tc>
        <w:tc>
          <w:tcPr>
            <w:tcW w:type="dxa" w:w="1944"/>
          </w:tcPr>
          <w:p>
            <w:r/>
            <w:r>
              <w:rPr>
                <w:sz w:val="15"/>
              </w:rPr>
              <w:t>ESD (¶32(b)); Major Deviation (¶49(iii))</w:t>
            </w:r>
          </w:p>
        </w:tc>
      </w:tr>
      <w:tr>
        <w:tc>
          <w:tcPr>
            <w:tcW w:type="dxa" w:w="504"/>
          </w:tcPr>
          <w:p>
            <w:r/>
            <w:r>
              <w:rPr>
                <w:sz w:val="15"/>
              </w:rPr>
              <w:t>12</w:t>
            </w:r>
          </w:p>
        </w:tc>
        <w:tc>
          <w:tcPr>
            <w:tcW w:type="dxa" w:w="1872"/>
          </w:tcPr>
          <w:p>
            <w:r/>
            <w:r>
              <w:rPr>
                <w:sz w:val="15"/>
              </w:rPr>
              <w:t>OU-2 excavation volume</w:t>
            </w:r>
          </w:p>
        </w:tc>
        <w:tc>
          <w:tcPr>
            <w:tcW w:type="dxa" w:w="3240"/>
          </w:tcPr>
          <w:p>
            <w:r/>
            <w:r>
              <w:rPr>
                <w:sz w:val="15"/>
              </w:rPr>
              <w:t>≈28,500 cy</w:t>
            </w:r>
          </w:p>
        </w:tc>
        <w:tc>
          <w:tcPr>
            <w:tcW w:type="dxa" w:w="2880"/>
          </w:tcPr>
          <w:p>
            <w:r/>
            <w:r>
              <w:rPr>
                <w:sz w:val="15"/>
              </w:rPr>
              <w:t>24,100 cy (−15.4%)</w:t>
            </w:r>
          </w:p>
        </w:tc>
        <w:tc>
          <w:tcPr>
            <w:tcW w:type="dxa" w:w="2520"/>
          </w:tcPr>
          <w:p>
            <w:r/>
            <w:r>
              <w:rPr>
                <w:sz w:val="15"/>
              </w:rPr>
              <w:t>PDI estimate to the clay: 27,800 cy. 24,100 cy is the PDI’s “not recommended” 10-ft scenario</w:t>
            </w:r>
          </w:p>
        </w:tc>
        <w:tc>
          <w:tcPr>
            <w:tcW w:type="dxa" w:w="1152"/>
            <w:shd w:val="clear" w:color="auto" w:fill="FCE5CD"/>
          </w:tcPr>
          <w:p>
            <w:r/>
            <w:r>
              <w:rPr>
                <w:sz w:val="15"/>
              </w:rPr>
              <w:t>High</w:t>
            </w:r>
          </w:p>
        </w:tc>
        <w:tc>
          <w:tcPr>
            <w:tcW w:type="dxa" w:w="1944"/>
          </w:tcPr>
          <w:p>
            <w:r/>
            <w:r>
              <w:rPr>
                <w:sz w:val="15"/>
              </w:rPr>
              <w:t>Exceeds the 10% ESD threshold (¶32(b))</w:t>
            </w:r>
          </w:p>
        </w:tc>
      </w:tr>
      <w:tr>
        <w:tc>
          <w:tcPr>
            <w:tcW w:type="dxa" w:w="504"/>
          </w:tcPr>
          <w:p>
            <w:r/>
            <w:r>
              <w:rPr>
                <w:sz w:val="15"/>
              </w:rPr>
              <w:t>13</w:t>
            </w:r>
          </w:p>
        </w:tc>
        <w:tc>
          <w:tcPr>
            <w:tcW w:type="dxa" w:w="1872"/>
          </w:tcPr>
          <w:p>
            <w:r/>
            <w:r>
              <w:rPr>
                <w:sz w:val="15"/>
              </w:rPr>
              <w:t>Containment-cell liner</w:t>
            </w:r>
          </w:p>
        </w:tc>
        <w:tc>
          <w:tcPr>
            <w:tcW w:type="dxa" w:w="3240"/>
          </w:tcPr>
          <w:p>
            <w:r/>
            <w:r>
              <w:rPr>
                <w:sz w:val="15"/>
              </w:rPr>
              <w:t>60-mil HDPE over ≥24-in. compacted clay, k ≤ 1×10⁻⁷ cm/s; geocomposite drainage layer (ROD §2.12.3; CD ¶23(b))</w:t>
            </w:r>
          </w:p>
        </w:tc>
        <w:tc>
          <w:tcPr>
            <w:tcW w:type="dxa" w:w="2880"/>
          </w:tcPr>
          <w:p>
            <w:r/>
            <w:r>
              <w:rPr>
                <w:sz w:val="15"/>
              </w:rPr>
              <w:t>40-mil HDPE over 18-in. clay (Table 4-1; §4.2), described as meeting 40 CFR 264.310</w:t>
            </w:r>
          </w:p>
        </w:tc>
        <w:tc>
          <w:tcPr>
            <w:tcW w:type="dxa" w:w="2520"/>
          </w:tcPr>
          <w:p>
            <w:r/>
            <w:r>
              <w:rPr>
                <w:sz w:val="15"/>
              </w:rPr>
              <w:t>Pinnacle recommends 60-mil/24-in.; “no technical basis in the PDI data for reducing the liner” (PDI §§4.2, 5.2)</w:t>
            </w:r>
          </w:p>
        </w:tc>
        <w:tc>
          <w:tcPr>
            <w:tcW w:type="dxa" w:w="1152"/>
            <w:shd w:val="clear" w:color="auto" w:fill="FCE5CD"/>
          </w:tcPr>
          <w:p>
            <w:r/>
            <w:r>
              <w:rPr>
                <w:sz w:val="15"/>
              </w:rPr>
              <w:t>High</w:t>
            </w:r>
          </w:p>
        </w:tc>
        <w:tc>
          <w:tcPr>
            <w:tcW w:type="dxa" w:w="1944"/>
          </w:tcPr>
          <w:p>
            <w:r/>
            <w:r>
              <w:rPr>
                <w:sz w:val="15"/>
              </w:rPr>
              <w:t>ESD (¶32(b)); Major Deviation (¶¶49(iii), 50 names liner thickness)</w:t>
            </w:r>
          </w:p>
        </w:tc>
      </w:tr>
      <w:tr>
        <w:tc>
          <w:tcPr>
            <w:tcW w:type="dxa" w:w="504"/>
          </w:tcPr>
          <w:p>
            <w:r/>
            <w:r>
              <w:rPr>
                <w:sz w:val="15"/>
              </w:rPr>
              <w:t>14</w:t>
            </w:r>
          </w:p>
        </w:tc>
        <w:tc>
          <w:tcPr>
            <w:tcW w:type="dxa" w:w="1872"/>
          </w:tcPr>
          <w:p>
            <w:r/>
            <w:r>
              <w:rPr>
                <w:sz w:val="15"/>
              </w:rPr>
              <w:t>Cell capacity</w:t>
            </w:r>
          </w:p>
        </w:tc>
        <w:tc>
          <w:tcPr>
            <w:tcW w:type="dxa" w:w="3240"/>
          </w:tcPr>
          <w:p>
            <w:r/>
            <w:r>
              <w:rPr>
                <w:sz w:val="15"/>
              </w:rPr>
              <w:t>Must hold all OU-2 excavated material; OU-4 soils may also be placed there (CD ¶25(a))</w:t>
            </w:r>
          </w:p>
        </w:tc>
        <w:tc>
          <w:tcPr>
            <w:tcW w:type="dxa" w:w="2880"/>
          </w:tcPr>
          <w:p>
            <w:r/>
            <w:r>
              <w:rPr>
                <w:sz w:val="15"/>
              </w:rPr>
              <w:t>≈30,000 cy capacity (Table 4-1); only material “not suitable for off-site recycling or treatment” is placed (§4.2)</w:t>
            </w:r>
          </w:p>
        </w:tc>
        <w:tc>
          <w:tcPr>
            <w:tcW w:type="dxa" w:w="2520"/>
          </w:tcPr>
          <w:p>
            <w:r/>
            <w:r>
              <w:rPr>
                <w:sz w:val="15"/>
              </w:rPr>
              <w:t>The in-place volume to the clay (27,800–28,500 cy) plus bulking leaves little or no margin. The RAWP sized the cell to its own reduced 24,100 cy</w:t>
            </w:r>
          </w:p>
        </w:tc>
        <w:tc>
          <w:tcPr>
            <w:tcW w:type="dxa" w:w="1152"/>
            <w:shd w:val="clear" w:color="auto" w:fill="FFF2CC"/>
          </w:tcPr>
          <w:p>
            <w:r/>
            <w:r>
              <w:rPr>
                <w:sz w:val="15"/>
              </w:rPr>
              <w:t>Moderate</w:t>
            </w:r>
          </w:p>
        </w:tc>
        <w:tc>
          <w:tcPr>
            <w:tcW w:type="dxa" w:w="1944"/>
          </w:tcPr>
          <w:p>
            <w:r/>
            <w:r>
              <w:rPr>
                <w:sz w:val="15"/>
              </w:rPr>
              <w:t>Re-size on the ROD volume; explain any off-site diversion</w:t>
            </w:r>
          </w:p>
        </w:tc>
      </w:tr>
      <w:tr>
        <w:tc>
          <w:tcPr>
            <w:tcW w:type="dxa" w:w="504"/>
          </w:tcPr>
          <w:p>
            <w:r/>
            <w:r>
              <w:rPr>
                <w:sz w:val="15"/>
              </w:rPr>
              <w:t>15</w:t>
            </w:r>
          </w:p>
        </w:tc>
        <w:tc>
          <w:tcPr>
            <w:tcW w:type="dxa" w:w="1872"/>
          </w:tcPr>
          <w:p>
            <w:r/>
            <w:r>
              <w:rPr>
                <w:sz w:val="15"/>
              </w:rPr>
              <w:t>Leachate management</w:t>
            </w:r>
          </w:p>
        </w:tc>
        <w:tc>
          <w:tcPr>
            <w:tcW w:type="dxa" w:w="3240"/>
          </w:tcPr>
          <w:p>
            <w:r/>
            <w:r>
              <w:rPr>
                <w:sz w:val="15"/>
              </w:rPr>
              <w:t xml:space="preserve">Convey to the </w:t>
            </w:r>
            <w:r>
              <w:rPr>
                <w:b/>
                <w:sz w:val="15"/>
              </w:rPr>
              <w:t>on-site</w:t>
            </w:r>
            <w:r>
              <w:rPr>
                <w:sz w:val="15"/>
              </w:rPr>
              <w:t xml:space="preserve"> groundwater treatment plant; discharge under the site NPDES permit (ROD §2.12.3; CD ¶23(c)); ROD ARAR #34: “all discharge via NPDES, not POTW”</w:t>
            </w:r>
          </w:p>
        </w:tc>
        <w:tc>
          <w:tcPr>
            <w:tcW w:type="dxa" w:w="2880"/>
          </w:tcPr>
          <w:p>
            <w:r/>
            <w:r>
              <w:rPr>
                <w:sz w:val="15"/>
              </w:rPr>
              <w:t>Trucked to Millhaven Municipal WWTP under a 40 CFR 403 pretreatment permit (§4.3); plant influent excludes leachate (§7.1)</w:t>
            </w:r>
          </w:p>
        </w:tc>
        <w:tc>
          <w:tcPr>
            <w:tcW w:type="dxa" w:w="2520"/>
          </w:tcPr>
          <w:p>
            <w:r/>
            <w:r>
              <w:rPr>
                <w:sz w:val="15"/>
              </w:rPr>
              <w:t>—</w:t>
            </w:r>
          </w:p>
        </w:tc>
        <w:tc>
          <w:tcPr>
            <w:tcW w:type="dxa" w:w="1152"/>
            <w:shd w:val="clear" w:color="auto" w:fill="FCE5CD"/>
          </w:tcPr>
          <w:p>
            <w:r/>
            <w:r>
              <w:rPr>
                <w:sz w:val="15"/>
              </w:rPr>
              <w:t>High</w:t>
            </w:r>
          </w:p>
        </w:tc>
        <w:tc>
          <w:tcPr>
            <w:tcW w:type="dxa" w:w="1944"/>
          </w:tcPr>
          <w:p>
            <w:r/>
            <w:r>
              <w:rPr>
                <w:sz w:val="15"/>
              </w:rPr>
              <w:t>Change of remedy component (ESD); Major Deviation (¶49(ii))</w:t>
            </w:r>
          </w:p>
        </w:tc>
      </w:tr>
      <w:tr>
        <w:tc>
          <w:tcPr>
            <w:tcW w:type="dxa" w:w="504"/>
          </w:tcPr>
          <w:p>
            <w:r/>
            <w:r>
              <w:rPr>
                <w:sz w:val="15"/>
              </w:rPr>
              <w:t>16</w:t>
            </w:r>
          </w:p>
        </w:tc>
        <w:tc>
          <w:tcPr>
            <w:tcW w:type="dxa" w:w="1872"/>
          </w:tcPr>
          <w:p>
            <w:r/>
            <w:r>
              <w:rPr>
                <w:sz w:val="15"/>
              </w:rPr>
              <w:t>OU-2 monitoring wells</w:t>
            </w:r>
          </w:p>
        </w:tc>
        <w:tc>
          <w:tcPr>
            <w:tcW w:type="dxa" w:w="3240"/>
          </w:tcPr>
          <w:p>
            <w:r/>
            <w:r>
              <w:rPr>
                <w:sz w:val="15"/>
              </w:rPr>
              <w:t>Minimum 8 downgradient wells; quarterly for 5 yrs, then semi-annual (ROD §2.12.3; CD ¶23(d))</w:t>
            </w:r>
          </w:p>
        </w:tc>
        <w:tc>
          <w:tcPr>
            <w:tcW w:type="dxa" w:w="2880"/>
          </w:tcPr>
          <w:p>
            <w:r/>
            <w:r>
              <w:rPr>
                <w:sz w:val="15"/>
              </w:rPr>
              <w:t>6 wells (§4.4; §8.2); frequency compliant</w:t>
            </w:r>
          </w:p>
        </w:tc>
        <w:tc>
          <w:tcPr>
            <w:tcW w:type="dxa" w:w="2520"/>
          </w:tcPr>
          <w:p>
            <w:r/>
            <w:r>
              <w:rPr>
                <w:sz w:val="15"/>
              </w:rPr>
              <w:t>PDI §5.2 recommends 8</w:t>
            </w:r>
          </w:p>
        </w:tc>
        <w:tc>
          <w:tcPr>
            <w:tcW w:type="dxa" w:w="1152"/>
            <w:shd w:val="clear" w:color="auto" w:fill="FCE5CD"/>
          </w:tcPr>
          <w:p>
            <w:r/>
            <w:r>
              <w:rPr>
                <w:sz w:val="15"/>
              </w:rPr>
              <w:t>High</w:t>
            </w:r>
          </w:p>
        </w:tc>
        <w:tc>
          <w:tcPr>
            <w:tcW w:type="dxa" w:w="1944"/>
          </w:tcPr>
          <w:p>
            <w:r/>
            <w:r>
              <w:rPr>
                <w:sz w:val="15"/>
              </w:rPr>
              <w:t>ESD (¶32(b)); Major Deviation (¶49(ii))</w:t>
            </w:r>
          </w:p>
        </w:tc>
      </w:tr>
    </w:tbl>
    <w:p>
      <w:pPr>
        <w:spacing w:after="40"/>
      </w:pP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504"/>
            <w:shd w:val="clear" w:color="auto" w:fill="D9E2F3"/>
          </w:tcPr>
          <w:p>
            <w:r/>
            <w:r>
              <w:rPr>
                <w:b/>
                <w:sz w:val="15"/>
              </w:rPr>
              <w:t>#</w:t>
            </w:r>
          </w:p>
        </w:tc>
        <w:tc>
          <w:tcPr>
            <w:tcW w:type="dxa" w:w="1872"/>
            <w:shd w:val="clear" w:color="auto" w:fill="D9E2F3"/>
          </w:tcPr>
          <w:p>
            <w:r/>
            <w:r>
              <w:rPr>
                <w:b/>
                <w:sz w:val="15"/>
              </w:rPr>
              <w:t>Component</w:t>
            </w:r>
          </w:p>
        </w:tc>
        <w:tc>
          <w:tcPr>
            <w:tcW w:type="dxa" w:w="3240"/>
            <w:shd w:val="clear" w:color="auto" w:fill="D9E2F3"/>
          </w:tcPr>
          <w:p>
            <w:r/>
            <w:r>
              <w:rPr>
                <w:b/>
                <w:sz w:val="15"/>
              </w:rPr>
              <w:t>ROD / CD requirement</w:t>
            </w:r>
          </w:p>
        </w:tc>
        <w:tc>
          <w:tcPr>
            <w:tcW w:type="dxa" w:w="2880"/>
            <w:shd w:val="clear" w:color="auto" w:fill="D9E2F3"/>
          </w:tcPr>
          <w:p>
            <w:r/>
            <w:r>
              <w:rPr>
                <w:b/>
                <w:sz w:val="15"/>
              </w:rPr>
              <w:t>RAWP as submitted</w:t>
            </w:r>
          </w:p>
        </w:tc>
        <w:tc>
          <w:tcPr>
            <w:tcW w:type="dxa" w:w="2520"/>
            <w:shd w:val="clear" w:color="auto" w:fill="D9E2F3"/>
          </w:tcPr>
          <w:p>
            <w:r/>
            <w:r>
              <w:rPr>
                <w:b/>
                <w:sz w:val="15"/>
              </w:rPr>
              <w:t>PDI memo / other evidence</w:t>
            </w:r>
          </w:p>
        </w:tc>
        <w:tc>
          <w:tcPr>
            <w:tcW w:type="dxa" w:w="1152"/>
            <w:shd w:val="clear" w:color="auto" w:fill="D9E2F3"/>
          </w:tcPr>
          <w:p>
            <w:r/>
            <w:r>
              <w:rPr>
                <w:b/>
                <w:sz w:val="15"/>
              </w:rPr>
              <w:t>Severity</w:t>
            </w:r>
          </w:p>
        </w:tc>
        <w:tc>
          <w:tcPr>
            <w:tcW w:type="dxa" w:w="1944"/>
            <w:shd w:val="clear" w:color="auto" w:fill="D9E2F3"/>
          </w:tcPr>
          <w:p>
            <w:r/>
            <w:r>
              <w:rPr>
                <w:b/>
                <w:sz w:val="15"/>
              </w:rPr>
              <w:t>CD treatment</w:t>
            </w:r>
          </w:p>
        </w:tc>
      </w:tr>
      <w:tr>
        <w:tc>
          <w:tcPr>
            <w:tcW w:type="dxa" w:w="504"/>
          </w:tcPr>
          <w:p>
            <w:r/>
            <w:r>
              <w:rPr>
                <w:sz w:val="15"/>
              </w:rPr>
              <w:t>17</w:t>
            </w:r>
          </w:p>
        </w:tc>
        <w:tc>
          <w:tcPr>
            <w:tcW w:type="dxa" w:w="1872"/>
          </w:tcPr>
          <w:p>
            <w:r/>
            <w:r>
              <w:rPr>
                <w:sz w:val="15"/>
              </w:rPr>
              <w:t>1,4-Dioxane cleanup level</w:t>
            </w:r>
          </w:p>
        </w:tc>
        <w:tc>
          <w:tcPr>
            <w:tcW w:type="dxa" w:w="3240"/>
          </w:tcPr>
          <w:p>
            <w:r/>
            <w:r>
              <w:rPr>
                <w:sz w:val="15"/>
              </w:rPr>
              <w:t>≤ 0.35 µg/L, EPA Health Advisory Level (ROD §§2.8, 2.12.4; ARAR #4); CD ¶¶5(k)(ii), 24(e), 98. Ohio EPA itself urged 0.35 as more stringent than Ohio’s generic level (ROD §3.2.5)</w:t>
            </w:r>
          </w:p>
        </w:tc>
        <w:tc>
          <w:tcPr>
            <w:tcW w:type="dxa" w:w="2880"/>
          </w:tcPr>
          <w:p>
            <w:r/>
            <w:r>
              <w:rPr>
                <w:sz w:val="15"/>
              </w:rPr>
              <w:t>3.5 µg/L, “Ohio EPA established groundwater quality standard” (Table 2-1; §5.4)</w:t>
            </w:r>
          </w:p>
        </w:tc>
        <w:tc>
          <w:tcPr>
            <w:tcW w:type="dxa" w:w="2520"/>
          </w:tcPr>
          <w:p>
            <w:r/>
            <w:r>
              <w:rPr>
                <w:sz w:val="15"/>
              </w:rPr>
              <w:t>10× less stringent. The ROD found 1,4-dioxane is the leading edge of the plume approaching the wellfield (ROD §2.5.2)</w:t>
            </w:r>
          </w:p>
        </w:tc>
        <w:tc>
          <w:tcPr>
            <w:tcW w:type="dxa" w:w="1152"/>
            <w:shd w:val="clear" w:color="auto" w:fill="F4CCCC"/>
          </w:tcPr>
          <w:p>
            <w:r/>
            <w:r>
              <w:rPr>
                <w:sz w:val="15"/>
              </w:rPr>
              <w:t>Critical</w:t>
            </w:r>
          </w:p>
        </w:tc>
        <w:tc>
          <w:tcPr>
            <w:tcW w:type="dxa" w:w="1944"/>
          </w:tcPr>
          <w:p>
            <w:r/>
            <w:r>
              <w:rPr>
                <w:b/>
                <w:sz w:val="15"/>
              </w:rPr>
              <w:t>ROD Amendment</w:t>
            </w:r>
            <w:r>
              <w:rPr>
                <w:sz w:val="15"/>
              </w:rPr>
              <w:t xml:space="preserve"> (¶32(c): any cleanup-level change); Major Deviation (¶49(i), (iv))</w:t>
            </w:r>
          </w:p>
        </w:tc>
      </w:tr>
      <w:tr>
        <w:tc>
          <w:tcPr>
            <w:tcW w:type="dxa" w:w="504"/>
          </w:tcPr>
          <w:p>
            <w:r/>
            <w:r>
              <w:rPr>
                <w:sz w:val="15"/>
              </w:rPr>
              <w:t>18</w:t>
            </w:r>
          </w:p>
        </w:tc>
        <w:tc>
          <w:tcPr>
            <w:tcW w:type="dxa" w:w="1872"/>
          </w:tcPr>
          <w:p>
            <w:r/>
            <w:r>
              <w:rPr>
                <w:sz w:val="15"/>
              </w:rPr>
              <w:t>AOP (UV/H₂O₂) unit</w:t>
            </w:r>
          </w:p>
        </w:tc>
        <w:tc>
          <w:tcPr>
            <w:tcW w:type="dxa" w:w="3240"/>
          </w:tcPr>
          <w:p>
            <w:r/>
            <w:r>
              <w:rPr>
                <w:sz w:val="15"/>
              </w:rPr>
              <w:t>Required; “essential”; ≥99% 1,4-dioxane destruction; effluent &lt; 0.35 µg/L (ROD §2.12.4; CD ¶24(b)(iii))</w:t>
            </w:r>
          </w:p>
        </w:tc>
        <w:tc>
          <w:tcPr>
            <w:tcW w:type="dxa" w:w="2880"/>
          </w:tcPr>
          <w:p>
            <w:r/>
            <w:r>
              <w:rPr>
                <w:sz w:val="15"/>
              </w:rPr>
              <w:t>Omitted. Treatment train is equalization → Cr(VI) reduction/precipitation → air stripper → GAC. GAC “expected to achieve adequate removal … including 1,4-dioxane” (§7.1)</w:t>
            </w:r>
          </w:p>
        </w:tc>
        <w:tc>
          <w:tcPr>
            <w:tcW w:type="dxa" w:w="2520"/>
          </w:tcPr>
          <w:p>
            <w:r/>
            <w:r>
              <w:rPr>
                <w:sz w:val="15"/>
              </w:rPr>
              <w:t>The ROD rejected GAC/air stripping for 1,4-dioxane (log Kow −0.27; Henry’s constant 4.8×10⁻⁶) (ROD §§2.9.3, 2.12.4). The RAWP cites EPA 542-R-06-009 but offers no supporting data</w:t>
            </w:r>
          </w:p>
        </w:tc>
        <w:tc>
          <w:tcPr>
            <w:tcW w:type="dxa" w:w="1152"/>
            <w:shd w:val="clear" w:color="auto" w:fill="F4CCCC"/>
          </w:tcPr>
          <w:p>
            <w:r/>
            <w:r>
              <w:rPr>
                <w:sz w:val="15"/>
              </w:rPr>
              <w:t>Critical</w:t>
            </w:r>
          </w:p>
        </w:tc>
        <w:tc>
          <w:tcPr>
            <w:tcW w:type="dxa" w:w="1944"/>
          </w:tcPr>
          <w:p>
            <w:r/>
            <w:r>
              <w:rPr>
                <w:b/>
                <w:sz w:val="15"/>
              </w:rPr>
              <w:t>ROD Amendment</w:t>
            </w:r>
            <w:r>
              <w:rPr>
                <w:sz w:val="15"/>
              </w:rPr>
              <w:t xml:space="preserve"> (¶32(c) names AOP elimination); Major Deviation (¶¶49(ii), 50)</w:t>
            </w:r>
          </w:p>
        </w:tc>
      </w:tr>
      <w:tr>
        <w:tc>
          <w:tcPr>
            <w:tcW w:type="dxa" w:w="504"/>
          </w:tcPr>
          <w:p>
            <w:r/>
            <w:r>
              <w:rPr>
                <w:sz w:val="15"/>
              </w:rPr>
              <w:t>19</w:t>
            </w:r>
          </w:p>
        </w:tc>
        <w:tc>
          <w:tcPr>
            <w:tcW w:type="dxa" w:w="1872"/>
          </w:tcPr>
          <w:p>
            <w:r/>
            <w:r>
              <w:rPr>
                <w:sz w:val="15"/>
              </w:rPr>
              <w:t>Extraction system</w:t>
            </w:r>
          </w:p>
        </w:tc>
        <w:tc>
          <w:tcPr>
            <w:tcW w:type="dxa" w:w="3240"/>
          </w:tcPr>
          <w:p>
            <w:r/>
            <w:r>
              <w:rPr>
                <w:sz w:val="15"/>
              </w:rPr>
              <w:t xml:space="preserve">≥12 extraction wells along a ≥2,400-ft </w:t>
            </w:r>
            <w:r>
              <w:rPr>
                <w:b/>
                <w:sz w:val="15"/>
              </w:rPr>
              <w:t>trench</w:t>
            </w:r>
            <w:r>
              <w:rPr>
                <w:sz w:val="15"/>
              </w:rPr>
              <w:t>; capture = plume width + 200 ft per side; quarterly capture-zone analysis (ROD §2.12.4; CD ¶24(a))</w:t>
            </w:r>
          </w:p>
        </w:tc>
        <w:tc>
          <w:tcPr>
            <w:tcW w:type="dxa" w:w="2880"/>
          </w:tcPr>
          <w:p>
            <w:r/>
            <w:r>
              <w:rPr>
                <w:sz w:val="15"/>
              </w:rPr>
              <w:t>10 wells along a 2,000-ft “alignment” (no trench); capture verified by model; pumping optimized in the first 6 months (§5.2; Table 5-1)</w:t>
            </w:r>
          </w:p>
        </w:tc>
        <w:tc>
          <w:tcPr>
            <w:tcW w:type="dxa" w:w="2520"/>
          </w:tcPr>
          <w:p>
            <w:r/>
            <w:r>
              <w:rPr>
                <w:sz w:val="15"/>
              </w:rPr>
              <w:t>Plume width ≈0.4 mi ≈2,112 ft, so the ROD capture width is ≈2,512 ft. A 2,000-ft alignment is shorter than the plume itself. RAWP hydrogeology departs from the ROD (saturated thickness 25–40 ft vs. 8–12 ft; K ≈11 ft/day vs. 28 ft/day). The RAWP’s cited PDI (App. I model) is not reflected in the PDI memo, which covers OU-1 and OU-2 only</w:t>
            </w:r>
          </w:p>
        </w:tc>
        <w:tc>
          <w:tcPr>
            <w:tcW w:type="dxa" w:w="1152"/>
            <w:shd w:val="clear" w:color="auto" w:fill="F4CCCC"/>
          </w:tcPr>
          <w:p>
            <w:r/>
            <w:r>
              <w:rPr>
                <w:sz w:val="15"/>
              </w:rPr>
              <w:t>Critical</w:t>
            </w:r>
          </w:p>
        </w:tc>
        <w:tc>
          <w:tcPr>
            <w:tcW w:type="dxa" w:w="1944"/>
          </w:tcPr>
          <w:p>
            <w:r/>
            <w:r>
              <w:rPr>
                <w:sz w:val="15"/>
              </w:rPr>
              <w:t>ESD (¶32(b)); Major Deviation (¶¶49(ii)–(iii), 50); wellfield-protection risk</w:t>
            </w:r>
          </w:p>
        </w:tc>
      </w:tr>
      <w:tr>
        <w:tc>
          <w:tcPr>
            <w:tcW w:type="dxa" w:w="504"/>
          </w:tcPr>
          <w:p>
            <w:r/>
            <w:r>
              <w:rPr>
                <w:sz w:val="15"/>
              </w:rPr>
              <w:t>20</w:t>
            </w:r>
          </w:p>
        </w:tc>
        <w:tc>
          <w:tcPr>
            <w:tcW w:type="dxa" w:w="1872"/>
          </w:tcPr>
          <w:p>
            <w:r/>
            <w:r>
              <w:rPr>
                <w:sz w:val="15"/>
              </w:rPr>
              <w:t>Extraction-well depth</w:t>
            </w:r>
          </w:p>
        </w:tc>
        <w:tc>
          <w:tcPr>
            <w:tcW w:type="dxa" w:w="3240"/>
          </w:tcPr>
          <w:p>
            <w:r/>
            <w:r>
              <w:rPr>
                <w:sz w:val="15"/>
              </w:rPr>
              <w:t xml:space="preserve">Screen across the full saturated thickness of the </w:t>
            </w:r>
            <w:r>
              <w:rPr>
                <w:b/>
                <w:sz w:val="15"/>
              </w:rPr>
              <w:t>shallow</w:t>
            </w:r>
            <w:r>
              <w:rPr>
                <w:sz w:val="15"/>
              </w:rPr>
              <w:t xml:space="preserve"> aquifer (ROD §2.12.4); the clay aquitard separates the shallow aquifer from the bedrock supply aquifer (ROD §2.5.1)</w:t>
            </w:r>
          </w:p>
        </w:tc>
        <w:tc>
          <w:tcPr>
            <w:tcW w:type="dxa" w:w="2880"/>
          </w:tcPr>
          <w:p>
            <w:r/>
            <w:r>
              <w:rPr>
                <w:sz w:val="15"/>
              </w:rPr>
              <w:t>Wells 30–45 ft bgs (§5.2)</w:t>
            </w:r>
          </w:p>
        </w:tc>
        <w:tc>
          <w:tcPr>
            <w:tcW w:type="dxa" w:w="2520"/>
          </w:tcPr>
          <w:p>
            <w:r/>
            <w:r>
              <w:rPr>
                <w:sz w:val="15"/>
              </w:rPr>
              <w:t>On the ROD’s stratigraphy (clay 15–30 ft; bedrock 30–50 ft), these depths may penetrate the aquitard or bedrock, which is the wellfield source aquifer</w:t>
            </w:r>
          </w:p>
        </w:tc>
        <w:tc>
          <w:tcPr>
            <w:tcW w:type="dxa" w:w="1152"/>
            <w:shd w:val="clear" w:color="auto" w:fill="FCE5CD"/>
          </w:tcPr>
          <w:p>
            <w:r/>
            <w:r>
              <w:rPr>
                <w:sz w:val="15"/>
              </w:rPr>
              <w:t>High</w:t>
            </w:r>
          </w:p>
        </w:tc>
        <w:tc>
          <w:tcPr>
            <w:tcW w:type="dxa" w:w="1944"/>
          </w:tcPr>
          <w:p>
            <w:r/>
            <w:r>
              <w:rPr>
                <w:sz w:val="15"/>
              </w:rPr>
              <w:t>Requires engineering verification and justification</w:t>
            </w:r>
          </w:p>
        </w:tc>
      </w:tr>
      <w:tr>
        <w:tc>
          <w:tcPr>
            <w:tcW w:type="dxa" w:w="504"/>
          </w:tcPr>
          <w:p>
            <w:r/>
            <w:r>
              <w:rPr>
                <w:sz w:val="15"/>
              </w:rPr>
              <w:t>21</w:t>
            </w:r>
          </w:p>
        </w:tc>
        <w:tc>
          <w:tcPr>
            <w:tcW w:type="dxa" w:w="1872"/>
          </w:tcPr>
          <w:p>
            <w:r/>
            <w:r>
              <w:rPr>
                <w:sz w:val="15"/>
              </w:rPr>
              <w:t>ERD injection grid</w:t>
            </w:r>
          </w:p>
        </w:tc>
        <w:tc>
          <w:tcPr>
            <w:tcW w:type="dxa" w:w="3240"/>
          </w:tcPr>
          <w:p>
            <w:r/>
            <w:r>
              <w:rPr>
                <w:sz w:val="15"/>
              </w:rPr>
              <w:t>≥48 points at 30-ft centers; EVO at ≥5:1 donor:acceptor; re-injection every ~12–18 months (ROD §2.12.4); ≥3 annual rounds (CD ¶24(d))</w:t>
            </w:r>
          </w:p>
        </w:tc>
        <w:tc>
          <w:tcPr>
            <w:tcW w:type="dxa" w:w="2880"/>
          </w:tcPr>
          <w:p>
            <w:r/>
            <w:r>
              <w:rPr>
                <w:sz w:val="15"/>
              </w:rPr>
              <w:t>36 points at 40-ft centers; ~18-month cycle; no donor ratio (§5.3; Table 5-1)</w:t>
            </w:r>
          </w:p>
        </w:tc>
        <w:tc>
          <w:tcPr>
            <w:tcW w:type="dxa" w:w="2520"/>
          </w:tcPr>
          <w:p>
            <w:r/>
            <w:r>
              <w:rPr>
                <w:sz w:val="15"/>
              </w:rPr>
              <w:t>−25% points, +33% spacing. The 18-month cycle conflicts with the CD’s annual rounds</w:t>
            </w:r>
          </w:p>
        </w:tc>
        <w:tc>
          <w:tcPr>
            <w:tcW w:type="dxa" w:w="1152"/>
            <w:shd w:val="clear" w:color="auto" w:fill="FCE5CD"/>
          </w:tcPr>
          <w:p>
            <w:r/>
            <w:r>
              <w:rPr>
                <w:sz w:val="15"/>
              </w:rPr>
              <w:t>High</w:t>
            </w:r>
          </w:p>
        </w:tc>
        <w:tc>
          <w:tcPr>
            <w:tcW w:type="dxa" w:w="1944"/>
          </w:tcPr>
          <w:p>
            <w:r/>
            <w:r>
              <w:rPr>
                <w:sz w:val="15"/>
              </w:rPr>
              <w:t>ESD (¶32(b)); Major Deviation (¶49(ii))</w:t>
            </w:r>
          </w:p>
        </w:tc>
      </w:tr>
      <w:tr>
        <w:tc>
          <w:tcPr>
            <w:tcW w:type="dxa" w:w="504"/>
          </w:tcPr>
          <w:p>
            <w:r/>
            <w:r>
              <w:rPr>
                <w:sz w:val="15"/>
              </w:rPr>
              <w:t>22</w:t>
            </w:r>
          </w:p>
        </w:tc>
        <w:tc>
          <w:tcPr>
            <w:tcW w:type="dxa" w:w="1872"/>
          </w:tcPr>
          <w:p>
            <w:r/>
            <w:r>
              <w:rPr>
                <w:sz w:val="15"/>
              </w:rPr>
              <w:t>OU-3 monitoring network</w:t>
            </w:r>
          </w:p>
        </w:tc>
        <w:tc>
          <w:tcPr>
            <w:tcW w:type="dxa" w:w="3240"/>
          </w:tcPr>
          <w:p>
            <w:r/>
            <w:r>
              <w:rPr>
                <w:sz w:val="15"/>
              </w:rPr>
              <w:t>≥36 wells including sentinel, plume-core, plume-fringe, and POC wells; quarterly for 3 yrs, then semi-annual (ROD §2.12.4; CD ¶24(f))</w:t>
            </w:r>
          </w:p>
        </w:tc>
        <w:tc>
          <w:tcPr>
            <w:tcW w:type="dxa" w:w="2880"/>
          </w:tcPr>
          <w:p>
            <w:r/>
            <w:r>
              <w:rPr>
                <w:sz w:val="15"/>
              </w:rPr>
              <w:t>28 wells; semi-annual from start, with possible move to annual (§5.5; Table 5-2)</w:t>
            </w:r>
          </w:p>
        </w:tc>
        <w:tc>
          <w:tcPr>
            <w:tcW w:type="dxa" w:w="2520"/>
          </w:tcPr>
          <w:p>
            <w:r/>
            <w:r>
              <w:rPr>
                <w:sz w:val="15"/>
              </w:rPr>
              <w:t>−22% wells, plus loss of 3 years of quarterly data. EPA cited quarterly data as a wellfield safeguard (ROD §3.2.3). No POC-well group appears in Table 5-2</w:t>
            </w:r>
          </w:p>
        </w:tc>
        <w:tc>
          <w:tcPr>
            <w:tcW w:type="dxa" w:w="1152"/>
            <w:shd w:val="clear" w:color="auto" w:fill="FCE5CD"/>
          </w:tcPr>
          <w:p>
            <w:r/>
            <w:r>
              <w:rPr>
                <w:sz w:val="15"/>
              </w:rPr>
              <w:t>High</w:t>
            </w:r>
          </w:p>
        </w:tc>
        <w:tc>
          <w:tcPr>
            <w:tcW w:type="dxa" w:w="1944"/>
          </w:tcPr>
          <w:p>
            <w:r/>
            <w:r>
              <w:rPr>
                <w:sz w:val="15"/>
              </w:rPr>
              <w:t>ESD (¶32(b)); Major or Minor Deviation (¶¶49(ii), 51(iv), 52)</w:t>
            </w:r>
          </w:p>
        </w:tc>
      </w:tr>
      <w:tr>
        <w:tc>
          <w:tcPr>
            <w:tcW w:type="dxa" w:w="504"/>
          </w:tcPr>
          <w:p>
            <w:r/>
            <w:r>
              <w:rPr>
                <w:sz w:val="15"/>
              </w:rPr>
              <w:t>23</w:t>
            </w:r>
          </w:p>
        </w:tc>
        <w:tc>
          <w:tcPr>
            <w:tcW w:type="dxa" w:w="1872"/>
          </w:tcPr>
          <w:p>
            <w:r/>
            <w:r>
              <w:rPr>
                <w:sz w:val="15"/>
              </w:rPr>
              <w:t>Groundwater RAO timeframe</w:t>
            </w:r>
          </w:p>
        </w:tc>
        <w:tc>
          <w:tcPr>
            <w:tcW w:type="dxa" w:w="3240"/>
          </w:tcPr>
          <w:p>
            <w:r/>
            <w:r>
              <w:rPr>
                <w:sz w:val="15"/>
              </w:rPr>
              <w:t>Within 30 years of initial system startup (ROD §§2.8, 2.12.4); CD ¶¶5(k)(iv), 30, 49(v)</w:t>
            </w:r>
          </w:p>
        </w:tc>
        <w:tc>
          <w:tcPr>
            <w:tcW w:type="dxa" w:w="2880"/>
          </w:tcPr>
          <w:p>
            <w:r/>
            <w:r>
              <w:rPr>
                <w:sz w:val="15"/>
              </w:rPr>
              <w:t>≈45 years of “full-scale system operation” (§13.2), yet §2.1 restates 30 years</w:t>
            </w:r>
          </w:p>
        </w:tc>
        <w:tc>
          <w:tcPr>
            <w:tcW w:type="dxa" w:w="2520"/>
          </w:tcPr>
          <w:p>
            <w:r/>
            <w:r>
              <w:rPr>
                <w:sz w:val="15"/>
              </w:rPr>
              <w:t>The 50% longer projection follows from the reduced design. The start-of-clock wording also changes from “initial system startup” to “full-scale remedy operation”</w:t>
            </w:r>
          </w:p>
        </w:tc>
        <w:tc>
          <w:tcPr>
            <w:tcW w:type="dxa" w:w="1152"/>
            <w:shd w:val="clear" w:color="auto" w:fill="F4CCCC"/>
          </w:tcPr>
          <w:p>
            <w:r/>
            <w:r>
              <w:rPr>
                <w:sz w:val="15"/>
              </w:rPr>
              <w:t>Critical</w:t>
            </w:r>
          </w:p>
        </w:tc>
        <w:tc>
          <w:tcPr>
            <w:tcW w:type="dxa" w:w="1944"/>
          </w:tcPr>
          <w:p>
            <w:r/>
            <w:r>
              <w:rPr>
                <w:b/>
                <w:sz w:val="15"/>
              </w:rPr>
              <w:t>ROD Amendment</w:t>
            </w:r>
            <w:r>
              <w:rPr>
                <w:sz w:val="15"/>
              </w:rPr>
              <w:t xml:space="preserve"> (¶32(c): RAO timeframe not met); Major Deviation (¶49(v))</w:t>
            </w:r>
          </w:p>
        </w:tc>
      </w:tr>
      <w:tr>
        <w:tc>
          <w:tcPr>
            <w:tcW w:type="dxa" w:w="504"/>
          </w:tcPr>
          <w:p>
            <w:r/>
            <w:r>
              <w:rPr>
                <w:sz w:val="15"/>
              </w:rPr>
              <w:t>24</w:t>
            </w:r>
          </w:p>
        </w:tc>
        <w:tc>
          <w:tcPr>
            <w:tcW w:type="dxa" w:w="1872"/>
          </w:tcPr>
          <w:p>
            <w:r/>
            <w:r>
              <w:rPr>
                <w:sz w:val="15"/>
              </w:rPr>
              <w:t>Cleanup attainment rule and other OU-3 levels</w:t>
            </w:r>
          </w:p>
        </w:tc>
        <w:tc>
          <w:tcPr>
            <w:tcW w:type="dxa" w:w="3240"/>
          </w:tcPr>
          <w:p>
            <w:r/>
            <w:r>
              <w:rPr>
                <w:sz w:val="15"/>
              </w:rPr>
              <w:t>TCE 5, PCE 5, Cr(VI) 100 µg/L; 8 consecutive semi-annual rounds at POC wells</w:t>
            </w:r>
          </w:p>
        </w:tc>
        <w:tc>
          <w:tcPr>
            <w:tcW w:type="dxa" w:w="2880"/>
          </w:tcPr>
          <w:p>
            <w:r/>
            <w:r>
              <w:rPr>
                <w:sz w:val="15"/>
              </w:rPr>
              <w:t>Same (§§2.2, 5.4)</w:t>
            </w:r>
          </w:p>
        </w:tc>
        <w:tc>
          <w:tcPr>
            <w:tcW w:type="dxa" w:w="2520"/>
          </w:tcPr>
          <w:p>
            <w:r/>
            <w:r>
              <w:rPr>
                <w:sz w:val="15"/>
              </w:rPr>
              <w:t>—</w:t>
            </w:r>
          </w:p>
        </w:tc>
        <w:tc>
          <w:tcPr>
            <w:tcW w:type="dxa" w:w="1152"/>
            <w:shd w:val="clear" w:color="auto" w:fill="D9EAD3"/>
          </w:tcPr>
          <w:p>
            <w:r/>
            <w:r>
              <w:rPr>
                <w:sz w:val="15"/>
              </w:rPr>
              <w:t>Consistent</w:t>
            </w:r>
          </w:p>
        </w:tc>
        <w:tc>
          <w:tcPr>
            <w:tcW w:type="dxa" w:w="1944"/>
          </w:tcPr>
          <w:p>
            <w:r/>
            <w:r>
              <w:rPr>
                <w:sz w:val="15"/>
              </w:rPr>
              <w:t>No gap</w:t>
            </w:r>
          </w:p>
        </w:tc>
      </w:tr>
      <w:tr>
        <w:tc>
          <w:tcPr>
            <w:tcW w:type="dxa" w:w="504"/>
          </w:tcPr>
          <w:p>
            <w:r/>
            <w:r>
              <w:rPr>
                <w:sz w:val="15"/>
              </w:rPr>
              <w:t>25</w:t>
            </w:r>
          </w:p>
        </w:tc>
        <w:tc>
          <w:tcPr>
            <w:tcW w:type="dxa" w:w="1872"/>
          </w:tcPr>
          <w:p>
            <w:r/>
            <w:r>
              <w:rPr>
                <w:sz w:val="15"/>
              </w:rPr>
              <w:t>OU-4 excavation</w:t>
            </w:r>
          </w:p>
        </w:tc>
        <w:tc>
          <w:tcPr>
            <w:tcW w:type="dxa" w:w="3240"/>
          </w:tcPr>
          <w:p>
            <w:r/>
            <w:r>
              <w:rPr>
                <w:sz w:val="15"/>
              </w:rPr>
              <w:t>3 ft bgs; ≈6,800 cy; avoid Apr–June spawning (ROD §2.12.5; CD ¶25(a))</w:t>
            </w:r>
          </w:p>
        </w:tc>
        <w:tc>
          <w:tcPr>
            <w:tcW w:type="dxa" w:w="2880"/>
          </w:tcPr>
          <w:p>
            <w:r/>
            <w:r>
              <w:rPr>
                <w:sz w:val="15"/>
              </w:rPr>
              <w:t>3 ft; 5,900 cy (−13.2%), “refined” by 2024 PDI data; July–Oct work window (§6.1)</w:t>
            </w:r>
          </w:p>
        </w:tc>
        <w:tc>
          <w:tcPr>
            <w:tcW w:type="dxa" w:w="2520"/>
          </w:tcPr>
          <w:p>
            <w:r/>
            <w:r>
              <w:rPr>
                <w:sz w:val="15"/>
              </w:rPr>
              <w:t>The PDI memo covers OU-1 and OU-2 only. No OU-4 PDI data are in the record we reviewed</w:t>
            </w:r>
          </w:p>
        </w:tc>
        <w:tc>
          <w:tcPr>
            <w:tcW w:type="dxa" w:w="1152"/>
            <w:shd w:val="clear" w:color="auto" w:fill="FCE5CD"/>
          </w:tcPr>
          <w:p>
            <w:r/>
            <w:r>
              <w:rPr>
                <w:sz w:val="15"/>
              </w:rPr>
              <w:t>High</w:t>
            </w:r>
          </w:p>
        </w:tc>
        <w:tc>
          <w:tcPr>
            <w:tcW w:type="dxa" w:w="1944"/>
          </w:tcPr>
          <w:p>
            <w:r/>
            <w:r>
              <w:rPr>
                <w:sz w:val="15"/>
              </w:rPr>
              <w:t>ESD (&gt;10% volume reduction, ¶32(b))</w:t>
            </w:r>
          </w:p>
        </w:tc>
      </w:tr>
      <w:tr>
        <w:tc>
          <w:tcPr>
            <w:tcW w:type="dxa" w:w="504"/>
          </w:tcPr>
          <w:p>
            <w:r/>
            <w:r>
              <w:rPr>
                <w:sz w:val="15"/>
              </w:rPr>
              <w:t>26</w:t>
            </w:r>
          </w:p>
        </w:tc>
        <w:tc>
          <w:tcPr>
            <w:tcW w:type="dxa" w:w="1872"/>
          </w:tcPr>
          <w:p>
            <w:r/>
            <w:r>
              <w:rPr>
                <w:sz w:val="15"/>
              </w:rPr>
              <w:t>Habitat Restoration Plan approval</w:t>
            </w:r>
          </w:p>
        </w:tc>
        <w:tc>
          <w:tcPr>
            <w:tcW w:type="dxa" w:w="3240"/>
          </w:tcPr>
          <w:p>
            <w:r/>
            <w:r>
              <w:rPr>
                <w:sz w:val="15"/>
              </w:rPr>
              <w:t xml:space="preserve">USFWS </w:t>
            </w:r>
            <w:r>
              <w:rPr>
                <w:b/>
                <w:sz w:val="15"/>
              </w:rPr>
              <w:t>and</w:t>
            </w:r>
            <w:r>
              <w:rPr>
                <w:sz w:val="15"/>
              </w:rPr>
              <w:t xml:space="preserve"> ODNR as co-approvers (ROD §2.12.5; CD ¶25(b)); clean fill meeting background (CD ¶25(b))</w:t>
            </w:r>
          </w:p>
        </w:tc>
        <w:tc>
          <w:tcPr>
            <w:tcW w:type="dxa" w:w="2880"/>
          </w:tcPr>
          <w:p>
            <w:r/>
            <w:r>
              <w:rPr>
                <w:sz w:val="15"/>
              </w:rPr>
              <w:t>Coordinated with USFWS only (§6.2); no fill-quality criterion</w:t>
            </w:r>
          </w:p>
        </w:tc>
        <w:tc>
          <w:tcPr>
            <w:tcW w:type="dxa" w:w="2520"/>
          </w:tcPr>
          <w:p>
            <w:r/>
            <w:r>
              <w:rPr>
                <w:sz w:val="15"/>
              </w:rPr>
              <w:t>Ohio EPA specifically supported dual approval (ROD §3.2.5)</w:t>
            </w:r>
          </w:p>
        </w:tc>
        <w:tc>
          <w:tcPr>
            <w:tcW w:type="dxa" w:w="1152"/>
            <w:shd w:val="clear" w:color="auto" w:fill="FFF2CC"/>
          </w:tcPr>
          <w:p>
            <w:r/>
            <w:r>
              <w:rPr>
                <w:sz w:val="15"/>
              </w:rPr>
              <w:t>Moderate</w:t>
            </w:r>
          </w:p>
        </w:tc>
        <w:tc>
          <w:tcPr>
            <w:tcW w:type="dxa" w:w="1944"/>
          </w:tcPr>
          <w:p>
            <w:r/>
            <w:r>
              <w:rPr>
                <w:sz w:val="15"/>
              </w:rPr>
              <w:t>Plan deficiency (¶51(v)); conform</w:t>
            </w:r>
          </w:p>
        </w:tc>
      </w:tr>
      <w:tr>
        <w:tc>
          <w:tcPr>
            <w:tcW w:type="dxa" w:w="504"/>
          </w:tcPr>
          <w:p>
            <w:r/>
            <w:r>
              <w:rPr>
                <w:sz w:val="15"/>
              </w:rPr>
              <w:t>27</w:t>
            </w:r>
          </w:p>
        </w:tc>
        <w:tc>
          <w:tcPr>
            <w:tcW w:type="dxa" w:w="1872"/>
          </w:tcPr>
          <w:p>
            <w:r/>
            <w:r>
              <w:rPr>
                <w:sz w:val="15"/>
              </w:rPr>
              <w:t>Ecological monitoring</w:t>
            </w:r>
          </w:p>
        </w:tc>
        <w:tc>
          <w:tcPr>
            <w:tcW w:type="dxa" w:w="3240"/>
          </w:tcPr>
          <w:p>
            <w:r/>
            <w:r>
              <w:rPr>
                <w:sz w:val="15"/>
              </w:rPr>
              <w:t xml:space="preserve">≥5 years; annual benthic surveys using RI protocols and reference stations; </w:t>
            </w:r>
            <w:r>
              <w:rPr>
                <w:b/>
                <w:sz w:val="15"/>
              </w:rPr>
              <w:t>quarterly</w:t>
            </w:r>
            <w:r>
              <w:rPr>
                <w:sz w:val="15"/>
              </w:rPr>
              <w:t xml:space="preserve"> surface water at 3 upstream and 3 downstream stations; annual vegetation; reports to EPA, USFWS, and ODNR; mandatory contingency (ROD §2.12.5; CD ¶25(c))</w:t>
            </w:r>
          </w:p>
        </w:tc>
        <w:tc>
          <w:tcPr>
            <w:tcW w:type="dxa" w:w="2880"/>
          </w:tcPr>
          <w:p>
            <w:r/>
            <w:r>
              <w:rPr>
                <w:sz w:val="15"/>
              </w:rPr>
              <w:t>3 years; Ohio EPA protocols; quarterly surface water in Year 1 only, then semi-annual; station count unstated; reports to EPA only; corrective planting “may” be conducted (§6.3)</w:t>
            </w:r>
          </w:p>
        </w:tc>
        <w:tc>
          <w:tcPr>
            <w:tcW w:type="dxa" w:w="2520"/>
          </w:tcPr>
          <w:p>
            <w:r/>
            <w:r>
              <w:rPr>
                <w:sz w:val="15"/>
              </w:rPr>
              <w:t>−40% duration</w:t>
            </w:r>
          </w:p>
        </w:tc>
        <w:tc>
          <w:tcPr>
            <w:tcW w:type="dxa" w:w="1152"/>
            <w:shd w:val="clear" w:color="auto" w:fill="FCE5CD"/>
          </w:tcPr>
          <w:p>
            <w:r/>
            <w:r>
              <w:rPr>
                <w:sz w:val="15"/>
              </w:rPr>
              <w:t>High</w:t>
            </w:r>
          </w:p>
        </w:tc>
        <w:tc>
          <w:tcPr>
            <w:tcW w:type="dxa" w:w="1944"/>
          </w:tcPr>
          <w:p>
            <w:r/>
            <w:r>
              <w:rPr>
                <w:sz w:val="15"/>
              </w:rPr>
              <w:t>ESD (reduced monitoring, ¶32(b)); Minor/Major Deviation</w:t>
            </w:r>
          </w:p>
        </w:tc>
      </w:tr>
    </w:tbl>
    <w:p>
      <w:pPr>
        <w:spacing w:after="40"/>
      </w:pPr>
    </w:p>
    <w:p>
      <w:pPr>
        <w:spacing w:after="120"/>
      </w:pPr>
      <w:r>
        <w:rPr>
          <w:b/>
          <w:sz w:val="20"/>
        </w:rPr>
        <w:t>Cross-cutting requirements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gridCol w:w="2016"/>
        <w:gridCol w:w="2016"/>
      </w:tblGrid>
      <w:tr>
        <w:trPr>
          <w:tblHeader w:val="true"/>
        </w:trPr>
        <w:tc>
          <w:tcPr>
            <w:tcW w:type="dxa" w:w="504"/>
            <w:shd w:val="clear" w:color="auto" w:fill="D9E2F3"/>
          </w:tcPr>
          <w:p>
            <w:r/>
            <w:r>
              <w:rPr>
                <w:b/>
                <w:sz w:val="15"/>
              </w:rPr>
              <w:t>#</w:t>
            </w:r>
          </w:p>
        </w:tc>
        <w:tc>
          <w:tcPr>
            <w:tcW w:type="dxa" w:w="1872"/>
            <w:shd w:val="clear" w:color="auto" w:fill="D9E2F3"/>
          </w:tcPr>
          <w:p>
            <w:r/>
            <w:r>
              <w:rPr>
                <w:b/>
                <w:sz w:val="15"/>
              </w:rPr>
              <w:t>Component</w:t>
            </w:r>
          </w:p>
        </w:tc>
        <w:tc>
          <w:tcPr>
            <w:tcW w:type="dxa" w:w="3240"/>
            <w:shd w:val="clear" w:color="auto" w:fill="D9E2F3"/>
          </w:tcPr>
          <w:p>
            <w:r/>
            <w:r>
              <w:rPr>
                <w:b/>
                <w:sz w:val="15"/>
              </w:rPr>
              <w:t>ROD / CD requirement</w:t>
            </w:r>
          </w:p>
        </w:tc>
        <w:tc>
          <w:tcPr>
            <w:tcW w:type="dxa" w:w="2880"/>
            <w:shd w:val="clear" w:color="auto" w:fill="D9E2F3"/>
          </w:tcPr>
          <w:p>
            <w:r/>
            <w:r>
              <w:rPr>
                <w:b/>
                <w:sz w:val="15"/>
              </w:rPr>
              <w:t>RAWP as submitted</w:t>
            </w:r>
          </w:p>
        </w:tc>
        <w:tc>
          <w:tcPr>
            <w:tcW w:type="dxa" w:w="2520"/>
            <w:shd w:val="clear" w:color="auto" w:fill="D9E2F3"/>
          </w:tcPr>
          <w:p>
            <w:r/>
            <w:r>
              <w:rPr>
                <w:b/>
                <w:sz w:val="15"/>
              </w:rPr>
              <w:t>PDI memo / other evidence</w:t>
            </w:r>
          </w:p>
        </w:tc>
        <w:tc>
          <w:tcPr>
            <w:tcW w:type="dxa" w:w="1152"/>
            <w:shd w:val="clear" w:color="auto" w:fill="D9E2F3"/>
          </w:tcPr>
          <w:p>
            <w:r/>
            <w:r>
              <w:rPr>
                <w:b/>
                <w:sz w:val="15"/>
              </w:rPr>
              <w:t>Severity</w:t>
            </w:r>
          </w:p>
        </w:tc>
        <w:tc>
          <w:tcPr>
            <w:tcW w:type="dxa" w:w="1944"/>
            <w:shd w:val="clear" w:color="auto" w:fill="D9E2F3"/>
          </w:tcPr>
          <w:p>
            <w:r/>
            <w:r>
              <w:rPr>
                <w:b/>
                <w:sz w:val="15"/>
              </w:rPr>
              <w:t>CD treatment</w:t>
            </w:r>
          </w:p>
        </w:tc>
      </w:tr>
      <w:tr>
        <w:tc>
          <w:tcPr>
            <w:tcW w:type="dxa" w:w="504"/>
          </w:tcPr>
          <w:p>
            <w:r/>
            <w:r>
              <w:rPr>
                <w:sz w:val="15"/>
              </w:rPr>
              <w:t>28</w:t>
            </w:r>
          </w:p>
        </w:tc>
        <w:tc>
          <w:tcPr>
            <w:tcW w:type="dxa" w:w="1872"/>
          </w:tcPr>
          <w:p>
            <w:r/>
            <w:r>
              <w:rPr>
                <w:sz w:val="15"/>
              </w:rPr>
              <w:t>CAMP VOC action level</w:t>
            </w:r>
          </w:p>
        </w:tc>
        <w:tc>
          <w:tcPr>
            <w:tcW w:type="dxa" w:w="3240"/>
          </w:tcPr>
          <w:p>
            <w:r/>
            <w:r>
              <w:rPr>
                <w:sz w:val="15"/>
              </w:rPr>
              <w:t>5 ppmv total VOCs (15-min avg) at the fenceline (ROD §§2.12.6, 3.2.2; CD ¶26)</w:t>
            </w:r>
          </w:p>
        </w:tc>
        <w:tc>
          <w:tcPr>
            <w:tcW w:type="dxa" w:w="2880"/>
          </w:tcPr>
          <w:p>
            <w:r/>
            <w:r>
              <w:rPr>
                <w:sz w:val="15"/>
              </w:rPr>
              <w:t>10 ppmv (Table 9-1; §9.2)</w:t>
            </w:r>
          </w:p>
        </w:tc>
        <w:tc>
          <w:tcPr>
            <w:tcW w:type="dxa" w:w="2520"/>
          </w:tcPr>
          <w:p>
            <w:r/>
            <w:r>
              <w:rPr>
                <w:sz w:val="15"/>
              </w:rPr>
              <w:t>2× less protective. This was an express Responsiveness Summary commitment (ROD §3.2.2)</w:t>
            </w:r>
          </w:p>
        </w:tc>
        <w:tc>
          <w:tcPr>
            <w:tcW w:type="dxa" w:w="1152"/>
            <w:shd w:val="clear" w:color="auto" w:fill="F4CCCC"/>
          </w:tcPr>
          <w:p>
            <w:r/>
            <w:r>
              <w:rPr>
                <w:sz w:val="15"/>
              </w:rPr>
              <w:t>Critical</w:t>
            </w:r>
          </w:p>
        </w:tc>
        <w:tc>
          <w:tcPr>
            <w:tcW w:type="dxa" w:w="1944"/>
          </w:tcPr>
          <w:p>
            <w:r/>
            <w:r>
              <w:rPr>
                <w:sz w:val="15"/>
              </w:rPr>
              <w:t>Plan inconsistent with CD ¶26; EPA likely to reclassify as Major (¶52)</w:t>
            </w:r>
          </w:p>
        </w:tc>
      </w:tr>
      <w:tr>
        <w:tc>
          <w:tcPr>
            <w:tcW w:type="dxa" w:w="504"/>
          </w:tcPr>
          <w:p>
            <w:r/>
            <w:r>
              <w:rPr>
                <w:sz w:val="15"/>
              </w:rPr>
              <w:t>29</w:t>
            </w:r>
          </w:p>
        </w:tc>
        <w:tc>
          <w:tcPr>
            <w:tcW w:type="dxa" w:w="1872"/>
          </w:tcPr>
          <w:p>
            <w:r/>
            <w:r>
              <w:rPr>
                <w:sz w:val="15"/>
              </w:rPr>
              <w:t>CAMP scope and reporting</w:t>
            </w:r>
          </w:p>
        </w:tc>
        <w:tc>
          <w:tcPr>
            <w:tcW w:type="dxa" w:w="3240"/>
          </w:tcPr>
          <w:p>
            <w:r/>
            <w:r>
              <w:rPr>
                <w:sz w:val="15"/>
              </w:rPr>
              <w:t xml:space="preserve">All intrusive activities, including loading/hauling and thermal desorption; ≥4 </w:t>
            </w:r>
            <w:r>
              <w:rPr>
                <w:b/>
                <w:sz w:val="15"/>
              </w:rPr>
              <w:t>fenceline</w:t>
            </w:r>
            <w:r>
              <w:rPr>
                <w:sz w:val="15"/>
              </w:rPr>
              <w:t xml:space="preserve"> stations; NYSDOH CAMP guidance; data shared with the CAG via regular updates (ROD §2.12.6; CD ¶26)</w:t>
            </w:r>
          </w:p>
        </w:tc>
        <w:tc>
          <w:tcPr>
            <w:tcW w:type="dxa" w:w="2880"/>
          </w:tcPr>
          <w:p>
            <w:r/>
            <w:r>
              <w:rPr>
                <w:sz w:val="15"/>
              </w:rPr>
              <w:t>Limited to OU-1, OU-2, and OU-4 (no OU-3 trench, well, or injection work); stations at the “active work area perimeter”; community notice only if an exceedance lasts &gt;15 min; no CAG data sharing; no NYSDOH reference (§§9.1–9.3)</w:t>
            </w:r>
          </w:p>
        </w:tc>
        <w:tc>
          <w:tcPr>
            <w:tcW w:type="dxa" w:w="2520"/>
          </w:tcPr>
          <w:p>
            <w:r/>
            <w:r>
              <w:rPr>
                <w:sz w:val="15"/>
              </w:rPr>
              <w:t>PM-10 150 µg/m³ is compliant</w:t>
            </w:r>
          </w:p>
        </w:tc>
        <w:tc>
          <w:tcPr>
            <w:tcW w:type="dxa" w:w="1152"/>
            <w:shd w:val="clear" w:color="auto" w:fill="FFF2CC"/>
          </w:tcPr>
          <w:p>
            <w:r/>
            <w:r>
              <w:rPr>
                <w:sz w:val="15"/>
              </w:rPr>
              <w:t>Moderate</w:t>
            </w:r>
          </w:p>
        </w:tc>
        <w:tc>
          <w:tcPr>
            <w:tcW w:type="dxa" w:w="1944"/>
          </w:tcPr>
          <w:p>
            <w:r/>
            <w:r>
              <w:rPr>
                <w:sz w:val="15"/>
              </w:rPr>
              <w:t>Minor Deviation (¶51(v))</w:t>
            </w:r>
          </w:p>
        </w:tc>
      </w:tr>
      <w:tr>
        <w:tc>
          <w:tcPr>
            <w:tcW w:type="dxa" w:w="504"/>
          </w:tcPr>
          <w:p>
            <w:r/>
            <w:r>
              <w:rPr>
                <w:sz w:val="15"/>
              </w:rPr>
              <w:t>30</w:t>
            </w:r>
          </w:p>
        </w:tc>
        <w:tc>
          <w:tcPr>
            <w:tcW w:type="dxa" w:w="1872"/>
          </w:tcPr>
          <w:p>
            <w:r/>
            <w:r>
              <w:rPr>
                <w:sz w:val="15"/>
              </w:rPr>
              <w:t>Haul route</w:t>
            </w:r>
          </w:p>
        </w:tc>
        <w:tc>
          <w:tcPr>
            <w:tcW w:type="dxa" w:w="3240"/>
          </w:tcPr>
          <w:p>
            <w:r/>
            <w:r>
              <w:rPr>
                <w:sz w:val="15"/>
              </w:rPr>
              <w:t>State Route 47 to I-71 only; no traffic through Millhaven Heights; applies to on-site transfers too (ROD §2.12.6, Fig. 7; CD ¶27)</w:t>
            </w:r>
          </w:p>
        </w:tc>
        <w:tc>
          <w:tcPr>
            <w:tcW w:type="dxa" w:w="2880"/>
          </w:tcPr>
          <w:p>
            <w:r/>
            <w:r>
              <w:rPr>
                <w:sz w:val="15"/>
              </w:rPr>
              <w:t>County Road 12 to I-71, chosen as “most direct” (§10.1; Fig. 10-1)</w:t>
            </w:r>
          </w:p>
        </w:tc>
        <w:tc>
          <w:tcPr>
            <w:tcW w:type="dxa" w:w="2520"/>
          </w:tcPr>
          <w:p>
            <w:r/>
            <w:r>
              <w:rPr>
                <w:sz w:val="15"/>
              </w:rPr>
              <w:t>CAG: CR-12 runs through Millhaven Heights (≈200 homes, Little Stars daycare, Millhaven Heights Elementary)</w:t>
            </w:r>
          </w:p>
        </w:tc>
        <w:tc>
          <w:tcPr>
            <w:tcW w:type="dxa" w:w="1152"/>
            <w:shd w:val="clear" w:color="auto" w:fill="F4CCCC"/>
          </w:tcPr>
          <w:p>
            <w:r/>
            <w:r>
              <w:rPr>
                <w:sz w:val="15"/>
              </w:rPr>
              <w:t>Critical</w:t>
            </w:r>
          </w:p>
        </w:tc>
        <w:tc>
          <w:tcPr>
            <w:tcW w:type="dxa" w:w="1944"/>
          </w:tcPr>
          <w:p>
            <w:r/>
            <w:r>
              <w:rPr>
                <w:sz w:val="15"/>
              </w:rPr>
              <w:t>Minor Deviation per day (¶51(iii)); high reclassification risk (¶52)</w:t>
            </w:r>
          </w:p>
        </w:tc>
      </w:tr>
      <w:tr>
        <w:tc>
          <w:tcPr>
            <w:tcW w:type="dxa" w:w="504"/>
          </w:tcPr>
          <w:p>
            <w:r/>
            <w:r>
              <w:rPr>
                <w:sz w:val="15"/>
              </w:rPr>
              <w:t>31</w:t>
            </w:r>
          </w:p>
        </w:tc>
        <w:tc>
          <w:tcPr>
            <w:tcW w:type="dxa" w:w="1872"/>
          </w:tcPr>
          <w:p>
            <w:r/>
            <w:r>
              <w:rPr>
                <w:sz w:val="15"/>
              </w:rPr>
              <w:t>HASP regulatory basis</w:t>
            </w:r>
          </w:p>
        </w:tc>
        <w:tc>
          <w:tcPr>
            <w:tcW w:type="dxa" w:w="3240"/>
          </w:tcPr>
          <w:p>
            <w:r/>
            <w:r>
              <w:rPr>
                <w:sz w:val="15"/>
              </w:rPr>
              <w:t>29 CFR 1910.120 (HAZWOPER), including 40-hr/8-hr training, work zones, medical surveillance, decontamination, and site control (ROD §2.12.6; CD ¶28)</w:t>
            </w:r>
          </w:p>
        </w:tc>
        <w:tc>
          <w:tcPr>
            <w:tcW w:type="dxa" w:w="2880"/>
          </w:tcPr>
          <w:p>
            <w:r/>
            <w:r>
              <w:rPr>
                <w:sz w:val="15"/>
              </w:rPr>
              <w:t>Prepared under 29 CFR 1926.65 (§11.1; App. H); training and zone requirements not described</w:t>
            </w:r>
          </w:p>
        </w:tc>
        <w:tc>
          <w:tcPr>
            <w:tcW w:type="dxa" w:w="2520"/>
          </w:tcPr>
          <w:p>
            <w:r/>
            <w:r>
              <w:rPr>
                <w:sz w:val="15"/>
              </w:rPr>
              <w:t>1926.65 is the construction-industry parallel, but the CD specifies 1910.120. App. H is labeled both HASP and Community Notification Plan</w:t>
            </w:r>
          </w:p>
        </w:tc>
        <w:tc>
          <w:tcPr>
            <w:tcW w:type="dxa" w:w="1152"/>
            <w:shd w:val="clear" w:color="auto" w:fill="FFF2CC"/>
          </w:tcPr>
          <w:p>
            <w:r/>
            <w:r>
              <w:rPr>
                <w:sz w:val="15"/>
              </w:rPr>
              <w:t>Moderate</w:t>
            </w:r>
          </w:p>
        </w:tc>
        <w:tc>
          <w:tcPr>
            <w:tcW w:type="dxa" w:w="1944"/>
          </w:tcPr>
          <w:p>
            <w:r/>
            <w:r>
              <w:rPr>
                <w:sz w:val="15"/>
              </w:rPr>
              <w:t>Minor Deviation (¶51(ii), (v))</w:t>
            </w:r>
          </w:p>
        </w:tc>
      </w:tr>
      <w:tr>
        <w:tc>
          <w:tcPr>
            <w:tcW w:type="dxa" w:w="504"/>
          </w:tcPr>
          <w:p>
            <w:r/>
            <w:r>
              <w:rPr>
                <w:sz w:val="15"/>
              </w:rPr>
              <w:t>32</w:t>
            </w:r>
          </w:p>
        </w:tc>
        <w:tc>
          <w:tcPr>
            <w:tcW w:type="dxa" w:w="1872"/>
          </w:tcPr>
          <w:p>
            <w:r/>
            <w:r>
              <w:rPr>
                <w:sz w:val="15"/>
              </w:rPr>
              <w:t>ARARs</w:t>
            </w:r>
          </w:p>
        </w:tc>
        <w:tc>
          <w:tcPr>
            <w:tcW w:type="dxa" w:w="3240"/>
          </w:tcPr>
          <w:p>
            <w:r/>
            <w:r>
              <w:rPr>
                <w:sz w:val="15"/>
              </w:rPr>
              <w:t xml:space="preserve">47 ARARs; a compliance demonstration for </w:t>
            </w:r>
            <w:r>
              <w:rPr>
                <w:b/>
                <w:sz w:val="15"/>
              </w:rPr>
              <w:t>each</w:t>
            </w:r>
            <w:r>
              <w:rPr>
                <w:sz w:val="15"/>
              </w:rPr>
              <w:t xml:space="preserve"> (ROD §2.13, Table 2-1; CD ¶¶18(vii), 29)</w:t>
            </w:r>
          </w:p>
        </w:tc>
        <w:tc>
          <w:tcPr>
            <w:tcW w:type="dxa" w:w="2880"/>
          </w:tcPr>
          <w:p>
            <w:r/>
            <w:r>
              <w:rPr>
                <w:sz w:val="15"/>
              </w:rPr>
              <w:t>39 ARARs; an “applicability” column only, no per-ARAR demonstration (§12; Table 12-1). Omits the 1,4-dioxane HAL and other ROD ARARs; adds a POTW pretreatment ARAR that the ROD expressly rejected</w:t>
            </w:r>
          </w:p>
        </w:tc>
        <w:tc>
          <w:tcPr>
            <w:tcW w:type="dxa" w:w="2520"/>
          </w:tcPr>
          <w:p>
            <w:r/>
            <w:r>
              <w:rPr>
                <w:sz w:val="15"/>
              </w:rPr>
              <w:t>See Part VI.C crosswalk</w:t>
            </w:r>
          </w:p>
        </w:tc>
        <w:tc>
          <w:tcPr>
            <w:tcW w:type="dxa" w:w="1152"/>
            <w:shd w:val="clear" w:color="auto" w:fill="FCE5CD"/>
          </w:tcPr>
          <w:p>
            <w:r/>
            <w:r>
              <w:rPr>
                <w:sz w:val="15"/>
              </w:rPr>
              <w:t>High</w:t>
            </w:r>
          </w:p>
        </w:tc>
        <w:tc>
          <w:tcPr>
            <w:tcW w:type="dxa" w:w="1944"/>
          </w:tcPr>
          <w:p>
            <w:r/>
            <w:r>
              <w:rPr>
                <w:sz w:val="15"/>
              </w:rPr>
              <w:t>Minor Deviation (¶51(ii): incomplete ARAR matrix); substantive ARAR non-compliance tied to items 15, 17, 18</w:t>
            </w:r>
          </w:p>
        </w:tc>
      </w:tr>
      <w:tr>
        <w:tc>
          <w:tcPr>
            <w:tcW w:type="dxa" w:w="504"/>
          </w:tcPr>
          <w:p>
            <w:r/>
            <w:r>
              <w:rPr>
                <w:sz w:val="15"/>
              </w:rPr>
              <w:t>33</w:t>
            </w:r>
          </w:p>
        </w:tc>
        <w:tc>
          <w:tcPr>
            <w:tcW w:type="dxa" w:w="1872"/>
          </w:tcPr>
          <w:p>
            <w:r/>
            <w:r>
              <w:rPr>
                <w:sz w:val="15"/>
              </w:rPr>
              <w:t>Cost estimate</w:t>
            </w:r>
          </w:p>
        </w:tc>
        <w:tc>
          <w:tcPr>
            <w:tcW w:type="dxa" w:w="3240"/>
          </w:tcPr>
          <w:p>
            <w:r/>
            <w:r>
              <w:rPr>
                <w:sz w:val="15"/>
              </w:rPr>
              <w:t>$89.4M PV (ROD §2.14; CD recitals); +50%/−30% accuracy</w:t>
            </w:r>
          </w:p>
        </w:tc>
        <w:tc>
          <w:tcPr>
            <w:tcW w:type="dxa" w:w="2880"/>
          </w:tcPr>
          <w:p>
            <w:r/>
            <w:r>
              <w:rPr>
                <w:sz w:val="15"/>
              </w:rPr>
              <w:t>$72.1M PV (−19.4%); capital $46.0M vs. $69.0M; O&amp;M discounted over 30 yrs despite a 45-yr projection (§14.1)</w:t>
            </w:r>
          </w:p>
        </w:tc>
        <w:tc>
          <w:tcPr>
            <w:tcW w:type="dxa" w:w="2520"/>
          </w:tcPr>
          <w:p>
            <w:r/>
            <w:r>
              <w:rPr>
                <w:sz w:val="15"/>
              </w:rPr>
              <w:t>The cut is driven by scope reductions, not unit-cost refinement. OU-3 capital −48%. CAG flagged the reduction</w:t>
            </w:r>
          </w:p>
        </w:tc>
        <w:tc>
          <w:tcPr>
            <w:tcW w:type="dxa" w:w="1152"/>
            <w:shd w:val="clear" w:color="auto" w:fill="FCE5CD"/>
          </w:tcPr>
          <w:p>
            <w:r/>
            <w:r>
              <w:rPr>
                <w:sz w:val="15"/>
              </w:rPr>
              <w:t>High</w:t>
            </w:r>
          </w:p>
        </w:tc>
        <w:tc>
          <w:tcPr>
            <w:tcW w:type="dxa" w:w="1944"/>
          </w:tcPr>
          <w:p>
            <w:r/>
            <w:r>
              <w:rPr>
                <w:sz w:val="15"/>
              </w:rPr>
              <w:t>Evidence of scope reduction; financial assurance stays at $89.4M (CD ¶81)</w:t>
            </w:r>
          </w:p>
        </w:tc>
      </w:tr>
      <w:tr>
        <w:tc>
          <w:tcPr>
            <w:tcW w:type="dxa" w:w="504"/>
          </w:tcPr>
          <w:p>
            <w:r/>
            <w:r>
              <w:rPr>
                <w:sz w:val="15"/>
              </w:rPr>
              <w:t>34</w:t>
            </w:r>
          </w:p>
        </w:tc>
        <w:tc>
          <w:tcPr>
            <w:tcW w:type="dxa" w:w="1872"/>
          </w:tcPr>
          <w:p>
            <w:r/>
            <w:r>
              <w:rPr>
                <w:sz w:val="15"/>
              </w:rPr>
              <w:t>Required certifications</w:t>
            </w:r>
          </w:p>
        </w:tc>
        <w:tc>
          <w:tcPr>
            <w:tcW w:type="dxa" w:w="3240"/>
          </w:tcPr>
          <w:p>
            <w:r/>
            <w:r>
              <w:rPr>
                <w:sz w:val="15"/>
              </w:rPr>
              <w:t>CCH certification by D. Yamashita “under penalty of law” on all deliverables (CD ¶47)</w:t>
            </w:r>
          </w:p>
        </w:tc>
        <w:tc>
          <w:tcPr>
            <w:tcW w:type="dxa" w:w="2880"/>
          </w:tcPr>
          <w:p>
            <w:r/>
            <w:r>
              <w:rPr>
                <w:sz w:val="15"/>
              </w:rPr>
              <w:t>Only a P.E. certification (Brannick) that the plan “conforms to applicable engineering standards” (not to the ROD)</w:t>
            </w:r>
          </w:p>
        </w:tc>
        <w:tc>
          <w:tcPr>
            <w:tcW w:type="dxa" w:w="2520"/>
          </w:tcPr>
          <w:p>
            <w:r/>
            <w:r>
              <w:rPr>
                <w:sz w:val="15"/>
              </w:rPr>
              <w:t>P.E. number differs: 67842 (RAWP) vs. PE-68245 (PDI memo)</w:t>
            </w:r>
          </w:p>
        </w:tc>
        <w:tc>
          <w:tcPr>
            <w:tcW w:type="dxa" w:w="1152"/>
            <w:shd w:val="clear" w:color="auto" w:fill="FFF2CC"/>
          </w:tcPr>
          <w:p>
            <w:r/>
            <w:r>
              <w:rPr>
                <w:sz w:val="15"/>
              </w:rPr>
              <w:t>Moderate</w:t>
            </w:r>
          </w:p>
        </w:tc>
        <w:tc>
          <w:tcPr>
            <w:tcW w:type="dxa" w:w="1944"/>
          </w:tcPr>
          <w:p>
            <w:r/>
            <w:r>
              <w:rPr>
                <w:sz w:val="15"/>
              </w:rPr>
              <w:t>Minor Deviation (¶51(ii)); correct before resubmission</w:t>
            </w:r>
          </w:p>
        </w:tc>
      </w:tr>
      <w:tr>
        <w:tc>
          <w:tcPr>
            <w:tcW w:type="dxa" w:w="504"/>
          </w:tcPr>
          <w:p>
            <w:r/>
            <w:r>
              <w:rPr>
                <w:sz w:val="15"/>
              </w:rPr>
              <w:t>35</w:t>
            </w:r>
          </w:p>
        </w:tc>
        <w:tc>
          <w:tcPr>
            <w:tcW w:type="dxa" w:w="1872"/>
          </w:tcPr>
          <w:p>
            <w:r/>
            <w:r>
              <w:rPr>
                <w:sz w:val="15"/>
              </w:rPr>
              <w:t>Timeliness of RAWP</w:t>
            </w:r>
          </w:p>
        </w:tc>
        <w:tc>
          <w:tcPr>
            <w:tcW w:type="dxa" w:w="3240"/>
          </w:tcPr>
          <w:p>
            <w:r/>
            <w:r>
              <w:rPr>
                <w:sz w:val="15"/>
              </w:rPr>
              <w:t>Due within 36 months of the Effective Date (CD ¶17)</w:t>
            </w:r>
          </w:p>
        </w:tc>
        <w:tc>
          <w:tcPr>
            <w:tcW w:type="dxa" w:w="2880"/>
          </w:tcPr>
          <w:p>
            <w:r/>
            <w:r>
              <w:rPr>
                <w:sz w:val="15"/>
              </w:rPr>
              <w:t>Submitted Jan. 15, 2025</w:t>
            </w:r>
          </w:p>
        </w:tc>
        <w:tc>
          <w:tcPr>
            <w:tcW w:type="dxa" w:w="2520"/>
          </w:tcPr>
          <w:p>
            <w:r/>
            <w:r>
              <w:rPr>
                <w:sz w:val="15"/>
              </w:rPr>
              <w:t>Effective Date is unclear: “March 2020” (RAWP), entered March 12, 2020 (PDI), entered April 28, 2020 (ROD §2.2). On any of these dates the RAWP is ≈21–22 months late unless EPA extended the deadline</w:t>
            </w:r>
          </w:p>
        </w:tc>
        <w:tc>
          <w:tcPr>
            <w:tcW w:type="dxa" w:w="1152"/>
            <w:shd w:val="clear" w:color="auto" w:fill="FFF2CC"/>
          </w:tcPr>
          <w:p>
            <w:r/>
            <w:r>
              <w:rPr>
                <w:sz w:val="15"/>
              </w:rPr>
              <w:t>Moderate</w:t>
            </w:r>
          </w:p>
        </w:tc>
        <w:tc>
          <w:tcPr>
            <w:tcW w:type="dxa" w:w="1944"/>
          </w:tcPr>
          <w:p>
            <w:r/>
            <w:r>
              <w:rPr>
                <w:sz w:val="15"/>
              </w:rPr>
              <w:t>Minor Deviation (¶51(i)); verify extension history</w:t>
            </w:r>
          </w:p>
        </w:tc>
      </w:tr>
    </w:tbl>
    <w:p>
      <w:pPr>
        <w:spacing w:after="40"/>
      </w:pPr>
    </w:p>
    <w:p>
      <w:pPr>
        <w:sectPr>
          <w:pgSz w:w="15840" w:h="12240" w:orient="landscape"/>
          <w:pgMar w:top="1440" w:right="864" w:bottom="1440" w:left="864" w:header="720" w:footer="720" w:gutter="0"/>
          <w:cols w:space="720"/>
          <w:docGrid w:linePitch="360"/>
        </w:sectPr>
      </w:pPr>
    </w:p>
    <w:p>
      <w:pPr>
        <w:pStyle w:val="Heading1"/>
      </w:pPr>
      <w:r>
        <w:t>V. Discussion of Principal Gaps</w:t>
      </w:r>
    </w:p>
    <w:p>
      <w:pPr>
        <w:pStyle w:val="Heading2"/>
      </w:pPr>
      <w:r>
        <w:t>A. OU-3: the three ROD Amendment-level changes</w:t>
      </w:r>
    </w:p>
    <w:p>
      <w:pPr>
        <w:spacing w:after="120"/>
      </w:pPr>
      <w:r>
        <w:rPr>
          <w:b/>
        </w:rPr>
        <w:t>1,4-Dioxane cleanup level (Item 17).</w:t>
      </w:r>
      <w:r>
        <w:t xml:space="preserve"> The ROD set 0.35 µg/L deliberately. It identified the Health Advisory Level as a relevant and appropriate ARAR (Table 2-1, #4) and selected it over Ohio’s generic screening level because of the site-specific risk findings and the wellfield 1.8 miles downgradient (ROD §2.12.4). Ohio EPA, the agency whose “standard” the RAWP now invokes, commented in favor of 0.35 µg/L precisely because it is more stringent than the Ohio level (ROD §3.2.5). The CD repeats 0.35 µg/L four times (¶¶5(k)(ii), 24(b)(iii), 24(e), 98), including as a condition of termination. Any change to a cleanup level is a fundamental change requiring a ROD Amendment with public comment (CD ¶32(c); 40 C.F.R. § 300.435(c)(2)(ii)). A RAWP cannot make that change. EPA will almost certainly reject it, and the change would be the centerpiece of any public process the CAG has asked to join.</w:t>
      </w:r>
    </w:p>
    <w:p>
      <w:pPr>
        <w:spacing w:after="120"/>
      </w:pPr>
      <w:r>
        <w:rPr>
          <w:b/>
        </w:rPr>
        <w:t>AOP omission (Item 18).</w:t>
      </w:r>
      <w:r>
        <w:t xml:space="preserve"> The treatment-train omission is the most indefensible gap on the record. The ROD’s alternatives analysis rejected pump-and-treat without AOP (OU-3 Alternative 3) because GAC and air stripping cannot meet 0.35 µg/L for 1,4-dioxane (ROD §2.9.3). The selected remedy includes AOP “specifically” for 1,4-dioxane and calls it “essential” (ROD §2.12.4). CD ¶32(c) names “elimination of advanced oxidation processes” as an example of a fundamental change, and CD ¶50 names “a treatment system that does not include a required technology component” as a Major Deviation. That deviation accrues from the day the plant becomes operational, at $5,000/day, until it is cured. The RAWP offers no bench, pilot, or vendor data that GAC will remove 1,4-dioxane. The two changes also reinforce each other: dropping AOP is only arguable at the 3.5 µg/L level, so both fall together. The CAG’s first question was whether AOP is included (CAG letter ¶3). The honest answer is that it is not.</w:t>
      </w:r>
    </w:p>
    <w:p>
      <w:pPr>
        <w:spacing w:after="120"/>
      </w:pPr>
      <w:r>
        <w:rPr>
          <w:b/>
        </w:rPr>
        <w:t>45-year timeframe (Item 23).</w:t>
      </w:r>
      <w:r>
        <w:t xml:space="preserve"> The RAWP itself projects that groundwater RAOs will take about 45 years (§13.2), while restating the 30-year standard in §2.1. A remedy designed to miss the RAO timeframe is a fundamental change (CD ¶32(c)). Missing the 30-year timeframe is also a Major Deviation in its own right (CD ¶¶30, 49(v)). The RAWP also moves the start of the clock from “initial system startup” (ROD §2.8) to “full-scale system operation,” which is a further unapproved change. In effect, the RAWP’s own model shows the cumulative effect of the OU-1 source-removal reductions (Items 1, 5, 6) and the OU-3 reductions (Items 19, 21). It is evidence against the RAWP, not support for it.</w:t>
      </w:r>
    </w:p>
    <w:p>
      <w:pPr>
        <w:pStyle w:val="Heading2"/>
      </w:pPr>
      <w:r>
        <w:t>B. OU-3: hydraulic containment and wellfield protection</w:t>
      </w:r>
    </w:p>
    <w:p>
      <w:pPr>
        <w:spacing w:after="120"/>
      </w:pPr>
      <w:r>
        <w:t>Wellfield protection is the ROD’s primary driver (ROD §§2.1, 2.7.1, 3.2.3). The ROD requires capture of the full plume width plus 200 feet on each side. On the ROD and RAWP plume dimensions (0.4 mile ≈ 2,112 ft), that is roughly 2,500 feet of capture. The RAWP’s 2,000-foot alignment is shorter than the plume itself. It also substitutes discrete wells for the ROD’s extraction trench, drops quarterly capture-zone verification, and rests the capture demonstration on an updated model (App. I). That model uses hydrogeologic parameters that differ markedly from the ROD: saturated thickness of 25–40 ft against 8–12 ft, and a geometric-mean K of about 4×10⁻³ cm/s (≈11 ft/day) against 28 ft/day. The model is not described in the PDI memo, whose scope was limited to OU-1 and OU-2. Together with the 28-well network, semi-annual-only sampling, and a possible move to annual sampling, the design has less capture margin and less early-warning capability than the ROD requires. The proposed extraction-well depths of 30–45 ft also need engineering scrutiny. On the ROD’s stratigraphy, wells that deep may penetrate the clay aquitard that separates the shallow plume from the bedrock aquifer serving the wellfield (ROD §2.5.1). If EPA reads the design that way, it is a protectiveness issue, not a cost issue.</w:t>
      </w:r>
    </w:p>
    <w:p>
      <w:pPr>
        <w:pStyle w:val="Heading2"/>
      </w:pPr>
      <w:r>
        <w:t>C. OU-1: source removal and SEE</w:t>
      </w:r>
    </w:p>
    <w:p>
      <w:pPr>
        <w:spacing w:after="120"/>
      </w:pPr>
      <w:r>
        <w:t xml:space="preserve">The PDI data do not support a uniform 12-ft excavation. Five of the twelve borings, clustered over the central and eastern DNAPL area, exceed industrial PRGs at 13.5–15.0 ft. Some exceed by multiples: Cr(VI) at 42 mg/kg is about 7× the PRG, and TCE at 18 mg/kg is about 5.6× the PRG. Terraverde’s memo recommends keeping 15 ft as the default and reducing to 12 ft only where confirmation sampling at the 12-ft horizon is clean (PDI §5.1). The RAWP presents the PDI’s 38,200-cy “blended” volume while specifying a uniform 12-ft maximum, so the volume and the design do not match. Because the RAWP’s volume reduction (9.0%) is just under the 10% ESD trigger in CD ¶32(b), CCH may be tempted to argue that no ESD is needed. We do not recommend that argument. Depth is an independent Performance Standard (CD ¶5(k)(iii)). The ROD sets 15 ft as a </w:t>
      </w:r>
      <w:r>
        <w:rPr>
          <w:b/>
        </w:rPr>
        <w:t>minimum</w:t>
      </w:r>
      <w:r>
        <w:t xml:space="preserve"> across OU-1. The ¶32(b) examples are “without limitation.” And EPA alone decides the classification (¶33). Even the PDI’s variable-depth approach departs from the ROD’s “minimum 15 ft” language. It should go to EPA as a formal ¶35 request, not be built into a RAWP.</w:t>
      </w:r>
    </w:p>
    <w:p>
      <w:pPr>
        <w:spacing w:after="120"/>
      </w:pPr>
      <w:r>
        <w:t>On SEE, the RAWP reduces the well pairs to 12 and the source zone to 1.5 acres. The ROD says 3.5 acres; the PDI says 2.8 acres. Those reductions contradict the ROD’s “shall maintain the minimum of 14” and the PDI’s explicit advice. The pilot data also suggest a further engineering question that cuts against any reduction. At the observed 10–15-ft effective radii, 12 or even 14 single-injector pairs would heat only a small fraction of a 1.5–3.5-acre zone (about 0.15 acre at a 12-ft radius). Either the full-scale design depends on details not stated in the RAWP text (App. C), or the source zone is under-designed even at 14 pairs. Either way, there is no basis to go below the ROD minimum.</w:t>
      </w:r>
    </w:p>
    <w:p>
      <w:pPr>
        <w:spacing w:after="120"/>
      </w:pPr>
      <w:r>
        <w:t>The 5 mg/kg thermal standard is a relaxed treatment standard, an ESD-level change (CD ¶32(b)). Its only justification is “functionally equivalent,” which CD ¶36 expressly rejects. The ROD applies 1 mg/kg “regardless of intended reuse” to prevent recontamination of the subsurface (ROD §2.12.2). The RAWP also treats only VOC-impacted soils and screens backfill only for VOCs. As a result, soils excavated because they exceed the Cr(VI), PCP, or BaP PRGs, which LTTD does not reliably address (Cr(VI) in particular), could be placed back in the excavation. That gap should be closed regardless of the treatment-standard issue.</w:t>
      </w:r>
    </w:p>
    <w:p>
      <w:pPr>
        <w:pStyle w:val="Heading2"/>
      </w:pPr>
      <w:r>
        <w:t>D. OU-2: lagoon removal and containment cell</w:t>
      </w:r>
    </w:p>
    <w:p>
      <w:pPr>
        <w:spacing w:after="120"/>
      </w:pPr>
      <w:r>
        <w:t>The RAWP’s 10-ft excavation is the PDI’s “not recommended” comparison scenario. A 10-ft cut leaves 1.5–3.0 ft of contaminated material on top of the clay at every boring and defeats RAO OU-2-1, which is to prevent migration from lagoon materials to groundwater. The 15.4% volume reduction exceeds the CD’s 10% ESD threshold on its face. The liner change from 60-mil/24-in. to 40-mil/18-in. contradicts the ROD, CD ¶23(b), and Pinnacle’s recommendation. CD ¶50 specifically lists “a containment cell constructed with a liner system that does not meet ROD specifications” as a continuing Major Deviation. The RAWP’s statement that the reduced liner satisfies 40 CFR 264.310 does not cure the problem, because the ROD and CD set the specification independently of the ARAR. Sending leachate to the Millhaven POTW replaces a ROD-specified remedy component, reverses the ROD’s ARAR finding that the site would not discharge to a POTW (Table 2-1, #34), and adds an off-site pretreatment-permit dependency that the ROD avoided. The 30,000-cy cell is sized to the reduced excavation. It must be re-sized for the full ROD volume, bulking, and any OU-4 soils CCH elects to consolidate (CD ¶25(a)).</w:t>
      </w:r>
    </w:p>
    <w:p>
      <w:pPr>
        <w:pStyle w:val="Heading2"/>
      </w:pPr>
      <w:r>
        <w:t>E. OU-4: riparian corridor</w:t>
      </w:r>
    </w:p>
    <w:p>
      <w:pPr>
        <w:spacing w:after="120"/>
      </w:pPr>
      <w:r>
        <w:t>The RAWP keeps the 3-ft depth and appropriately schedules work for July–October, outside the April–June spawning restriction. However, it reduces the volume by 13.2%, attributing the reduction to PDI data that do not appear in the PDI memo. It also drops ODNR as co-approver of the Habitat Restoration Plan, shortens monitoring from five to three years, thins surface-water monitoring after Year 1, substitutes Ohio EPA benthic protocols for the RI protocols and reference stations required for a valid before-and-after comparison, and makes contingency planting discretionary. Each change is contrary to ROD §2.12.5 and CD ¶25. Several of them (ODNR approval, the 5-year program) were specifically endorsed by Ohio EPA in its ROD comments (ROD §3.2.5).</w:t>
      </w:r>
    </w:p>
    <w:p>
      <w:pPr>
        <w:pStyle w:val="Heading1"/>
      </w:pPr>
      <w:r>
        <w:t>VI. Cross-Cutting Requirements</w:t>
      </w:r>
    </w:p>
    <w:p>
      <w:pPr>
        <w:pStyle w:val="Heading2"/>
      </w:pPr>
      <w:r>
        <w:t>A. Community Air Monitoring and Haul Route</w:t>
      </w:r>
    </w:p>
    <w:p>
      <w:pPr>
        <w:spacing w:after="120"/>
      </w:pPr>
      <w:r>
        <w:t>These two items carry outsized enforcement and reputational risk because they were explicit commitments in EPA’s Responsiveness Summary (ROD §3.2.2), and the CAG has already raised both with EPA. Doubling the VOC fenceline trigger to 10 ppmv contradicts the ROD and CD ¶26. Under the CD, CAMP deficiencies are Minor Deviations ($1,500/day, ¶51(v)), but EPA may reclassify any deviation that “has the potential to compromise … the protection of human health” (¶52). A relaxed VOC trigger next to homes with children and asthmatic residents (CAG letter ¶4) is a likely candidate. The CAMP also omits OU-3 intrusive work (trenching, well drilling, injections), places stations at the work-area perimeter rather than the fenceline, has no CAG reporting, and does not reference the NYSDOH guidance named in CD ¶26.</w:t>
      </w:r>
    </w:p>
    <w:p>
      <w:pPr>
        <w:spacing w:after="120"/>
      </w:pPr>
      <w:r>
        <w:t xml:space="preserve">The County Road 12 route violates ROD §2.12.6 and CD ¶27, which require State Route 47 to I-71 and forbid any routing through Millhaven Heights. The RAWP’s only justification is directness (§10.1). CD ¶51(iii) classifies route deviations as Minor, but each truck day would be a separate day of non-compliance, and the facts the CAG cites (a daycare, an elementary school, a narrow road, hundreds of loads) make reclassification under ¶52 realistic. Separately, the RAWP routes trucks “south on County Road 12” from Old Mill Road, whereas the ROD describes Old Mill Road as connecting to SR-47 about 0.5 mile </w:t>
      </w:r>
      <w:r>
        <w:rPr>
          <w:b/>
        </w:rPr>
        <w:t>north</w:t>
      </w:r>
      <w:r>
        <w:t xml:space="preserve"> (ROD §2.1). The ROD-compliant route appears to be readily available.</w:t>
      </w:r>
    </w:p>
    <w:p>
      <w:pPr>
        <w:pStyle w:val="Heading2"/>
      </w:pPr>
      <w:r>
        <w:t>B. Health and Safety Plan</w:t>
      </w:r>
    </w:p>
    <w:p>
      <w:pPr>
        <w:spacing w:after="120"/>
      </w:pPr>
      <w:r>
        <w:t>CD ¶28 and ROD §2.12.6 require a HASP compliant with 29 CFR 1910.120. The RAWP and Appendix H cite 29 CFR 1926.65. The two standards are substantively parallel, but CD ¶51(ii) expressly treats “incorrect regulatory citations in plans” as a Minor Deviation. The fix is trivial and should be made. The RAWP summary also does not describe the 40-hour/8-hour HAZWOPER training, the exclusion/contamination-reduction/support zones, or decontamination procedures that the ROD and CD ¶28 call for. Appendix H is also described as both the HASP and the Community Notification Plan (RAWP §§9.3, 11.1). That labeling should be corrected.</w:t>
      </w:r>
    </w:p>
    <w:p>
      <w:pPr>
        <w:pStyle w:val="Heading2"/>
      </w:pPr>
      <w:r>
        <w:t>C. ARARs Crosswalk</w:t>
      </w:r>
    </w:p>
    <w:p>
      <w:pPr>
        <w:spacing w:after="120"/>
      </w:pPr>
      <w:r>
        <w:t xml:space="preserve">CD ¶¶18(vii) and 29 require a compliance demonstration for </w:t>
      </w:r>
      <w:r>
        <w:rPr>
          <w:b/>
        </w:rPr>
        <w:t>each</w:t>
      </w:r>
      <w:r>
        <w:t xml:space="preserve"> of the 47 ROD ARARs. RAWP Table 12-1 lists 39 requirements and gives only a one-line “applicability” entry for each. The crosswalk below compares the RAWP against ROD Table 2-1.</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val="clear" w:color="auto" w:fill="D9E2F3"/>
          </w:tcPr>
          <w:p>
            <w:r/>
            <w:r>
              <w:rPr>
                <w:b/>
                <w:sz w:val="16"/>
              </w:rPr>
              <w:t>Status</w:t>
            </w:r>
          </w:p>
        </w:tc>
        <w:tc>
          <w:tcPr>
            <w:tcW w:type="dxa" w:w="4752"/>
            <w:shd w:val="clear" w:color="auto" w:fill="D9E2F3"/>
          </w:tcPr>
          <w:p>
            <w:r/>
            <w:r>
              <w:rPr>
                <w:b/>
                <w:sz w:val="16"/>
              </w:rPr>
              <w:t>ROD ARARs (Table 2-1 No.)</w:t>
            </w:r>
          </w:p>
        </w:tc>
        <w:tc>
          <w:tcPr>
            <w:tcW w:type="dxa" w:w="2736"/>
            <w:shd w:val="clear" w:color="auto" w:fill="D9E2F3"/>
          </w:tcPr>
          <w:p>
            <w:r/>
            <w:r>
              <w:rPr>
                <w:b/>
                <w:sz w:val="16"/>
              </w:rPr>
              <w:t>Comment</w:t>
            </w:r>
          </w:p>
        </w:tc>
      </w:tr>
      <w:tr>
        <w:tc>
          <w:tcPr>
            <w:tcW w:type="dxa" w:w="1872"/>
          </w:tcPr>
          <w:p>
            <w:r/>
            <w:r>
              <w:rPr>
                <w:sz w:val="16"/>
              </w:rPr>
              <w:t>Omitted entirely</w:t>
            </w:r>
          </w:p>
        </w:tc>
        <w:tc>
          <w:tcPr>
            <w:tcW w:type="dxa" w:w="4752"/>
          </w:tcPr>
          <w:p>
            <w:r/>
            <w:r>
              <w:rPr>
                <w:sz w:val="16"/>
              </w:rPr>
              <w:t>#4 EPA HAL for 1,4-dioxane; #7 federal AWQC for chromium (40 CFR 131.36); #10 NRWQC aquatic life; #14 radionuclide MCLs; #15 Ohio PCB standards; #25 Ohio HW transporter rules (OAC 3745-52); #30 federal UIC (40 CFR 144–148); #33 effluent limitations guidelines (40 CFR 400 series); #36 Ohio HW closure (OAC 3745-55); #44 Ohio Scenic Rivers (ORC 1517); #45 ARPA (16 USC 470aa); #47 Ashford County Floodplain Zoning Overlay (Art. VII)</w:t>
            </w:r>
          </w:p>
        </w:tc>
        <w:tc>
          <w:tcPr>
            <w:tcW w:type="dxa" w:w="2736"/>
          </w:tcPr>
          <w:p>
            <w:r/>
            <w:r>
              <w:rPr>
                <w:sz w:val="16"/>
              </w:rPr>
              <w:t>Omitting #4 is substantive: it is the basis of the 0.35 µg/L cleanup level that the RAWP abandoned</w:t>
            </w:r>
          </w:p>
        </w:tc>
      </w:tr>
      <w:tr>
        <w:tc>
          <w:tcPr>
            <w:tcW w:type="dxa" w:w="1872"/>
          </w:tcPr>
          <w:p>
            <w:r/>
            <w:r>
              <w:rPr>
                <w:sz w:val="16"/>
              </w:rPr>
              <w:t>Substituted with a different requirement</w:t>
            </w:r>
          </w:p>
        </w:tc>
        <w:tc>
          <w:tcPr>
            <w:tcW w:type="dxa" w:w="4752"/>
          </w:tcPr>
          <w:p>
            <w:r/>
            <w:r>
              <w:rPr>
                <w:sz w:val="16"/>
              </w:rPr>
              <w:t>#28 Noise Control Act → local noise ordinance; #29 40 CFR 450 → OAC 3745-39; #41 OAC 3745-1-54 → ORC 6111 isolated wetlands; #46 Ohio Dam Safety OAC 1501:21-13 (containment cell) → ORC 1521 (stormwater detention)</w:t>
            </w:r>
          </w:p>
        </w:tc>
        <w:tc>
          <w:tcPr>
            <w:tcW w:type="dxa" w:w="2736"/>
          </w:tcPr>
          <w:p>
            <w:r/>
            <w:r>
              <w:rPr>
                <w:sz w:val="16"/>
              </w:rPr>
              <w:t>Substitutions are not compliance demonstrations for the ROD ARAR</w:t>
            </w:r>
          </w:p>
        </w:tc>
      </w:tr>
      <w:tr>
        <w:tc>
          <w:tcPr>
            <w:tcW w:type="dxa" w:w="1872"/>
          </w:tcPr>
          <w:p>
            <w:r/>
            <w:r>
              <w:rPr>
                <w:sz w:val="16"/>
              </w:rPr>
              <w:t>Collapsed into generic entries</w:t>
            </w:r>
          </w:p>
        </w:tc>
        <w:tc>
          <w:tcPr>
            <w:tcW w:type="dxa" w:w="4752"/>
          </w:tcPr>
          <w:p>
            <w:r/>
            <w:r>
              <w:rPr>
                <w:sz w:val="16"/>
              </w:rPr>
              <w:t>#1, #2, #9 (SDWA MCLs) → “40 CFR 141”; #5, #8 → OAC 3745-300; #6, #12, #13 → RSLs; #3, #11 → OAC 3745-1; #18, #35 → 40 CFR 264/265; #16 → 40 CFR 264.300–.317</w:t>
            </w:r>
          </w:p>
        </w:tc>
        <w:tc>
          <w:tcPr>
            <w:tcW w:type="dxa" w:w="2736"/>
          </w:tcPr>
          <w:p>
            <w:r/>
            <w:r>
              <w:rPr>
                <w:sz w:val="16"/>
              </w:rPr>
              <w:t>Acceptable only if each underlying requirement is demonstrated</w:t>
            </w:r>
          </w:p>
        </w:tc>
      </w:tr>
      <w:tr>
        <w:tc>
          <w:tcPr>
            <w:tcW w:type="dxa" w:w="1872"/>
          </w:tcPr>
          <w:p>
            <w:r/>
            <w:r>
              <w:rPr>
                <w:sz w:val="16"/>
              </w:rPr>
              <w:t>Contradicted</w:t>
            </w:r>
          </w:p>
        </w:tc>
        <w:tc>
          <w:tcPr>
            <w:tcW w:type="dxa" w:w="4752"/>
          </w:tcPr>
          <w:p>
            <w:r/>
            <w:r>
              <w:rPr>
                <w:sz w:val="16"/>
              </w:rPr>
              <w:t>#34 Ohio Pretreatment (ROD: “Not directly applicable; all discharge via NPDES, not POTW”)</w:t>
            </w:r>
          </w:p>
        </w:tc>
        <w:tc>
          <w:tcPr>
            <w:tcW w:type="dxa" w:w="2736"/>
          </w:tcPr>
          <w:p>
            <w:r/>
            <w:r>
              <w:rPr>
                <w:sz w:val="16"/>
              </w:rPr>
              <w:t>RAWP adds 40 CFR 403 pretreatment for leachate to the POTW (RAWP #35), which reverses the ROD finding</w:t>
            </w:r>
          </w:p>
        </w:tc>
      </w:tr>
      <w:tr>
        <w:tc>
          <w:tcPr>
            <w:tcW w:type="dxa" w:w="1872"/>
          </w:tcPr>
          <w:p>
            <w:r/>
            <w:r>
              <w:rPr>
                <w:sz w:val="16"/>
              </w:rPr>
              <w:t>Partially addressed</w:t>
            </w:r>
          </w:p>
        </w:tc>
        <w:tc>
          <w:tcPr>
            <w:tcW w:type="dxa" w:w="4752"/>
          </w:tcPr>
          <w:p>
            <w:r/>
            <w:r>
              <w:rPr>
                <w:sz w:val="16"/>
              </w:rPr>
              <w:t xml:space="preserve">#31 Ohio UIC (ROD covers ERD </w:t>
            </w:r>
            <w:r>
              <w:rPr>
                <w:b/>
                <w:sz w:val="16"/>
              </w:rPr>
              <w:t>and SEE</w:t>
            </w:r>
            <w:r>
              <w:rPr>
                <w:sz w:val="16"/>
              </w:rPr>
              <w:t xml:space="preserve"> injections)</w:t>
            </w:r>
          </w:p>
        </w:tc>
        <w:tc>
          <w:tcPr>
            <w:tcW w:type="dxa" w:w="2736"/>
          </w:tcPr>
          <w:p>
            <w:r/>
            <w:r>
              <w:rPr>
                <w:sz w:val="16"/>
              </w:rPr>
              <w:t>RAWP applies UIC to ERD only</w:t>
            </w:r>
          </w:p>
        </w:tc>
      </w:tr>
      <w:tr>
        <w:tc>
          <w:tcPr>
            <w:tcW w:type="dxa" w:w="1872"/>
          </w:tcPr>
          <w:p>
            <w:r/>
            <w:r>
              <w:rPr>
                <w:sz w:val="16"/>
              </w:rPr>
              <w:t>Added by RAWP (not ROD ARARs)</w:t>
            </w:r>
          </w:p>
        </w:tc>
        <w:tc>
          <w:tcPr>
            <w:tcW w:type="dxa" w:w="4752"/>
          </w:tcPr>
          <w:p>
            <w:r/>
            <w:r>
              <w:rPr>
                <w:sz w:val="16"/>
              </w:rPr>
              <w:t>RCRA TC (40 CFR 261.24); OAC 3745-25; Migratory Bird Treaty Act; OAC 3745-9; UECA (ORC 5301.80); ORC 3746; 40 CFR 300.430 (an NCP procedural provision, not an ARAR); RCRA closure/post-closure (40 CFR 264.110–.120)</w:t>
            </w:r>
          </w:p>
        </w:tc>
        <w:tc>
          <w:tcPr>
            <w:tcW w:type="dxa" w:w="2736"/>
          </w:tcPr>
          <w:p>
            <w:r/>
            <w:r>
              <w:rPr>
                <w:sz w:val="16"/>
              </w:rPr>
              <w:t>Additions are generally harmless and may be prudent, but they do not replace the ROD list</w:t>
            </w:r>
          </w:p>
        </w:tc>
      </w:tr>
    </w:tbl>
    <w:p>
      <w:pPr>
        <w:spacing w:after="40"/>
      </w:pPr>
    </w:p>
    <w:p>
      <w:pPr>
        <w:pStyle w:val="Heading2"/>
      </w:pPr>
      <w:r>
        <w:t>D. Institutional Controls</w:t>
      </w:r>
    </w:p>
    <w:p>
      <w:pPr>
        <w:spacing w:after="120"/>
      </w:pPr>
      <w:r>
        <w:t xml:space="preserve">The ROD requires a site-wide IC program (ROD §2.12.6) consisting of: (a) covenants restricting the Site to industrial/commercial use; (b) groundwater-use restrictions on the Site </w:t>
      </w:r>
      <w:r>
        <w:rPr>
          <w:b/>
        </w:rPr>
        <w:t>and within the plume boundary</w:t>
      </w:r>
      <w:r>
        <w:t>; (c) excavation and subsurface-intrusion restrictions requiring prior EPA notification and approval; and (d) periodic inspection and reporting. The RAWP addresses ICs only for OU-1 (§3.5). It replaces the EPA-approval requirement with generic “soil management” requirements, limits the well prohibition to the OU-1 area, and omits inspection and reporting. Appendix M may fill some of these gaps. The RAWP text should nonetheless be conformed, including ICs protecting the OU-2 containment cell and its cap.</w:t>
      </w:r>
    </w:p>
    <w:p>
      <w:pPr>
        <w:pStyle w:val="Heading2"/>
      </w:pPr>
      <w:r>
        <w:t>E. Cost Estimate and Financial Assurance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728"/>
            <w:shd w:val="clear" w:color="auto" w:fill="D9E2F3"/>
          </w:tcPr>
          <w:p>
            <w:r/>
            <w:r>
              <w:rPr>
                <w:b/>
                <w:sz w:val="17"/>
              </w:rPr>
              <w:t>Operable Unit</w:t>
            </w:r>
          </w:p>
        </w:tc>
        <w:tc>
          <w:tcPr>
            <w:tcW w:type="dxa" w:w="1440"/>
            <w:shd w:val="clear" w:color="auto" w:fill="D9E2F3"/>
          </w:tcPr>
          <w:p>
            <w:r/>
            <w:r>
              <w:rPr>
                <w:b/>
                <w:sz w:val="17"/>
              </w:rPr>
              <w:t>ROD PV ($M)</w:t>
            </w:r>
          </w:p>
        </w:tc>
        <w:tc>
          <w:tcPr>
            <w:tcW w:type="dxa" w:w="1440"/>
            <w:shd w:val="clear" w:color="auto" w:fill="D9E2F3"/>
          </w:tcPr>
          <w:p>
            <w:r/>
            <w:r>
              <w:rPr>
                <w:b/>
                <w:sz w:val="17"/>
              </w:rPr>
              <w:t>RAWP PV ($M)</w:t>
            </w:r>
          </w:p>
        </w:tc>
        <w:tc>
          <w:tcPr>
            <w:tcW w:type="dxa" w:w="2160"/>
            <w:shd w:val="clear" w:color="auto" w:fill="D9E2F3"/>
          </w:tcPr>
          <w:p>
            <w:r/>
            <w:r>
              <w:rPr>
                <w:b/>
                <w:sz w:val="17"/>
              </w:rPr>
              <w:t>Change</w:t>
            </w:r>
          </w:p>
        </w:tc>
        <w:tc>
          <w:tcPr>
            <w:tcW w:type="dxa" w:w="2592"/>
            <w:shd w:val="clear" w:color="auto" w:fill="D9E2F3"/>
          </w:tcPr>
          <w:p>
            <w:r/>
            <w:r>
              <w:rPr>
                <w:b/>
                <w:sz w:val="17"/>
              </w:rPr>
              <w:t>ROD capital → RAWP capital ($M)</w:t>
            </w:r>
          </w:p>
        </w:tc>
      </w:tr>
      <w:tr>
        <w:tc>
          <w:tcPr>
            <w:tcW w:type="dxa" w:w="1728"/>
          </w:tcPr>
          <w:p>
            <w:r/>
            <w:r>
              <w:rPr>
                <w:sz w:val="17"/>
              </w:rPr>
              <w:t>OU-1</w:t>
            </w:r>
          </w:p>
        </w:tc>
        <w:tc>
          <w:tcPr>
            <w:tcW w:type="dxa" w:w="1440"/>
          </w:tcPr>
          <w:p>
            <w:r/>
            <w:r>
              <w:rPr>
                <w:sz w:val="17"/>
              </w:rPr>
              <w:t>31.2</w:t>
            </w:r>
          </w:p>
        </w:tc>
        <w:tc>
          <w:tcPr>
            <w:tcW w:type="dxa" w:w="1440"/>
          </w:tcPr>
          <w:p>
            <w:r/>
            <w:r>
              <w:rPr>
                <w:sz w:val="17"/>
              </w:rPr>
              <w:t>25.8</w:t>
            </w:r>
          </w:p>
        </w:tc>
        <w:tc>
          <w:tcPr>
            <w:tcW w:type="dxa" w:w="2160"/>
          </w:tcPr>
          <w:p>
            <w:r/>
            <w:r>
              <w:rPr>
                <w:sz w:val="17"/>
              </w:rPr>
              <w:t>−5.4 (−17.3%)</w:t>
            </w:r>
          </w:p>
        </w:tc>
        <w:tc>
          <w:tcPr>
            <w:tcW w:type="dxa" w:w="2592"/>
          </w:tcPr>
          <w:p>
            <w:r/>
            <w:r>
              <w:rPr>
                <w:sz w:val="17"/>
              </w:rPr>
              <w:t>26.8 → 18.2 (−32.1%)</w:t>
            </w:r>
          </w:p>
        </w:tc>
      </w:tr>
      <w:tr>
        <w:tc>
          <w:tcPr>
            <w:tcW w:type="dxa" w:w="1728"/>
          </w:tcPr>
          <w:p>
            <w:r/>
            <w:r>
              <w:rPr>
                <w:sz w:val="17"/>
              </w:rPr>
              <w:t>OU-2</w:t>
            </w:r>
          </w:p>
        </w:tc>
        <w:tc>
          <w:tcPr>
            <w:tcW w:type="dxa" w:w="1440"/>
          </w:tcPr>
          <w:p>
            <w:r/>
            <w:r>
              <w:rPr>
                <w:sz w:val="17"/>
              </w:rPr>
              <w:t>18.7</w:t>
            </w:r>
          </w:p>
        </w:tc>
        <w:tc>
          <w:tcPr>
            <w:tcW w:type="dxa" w:w="1440"/>
          </w:tcPr>
          <w:p>
            <w:r/>
            <w:r>
              <w:rPr>
                <w:sz w:val="17"/>
              </w:rPr>
              <w:t>14.6</w:t>
            </w:r>
          </w:p>
        </w:tc>
        <w:tc>
          <w:tcPr>
            <w:tcW w:type="dxa" w:w="2160"/>
          </w:tcPr>
          <w:p>
            <w:r/>
            <w:r>
              <w:rPr>
                <w:sz w:val="17"/>
              </w:rPr>
              <w:t>−4.1 (−21.9%)</w:t>
            </w:r>
          </w:p>
        </w:tc>
        <w:tc>
          <w:tcPr>
            <w:tcW w:type="dxa" w:w="2592"/>
          </w:tcPr>
          <w:p>
            <w:r/>
            <w:r>
              <w:rPr>
                <w:sz w:val="17"/>
              </w:rPr>
              <w:t>15.1 → 11.3 (−25.2%)</w:t>
            </w:r>
          </w:p>
        </w:tc>
      </w:tr>
      <w:tr>
        <w:tc>
          <w:tcPr>
            <w:tcW w:type="dxa" w:w="1728"/>
          </w:tcPr>
          <w:p>
            <w:r/>
            <w:r>
              <w:rPr>
                <w:sz w:val="17"/>
              </w:rPr>
              <w:t>OU-3</w:t>
            </w:r>
          </w:p>
        </w:tc>
        <w:tc>
          <w:tcPr>
            <w:tcW w:type="dxa" w:w="1440"/>
          </w:tcPr>
          <w:p>
            <w:r/>
            <w:r>
              <w:rPr>
                <w:sz w:val="17"/>
              </w:rPr>
              <w:t>28.9</w:t>
            </w:r>
          </w:p>
        </w:tc>
        <w:tc>
          <w:tcPr>
            <w:tcW w:type="dxa" w:w="1440"/>
          </w:tcPr>
          <w:p>
            <w:r/>
            <w:r>
              <w:rPr>
                <w:sz w:val="17"/>
              </w:rPr>
              <w:t>22.9</w:t>
            </w:r>
          </w:p>
        </w:tc>
        <w:tc>
          <w:tcPr>
            <w:tcW w:type="dxa" w:w="2160"/>
          </w:tcPr>
          <w:p>
            <w:r/>
            <w:r>
              <w:rPr>
                <w:sz w:val="17"/>
              </w:rPr>
              <w:t>−6.0 (−20.8%)</w:t>
            </w:r>
          </w:p>
        </w:tc>
        <w:tc>
          <w:tcPr>
            <w:tcW w:type="dxa" w:w="2592"/>
          </w:tcPr>
          <w:p>
            <w:r/>
            <w:r>
              <w:rPr>
                <w:sz w:val="17"/>
              </w:rPr>
              <w:t>18.2 → 9.4 (−48.4%)</w:t>
            </w:r>
          </w:p>
        </w:tc>
      </w:tr>
      <w:tr>
        <w:tc>
          <w:tcPr>
            <w:tcW w:type="dxa" w:w="1728"/>
          </w:tcPr>
          <w:p>
            <w:r/>
            <w:r>
              <w:rPr>
                <w:sz w:val="17"/>
              </w:rPr>
              <w:t>OU-4</w:t>
            </w:r>
          </w:p>
        </w:tc>
        <w:tc>
          <w:tcPr>
            <w:tcW w:type="dxa" w:w="1440"/>
          </w:tcPr>
          <w:p>
            <w:r/>
            <w:r>
              <w:rPr>
                <w:sz w:val="17"/>
              </w:rPr>
              <w:t>10.6</w:t>
            </w:r>
          </w:p>
        </w:tc>
        <w:tc>
          <w:tcPr>
            <w:tcW w:type="dxa" w:w="1440"/>
          </w:tcPr>
          <w:p>
            <w:r/>
            <w:r>
              <w:rPr>
                <w:sz w:val="17"/>
              </w:rPr>
              <w:t>8.8</w:t>
            </w:r>
          </w:p>
        </w:tc>
        <w:tc>
          <w:tcPr>
            <w:tcW w:type="dxa" w:w="2160"/>
          </w:tcPr>
          <w:p>
            <w:r/>
            <w:r>
              <w:rPr>
                <w:sz w:val="17"/>
              </w:rPr>
              <w:t>−1.8 (−17.0%)</w:t>
            </w:r>
          </w:p>
        </w:tc>
        <w:tc>
          <w:tcPr>
            <w:tcW w:type="dxa" w:w="2592"/>
          </w:tcPr>
          <w:p>
            <w:r/>
            <w:r>
              <w:rPr>
                <w:sz w:val="17"/>
              </w:rPr>
              <w:t>8.9 → 7.1 (−20.2%)</w:t>
            </w:r>
          </w:p>
        </w:tc>
      </w:tr>
      <w:tr>
        <w:tc>
          <w:tcPr>
            <w:tcW w:type="dxa" w:w="1728"/>
          </w:tcPr>
          <w:p>
            <w:r/>
            <w:r>
              <w:rPr>
                <w:b/>
                <w:sz w:val="17"/>
              </w:rPr>
              <w:t>Total</w:t>
            </w:r>
          </w:p>
        </w:tc>
        <w:tc>
          <w:tcPr>
            <w:tcW w:type="dxa" w:w="1440"/>
          </w:tcPr>
          <w:p>
            <w:r/>
            <w:r>
              <w:rPr>
                <w:b/>
                <w:sz w:val="17"/>
              </w:rPr>
              <w:t>89.4</w:t>
            </w:r>
          </w:p>
        </w:tc>
        <w:tc>
          <w:tcPr>
            <w:tcW w:type="dxa" w:w="1440"/>
          </w:tcPr>
          <w:p>
            <w:r/>
            <w:r>
              <w:rPr>
                <w:b/>
                <w:sz w:val="17"/>
              </w:rPr>
              <w:t>72.1</w:t>
            </w:r>
          </w:p>
        </w:tc>
        <w:tc>
          <w:tcPr>
            <w:tcW w:type="dxa" w:w="2160"/>
          </w:tcPr>
          <w:p>
            <w:r/>
            <w:r>
              <w:rPr>
                <w:b/>
                <w:sz w:val="17"/>
              </w:rPr>
              <w:t>−17.3 (−19.4%)</w:t>
            </w:r>
          </w:p>
        </w:tc>
        <w:tc>
          <w:tcPr>
            <w:tcW w:type="dxa" w:w="2592"/>
          </w:tcPr>
          <w:p>
            <w:r/>
            <w:r>
              <w:rPr>
                <w:b/>
                <w:sz w:val="17"/>
              </w:rPr>
              <w:t>69.0 → 46.0 (−33.3%)</w:t>
            </w:r>
          </w:p>
        </w:tc>
      </w:tr>
    </w:tbl>
    <w:p>
      <w:pPr>
        <w:spacing w:after="40"/>
      </w:pPr>
    </w:p>
    <w:p>
      <w:pPr>
        <w:spacing w:after="120"/>
      </w:pPr>
      <w:r>
        <w:t xml:space="preserve">Taken alone, the total falls within the ROD’s −30% accuracy band (ROD §2.14), so a lower estimate is not itself a violation. But the RAWP attributes the savings to “refined design quantities,” and the capital reductions line up with the scope cuts: the AOP unit, two extraction wells and 400 ft of trench, 12 ERD points, 8 monitoring wells, 2 SEE pairs, a thinner liner, and about 9,100 cy less excavation across OU-1, OU-2, and OU-4. The estimate is also internally inconsistent. O&amp;M is discounted over 30 years (Table 14-1), yet the RAWP projects 45 years of operation at about $1.8 million per year. At the RAWP’s 7% rate, that understates the PV of OU-3-type O&amp;M by roughly $2.2 million ($24.5M vs. $22.3M). The ROD warns that scope or cost changes may require an ESD or Amendment (ROD §2.14). Financial assurance must remain at </w:t>
      </w:r>
      <w:r>
        <w:rPr>
          <w:b/>
        </w:rPr>
        <w:t>$89.4 million</w:t>
      </w:r>
      <w:r>
        <w:t xml:space="preserve"> (CD ¶81). Paragraph 83 allows only upward adjustment on EPA notice, so the RAWP estimate gives CCH no basis to reduce the instrument.</w:t>
      </w:r>
    </w:p>
    <w:p>
      <w:pPr>
        <w:pStyle w:val="Heading2"/>
      </w:pPr>
      <w:r>
        <w:t>F. Schedule and RAO Timeframes</w:t>
      </w:r>
    </w:p>
    <w:p>
      <w:pPr>
        <w:spacing w:after="120"/>
      </w:pPr>
      <w:r>
        <w:t>The RAWP’s four-phase schedule (§13.1) is broadly workable, and the 5-year soil/source projection for OU-1 and OU-2 (§13.2) is consistent with CD ¶30. However, §13.2 is silent on OU-4, which is also subject to the 5-year standard (ROD §2.8; CD ¶30). The 45-year OU-3 projection is a fundamental-change issue (Part V.A). The RAWP’s restated RAOs (§2.1) also drop OU-1 RAO 3 (achieve industrial PRGs within 5 years) and the numeric and 30-year elements of the OU-3 RAOs (ROD §2.8). They should be restated verbatim.</w:t>
      </w:r>
    </w:p>
    <w:p>
      <w:pPr>
        <w:pStyle w:val="Heading1"/>
      </w:pPr>
      <w:r>
        <w:t>VII. RAWP vs. PDI Memorandum: Inconsistencies, Certification, and Privilege</w:t>
      </w:r>
    </w:p>
    <w:p>
      <w:pPr>
        <w:spacing w:after="120"/>
      </w:pPr>
      <w:r>
        <w:t>The RAWP says that “PDI results support optimization of certain remedy components” (§1.4) and repeatedly invokes the PDI to justify reductions. The PDI memo, however, is signed by the same engineer who certified the RAWP, and it recommends ROD-conforming design on every OU-1 and OU-2 issue it addresses: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872"/>
            <w:shd w:val="clear" w:color="auto" w:fill="D9E2F3"/>
          </w:tcPr>
          <w:p>
            <w:r/>
            <w:r>
              <w:rPr>
                <w:b/>
                <w:sz w:val="16"/>
              </w:rPr>
              <w:t>Issue</w:t>
            </w:r>
          </w:p>
        </w:tc>
        <w:tc>
          <w:tcPr>
            <w:tcW w:type="dxa" w:w="3888"/>
            <w:shd w:val="clear" w:color="auto" w:fill="D9E2F3"/>
          </w:tcPr>
          <w:p>
            <w:r/>
            <w:r>
              <w:rPr>
                <w:b/>
                <w:sz w:val="16"/>
              </w:rPr>
              <w:t>PDI memo (Oct. 15, 2024)</w:t>
            </w:r>
          </w:p>
        </w:tc>
        <w:tc>
          <w:tcPr>
            <w:tcW w:type="dxa" w:w="3600"/>
            <w:shd w:val="clear" w:color="auto" w:fill="D9E2F3"/>
          </w:tcPr>
          <w:p>
            <w:r/>
            <w:r>
              <w:rPr>
                <w:b/>
                <w:sz w:val="16"/>
              </w:rPr>
              <w:t>RAWP (Dec. 20, 2024)</w:t>
            </w:r>
          </w:p>
        </w:tc>
      </w:tr>
      <w:tr>
        <w:tc>
          <w:tcPr>
            <w:tcW w:type="dxa" w:w="1872"/>
          </w:tcPr>
          <w:p>
            <w:r/>
            <w:r>
              <w:rPr>
                <w:sz w:val="16"/>
              </w:rPr>
              <w:t>OU-1 depth</w:t>
            </w:r>
          </w:p>
        </w:tc>
        <w:tc>
          <w:tcPr>
            <w:tcW w:type="dxa" w:w="3888"/>
          </w:tcPr>
          <w:p>
            <w:r/>
            <w:r>
              <w:rPr>
                <w:sz w:val="16"/>
              </w:rPr>
              <w:t>Keep 15 ft as the design basis; a blanket 12 ft leaves contamination in about 42% of the investigated area (§5.1)</w:t>
            </w:r>
          </w:p>
        </w:tc>
        <w:tc>
          <w:tcPr>
            <w:tcW w:type="dxa" w:w="3600"/>
          </w:tcPr>
          <w:p>
            <w:r/>
            <w:r>
              <w:rPr>
                <w:sz w:val="16"/>
              </w:rPr>
              <w:t>12 ft maximum; “optimized” from the ROD (§3.1)</w:t>
            </w:r>
          </w:p>
        </w:tc>
      </w:tr>
      <w:tr>
        <w:tc>
          <w:tcPr>
            <w:tcW w:type="dxa" w:w="1872"/>
          </w:tcPr>
          <w:p>
            <w:r/>
            <w:r>
              <w:rPr>
                <w:sz w:val="16"/>
              </w:rPr>
              <w:t>SEE well pairs</w:t>
            </w:r>
          </w:p>
        </w:tc>
        <w:tc>
          <w:tcPr>
            <w:tcW w:type="dxa" w:w="3888"/>
          </w:tcPr>
          <w:p>
            <w:r/>
            <w:r>
              <w:rPr>
                <w:sz w:val="16"/>
              </w:rPr>
              <w:t>14; “do not recommend adopting 12 … absent” full-scale data, and none has been collected (§§3.3, 5.1, 6)</w:t>
            </w:r>
          </w:p>
        </w:tc>
        <w:tc>
          <w:tcPr>
            <w:tcW w:type="dxa" w:w="3600"/>
          </w:tcPr>
          <w:p>
            <w:r/>
            <w:r>
              <w:rPr>
                <w:sz w:val="16"/>
              </w:rPr>
              <w:t>12 (§3.2)</w:t>
            </w:r>
          </w:p>
        </w:tc>
      </w:tr>
      <w:tr>
        <w:tc>
          <w:tcPr>
            <w:tcW w:type="dxa" w:w="1872"/>
          </w:tcPr>
          <w:p>
            <w:r/>
            <w:r>
              <w:rPr>
                <w:sz w:val="16"/>
              </w:rPr>
              <w:t>DNAPL zone</w:t>
            </w:r>
          </w:p>
        </w:tc>
        <w:tc>
          <w:tcPr>
            <w:tcW w:type="dxa" w:w="3888"/>
          </w:tcPr>
          <w:p>
            <w:r/>
            <w:r>
              <w:rPr>
                <w:sz w:val="16"/>
              </w:rPr>
              <w:t>≈2.8 acres (§3.2)</w:t>
            </w:r>
          </w:p>
        </w:tc>
        <w:tc>
          <w:tcPr>
            <w:tcW w:type="dxa" w:w="3600"/>
          </w:tcPr>
          <w:p>
            <w:r/>
            <w:r>
              <w:rPr>
                <w:sz w:val="16"/>
              </w:rPr>
              <w:t>≈1.5 acres (§3.2)</w:t>
            </w:r>
          </w:p>
        </w:tc>
      </w:tr>
      <w:tr>
        <w:tc>
          <w:tcPr>
            <w:tcW w:type="dxa" w:w="1872"/>
          </w:tcPr>
          <w:p>
            <w:r/>
            <w:r>
              <w:rPr>
                <w:sz w:val="16"/>
              </w:rPr>
              <w:t>Thermal standard</w:t>
            </w:r>
          </w:p>
        </w:tc>
        <w:tc>
          <w:tcPr>
            <w:tcW w:type="dxa" w:w="3888"/>
          </w:tcPr>
          <w:p>
            <w:r/>
            <w:r>
              <w:rPr>
                <w:sz w:val="16"/>
              </w:rPr>
              <w:t>“The RAWP should incorporate the ROD-specified standard of 1 mg/kg” (§5.1)</w:t>
            </w:r>
          </w:p>
        </w:tc>
        <w:tc>
          <w:tcPr>
            <w:tcW w:type="dxa" w:w="3600"/>
          </w:tcPr>
          <w:p>
            <w:r/>
            <w:r>
              <w:rPr>
                <w:sz w:val="16"/>
              </w:rPr>
              <w:t>5 mg/kg (§3.3)</w:t>
            </w:r>
          </w:p>
        </w:tc>
      </w:tr>
      <w:tr>
        <w:tc>
          <w:tcPr>
            <w:tcW w:type="dxa" w:w="1872"/>
          </w:tcPr>
          <w:p>
            <w:r/>
            <w:r>
              <w:rPr>
                <w:sz w:val="16"/>
              </w:rPr>
              <w:t>OU-2 depth</w:t>
            </w:r>
          </w:p>
        </w:tc>
        <w:tc>
          <w:tcPr>
            <w:tcW w:type="dxa" w:w="3888"/>
          </w:tcPr>
          <w:p>
            <w:r/>
            <w:r>
              <w:rPr>
                <w:sz w:val="16"/>
              </w:rPr>
              <w:t>To the clay (11.5–13.0 ft); 10 ft “not recommended” (§§4.3, 5.2)</w:t>
            </w:r>
          </w:p>
        </w:tc>
        <w:tc>
          <w:tcPr>
            <w:tcW w:type="dxa" w:w="3600"/>
          </w:tcPr>
          <w:p>
            <w:r/>
            <w:r>
              <w:rPr>
                <w:sz w:val="16"/>
              </w:rPr>
              <w:t>10 ft (§4.1)</w:t>
            </w:r>
          </w:p>
        </w:tc>
      </w:tr>
      <w:tr>
        <w:tc>
          <w:tcPr>
            <w:tcW w:type="dxa" w:w="1872"/>
          </w:tcPr>
          <w:p>
            <w:r/>
            <w:r>
              <w:rPr>
                <w:sz w:val="16"/>
              </w:rPr>
              <w:t>Liner</w:t>
            </w:r>
          </w:p>
        </w:tc>
        <w:tc>
          <w:tcPr>
            <w:tcW w:type="dxa" w:w="3888"/>
          </w:tcPr>
          <w:p>
            <w:r/>
            <w:r>
              <w:rPr>
                <w:sz w:val="16"/>
              </w:rPr>
              <w:t>60-mil/24-in.; “no technical basis … for reducing” (§§4.2, 5.2)</w:t>
            </w:r>
          </w:p>
        </w:tc>
        <w:tc>
          <w:tcPr>
            <w:tcW w:type="dxa" w:w="3600"/>
          </w:tcPr>
          <w:p>
            <w:r/>
            <w:r>
              <w:rPr>
                <w:sz w:val="16"/>
              </w:rPr>
              <w:t>40-mil/18-in. (§4.2)</w:t>
            </w:r>
          </w:p>
        </w:tc>
      </w:tr>
      <w:tr>
        <w:tc>
          <w:tcPr>
            <w:tcW w:type="dxa" w:w="1872"/>
          </w:tcPr>
          <w:p>
            <w:r/>
            <w:r>
              <w:rPr>
                <w:sz w:val="16"/>
              </w:rPr>
              <w:t>OU-2 wells</w:t>
            </w:r>
          </w:p>
        </w:tc>
        <w:tc>
          <w:tcPr>
            <w:tcW w:type="dxa" w:w="3888"/>
          </w:tcPr>
          <w:p>
            <w:r/>
            <w:r>
              <w:rPr>
                <w:sz w:val="16"/>
              </w:rPr>
              <w:t>8 (§5.2)</w:t>
            </w:r>
          </w:p>
        </w:tc>
        <w:tc>
          <w:tcPr>
            <w:tcW w:type="dxa" w:w="3600"/>
          </w:tcPr>
          <w:p>
            <w:r/>
            <w:r>
              <w:rPr>
                <w:sz w:val="16"/>
              </w:rPr>
              <w:t>6 (§4.4)</w:t>
            </w:r>
          </w:p>
        </w:tc>
      </w:tr>
      <w:tr>
        <w:tc>
          <w:tcPr>
            <w:tcW w:type="dxa" w:w="1872"/>
          </w:tcPr>
          <w:p>
            <w:r/>
            <w:r>
              <w:rPr>
                <w:sz w:val="16"/>
              </w:rPr>
              <w:t>PDI scope</w:t>
            </w:r>
          </w:p>
        </w:tc>
        <w:tc>
          <w:tcPr>
            <w:tcW w:type="dxa" w:w="3888"/>
          </w:tcPr>
          <w:p>
            <w:r/>
            <w:r>
              <w:rPr>
                <w:sz w:val="16"/>
              </w:rPr>
              <w:t>21 borings (12 at OU-1, 9 at OU-2); 10 temporary well points; 2 SEE pilot tests; OU-1 and OU-2 only; field work June 3–Sept. 20, 2024</w:t>
            </w:r>
          </w:p>
        </w:tc>
        <w:tc>
          <w:tcPr>
            <w:tcW w:type="dxa" w:w="3600"/>
          </w:tcPr>
          <w:p>
            <w:r/>
            <w:r>
              <w:rPr>
                <w:sz w:val="16"/>
              </w:rPr>
              <w:t>42 borings; 186 samples; 8 temporary monitoring wells; 4 groundwater rounds from 32 wells; aquifer pumping tests; OU-4 sampling; Feb.–Aug. 2024; PDI Work Plan submitted July 2024 (§§1.4, 6.1)</w:t>
            </w:r>
          </w:p>
        </w:tc>
      </w:tr>
      <w:tr>
        <w:tc>
          <w:tcPr>
            <w:tcW w:type="dxa" w:w="1872"/>
          </w:tcPr>
          <w:p>
            <w:r/>
            <w:r>
              <w:rPr>
                <w:sz w:val="16"/>
              </w:rPr>
              <w:t>Project / license nos.</w:t>
            </w:r>
          </w:p>
        </w:tc>
        <w:tc>
          <w:tcPr>
            <w:tcW w:type="dxa" w:w="3888"/>
          </w:tcPr>
          <w:p>
            <w:r/>
            <w:r>
              <w:rPr>
                <w:sz w:val="16"/>
              </w:rPr>
              <w:t>Project TVE-2024-0387; P.E. License No. PE-68245</w:t>
            </w:r>
          </w:p>
        </w:tc>
        <w:tc>
          <w:tcPr>
            <w:tcW w:type="dxa" w:w="3600"/>
          </w:tcPr>
          <w:p>
            <w:r/>
            <w:r>
              <w:rPr>
                <w:sz w:val="16"/>
              </w:rPr>
              <w:t>Project TVE-2024-0347; Ohio P.E. Registration No. 67842</w:t>
            </w:r>
          </w:p>
        </w:tc>
      </w:tr>
      <w:tr>
        <w:tc>
          <w:tcPr>
            <w:tcW w:type="dxa" w:w="1872"/>
          </w:tcPr>
          <w:p>
            <w:r/>
            <w:r>
              <w:rPr>
                <w:sz w:val="16"/>
              </w:rPr>
              <w:t>CD entry date</w:t>
            </w:r>
          </w:p>
        </w:tc>
        <w:tc>
          <w:tcPr>
            <w:tcW w:type="dxa" w:w="3888"/>
          </w:tcPr>
          <w:p>
            <w:r/>
            <w:r>
              <w:rPr>
                <w:sz w:val="16"/>
              </w:rPr>
              <w:t>Entered March 12, 2020</w:t>
            </w:r>
          </w:p>
        </w:tc>
        <w:tc>
          <w:tcPr>
            <w:tcW w:type="dxa" w:w="3600"/>
          </w:tcPr>
          <w:p>
            <w:r/>
            <w:r>
              <w:rPr>
                <w:sz w:val="16"/>
              </w:rPr>
              <w:t>Entered “March 2020” (ROD §2.2: lodged March 12, entered April 28, 2020)</w:t>
            </w:r>
          </w:p>
        </w:tc>
      </w:tr>
    </w:tbl>
    <w:p>
      <w:pPr>
        <w:spacing w:after="40"/>
      </w:pPr>
    </w:p>
    <w:p>
      <w:pPr>
        <w:spacing w:after="120"/>
      </w:pPr>
      <w:r>
        <w:rPr>
          <w:b/>
        </w:rPr>
        <w:t>Implications.</w:t>
      </w:r>
      <w:r>
        <w:t xml:space="preserve"> First, the RAWP’s characterization of the PDI is inaccurate in material respects. CCH must certify every deliverable “under penalty of law” as “true, accurate, and complete” (CD ¶47). No such certification appears in the RAWP, and none could responsibly be given for it in its current form. Second, the RAWP states that the PDI Summary Memorandum “was submitted to EPA on October 15, 2024,” with data in Appendix A. If that is accurate, any privilege over the memo has likely been waived, and EPA already has a CCH document rebutting the RAWP. If it is not accurate, the RAWP misstates the record. Third, even if the memo’s opinions remain privileged, CD ¶¶79–80 require CCH to provide all analytical data, field notes, and contractor reports relating to the Work within 30 days and bar privilege claims over Work data. The underlying boring data (e.g., the 13.5–15 ft exceedances, the 11.5–13.0 ft clay contacts, and the pilot-test radii) are therefore discoverable by and deliverable to EPA in any event. We should confirm immediately what was actually transmitted to EPA and when.</w:t>
      </w:r>
    </w:p>
    <w:p>
      <w:pPr>
        <w:spacing w:after="120"/>
      </w:pPr>
      <w:r>
        <w:rPr>
          <w:b/>
        </w:rPr>
        <w:t>Other internal defects</w:t>
      </w:r>
      <w:r>
        <w:t xml:space="preserve"> that EPA is likely to flag: the plant figure is cited to Appendix J in §7.1 but to Appendix B in the figure list. Appendix N is cited both as the QAPP and as the cost worksheets. The site description differs from the ROD: the RAWP places the Site in “southeastern” rather than western Ashford County, describes agricultural rather than industrial land to the north, and places the lagoons in the southern rather than southwestern portion. The RAWP states the ROD was signed by the Regional Administrator, when the signatories were the RPM and the Acting RA. The RAWP gives the EPA review period as Jan. 28–Mar. 28, 2025. Sixty days from the Jan. 15 submission is March 16, 2025, or March 17 under CD ¶5(d)’s weekend rule. Sixty days from Jan. 28 is March 29. The date of EPA’s receipt should be confirmed.</w:t>
      </w:r>
    </w:p>
    <w:p>
      <w:pPr>
        <w:spacing w:after="120"/>
      </w:pPr>
      <w:r>
        <w:rPr>
          <w:b/>
        </w:rPr>
        <w:t>Anomalies in the governing documents themselves.</w:t>
      </w:r>
      <w:r>
        <w:t xml:space="preserve"> The CD as provided is dated as entered in 2020, yet it recites and incorporates the September 15, 2021 ROD. It also contains several recitals that conflict with the ROD, including: maximum TCE of 18,400 µg/L against the ROD’s 4,800 µg/L; OU-2 in the “southeastern” portion of the Site; a plume running “northwesterly”; and a May 15–July 15, 2021 comment period with a June 10 meeting, against the ROD’s June 15–July 30 and June 28. It also refers to the ROD’s ARAR matrix as “Table 12” (the ROD calls it Table 2-1). Under CD ¶14 and ¶12, the ROD’s technical content would control. Before we take positions with EPA that depend on dates (RAWP timeliness, the financial-assurance deadline), we should obtain the entered, file-stamped CD and any amendments.</w:t>
      </w:r>
    </w:p>
    <w:p>
      <w:pPr>
        <w:pStyle w:val="Heading1"/>
      </w:pPr>
      <w:r>
        <w:t>VIII. Procedural Compliance and Stipulated-Penalty Exposure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016"/>
            <w:shd w:val="clear" w:color="auto" w:fill="D9E2F3"/>
          </w:tcPr>
          <w:p>
            <w:r/>
            <w:r>
              <w:rPr>
                <w:b/>
                <w:sz w:val="16"/>
              </w:rPr>
              <w:t>Exposure category</w:t>
            </w:r>
          </w:p>
        </w:tc>
        <w:tc>
          <w:tcPr>
            <w:tcW w:type="dxa" w:w="2304"/>
            <w:shd w:val="clear" w:color="auto" w:fill="D9E2F3"/>
          </w:tcPr>
          <w:p>
            <w:r/>
            <w:r>
              <w:rPr>
                <w:b/>
                <w:sz w:val="16"/>
              </w:rPr>
              <w:t>Items</w:t>
            </w:r>
          </w:p>
        </w:tc>
        <w:tc>
          <w:tcPr>
            <w:tcW w:type="dxa" w:w="2736"/>
            <w:shd w:val="clear" w:color="auto" w:fill="D9E2F3"/>
          </w:tcPr>
          <w:p>
            <w:r/>
            <w:r>
              <w:rPr>
                <w:b/>
                <w:sz w:val="16"/>
              </w:rPr>
              <w:t>Rate / trigger</w:t>
            </w:r>
          </w:p>
        </w:tc>
        <w:tc>
          <w:tcPr>
            <w:tcW w:type="dxa" w:w="2304"/>
            <w:shd w:val="clear" w:color="auto" w:fill="D9E2F3"/>
          </w:tcPr>
          <w:p>
            <w:r/>
            <w:r>
              <w:rPr>
                <w:b/>
                <w:sz w:val="16"/>
              </w:rPr>
              <w:t>Illustration</w:t>
            </w:r>
          </w:p>
        </w:tc>
      </w:tr>
      <w:tr>
        <w:tc>
          <w:tcPr>
            <w:tcW w:type="dxa" w:w="2016"/>
          </w:tcPr>
          <w:p>
            <w:r/>
            <w:r>
              <w:rPr>
                <w:sz w:val="16"/>
              </w:rPr>
              <w:t>Major Deviations (design/technology)</w:t>
            </w:r>
          </w:p>
        </w:tc>
        <w:tc>
          <w:tcPr>
            <w:tcW w:type="dxa" w:w="2304"/>
          </w:tcPr>
          <w:p>
            <w:r/>
            <w:r>
              <w:rPr>
                <w:sz w:val="16"/>
              </w:rPr>
              <w:t>Items 1, 5, 8, 11, 13, 15, 16, 17, 18, 19, 21, 22, 23 (and potentially 25, 27)</w:t>
            </w:r>
          </w:p>
        </w:tc>
        <w:tc>
          <w:tcPr>
            <w:tcW w:type="dxa" w:w="2736"/>
          </w:tcPr>
          <w:p>
            <w:r/>
            <w:r>
              <w:rPr>
                <w:sz w:val="16"/>
              </w:rPr>
              <w:t>$5,000/day per deviation (¶49). For design/operational deficiencies, accrual runs from the date the deficient component becomes operational until cured (¶50)</w:t>
            </w:r>
          </w:p>
        </w:tc>
        <w:tc>
          <w:tcPr>
            <w:tcW w:type="dxa" w:w="2304"/>
          </w:tcPr>
          <w:p>
            <w:r/>
            <w:r>
              <w:rPr>
                <w:sz w:val="16"/>
              </w:rPr>
              <w:t xml:space="preserve">$1.825M per deviation-year. Thirteen concurrent deviations for one year ≈ $23.7M. </w:t>
            </w:r>
            <w:r>
              <w:rPr>
                <w:b/>
                <w:sz w:val="16"/>
              </w:rPr>
              <w:t>Avoidable</w:t>
            </w:r>
            <w:r>
              <w:rPr>
                <w:sz w:val="16"/>
              </w:rPr>
              <w:t xml:space="preserve"> if the RAWP is conformed before construction (RA may not begin before approval, ¶21)</w:t>
            </w:r>
          </w:p>
        </w:tc>
      </w:tr>
      <w:tr>
        <w:tc>
          <w:tcPr>
            <w:tcW w:type="dxa" w:w="2016"/>
          </w:tcPr>
          <w:p>
            <w:r/>
            <w:r>
              <w:rPr>
                <w:sz w:val="16"/>
              </w:rPr>
              <w:t>Major Deviation (timeframe)</w:t>
            </w:r>
          </w:p>
        </w:tc>
        <w:tc>
          <w:tcPr>
            <w:tcW w:type="dxa" w:w="2304"/>
          </w:tcPr>
          <w:p>
            <w:r/>
            <w:r>
              <w:rPr>
                <w:sz w:val="16"/>
              </w:rPr>
              <w:t>Item 23 (45 vs. 30 years)</w:t>
            </w:r>
          </w:p>
        </w:tc>
        <w:tc>
          <w:tcPr>
            <w:tcW w:type="dxa" w:w="2736"/>
          </w:tcPr>
          <w:p>
            <w:r/>
            <w:r>
              <w:rPr>
                <w:sz w:val="16"/>
              </w:rPr>
              <w:t>¶¶30, 49(v)</w:t>
            </w:r>
          </w:p>
        </w:tc>
        <w:tc>
          <w:tcPr>
            <w:tcW w:type="dxa" w:w="2304"/>
          </w:tcPr>
          <w:p>
            <w:r/>
            <w:r>
              <w:rPr>
                <w:sz w:val="16"/>
              </w:rPr>
              <w:t>Accrues on failure to meet the RAO timeframe; it also undermines the covenant not to sue (¶72) and termination (¶¶95, 98)</w:t>
            </w:r>
          </w:p>
        </w:tc>
      </w:tr>
      <w:tr>
        <w:tc>
          <w:tcPr>
            <w:tcW w:type="dxa" w:w="2016"/>
          </w:tcPr>
          <w:p>
            <w:r/>
            <w:r>
              <w:rPr>
                <w:sz w:val="16"/>
              </w:rPr>
              <w:t>Minor Deviation: late RAWP</w:t>
            </w:r>
          </w:p>
        </w:tc>
        <w:tc>
          <w:tcPr>
            <w:tcW w:type="dxa" w:w="2304"/>
          </w:tcPr>
          <w:p>
            <w:r/>
            <w:r>
              <w:rPr>
                <w:sz w:val="16"/>
              </w:rPr>
              <w:t>Item 35</w:t>
            </w:r>
          </w:p>
        </w:tc>
        <w:tc>
          <w:tcPr>
            <w:tcW w:type="dxa" w:w="2736"/>
          </w:tcPr>
          <w:p>
            <w:r/>
            <w:r>
              <w:rPr>
                <w:sz w:val="16"/>
              </w:rPr>
              <w:t>$1,500/day (¶51(i)) from the 36-month deadline (¶17)</w:t>
            </w:r>
          </w:p>
        </w:tc>
        <w:tc>
          <w:tcPr>
            <w:tcW w:type="dxa" w:w="2304"/>
          </w:tcPr>
          <w:p>
            <w:r/>
            <w:r>
              <w:rPr>
                <w:sz w:val="16"/>
              </w:rPr>
              <w:t>From Apr. 28, 2023: 628 days ≈ $942,000. From Mar. 12, 2023: 675 days ≈ $1,012,500. Subject to any EPA-granted extension, which should be confirmed</w:t>
            </w:r>
          </w:p>
        </w:tc>
      </w:tr>
      <w:tr>
        <w:tc>
          <w:tcPr>
            <w:tcW w:type="dxa" w:w="2016"/>
          </w:tcPr>
          <w:p>
            <w:r/>
            <w:r>
              <w:rPr>
                <w:sz w:val="16"/>
              </w:rPr>
              <w:t>Minor Deviations: plan/administrative</w:t>
            </w:r>
          </w:p>
        </w:tc>
        <w:tc>
          <w:tcPr>
            <w:tcW w:type="dxa" w:w="2304"/>
          </w:tcPr>
          <w:p>
            <w:r/>
            <w:r>
              <w:rPr>
                <w:sz w:val="16"/>
              </w:rPr>
              <w:t>Items 29, 31, 32, 34 (citations, ARAR matrix, certification, CAMP/HASP)</w:t>
            </w:r>
          </w:p>
        </w:tc>
        <w:tc>
          <w:tcPr>
            <w:tcW w:type="dxa" w:w="2736"/>
          </w:tcPr>
          <w:p>
            <w:r/>
            <w:r>
              <w:rPr>
                <w:sz w:val="16"/>
              </w:rPr>
              <w:t>$1,500/day each (¶51(ii), (v)); arguably accruing from submission</w:t>
            </w:r>
          </w:p>
        </w:tc>
        <w:tc>
          <w:tcPr>
            <w:tcW w:type="dxa" w:w="2304"/>
          </w:tcPr>
          <w:p>
            <w:r/>
            <w:r>
              <w:rPr>
                <w:sz w:val="16"/>
              </w:rPr>
              <w:t>≈$547,500 per deviation-year. EPA may reclassify CAMP and haul-route items as Major (¶52)</w:t>
            </w:r>
          </w:p>
        </w:tc>
      </w:tr>
      <w:tr>
        <w:tc>
          <w:tcPr>
            <w:tcW w:type="dxa" w:w="2016"/>
          </w:tcPr>
          <w:p>
            <w:r/>
            <w:r>
              <w:rPr>
                <w:sz w:val="16"/>
              </w:rPr>
              <w:t>Minor Deviation: haul route</w:t>
            </w:r>
          </w:p>
        </w:tc>
        <w:tc>
          <w:tcPr>
            <w:tcW w:type="dxa" w:w="2304"/>
          </w:tcPr>
          <w:p>
            <w:r/>
            <w:r>
              <w:rPr>
                <w:sz w:val="16"/>
              </w:rPr>
              <w:t>Item 30</w:t>
            </w:r>
          </w:p>
        </w:tc>
        <w:tc>
          <w:tcPr>
            <w:tcW w:type="dxa" w:w="2736"/>
          </w:tcPr>
          <w:p>
            <w:r/>
            <w:r>
              <w:rPr>
                <w:sz w:val="16"/>
              </w:rPr>
              <w:t>$1,500/day (¶51(iii)) per day of non-compliant hauling</w:t>
            </w:r>
          </w:p>
        </w:tc>
        <w:tc>
          <w:tcPr>
            <w:tcW w:type="dxa" w:w="2304"/>
          </w:tcPr>
          <w:p>
            <w:r/>
            <w:r>
              <w:rPr>
                <w:sz w:val="16"/>
              </w:rPr>
              <w:t>Prospective only; high reclassification risk</w:t>
            </w:r>
          </w:p>
        </w:tc>
      </w:tr>
    </w:tbl>
    <w:p>
      <w:pPr>
        <w:spacing w:after="40"/>
      </w:pPr>
    </w:p>
    <w:p>
      <w:pPr>
        <w:spacing w:after="120"/>
      </w:pPr>
      <w:r>
        <w:t>Penalties continue to accrue during dispute resolution (¶56). EPA’s RAWP decisions are reviewed under the deferential arbitrary-and-capricious standard (¶63). Questions of how to interpret the ROD are reviewed de novo (¶64). Neither standard gives CCH a meaningful litigation path on the core items: the ROD and CD text is explicit on every number at issue. The cost of performance is not force majeure (¶68). Material non-performance also puts the covenant not to sue at risk (¶¶72, 74(i), (iv)) and exposes CCH to a UAO or EPA performance of the Work with cost recovery (¶¶74, 76).</w:t>
      </w:r>
    </w:p>
    <w:p>
      <w:pPr>
        <w:pStyle w:val="Heading1"/>
      </w:pPr>
      <w:r>
        <w:t>IX. CAG Concerns: Verification Against the Record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880"/>
            <w:shd w:val="clear" w:color="auto" w:fill="D9E2F3"/>
          </w:tcPr>
          <w:p>
            <w:r/>
            <w:r>
              <w:rPr>
                <w:b/>
                <w:sz w:val="16"/>
              </w:rPr>
              <w:t>CAG concern (Feb. 5, 2025 letter)</w:t>
            </w:r>
          </w:p>
        </w:tc>
        <w:tc>
          <w:tcPr>
            <w:tcW w:type="dxa" w:w="3744"/>
            <w:shd w:val="clear" w:color="auto" w:fill="D9E2F3"/>
          </w:tcPr>
          <w:p>
            <w:r/>
            <w:r>
              <w:rPr>
                <w:b/>
                <w:sz w:val="16"/>
              </w:rPr>
              <w:t>Finding</w:t>
            </w:r>
          </w:p>
        </w:tc>
        <w:tc>
          <w:tcPr>
            <w:tcW w:type="dxa" w:w="2736"/>
            <w:shd w:val="clear" w:color="auto" w:fill="D9E2F3"/>
          </w:tcPr>
          <w:p>
            <w:r/>
            <w:r>
              <w:rPr>
                <w:b/>
                <w:sz w:val="16"/>
              </w:rPr>
              <w:t>Record basis</w:t>
            </w:r>
          </w:p>
        </w:tc>
      </w:tr>
      <w:tr>
        <w:tc>
          <w:tcPr>
            <w:tcW w:type="dxa" w:w="2880"/>
          </w:tcPr>
          <w:p>
            <w:r/>
            <w:r>
              <w:rPr>
                <w:sz w:val="16"/>
              </w:rPr>
              <w:t>Overall scope reduced; cost “significantly lower”</w:t>
            </w:r>
          </w:p>
        </w:tc>
        <w:tc>
          <w:tcPr>
            <w:tcW w:type="dxa" w:w="3744"/>
          </w:tcPr>
          <w:p>
            <w:r/>
            <w:r>
              <w:rPr>
                <w:b/>
                <w:sz w:val="16"/>
              </w:rPr>
              <w:t>Confirmed.</w:t>
            </w:r>
            <w:r>
              <w:rPr>
                <w:sz w:val="16"/>
              </w:rPr>
              <w:t xml:space="preserve"> $72.1M vs. $89.4M; most design minimums reduced</w:t>
            </w:r>
          </w:p>
        </w:tc>
        <w:tc>
          <w:tcPr>
            <w:tcW w:type="dxa" w:w="2736"/>
          </w:tcPr>
          <w:p>
            <w:r/>
            <w:r>
              <w:rPr>
                <w:sz w:val="16"/>
              </w:rPr>
              <w:t>Part IV; RAWP §14.1; ROD §2.14</w:t>
            </w:r>
          </w:p>
        </w:tc>
      </w:tr>
      <w:tr>
        <w:tc>
          <w:tcPr>
            <w:tcW w:type="dxa" w:w="2880"/>
          </w:tcPr>
          <w:p>
            <w:r/>
            <w:r>
              <w:rPr>
                <w:sz w:val="16"/>
              </w:rPr>
              <w:t>AOP for 1,4-dioxane may not be included</w:t>
            </w:r>
          </w:p>
        </w:tc>
        <w:tc>
          <w:tcPr>
            <w:tcW w:type="dxa" w:w="3744"/>
          </w:tcPr>
          <w:p>
            <w:r/>
            <w:r>
              <w:rPr>
                <w:b/>
                <w:sz w:val="16"/>
              </w:rPr>
              <w:t>Confirmed.</w:t>
            </w:r>
            <w:r>
              <w:rPr>
                <w:sz w:val="16"/>
              </w:rPr>
              <w:t xml:space="preserve"> AOP omitted; GAC relied upon</w:t>
            </w:r>
          </w:p>
        </w:tc>
        <w:tc>
          <w:tcPr>
            <w:tcW w:type="dxa" w:w="2736"/>
          </w:tcPr>
          <w:p>
            <w:r/>
            <w:r>
              <w:rPr>
                <w:sz w:val="16"/>
              </w:rPr>
              <w:t>RAWP §7.1; ROD §2.12.4; CD ¶24(b)(iii)</w:t>
            </w:r>
          </w:p>
        </w:tc>
      </w:tr>
      <w:tr>
        <w:tc>
          <w:tcPr>
            <w:tcW w:type="dxa" w:w="2880"/>
          </w:tcPr>
          <w:p>
            <w:r/>
            <w:r>
              <w:rPr>
                <w:sz w:val="16"/>
              </w:rPr>
              <w:t>Cleanup levels may not match the ROD</w:t>
            </w:r>
          </w:p>
        </w:tc>
        <w:tc>
          <w:tcPr>
            <w:tcW w:type="dxa" w:w="3744"/>
          </w:tcPr>
          <w:p>
            <w:r/>
            <w:r>
              <w:rPr>
                <w:b/>
                <w:sz w:val="16"/>
              </w:rPr>
              <w:t>Confirmed for 1,4-dioxane</w:t>
            </w:r>
            <w:r>
              <w:rPr>
                <w:sz w:val="16"/>
              </w:rPr>
              <w:t xml:space="preserve"> (3.5 vs. 0.35 µg/L); TCE, PCE, and Cr(VI) match</w:t>
            </w:r>
          </w:p>
        </w:tc>
        <w:tc>
          <w:tcPr>
            <w:tcW w:type="dxa" w:w="2736"/>
          </w:tcPr>
          <w:p>
            <w:r/>
            <w:r>
              <w:rPr>
                <w:sz w:val="16"/>
              </w:rPr>
              <w:t>RAWP Table 2-1; ROD §2.12.4</w:t>
            </w:r>
          </w:p>
        </w:tc>
      </w:tr>
      <w:tr>
        <w:tc>
          <w:tcPr>
            <w:tcW w:type="dxa" w:w="2880"/>
          </w:tcPr>
          <w:p>
            <w:r/>
            <w:r>
              <w:rPr>
                <w:sz w:val="16"/>
              </w:rPr>
              <w:t>CAMP thresholds may differ</w:t>
            </w:r>
          </w:p>
        </w:tc>
        <w:tc>
          <w:tcPr>
            <w:tcW w:type="dxa" w:w="3744"/>
          </w:tcPr>
          <w:p>
            <w:r/>
            <w:r>
              <w:rPr>
                <w:b/>
                <w:sz w:val="16"/>
              </w:rPr>
              <w:t>Confirmed for VOCs</w:t>
            </w:r>
            <w:r>
              <w:rPr>
                <w:sz w:val="16"/>
              </w:rPr>
              <w:t xml:space="preserve"> (10 vs. 5 ppmv); PM-10 matches</w:t>
            </w:r>
          </w:p>
        </w:tc>
        <w:tc>
          <w:tcPr>
            <w:tcW w:type="dxa" w:w="2736"/>
          </w:tcPr>
          <w:p>
            <w:r/>
            <w:r>
              <w:rPr>
                <w:sz w:val="16"/>
              </w:rPr>
              <w:t>RAWP Table 9-1; ROD §2.12.6</w:t>
            </w:r>
          </w:p>
        </w:tc>
      </w:tr>
      <w:tr>
        <w:tc>
          <w:tcPr>
            <w:tcW w:type="dxa" w:w="2880"/>
          </w:tcPr>
          <w:p>
            <w:r/>
            <w:r>
              <w:rPr>
                <w:sz w:val="16"/>
              </w:rPr>
              <w:t>Haul route may be County Road 12</w:t>
            </w:r>
          </w:p>
        </w:tc>
        <w:tc>
          <w:tcPr>
            <w:tcW w:type="dxa" w:w="3744"/>
          </w:tcPr>
          <w:p>
            <w:r/>
            <w:r>
              <w:rPr>
                <w:b/>
                <w:sz w:val="16"/>
              </w:rPr>
              <w:t>Confirmed</w:t>
            </w:r>
          </w:p>
        </w:tc>
        <w:tc>
          <w:tcPr>
            <w:tcW w:type="dxa" w:w="2736"/>
          </w:tcPr>
          <w:p>
            <w:r/>
            <w:r>
              <w:rPr>
                <w:sz w:val="16"/>
              </w:rPr>
              <w:t>RAWP §10.1, Fig. 10-1; ROD §2.12.6; CD ¶27</w:t>
            </w:r>
          </w:p>
        </w:tc>
      </w:tr>
      <w:tr>
        <w:tc>
          <w:tcPr>
            <w:tcW w:type="dxa" w:w="2880"/>
          </w:tcPr>
          <w:p>
            <w:r/>
            <w:r>
              <w:rPr>
                <w:sz w:val="16"/>
              </w:rPr>
              <w:t>Reduced depths, fewer wells, weaker monitoring</w:t>
            </w:r>
          </w:p>
        </w:tc>
        <w:tc>
          <w:tcPr>
            <w:tcW w:type="dxa" w:w="3744"/>
          </w:tcPr>
          <w:p>
            <w:r/>
            <w:r>
              <w:rPr>
                <w:b/>
                <w:sz w:val="16"/>
              </w:rPr>
              <w:t>Confirmed</w:t>
            </w:r>
            <w:r>
              <w:rPr>
                <w:sz w:val="16"/>
              </w:rPr>
              <w:t xml:space="preserve"> across OU-1 through OU-4</w:t>
            </w:r>
          </w:p>
        </w:tc>
        <w:tc>
          <w:tcPr>
            <w:tcW w:type="dxa" w:w="2736"/>
          </w:tcPr>
          <w:p>
            <w:r/>
            <w:r>
              <w:rPr>
                <w:sz w:val="16"/>
              </w:rPr>
              <w:t>Items 1–27</w:t>
            </w:r>
          </w:p>
        </w:tc>
      </w:tr>
      <w:tr>
        <w:tc>
          <w:tcPr>
            <w:tcW w:type="dxa" w:w="2880"/>
          </w:tcPr>
          <w:p>
            <w:r/>
            <w:r>
              <w:rPr>
                <w:sz w:val="16"/>
              </w:rPr>
              <w:t>Wellfield protection</w:t>
            </w:r>
          </w:p>
        </w:tc>
        <w:tc>
          <w:tcPr>
            <w:tcW w:type="dxa" w:w="3744"/>
          </w:tcPr>
          <w:p>
            <w:r/>
            <w:r>
              <w:rPr>
                <w:b/>
                <w:sz w:val="16"/>
              </w:rPr>
              <w:t>Concern well-founded.</w:t>
            </w:r>
            <w:r>
              <w:rPr>
                <w:sz w:val="16"/>
              </w:rPr>
              <w:t xml:space="preserve"> Extraction capture width, network size, and frequency reduced; AOP removed; 45-year timeline</w:t>
            </w:r>
          </w:p>
        </w:tc>
        <w:tc>
          <w:tcPr>
            <w:tcW w:type="dxa" w:w="2736"/>
          </w:tcPr>
          <w:p>
            <w:r/>
            <w:r>
              <w:rPr>
                <w:sz w:val="16"/>
              </w:rPr>
              <w:t>Items 17–23</w:t>
            </w:r>
          </w:p>
        </w:tc>
      </w:tr>
      <w:tr>
        <w:tc>
          <w:tcPr>
            <w:tcW w:type="dxa" w:w="2880"/>
          </w:tcPr>
          <w:p>
            <w:r/>
            <w:r>
              <w:rPr>
                <w:sz w:val="16"/>
              </w:rPr>
              <w:t>Notice and comment on any ESD/ROD Amendment; public meeting</w:t>
            </w:r>
          </w:p>
        </w:tc>
        <w:tc>
          <w:tcPr>
            <w:tcW w:type="dxa" w:w="3744"/>
          </w:tcPr>
          <w:p>
            <w:r/>
            <w:r>
              <w:rPr>
                <w:sz w:val="16"/>
              </w:rPr>
              <w:t>A ROD Amendment requires public notice and comment (40 C.F.R. § 300.435(c)(2)(ii); CD ¶5(q)). An ESD requires public notice and placement in the Administrative Record but no formal comment period (§ 300.435(c)(2)(i)). EPA is very likely to involve the CAG</w:t>
            </w:r>
          </w:p>
        </w:tc>
        <w:tc>
          <w:tcPr>
            <w:tcW w:type="dxa" w:w="2736"/>
          </w:tcPr>
          <w:p>
            <w:r/>
            <w:r>
              <w:rPr>
                <w:sz w:val="16"/>
              </w:rPr>
              <w:t>CD ¶¶5(h), 5(q), 32</w:t>
            </w:r>
          </w:p>
        </w:tc>
      </w:tr>
    </w:tbl>
    <w:p>
      <w:pPr>
        <w:spacing w:after="40"/>
      </w:pPr>
    </w:p>
    <w:p>
      <w:pPr>
        <w:spacing w:after="120"/>
      </w:pPr>
      <w:r>
        <w:t>Practically, any attempt to carry the three fundamental changes forward would go through a ROD Amendment, and the CAG has positioned itself to oppose it. Given Ohio EPA’s documented support for 0.35 µg/L and AOP (ROD §3.2.5), the prospects for such an amendment are poor.</w:t>
      </w:r>
    </w:p>
    <w:p>
      <w:pPr>
        <w:pStyle w:val="Heading1"/>
      </w:pPr>
      <w:r>
        <w:t>X. Elements That Conform to the ROD</w:t>
      </w:r>
    </w:p>
    <w:p>
      <w:pPr>
        <w:spacing w:after="120"/>
      </w:pPr>
      <w:r>
        <w:t>For balance, and so the resubmission can build on them, the following RAWP elements are consistent with the ROD and CD, or exceed them:</w:t>
      </w:r>
    </w:p>
    <w:p>
      <w:pPr>
        <w:pStyle w:val="ListBullet"/>
        <w:spacing w:after="60"/>
      </w:pPr>
      <w:r>
        <w:t>TCE, PCE, and Cr(VI) cleanup levels, POC wells at the Site boundary, and the 8-consecutive-semi-annual-round attainment rule (RAWP §§2.2, 5.4).</w:t>
      </w:r>
    </w:p>
    <w:p>
      <w:pPr>
        <w:pStyle w:val="ListBullet"/>
        <w:spacing w:after="60"/>
      </w:pPr>
      <w:r>
        <w:t>Industrial PRGs for PCP (3.8), Cr(VI) (6.3), and BaP (2.1 mg/kg) (RAWP §2.2), subject to adding the VOC PRGs.</w:t>
      </w:r>
    </w:p>
    <w:p>
      <w:pPr>
        <w:pStyle w:val="ListBullet"/>
        <w:spacing w:after="60"/>
      </w:pPr>
      <w:r>
        <w:t>Confirmation sampling of treated soil at 1 per 500 cy (RAWP §3.3; CD ¶22(c)); off-site disposal of non-conforming soils at a RCRA Subtitle C facility (Northland); SEE extracted fluids routed to the on-site plant; 60-day SEE pilot before full-scale operation.</w:t>
      </w:r>
    </w:p>
    <w:p>
      <w:pPr>
        <w:pStyle w:val="ListBullet"/>
        <w:spacing w:after="60"/>
      </w:pPr>
      <w:r>
        <w:t>A RCRA-equivalent multilayer cap meeting 40 CFR 264.310, with CQA by a third party and clay at k ≤ 1×10⁻⁷ cm/s (RAWP §4.2). The OU-2 monitoring frequency (quarterly for 5 years, then semi-annual with EPA approval) is also consistent.</w:t>
      </w:r>
    </w:p>
    <w:p>
      <w:pPr>
        <w:pStyle w:val="ListBullet"/>
        <w:spacing w:after="60"/>
      </w:pPr>
      <w:r>
        <w:t>Air stripper with ≥99% TCE/PCE removal and vapor-phase GAC off-gas treatment; lead/lag liquid GAC; NPDES discharge to Millhaven Creek (RAWP §§7.1–7.2; CD ¶24(b)(i)–(ii), (c)). Cr(VI) pretreatment by reduction and precipitation is a sensible addition that the ROD does not require.</w:t>
      </w:r>
    </w:p>
    <w:p>
      <w:pPr>
        <w:pStyle w:val="ListBullet"/>
        <w:spacing w:after="60"/>
      </w:pPr>
      <w:r>
        <w:t xml:space="preserve">EVO substrate, qPCR for </w:t>
      </w:r>
      <w:r>
        <w:rPr>
          <w:i/>
        </w:rPr>
        <w:t>Dehalococcoides</w:t>
      </w:r>
      <w:r>
        <w:t>, and ERD geochemical monitoring parameters (RAWP §5.3).</w:t>
      </w:r>
    </w:p>
    <w:p>
      <w:pPr>
        <w:pStyle w:val="ListBullet"/>
        <w:spacing w:after="60"/>
      </w:pPr>
      <w:r>
        <w:t>OU-4 3-ft excavation depth, work outside the April–June spawning window, silt fencing, turbidity monitoring, and stream diversion as needed (RAWP §6.1).</w:t>
      </w:r>
    </w:p>
    <w:p>
      <w:pPr>
        <w:pStyle w:val="ListBullet"/>
        <w:spacing w:after="60"/>
      </w:pPr>
      <w:r>
        <w:t>PM-10 action level of 150 µg/m³ (15-min), work-stoppage protocol, at least 4 monitoring stations (RAWP §9).</w:t>
      </w:r>
    </w:p>
    <w:p>
      <w:pPr>
        <w:pStyle w:val="ListBullet"/>
        <w:spacing w:after="60"/>
      </w:pPr>
      <w:r>
        <w:t>Covered loads, decontamination, manifesting, and DOT compliance (RAWP §10.2). First Five-Year Review by September 2026 (RAWP §13.2; ROD §2.12.6; CD ¶31).</w:t>
      </w:r>
    </w:p>
    <w:p>
      <w:pPr>
        <w:pStyle w:val="Heading1"/>
      </w:pPr>
      <w:r>
        <w:t>XI. Recommendations and Next Steps</w:t>
      </w:r>
    </w:p>
    <w:p>
      <w:pPr>
        <w:pStyle w:val="ListNumber"/>
        <w:spacing w:after="60"/>
      </w:pPr>
      <w:r>
        <w:rPr>
          <w:b/>
        </w:rPr>
        <w:t>Do not defend the RAWP as submitted.</w:t>
      </w:r>
      <w:r>
        <w:t xml:space="preserve"> Advise CCH to notify EPA promptly, in writing, that CCH will revise the RAWP to conform to the ROD. This should be done before EPA issues a disapproval, and in any event within the CD ¶20 30-day resubmission window. It also positions CCH under ¶44, which requires notice within 72 hours of conditions that may result in deviation from the ROD.</w:t>
      </w:r>
    </w:p>
    <w:p>
      <w:pPr>
        <w:pStyle w:val="ListNumber"/>
        <w:spacing w:after="60"/>
      </w:pPr>
      <w:r>
        <w:rPr>
          <w:b/>
        </w:rPr>
        <w:t>Restore every Critical and High item to ROD specifications</w:t>
      </w:r>
      <w:r>
        <w:t xml:space="preserve"> in the revised RAWP: 0.35 µg/L; the UV/H₂O₂ AOP with ≥99% destruction; the 30-year design basis; 15-ft OU-1 excavation (≈40,500–42,000 cy) and VOC PRGs; 14 SEE pairs over the PDI’s 2.8-acre (or ROD 3.5-acre) zone; 1 mg/kg applied to all OU-1 soils, with PRG screening of backfill; OU-2 excavation to the clay (≈27,800–28,500 cy) with clay-surface confirmation; 60-mil/24-in. liner and a re-sized cell; leachate to the on-site plant; 8 OU-2 wells; 12 wells along a ≥2,400-ft trench with capture of plume width + 200 ft per side and quarterly capture-zone analysis; well screens confined to the shallow aquifer; 48 ERD points at 30 ft with a ≥5:1 donor ratio and at least 3 annual rounds; 36 OU-3 wells, quarterly for 3 years; OU-4 at 6,800 cy, USFWS/ODNR co-approval, and 5-year monitoring per CD ¶25(c).</w:t>
      </w:r>
    </w:p>
    <w:p>
      <w:pPr>
        <w:pStyle w:val="ListNumber"/>
        <w:spacing w:after="60"/>
      </w:pPr>
      <w:r>
        <w:rPr>
          <w:b/>
        </w:rPr>
        <w:t>Fix the community-facing items</w:t>
      </w:r>
      <w:r>
        <w:t xml:space="preserve"> to match the ROD and CD exactly: 5 ppmv VOC fenceline action level, fenceline stations, NYSDOH reference, all intrusive work including OU-3, and CAG data sharing; the State Route 47 → I-71 haul route and a traffic management plan coordinated with local authorities.</w:t>
      </w:r>
    </w:p>
    <w:p>
      <w:pPr>
        <w:pStyle w:val="ListNumber"/>
        <w:spacing w:after="60"/>
      </w:pPr>
      <w:r>
        <w:rPr>
          <w:b/>
        </w:rPr>
        <w:t>Fix the administrative items:</w:t>
      </w:r>
      <w:r>
        <w:t xml:space="preserve"> HASP under 29 CFR 1910.120; a full 47-ARAR compliance demonstration keyed to ROD Table 2-1; a site-wide IC program per ROD §2.12.6; CD ¶47 certification by Mr. Yamashita; reconciled P.E. registration and project numbers; corrected appendix references and site description; an accurate description of the PDI scope and conclusions.</w:t>
      </w:r>
    </w:p>
    <w:p>
      <w:pPr>
        <w:pStyle w:val="ListNumber"/>
        <w:spacing w:after="60"/>
      </w:pPr>
      <w:r>
        <w:rPr>
          <w:b/>
        </w:rPr>
        <w:t>Pursue any genuine optimization separately</w:t>
      </w:r>
      <w:r>
        <w:t xml:space="preserve"> through a CD ¶35 request with the full justification package: a side-by-side comparison, data, pilot results, and protectiveness, ARAR, classification, cost, and schedule assessments. The best-supported candidate is the PDI’s variable-depth OU-1 approach, with 15 ft as the default and 12 ft only where 12-ft confirmation samples are below PRGs. A reduction to 12 SEE pairs should be considered only after full-scale pilot data, as the PDI advises. CCH should expect EPA to treat even these as ESD-level changes and must not implement them before EPA acts (CD ¶33).</w:t>
      </w:r>
    </w:p>
    <w:p>
      <w:pPr>
        <w:pStyle w:val="ListNumber"/>
        <w:spacing w:after="60"/>
      </w:pPr>
      <w:r>
        <w:rPr>
          <w:b/>
        </w:rPr>
        <w:t>Revise the cost estimate</w:t>
      </w:r>
      <w:r>
        <w:t xml:space="preserve"> to the conforming scope. Discount O&amp;M over the actual operating period. Confirm that the $89.4M financial assurance remains in force and that the annual ¶84 certifications are current.</w:t>
      </w:r>
    </w:p>
    <w:p>
      <w:pPr>
        <w:pStyle w:val="ListNumber"/>
        <w:spacing w:after="60"/>
      </w:pPr>
      <w:r>
        <w:rPr>
          <w:b/>
        </w:rPr>
        <w:t>Privilege and records:</w:t>
      </w:r>
      <w:r>
        <w:t xml:space="preserve"> confirm exactly what PDI materials were transmitted to EPA (RAWP §1.4 says the memo was submitted on Oct. 15, 2024) and whether ¶79 data deliveries are current. Assume the underlying data are EPA-accessible. Do not rely on privilege to shield any inconsistency between the PDI data and the RAWP.</w:t>
      </w:r>
    </w:p>
    <w:p>
      <w:pPr>
        <w:pStyle w:val="ListNumber"/>
        <w:spacing w:after="60"/>
      </w:pPr>
      <w:r>
        <w:rPr>
          <w:b/>
        </w:rPr>
        <w:t>Timeliness:</w:t>
      </w:r>
      <w:r>
        <w:t xml:space="preserve"> obtain the entered CD, docket, and any EPA schedule extensions to confirm the Effective Date and quantify any ¶51(i) exposure for the RAWP submission. Do the same for the ¶81 60-day financial-assurance deadline.</w:t>
      </w:r>
    </w:p>
    <w:p>
      <w:pPr>
        <w:pStyle w:val="ListNumber"/>
        <w:spacing w:after="60"/>
      </w:pPr>
      <w:r>
        <w:rPr>
          <w:b/>
        </w:rPr>
        <w:t>Community strategy:</w:t>
      </w:r>
      <w:r>
        <w:t xml:space="preserve"> coordinate with EPA on the public meeting the CAG has requested. A conforming RAWP removes most of the CAG’s stated objections and lowers the risk of EPA reclassifying deviations under ¶52.</w:t>
      </w:r>
    </w:p>
    <w:p>
      <w:pPr>
        <w:pStyle w:val="Heading1"/>
      </w:pPr>
      <w:r>
        <w:t>XII. Open Items and Limitations</w:t>
      </w:r>
    </w:p>
    <w:p>
      <w:pPr>
        <w:pStyle w:val="ListBullet"/>
        <w:spacing w:after="60"/>
      </w:pPr>
      <w:r>
        <w:t>The RAWP appendices (A–N) were not provided. In particular, Appendix I (groundwater model), Appendix C (SEE design), Appendix E (cell design), and Appendix N (cost worksheets) should be reviewed to confirm or refine Items 6, 14, 19–23, and 33.</w:t>
      </w:r>
    </w:p>
    <w:p>
      <w:pPr>
        <w:pStyle w:val="ListBullet"/>
        <w:spacing w:after="60"/>
      </w:pPr>
      <w:r>
        <w:t>We have no documentation of any EPA approval of the PDI Work Plan, any deadline extension, or any EPA comments on the RAWP.</w:t>
      </w:r>
    </w:p>
    <w:p>
      <w:pPr>
        <w:pStyle w:val="ListBullet"/>
        <w:spacing w:after="60"/>
      </w:pPr>
      <w:r>
        <w:t>The SEE coverage and extraction-well depth observations (Items 5, 6, 20) are flagged for review by an independent engineer. They are not offered as engineering conclusions.</w:t>
      </w:r>
    </w:p>
    <w:p>
      <w:pPr>
        <w:pStyle w:val="ListBullet"/>
        <w:spacing w:after="60"/>
      </w:pPr>
      <w:r>
        <w:t>Classification under CD ¶32 and penalty assessment under ¶¶49–52 are matters of EPA discretion. The classifications in this memorandum are our assessment of the likely EPA position based on the CD 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