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rPr>
        <w:t>PRIVILEGED AND CONFIDENTIAL — ATTORNEY WORK PRODUCT</w:t>
      </w:r>
    </w:p>
    <w:p>
      <w:pPr>
        <w:spacing w:after="240"/>
        <w:jc w:val="center"/>
      </w:pPr>
      <w:r>
        <w:rPr>
          <w:b/>
        </w:rPr>
        <w:t>HARTWELL, BRANNIGAN &amp; LOCKE LLP</w:t>
      </w:r>
    </w:p>
    <w:p>
      <w:pPr>
        <w:spacing w:after="240"/>
        <w:jc w:val="center"/>
      </w:pPr>
      <w:r>
        <w:rPr>
          <w:b/>
          <w:sz w:val="26"/>
        </w:rPr>
        <w:t>MEMORANDUM</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440"/>
            <w:shd w:val="clear" w:color="auto" w:fill="FFFFFF"/>
          </w:tcPr>
          <w:p>
            <w:r/>
            <w:r>
              <w:rPr>
                <w:b/>
                <w:sz w:val="21"/>
              </w:rPr>
            </w:r>
          </w:p>
        </w:tc>
        <w:tc>
          <w:tcPr>
            <w:tcW w:type="dxa" w:w="7920"/>
            <w:shd w:val="clear" w:color="auto" w:fill="FFFFFF"/>
          </w:tcPr>
          <w:p>
            <w:r/>
            <w:r>
              <w:rPr>
                <w:b/>
                <w:sz w:val="21"/>
              </w:rPr>
            </w:r>
          </w:p>
        </w:tc>
      </w:tr>
      <w:tr>
        <w:tc>
          <w:tcPr>
            <w:tcW w:type="dxa" w:w="1440"/>
          </w:tcPr>
          <w:p>
            <w:r>
              <w:rPr>
                <w:sz w:val="21"/>
              </w:rPr>
            </w:r>
            <w:r>
              <w:rPr>
                <w:b/>
                <w:sz w:val="21"/>
              </w:rPr>
              <w:t>TO:</w:t>
            </w:r>
          </w:p>
        </w:tc>
        <w:tc>
          <w:tcPr>
            <w:tcW w:type="dxa" w:w="7920"/>
          </w:tcPr>
          <w:p>
            <w:r>
              <w:rPr>
                <w:sz w:val="21"/>
              </w:rPr>
            </w:r>
            <w:r>
              <w:rPr>
                <w:sz w:val="21"/>
              </w:rPr>
              <w:t>Rachel A. Downing, Partner</w:t>
            </w:r>
          </w:p>
        </w:tc>
      </w:tr>
      <w:tr>
        <w:tc>
          <w:tcPr>
            <w:tcW w:type="dxa" w:w="1440"/>
          </w:tcPr>
          <w:p>
            <w:r>
              <w:rPr>
                <w:sz w:val="21"/>
              </w:rPr>
            </w:r>
            <w:r>
              <w:rPr>
                <w:b/>
                <w:sz w:val="21"/>
              </w:rPr>
              <w:t>FROM:</w:t>
            </w:r>
          </w:p>
        </w:tc>
        <w:tc>
          <w:tcPr>
            <w:tcW w:type="dxa" w:w="7920"/>
          </w:tcPr>
          <w:p>
            <w:r>
              <w:rPr>
                <w:sz w:val="21"/>
              </w:rPr>
            </w:r>
            <w:r>
              <w:rPr>
                <w:sz w:val="21"/>
              </w:rPr>
              <w:t>Kevin M. Pratt, Senior Associate</w:t>
            </w:r>
          </w:p>
        </w:tc>
      </w:tr>
      <w:tr>
        <w:tc>
          <w:tcPr>
            <w:tcW w:type="dxa" w:w="1440"/>
          </w:tcPr>
          <w:p>
            <w:r>
              <w:rPr>
                <w:sz w:val="21"/>
              </w:rPr>
            </w:r>
            <w:r>
              <w:rPr>
                <w:b/>
                <w:sz w:val="21"/>
              </w:rPr>
              <w:t>DATE:</w:t>
            </w:r>
          </w:p>
        </w:tc>
        <w:tc>
          <w:tcPr>
            <w:tcW w:type="dxa" w:w="7920"/>
          </w:tcPr>
          <w:p>
            <w:r>
              <w:rPr>
                <w:sz w:val="21"/>
              </w:rPr>
            </w:r>
            <w:r>
              <w:rPr>
                <w:sz w:val="21"/>
              </w:rPr>
              <w:t>September 30, 2024</w:t>
            </w:r>
          </w:p>
        </w:tc>
      </w:tr>
      <w:tr>
        <w:tc>
          <w:tcPr>
            <w:tcW w:type="dxa" w:w="1440"/>
          </w:tcPr>
          <w:p>
            <w:r>
              <w:rPr>
                <w:sz w:val="21"/>
              </w:rPr>
            </w:r>
            <w:r>
              <w:rPr>
                <w:b/>
                <w:sz w:val="21"/>
              </w:rPr>
              <w:t>RE:</w:t>
            </w:r>
          </w:p>
        </w:tc>
        <w:tc>
          <w:tcPr>
            <w:tcW w:type="dxa" w:w="7920"/>
          </w:tcPr>
          <w:p>
            <w:r>
              <w:rPr>
                <w:sz w:val="21"/>
              </w:rPr>
            </w:r>
            <w:r>
              <w:rPr>
                <w:i/>
                <w:sz w:val="21"/>
              </w:rPr>
              <w:t>People of the State of Illinois, ex rel. Attorney General, and Fox River Conservancy v. Greenfield Recycling Solutions, Inc.</w:t>
            </w:r>
            <w:r>
              <w:rPr>
                <w:sz w:val="21"/>
              </w:rPr>
              <w:t>, Case No. 2021-CH-00847 (Cir. Ct. Winnebago Cnty.) (Sung, J.) — Cover memorandum to GRS redline of the AG’s September 8, 2024 proposed Consent Decree: summary of revisions, rationale, risk assessment, open items, and fallback positions</w:t>
            </w:r>
          </w:p>
        </w:tc>
      </w:tr>
    </w:tbl>
    <w:p>
      <w:pPr>
        <w:spacing w:after="40"/>
      </w:pPr>
    </w:p>
    <w:p>
      <w:pPr>
        <w:spacing w:after="120"/>
        <w:jc w:val="both"/>
      </w:pPr>
      <w:r>
        <w:rPr>
          <w:b/>
        </w:rPr>
        <w:t>Deliverables.</w:t>
      </w:r>
      <w:r>
        <w:t xml:space="preserve"> (1) consent-decree-markup.docx: tracked-changes redline of the September 8 AG draft, with 33 numbered margin comments ([GRS Comment 1]–[GRS Comment 33]) explaining each revision. The comments are written to be read by Calloway’s office and Andrade, but see the transmittal checklist in Part IX before the redline leaves the firm. (2) This memorandum, which is internal only. Return deadline to the AG is </w:t>
      </w:r>
      <w:r>
        <w:rPr>
          <w:b/>
        </w:rPr>
        <w:t>October 7, 2024</w:t>
      </w:r>
      <w:r>
        <w:t>. Your review is blocked for October 1.</w:t>
      </w:r>
    </w:p>
    <w:p>
      <w:pPr>
        <w:pStyle w:val="Heading1"/>
      </w:pPr>
      <w:r>
        <w:rPr>
          <w:rFonts w:ascii="Times New Roman" w:hAnsi="Times New Roman"/>
          <w:color w:val="000000"/>
        </w:rPr>
        <w:t>I. Bottom Line</w:t>
      </w:r>
    </w:p>
    <w:p>
      <w:pPr>
        <w:pStyle w:val="ListBullet"/>
        <w:spacing w:after="60"/>
      </w:pPr>
      <w:r>
        <w:t>Per your direction, the markup is targeted and not a rewrite. It contains roughly 70 discrete tracked revisions across 20 sections, plus one new section (IX-A, Force Majeure) and two new subsections (7.8, SWMU-4; 17.5, contribution protection and reservation of rights). Every economic term you told me to leave alone is untouched: the $3.75M penalty, the $2.0M SEP amount, the $600K FRC payment, the 12-month CMS, and quarterly monitoring during remediation.</w:t>
      </w:r>
    </w:p>
    <w:p>
      <w:pPr>
        <w:pStyle w:val="ListBullet"/>
        <w:spacing w:after="60"/>
      </w:pPr>
      <w:r>
        <w:rPr>
          <w:b/>
        </w:rPr>
        <w:t>Tier 1 (dealbreakers):</w:t>
      </w:r>
      <w:r>
        <w:t xml:space="preserve"> (a) financial assurance and payment timing (Sections 6.1, 8.3, 11.1–11.4); (b) a phased covenant not to sue (Section XVII); (c) SWMU-4 handled through Option A, a source evaluation before any corrective action obligation, together with an express reservation of GRS’s contribution and cost-recovery rights (Sections 7.7, 7.8, 17.5).</w:t>
      </w:r>
    </w:p>
    <w:p>
      <w:pPr>
        <w:pStyle w:val="ListBullet"/>
        <w:spacing w:after="60"/>
      </w:pPr>
      <w:r>
        <w:rPr>
          <w:b/>
        </w:rPr>
        <w:t>The liquidity problem is worse than our working numbers.</w:t>
      </w:r>
      <w:r>
        <w:t xml:space="preserve"> Including the SEP ($2.0M) and the FRC payment ($0.6M), which are also due within 60 days, the AG draft demands </w:t>
      </w:r>
      <w:r>
        <w:rPr>
          <w:b/>
        </w:rPr>
        <w:t>$20.3M within 60 days</w:t>
      </w:r>
      <w:r>
        <w:t>, not $17.7M. The 120% / 120-day counter in your email still breaches the Beacon $5M minimum-liquidity covenant, and it cannot be posted as a single letter of credit because $12.96M is more than both the $12.7M of revolver availability and the $10M LC sub-limit. The markup therefore stages financial assurance: 50% at 120 days, and the balance sized to the remedies actually selected, posted 60 days after CMS approval (outside date 21 months). On the workbook’s own assumptions, that structure keeps GRS above the covenant (Part III).</w:t>
      </w:r>
    </w:p>
    <w:p>
      <w:pPr>
        <w:pStyle w:val="ListBullet"/>
        <w:spacing w:after="60"/>
      </w:pPr>
      <w:r>
        <w:rPr>
          <w:b/>
        </w:rPr>
        <w:t>The financial test and corporate guarantee are probably not available to GRS today.</w:t>
      </w:r>
      <w:r>
        <w:t xml:space="preserve"> On the June 30, 2024 balance sheet, GRS fails the 35 IAC 724.243(f) / 40 C.F.R. § 264.143(f) criteria by a wide margin (Part II.C). The markup still asks for these mechanisms because they cost nothing to include and preserve future flexibility. The liquidity plan, however, cannot depend on them, and we should correct the workbook’s statement that the financial test is the strongest outcome.</w:t>
      </w:r>
    </w:p>
    <w:p>
      <w:pPr>
        <w:pStyle w:val="ListBullet"/>
        <w:spacing w:after="60"/>
      </w:pPr>
      <w:r>
        <w:rPr>
          <w:b/>
        </w:rPr>
        <w:t>Two items need to be fixed before anything goes out.</w:t>
      </w:r>
      <w:r>
        <w:t xml:space="preserve"> (1) Decree Appendix D, as drafted by the AG, would attach the Terravance "Remedial Investigation Summary (Draft Dated January 15, 2023)." The only document by that description in our file is Dr. Sheffield’s privileged technical memorandum prepared at the direction of counsel. The markup substitutes the RI Report as submitted to Illinois EPA (Comment 33). We need to confirm what the AG actually has. (2) The GRS financial workbook contains internal errors (Part II.E) that must be corrected before any ability-to-pay information goes to the AG.</w:t>
      </w:r>
    </w:p>
    <w:p>
      <w:pPr>
        <w:pStyle w:val="ListBullet"/>
        <w:spacing w:after="60"/>
      </w:pPr>
      <w:r>
        <w:rPr>
          <w:b/>
        </w:rPr>
        <w:t>Expected reception.</w:t>
      </w:r>
      <w:r>
        <w:t xml:space="preserve"> The AG is likely to accept, with negotiation, the privilege carve-out, force majeure, the 162(f) language, the TACO/ROs conforming changes, the MNA-in-the-CMS requirement, and payment timing. Hard negotiation is likely on the financial assurance multiplier and staging, the covenant, the stipulated-penalty cap, the reopener, and SWMU-4. FRC’s September 20 letter labels as "non-negotiable" seven of the eight positions our markup touches; the only one we accept outright is its fee demand. Part VI addresses how to manage FRC.</w:t>
      </w:r>
    </w:p>
    <w:p>
      <w:pPr>
        <w:pStyle w:val="Heading1"/>
      </w:pPr>
      <w:r>
        <w:rPr>
          <w:rFonts w:ascii="Times New Roman" w:hAnsi="Times New Roman"/>
          <w:color w:val="000000"/>
        </w:rPr>
        <w:t>II. Issues to Resolve Before Transmittal (Corrections to Working Assumptions)</w:t>
      </w:r>
    </w:p>
    <w:p>
      <w:pPr>
        <w:pStyle w:val="Heading2"/>
      </w:pPr>
      <w:r>
        <w:rPr>
          <w:rFonts w:ascii="Times New Roman" w:hAnsi="Times New Roman"/>
          <w:color w:val="000000"/>
        </w:rPr>
        <w:t>A. Near-term cash demand under the AG draft is $20.3M, not $17.7M</w:t>
      </w:r>
    </w:p>
    <w:p>
      <w:pPr>
        <w:spacing w:after="120"/>
        <w:jc w:val="both"/>
      </w:pPr>
      <w:r>
        <w:t xml:space="preserve">The direction email and the workbook (Balance Sheet tab and Credit Facility tab) count only the $1.5M first penalty installment (30 days) and the $16.2M of financial assurance (60 days). The draft also requires the full $2.0M SEP transfer within 60 days (Section 8.3) and the $600K FRC payment within 60 days (Sections 10.1–10.2). The workbook’s 24-month model instead assumes the SEP is paid in tranches beginning at month 12 and the FRC payment at month 6, which is not what the draft says. The corrected 60-day demand is </w:t>
      </w:r>
      <w:r>
        <w:rPr>
          <w:b/>
        </w:rPr>
        <w:t>$20.3M</w:t>
      </w:r>
      <w:r>
        <w:t xml:space="preserve"> against </w:t>
      </w:r>
      <w:r>
        <w:rPr>
          <w:b/>
        </w:rPr>
        <w:t>$15.55M</w:t>
      </w:r>
      <w:r>
        <w:t xml:space="preserve"> of total liquidity (cash of $2.85M plus revolver availability of $12.7M at June 30, 2024). That is a shortfall of about $4.75M before considering the covenant, and about $9.75M once the $5M minimum-liquidity covenant is respected (somewhat less after one or two months of operating cash flow). The markup addresses the SEP piece by funding it in four $500K installments at 90 days, 9, 15, and 21 months (Section 8.3; Comment 17). It leaves the FRC payment at 60 days, consistent with your instruction not to antagonize Andrade on fees. See Part VII, item 1.</w:t>
      </w:r>
    </w:p>
    <w:p>
      <w:pPr>
        <w:pStyle w:val="Heading2"/>
      </w:pPr>
      <w:r>
        <w:rPr>
          <w:rFonts w:ascii="Times New Roman" w:hAnsi="Times New Roman"/>
          <w:color w:val="000000"/>
        </w:rPr>
        <w:t>B. The 120% / 120-day counter does not, by itself, solve the problem</w:t>
      </w:r>
    </w:p>
    <w:p>
      <w:pPr>
        <w:pStyle w:val="ListBullet"/>
        <w:spacing w:after="60"/>
      </w:pPr>
      <w:r>
        <w:t xml:space="preserve">120% × $10.8M = </w:t>
      </w:r>
      <w:r>
        <w:rPr>
          <w:b/>
        </w:rPr>
        <w:t>$12.96M</w:t>
      </w:r>
      <w:r>
        <w:t xml:space="preserve">. That is more than the </w:t>
      </w:r>
      <w:r>
        <w:rPr>
          <w:b/>
        </w:rPr>
        <w:t>$12.7M</w:t>
      </w:r>
      <w:r>
        <w:t xml:space="preserve"> of revolver availability, so the email’s statement that it is "within the remaining capacity" is not correct. It is also more than the </w:t>
      </w:r>
      <w:r>
        <w:rPr>
          <w:b/>
        </w:rPr>
        <w:t>$10M LC sub-limit</w:t>
      </w:r>
      <w:r>
        <w:t xml:space="preserve"> in the Beacon facility.</w:t>
      </w:r>
    </w:p>
    <w:p>
      <w:pPr>
        <w:pStyle w:val="ListBullet"/>
        <w:spacing w:after="60"/>
      </w:pPr>
      <w:r>
        <w:t xml:space="preserve">The workbook’s counter-proposal timeline shows ~$3.89M of liquidity at month 4 and calls this "tight but compliant." A $3.89M figure is </w:t>
      </w:r>
      <w:r>
        <w:rPr>
          <w:b/>
        </w:rPr>
        <w:t>below</w:t>
      </w:r>
      <w:r>
        <w:t xml:space="preserve"> the $5M minimum-liquidity covenant, so the workbook’s own numbers show a breach. (The underlying arithmetic, $4.55M of cash less a $0.26M negative revolver balance, also does not produce $3.89M.)</w:t>
      </w:r>
    </w:p>
    <w:p>
      <w:pPr>
        <w:pStyle w:val="ListBullet"/>
        <w:spacing w:after="60"/>
      </w:pPr>
      <w:r>
        <w:t>The email’s alternative (50% at 120 days, balance at 180 days, all as LCs) also breaches. By month 6, cumulative outlays (FRC $0.6M, penalty $1.5M, SEP, FA $12.96M) leave only about $2.7M of liquidity with $0.7M/month of operating cash flow, and about $4.2M even if the SEP were paid in tranches.</w:t>
      </w:r>
    </w:p>
    <w:p>
      <w:pPr>
        <w:pStyle w:val="ListBullet"/>
        <w:spacing w:after="60"/>
      </w:pPr>
      <w:r>
        <w:rPr>
          <w:b/>
        </w:rPr>
        <w:t>Markup solution (Section 11.1; Comment 21):</w:t>
      </w:r>
      <w:r>
        <w:t xml:space="preserve"> 120% multiplier; $6.48M (50% of $12.96M) within 120 days; the balance recalculated at 120% of the cost of the Selected Remedies and posted within 60 days after CMS approval (outside date 21 months). This also lines up the financial assurance with the remedy decision. If MNA is selected at SWMU-3, the full amount is $9.48M (within the LC sub-limit). If SWMU-4 is also allocated off-site, it is $7.2M.</w:t>
      </w:r>
    </w:p>
    <w:p>
      <w:pPr>
        <w:pStyle w:val="Heading2"/>
      </w:pPr>
      <w:r>
        <w:rPr>
          <w:rFonts w:ascii="Times New Roman" w:hAnsi="Times New Roman"/>
          <w:color w:val="000000"/>
        </w:rPr>
        <w:t>C. GRS likely does not qualify for the RCRA financial test or a corporate guarantee</w:t>
      </w:r>
    </w:p>
    <w:p>
      <w:pPr>
        <w:spacing w:after="120"/>
        <w:jc w:val="both"/>
      </w:pPr>
      <w:r>
        <w:t>Your email and the workbook both treat the financial test or a corporate guarantee as the preferred mechanism. Measured against the criteria in 35 IAC 724.243(f) (40 C.F.R. § 264.143(f)(1)(i)), using the June 30, 2024 balance sheet ($000s):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880"/>
            <w:shd w:val="clear" w:color="auto" w:fill="D9D9D9"/>
          </w:tcPr>
          <w:p>
            <w:r/>
            <w:r>
              <w:rPr>
                <w:b/>
                <w:sz w:val="18"/>
              </w:rPr>
              <w:t>Criterion (alternative I)</w:t>
            </w:r>
          </w:p>
        </w:tc>
        <w:tc>
          <w:tcPr>
            <w:tcW w:type="dxa" w:w="2448"/>
            <w:shd w:val="clear" w:color="auto" w:fill="D9D9D9"/>
          </w:tcPr>
          <w:p>
            <w:r/>
            <w:r>
              <w:rPr>
                <w:b/>
                <w:sz w:val="18"/>
              </w:rPr>
              <w:t>Requirement</w:t>
            </w:r>
          </w:p>
        </w:tc>
        <w:tc>
          <w:tcPr>
            <w:tcW w:type="dxa" w:w="2736"/>
            <w:shd w:val="clear" w:color="auto" w:fill="D9D9D9"/>
          </w:tcPr>
          <w:p>
            <w:r/>
            <w:r>
              <w:rPr>
                <w:b/>
                <w:sz w:val="18"/>
              </w:rPr>
              <w:t>GRS (6/30/24)</w:t>
            </w:r>
          </w:p>
        </w:tc>
        <w:tc>
          <w:tcPr>
            <w:tcW w:type="dxa" w:w="1296"/>
            <w:shd w:val="clear" w:color="auto" w:fill="D9D9D9"/>
          </w:tcPr>
          <w:p>
            <w:r/>
            <w:r>
              <w:rPr>
                <w:b/>
                <w:sz w:val="18"/>
              </w:rPr>
              <w:t>Result</w:t>
            </w:r>
          </w:p>
        </w:tc>
      </w:tr>
      <w:tr>
        <w:tc>
          <w:tcPr>
            <w:tcW w:type="dxa" w:w="2880"/>
          </w:tcPr>
          <w:p>
            <w:r>
              <w:rPr>
                <w:sz w:val="18"/>
              </w:rPr>
            </w:r>
            <w:r>
              <w:rPr>
                <w:sz w:val="18"/>
              </w:rPr>
              <w:t>Total liabilities / net worth</w:t>
            </w:r>
          </w:p>
        </w:tc>
        <w:tc>
          <w:tcPr>
            <w:tcW w:type="dxa" w:w="2448"/>
          </w:tcPr>
          <w:p>
            <w:r>
              <w:rPr>
                <w:sz w:val="18"/>
              </w:rPr>
            </w:r>
            <w:r>
              <w:rPr>
                <w:sz w:val="18"/>
              </w:rPr>
              <w:t>&lt; 2.0</w:t>
            </w:r>
          </w:p>
        </w:tc>
        <w:tc>
          <w:tcPr>
            <w:tcW w:type="dxa" w:w="2736"/>
          </w:tcPr>
          <w:p>
            <w:r>
              <w:rPr>
                <w:sz w:val="18"/>
              </w:rPr>
            </w:r>
            <w:r>
              <w:rPr>
                <w:sz w:val="18"/>
              </w:rPr>
              <w:t>60,500 / 24,200 = 2.50</w:t>
            </w:r>
          </w:p>
        </w:tc>
        <w:tc>
          <w:tcPr>
            <w:tcW w:type="dxa" w:w="1296"/>
          </w:tcPr>
          <w:p>
            <w:r>
              <w:rPr>
                <w:sz w:val="18"/>
              </w:rPr>
            </w:r>
            <w:r>
              <w:rPr>
                <w:sz w:val="18"/>
              </w:rPr>
              <w:t>Fails</w:t>
            </w:r>
          </w:p>
        </w:tc>
      </w:tr>
      <w:tr>
        <w:tc>
          <w:tcPr>
            <w:tcW w:type="dxa" w:w="2880"/>
          </w:tcPr>
          <w:p>
            <w:r>
              <w:rPr>
                <w:sz w:val="18"/>
              </w:rPr>
            </w:r>
            <w:r>
              <w:rPr>
                <w:sz w:val="18"/>
              </w:rPr>
              <w:t>(Net income + D&amp;A) / total liabilities</w:t>
            </w:r>
          </w:p>
        </w:tc>
        <w:tc>
          <w:tcPr>
            <w:tcW w:type="dxa" w:w="2448"/>
          </w:tcPr>
          <w:p>
            <w:r>
              <w:rPr>
                <w:sz w:val="18"/>
              </w:rPr>
            </w:r>
            <w:r>
              <w:rPr>
                <w:sz w:val="18"/>
              </w:rPr>
              <w:t>&gt; 0.10</w:t>
            </w:r>
          </w:p>
        </w:tc>
        <w:tc>
          <w:tcPr>
            <w:tcW w:type="dxa" w:w="2736"/>
          </w:tcPr>
          <w:p>
            <w:r>
              <w:rPr>
                <w:sz w:val="18"/>
              </w:rPr>
            </w:r>
            <w:r>
              <w:rPr>
                <w:sz w:val="18"/>
              </w:rPr>
              <w:t>(11,560 + 5,600) / 60,500 = 0.28</w:t>
            </w:r>
          </w:p>
        </w:tc>
        <w:tc>
          <w:tcPr>
            <w:tcW w:type="dxa" w:w="1296"/>
          </w:tcPr>
          <w:p>
            <w:r>
              <w:rPr>
                <w:sz w:val="18"/>
              </w:rPr>
            </w:r>
            <w:r>
              <w:rPr>
                <w:sz w:val="18"/>
              </w:rPr>
              <w:t>Passes</w:t>
            </w:r>
          </w:p>
        </w:tc>
      </w:tr>
      <w:tr>
        <w:tc>
          <w:tcPr>
            <w:tcW w:type="dxa" w:w="2880"/>
          </w:tcPr>
          <w:p>
            <w:r>
              <w:rPr>
                <w:sz w:val="18"/>
              </w:rPr>
            </w:r>
            <w:r>
              <w:rPr>
                <w:sz w:val="18"/>
              </w:rPr>
              <w:t>Current assets / current liabilities</w:t>
            </w:r>
          </w:p>
        </w:tc>
        <w:tc>
          <w:tcPr>
            <w:tcW w:type="dxa" w:w="2448"/>
          </w:tcPr>
          <w:p>
            <w:r>
              <w:rPr>
                <w:sz w:val="18"/>
              </w:rPr>
            </w:r>
            <w:r>
              <w:rPr>
                <w:sz w:val="18"/>
              </w:rPr>
              <w:t>&gt; 1.5</w:t>
            </w:r>
          </w:p>
        </w:tc>
        <w:tc>
          <w:tcPr>
            <w:tcW w:type="dxa" w:w="2736"/>
          </w:tcPr>
          <w:p>
            <w:r>
              <w:rPr>
                <w:sz w:val="18"/>
              </w:rPr>
            </w:r>
            <w:r>
              <w:rPr>
                <w:sz w:val="18"/>
              </w:rPr>
              <w:t>29,000 / 45,200 = 0.64</w:t>
            </w:r>
          </w:p>
        </w:tc>
        <w:tc>
          <w:tcPr>
            <w:tcW w:type="dxa" w:w="1296"/>
          </w:tcPr>
          <w:p>
            <w:r>
              <w:rPr>
                <w:sz w:val="18"/>
              </w:rPr>
            </w:r>
            <w:r>
              <w:rPr>
                <w:sz w:val="18"/>
              </w:rPr>
              <w:t>Fails</w:t>
            </w:r>
          </w:p>
        </w:tc>
      </w:tr>
      <w:tr>
        <w:tc>
          <w:tcPr>
            <w:tcW w:type="dxa" w:w="2880"/>
          </w:tcPr>
          <w:p>
            <w:r>
              <w:rPr>
                <w:sz w:val="18"/>
              </w:rPr>
            </w:r>
            <w:r>
              <w:rPr>
                <w:sz w:val="18"/>
              </w:rPr>
              <w:t>Two of the three ratios above</w:t>
            </w:r>
          </w:p>
        </w:tc>
        <w:tc>
          <w:tcPr>
            <w:tcW w:type="dxa" w:w="2448"/>
          </w:tcPr>
          <w:p>
            <w:r>
              <w:rPr>
                <w:sz w:val="18"/>
              </w:rPr>
            </w:r>
            <w:r>
              <w:rPr>
                <w:sz w:val="18"/>
              </w:rPr>
              <w:t>Required</w:t>
            </w:r>
          </w:p>
        </w:tc>
        <w:tc>
          <w:tcPr>
            <w:tcW w:type="dxa" w:w="2736"/>
          </w:tcPr>
          <w:p>
            <w:r>
              <w:rPr>
                <w:sz w:val="18"/>
              </w:rPr>
            </w:r>
            <w:r>
              <w:rPr>
                <w:sz w:val="18"/>
              </w:rPr>
              <w:t>Only one passes</w:t>
            </w:r>
          </w:p>
        </w:tc>
        <w:tc>
          <w:tcPr>
            <w:tcW w:type="dxa" w:w="1296"/>
          </w:tcPr>
          <w:p>
            <w:r>
              <w:rPr>
                <w:sz w:val="18"/>
              </w:rPr>
            </w:r>
            <w:r>
              <w:rPr>
                <w:sz w:val="18"/>
              </w:rPr>
              <w:t>Fails</w:t>
            </w:r>
          </w:p>
        </w:tc>
      </w:tr>
      <w:tr>
        <w:tc>
          <w:tcPr>
            <w:tcW w:type="dxa" w:w="2880"/>
          </w:tcPr>
          <w:p>
            <w:r>
              <w:rPr>
                <w:sz w:val="18"/>
              </w:rPr>
            </w:r>
            <w:r>
              <w:rPr>
                <w:sz w:val="18"/>
              </w:rPr>
              <w:t>Net working capital ≥ 6× cost estimate</w:t>
            </w:r>
          </w:p>
        </w:tc>
        <w:tc>
          <w:tcPr>
            <w:tcW w:type="dxa" w:w="2448"/>
          </w:tcPr>
          <w:p>
            <w:r>
              <w:rPr>
                <w:sz w:val="18"/>
              </w:rPr>
            </w:r>
            <w:r>
              <w:rPr>
                <w:sz w:val="18"/>
              </w:rPr>
              <w:t>≥ $64.8M (at $10.8M); ≥ $47.4M (at $7.9M)</w:t>
            </w:r>
          </w:p>
        </w:tc>
        <w:tc>
          <w:tcPr>
            <w:tcW w:type="dxa" w:w="2736"/>
          </w:tcPr>
          <w:p>
            <w:r>
              <w:rPr>
                <w:sz w:val="18"/>
              </w:rPr>
            </w:r>
            <w:r>
              <w:rPr>
                <w:sz w:val="18"/>
              </w:rPr>
              <w:t>29,000 − 45,200 = (16,200)</w:t>
            </w:r>
          </w:p>
        </w:tc>
        <w:tc>
          <w:tcPr>
            <w:tcW w:type="dxa" w:w="1296"/>
          </w:tcPr>
          <w:p>
            <w:r>
              <w:rPr>
                <w:sz w:val="18"/>
              </w:rPr>
            </w:r>
            <w:r>
              <w:rPr>
                <w:sz w:val="18"/>
              </w:rPr>
              <w:t>Fails</w:t>
            </w:r>
          </w:p>
        </w:tc>
      </w:tr>
      <w:tr>
        <w:tc>
          <w:tcPr>
            <w:tcW w:type="dxa" w:w="2880"/>
          </w:tcPr>
          <w:p>
            <w:r>
              <w:rPr>
                <w:sz w:val="18"/>
              </w:rPr>
            </w:r>
            <w:r>
              <w:rPr>
                <w:sz w:val="18"/>
              </w:rPr>
              <w:t>Tangible net worth ≥ 6× cost estimate and ≥ $10M</w:t>
            </w:r>
          </w:p>
        </w:tc>
        <w:tc>
          <w:tcPr>
            <w:tcW w:type="dxa" w:w="2448"/>
          </w:tcPr>
          <w:p>
            <w:r>
              <w:rPr>
                <w:sz w:val="18"/>
              </w:rPr>
            </w:r>
            <w:r>
              <w:rPr>
                <w:sz w:val="18"/>
              </w:rPr>
              <w:t>≥ $64.8M</w:t>
            </w:r>
          </w:p>
        </w:tc>
        <w:tc>
          <w:tcPr>
            <w:tcW w:type="dxa" w:w="2736"/>
          </w:tcPr>
          <w:p>
            <w:r>
              <w:rPr>
                <w:sz w:val="18"/>
              </w:rPr>
            </w:r>
            <w:r>
              <w:rPr>
                <w:sz w:val="18"/>
              </w:rPr>
              <w:t>≤ 24,200 (before intangibles)</w:t>
            </w:r>
          </w:p>
        </w:tc>
        <w:tc>
          <w:tcPr>
            <w:tcW w:type="dxa" w:w="1296"/>
          </w:tcPr>
          <w:p>
            <w:r>
              <w:rPr>
                <w:sz w:val="18"/>
              </w:rPr>
            </w:r>
            <w:r>
              <w:rPr>
                <w:sz w:val="18"/>
              </w:rPr>
              <w:t>Fails</w:t>
            </w:r>
          </w:p>
        </w:tc>
      </w:tr>
      <w:tr>
        <w:tc>
          <w:tcPr>
            <w:tcW w:type="dxa" w:w="2880"/>
          </w:tcPr>
          <w:p>
            <w:r>
              <w:rPr>
                <w:sz w:val="18"/>
              </w:rPr>
            </w:r>
            <w:r>
              <w:rPr>
                <w:sz w:val="18"/>
              </w:rPr>
              <w:t>Alternative II (bond rating)</w:t>
            </w:r>
          </w:p>
        </w:tc>
        <w:tc>
          <w:tcPr>
            <w:tcW w:type="dxa" w:w="2448"/>
          </w:tcPr>
          <w:p>
            <w:r>
              <w:rPr>
                <w:sz w:val="18"/>
              </w:rPr>
            </w:r>
            <w:r>
              <w:rPr>
                <w:sz w:val="18"/>
              </w:rPr>
              <w:t>Investment-grade rating</w:t>
            </w:r>
          </w:p>
        </w:tc>
        <w:tc>
          <w:tcPr>
            <w:tcW w:type="dxa" w:w="2736"/>
          </w:tcPr>
          <w:p>
            <w:r>
              <w:rPr>
                <w:sz w:val="18"/>
              </w:rPr>
            </w:r>
            <w:r>
              <w:rPr>
                <w:sz w:val="18"/>
              </w:rPr>
              <w:t>None identified</w:t>
            </w:r>
          </w:p>
        </w:tc>
        <w:tc>
          <w:tcPr>
            <w:tcW w:type="dxa" w:w="1296"/>
          </w:tcPr>
          <w:p>
            <w:r>
              <w:rPr>
                <w:sz w:val="18"/>
              </w:rPr>
            </w:r>
            <w:r>
              <w:rPr>
                <w:sz w:val="18"/>
              </w:rPr>
              <w:t>N/A</w:t>
            </w:r>
          </w:p>
        </w:tc>
      </w:tr>
    </w:tbl>
    <w:p>
      <w:pPr>
        <w:spacing w:after="40"/>
      </w:pPr>
    </w:p>
    <w:p>
      <w:pPr>
        <w:spacing w:after="120"/>
        <w:jc w:val="both"/>
      </w:pPr>
      <w:r>
        <w:t xml:space="preserve">Even if the Beacon revolver were reclassified as long-term (which would improve the current ratio to about 1.6), the six-times net working capital and tangible net worth tests fail at any plausible remedy cost. A corporate guarantee requires a parent or affiliate that itself passes the test, and our file identifies no parent. </w:t>
      </w:r>
      <w:r>
        <w:rPr>
          <w:b/>
        </w:rPr>
        <w:t>Recommendation:</w:t>
      </w:r>
      <w:r>
        <w:t xml:space="preserve"> keep the mechanisms in Section 11.3 for future flexibility. Plan instead around (i) the staged amount, (ii) LCs within the $10M sub-limit, (iii) a surety performance bond for any excess (ask the surety broker now about premium and collateral; collateral demands may implicate Beacon’s negative pledge), and (iv) a trust fund. Correct the workbook statement that the financial test is the "strongest outcome for GRS."</w:t>
      </w:r>
    </w:p>
    <w:p>
      <w:pPr>
        <w:pStyle w:val="Heading2"/>
      </w:pPr>
      <w:r>
        <w:rPr>
          <w:rFonts w:ascii="Times New Roman" w:hAnsi="Times New Roman"/>
          <w:color w:val="000000"/>
        </w:rPr>
        <w:t>D. Citation and cross-reference errors to correct</w:t>
      </w:r>
    </w:p>
    <w:p>
      <w:pPr>
        <w:pStyle w:val="ListBullet"/>
        <w:spacing w:after="60"/>
      </w:pPr>
      <w:r>
        <w:rPr>
          <w:b/>
        </w:rPr>
        <w:t>35 IAC 725 vs. 724.</w:t>
      </w:r>
      <w:r>
        <w:t xml:space="preserve"> GRS holds a RCRA Part B permit (Recital 1), so the governing financial assurance rules are </w:t>
      </w:r>
      <w:r>
        <w:rPr>
          <w:b/>
        </w:rPr>
        <w:t>35 IAC Part 724, Subpart H</w:t>
      </w:r>
      <w:r>
        <w:t xml:space="preserve"> (the Illinois analog of 40 C.F.R. Part 264). Part 725 is the interim-status analog of Part 265. Your email ("35 IAC 725 Subpart H (the Illinois analog to 40 CFR 264.143)"), the workbook, and the AG draft (Recital 4; Section 11.3) all cite Part 725. The markup cites Part 724 and flags the point (Comment 22). We left the AG’s Recital 4 allegation as drafted because it describes the State’s claim.</w:t>
      </w:r>
    </w:p>
    <w:p>
      <w:pPr>
        <w:pStyle w:val="ListBullet"/>
        <w:spacing w:after="60"/>
      </w:pPr>
      <w:r>
        <w:rPr>
          <w:b/>
        </w:rPr>
        <w:t>Section numbers in the direction email.</w:t>
      </w:r>
      <w:r>
        <w:t xml:space="preserve"> Financial assurance is Section 11.1, not 7.3 (7.3 is Illinois EPA approval of the CMS). The covenant is Section 17.1, not 16.1 (16.1 is the State’s reservation of rights). The markup addresses the correct sections.</w:t>
      </w:r>
    </w:p>
    <w:p>
      <w:pPr>
        <w:pStyle w:val="ListBullet"/>
        <w:spacing w:after="60"/>
      </w:pPr>
      <w:r>
        <w:rPr>
          <w:b/>
        </w:rPr>
        <w:t>Notice details.</w:t>
      </w:r>
      <w:r>
        <w:t xml:space="preserve"> The decree lists our email as rdowning@hbllaw.com, while our own correspondence uses hbl-law.com (corrected in the markup). The decree places Calloway at 69 W. Washington, Suite 1800, while FRC’s letter addresses him at 100 W. Randolph. Kessler, Andrade &amp; Yun’s phone number in the decree ((312) 555-0274) does not match its letterhead ((312) 555-8200 / direct 8217). The Illinois EPA signatory (Jennifer L. Hambrick, "Director, Division of Land Pollution Control") conflicts with the notice block (Timothy R. Hennessey, "Chief" of the same Division). Each of these is flagged (Comments 31–32).</w:t>
      </w:r>
    </w:p>
    <w:p>
      <w:pPr>
        <w:pStyle w:val="ListBullet"/>
        <w:spacing w:after="60"/>
      </w:pPr>
      <w:r>
        <w:rPr>
          <w:b/>
        </w:rPr>
        <w:t>Public comment authority.</w:t>
      </w:r>
      <w:r>
        <w:t xml:space="preserve"> The footer and Section 21.7 cite 415 ILCS 5/31(c) for the 30-day public comment period. Section 31 governs pre-enforcement notice and Board proceedings. Before we cite it back, we should confirm the authority the AG actually relies on for lodging and public comment in a circuit court decree. This is a cite-check only; no change was made.</w:t>
      </w:r>
    </w:p>
    <w:p>
      <w:pPr>
        <w:pStyle w:val="Heading2"/>
      </w:pPr>
      <w:r>
        <w:rPr>
          <w:rFonts w:ascii="Times New Roman" w:hAnsi="Times New Roman"/>
          <w:color w:val="000000"/>
        </w:rPr>
        <w:t>E. GRS financial workbook — internal errors that must be fixed before any ability-to-pay disclosure</w:t>
      </w:r>
    </w:p>
    <w:p>
      <w:pPr>
        <w:pStyle w:val="ListBullet"/>
        <w:spacing w:after="60"/>
      </w:pPr>
      <w:r>
        <w:rPr>
          <w:b/>
        </w:rPr>
        <w:t>EBITDA formula.</w:t>
      </w:r>
      <w:r>
        <w:t xml:space="preserve"> The P&amp;L computes "EBITDA = EBIT − D&amp;A." EBITDA is EBIT </w:t>
      </w:r>
      <w:r>
        <w:rPr>
          <w:b/>
        </w:rPr>
        <w:t>plus</w:t>
      </w:r>
      <w:r>
        <w:t xml:space="preserve"> D&amp;A. If the $28.0M FY2023 EBIT is correct, FY2023 EBITDA would be about </w:t>
      </w:r>
      <w:r>
        <w:rPr>
          <w:b/>
        </w:rPr>
        <w:t>$33.5M</w:t>
      </w:r>
      <w:r>
        <w:t>, not $22.5M. That would make GRS look considerably stronger and undercut the hardship narrative. Alternatively the EBIT line is mislabeled.</w:t>
      </w:r>
    </w:p>
    <w:p>
      <w:pPr>
        <w:pStyle w:val="ListBullet"/>
        <w:spacing w:after="60"/>
      </w:pPr>
      <w:r>
        <w:rPr>
          <w:b/>
        </w:rPr>
        <w:t>Pre-tax income does not foot.</w:t>
      </w:r>
      <w:r>
        <w:t xml:space="preserve"> FY2023 EBIT of $28.0M less interest of $2.45M and other expense of $0.5M equals $25.05M, but the workbook shows $15.05M (the same ~$10M gap appears in every period). Taxes and net income are calculated from the lower figure.</w:t>
      </w:r>
    </w:p>
    <w:p>
      <w:pPr>
        <w:pStyle w:val="ListBullet"/>
        <w:spacing w:after="60"/>
      </w:pPr>
      <w:r>
        <w:rPr>
          <w:b/>
        </w:rPr>
        <w:t>Debt figures are inconsistent.</w:t>
      </w:r>
      <w:r>
        <w:t xml:space="preserve"> The covenant line uses total debt of $35.8M (1.59×), while the term-loan section shows $38.0M (1.69×).</w:t>
      </w:r>
    </w:p>
    <w:p>
      <w:pPr>
        <w:pStyle w:val="ListBullet"/>
        <w:spacing w:after="60"/>
      </w:pPr>
      <w:r>
        <w:rPr>
          <w:b/>
        </w:rPr>
        <w:t>Operating cash flow assumption.</w:t>
      </w:r>
      <w:r>
        <w:t xml:space="preserve"> The 24-month projection assumes $8.4M per year of operating cash flow. $8.4M is the FY2023 </w:t>
      </w:r>
      <w:r>
        <w:rPr>
          <w:b/>
        </w:rPr>
        <w:t>capex</w:t>
      </w:r>
      <w:r>
        <w:t xml:space="preserve"> figure; FY2023 free cash flow was $7.89M (TTM $7.66M). The projection therefore overstates cash generation by about $0.5–0.7M per year.</w:t>
      </w:r>
    </w:p>
    <w:p>
      <w:pPr>
        <w:pStyle w:val="ListBullet"/>
        <w:spacing w:after="60"/>
      </w:pPr>
      <w:r>
        <w:rPr>
          <w:b/>
        </w:rPr>
        <w:t>Retained earnings.</w:t>
      </w:r>
      <w:r>
        <w:t xml:space="preserve"> Retained earnings fell $3.1M in H1 2024 despite positive trailing net income. The note attributes this to the remediation accrual and legal costs, which should already be reflected in the P&amp;L. Finance should explain (dividends or distributions?).</w:t>
      </w:r>
    </w:p>
    <w:p>
      <w:pPr>
        <w:pStyle w:val="ListBullet"/>
        <w:spacing w:after="60"/>
      </w:pPr>
      <w:r>
        <w:rPr>
          <w:b/>
        </w:rPr>
        <w:t>Recommendation.</w:t>
      </w:r>
      <w:r>
        <w:t xml:space="preserve"> Ask Sandra’s finance team to correct and re-issue the workbook before we offer confidential financial information to the AG, as Comment 8 proposes. The AG will test any ability-to-pay showing, and errors of this size would damage our credibility on the issue we care about most.</w:t>
      </w:r>
    </w:p>
    <w:p>
      <w:pPr>
        <w:pStyle w:val="Heading2"/>
      </w:pPr>
      <w:r>
        <w:rPr>
          <w:rFonts w:ascii="Times New Roman" w:hAnsi="Times New Roman"/>
          <w:color w:val="000000"/>
        </w:rPr>
        <w:t>F. Insurance — do not concede the Pinnacle policy is "worthless"</w:t>
      </w:r>
    </w:p>
    <w:p>
      <w:pPr>
        <w:spacing w:after="120"/>
        <w:jc w:val="both"/>
      </w:pPr>
      <w:r>
        <w:t xml:space="preserve">Your email describes the Pinnacle Indemnity pollution legal liability policy (No. PIG-ENV-2019-04227; $5M limit; $500K SIR) as worthless because of the known-conditions exclusion. The workbook records that the carrier has </w:t>
      </w:r>
      <w:r>
        <w:rPr>
          <w:b/>
        </w:rPr>
        <w:t>reserved rights and a coverage determination is pending</w:t>
      </w:r>
      <w:r>
        <w:t>, with potential recovery of up to $4.5M. The exclusion reaches conditions known before the April 1, 2019 inception. The violations were first identified at the March 2020 inspection, and the RI dates the SWMU-3 spills to 2011–2016, so the question will be what GRS knew before April 2019. That is a disputed fact question, not a foregone conclusion. Two consequences follow. (1) The markup narrows GRS’s admissions in Section 5.1 to Recitals 1–6 (Comment 2), partly so the decree cannot be used as an admission of pre-inception knowledge. (2) Coverage counsel should confirm that notice and tender are complete and should manage the April 1, 2025 renewal. A recovery would help fund remediation. A compliant policy written under 35 IAC 724.243(e) could also serve as a financial assurance mechanism under revised Section 11.3.</w:t>
      </w:r>
    </w:p>
    <w:p>
      <w:pPr>
        <w:pStyle w:val="Heading2"/>
      </w:pPr>
      <w:r>
        <w:rPr>
          <w:rFonts w:ascii="Times New Roman" w:hAnsi="Times New Roman"/>
          <w:color w:val="000000"/>
        </w:rPr>
        <w:t>G. Appendix D and privilege hygiene</w:t>
      </w:r>
    </w:p>
    <w:p>
      <w:pPr>
        <w:spacing w:after="120"/>
        <w:jc w:val="both"/>
      </w:pPr>
      <w:r>
        <w:t xml:space="preserve">The AG draft’s Appendix D would attach the "Remedial Investigation Summary (Draft Dated January 15, 2023), Prepared by Terravance." Dr. Sheffield’s January 15, 2023 Technical Memorandum to Sandra and you carries exactly that description, is marked privileged and prepared at the direction of counsel, and contains statements helpful to the other side. Examples: SWMU-1, SWMU-2 and AOC-1 are "clearly attributable to GRS operations"; SWMU-3 contamination "is attributable to GRS operations"; and the SWMU-3 spill history for 2011–2016. We need to confirm immediately whether the AG has the memorandum (inadvertent production would call for a clawback under Ill. S. Ct. R. 201(p)) or is simply using imprecise shorthand for the RI Report. The markup substitutes the RI Report as submitted to Illinois EPA, with Appendices G (modeling) and H (CSIA) (Comment 33). </w:t>
      </w:r>
      <w:r>
        <w:rPr>
          <w:b/>
        </w:rPr>
        <w:t>All external comments in the markup cite only the RI Report.</w:t>
      </w:r>
      <w:r>
        <w:t xml:space="preserve"> Before transmittal, Dr. Sheffield should confirm that each figure we cite externally appears in the submitted RI Report and not only in his memorandum: the MW-11 results, the CSIA conclusions, the $1.2M MNA estimate, and the $7.9M, $8.9M, and $6.0M scenarios. For the same reason, the revised privilege provision (Section 14.2) protects consultant communications made at the direction of counsel.</w:t>
      </w:r>
    </w:p>
    <w:p>
      <w:pPr>
        <w:pStyle w:val="Heading2"/>
      </w:pPr>
      <w:r>
        <w:rPr>
          <w:rFonts w:ascii="Times New Roman" w:hAnsi="Times New Roman"/>
          <w:color w:val="000000"/>
        </w:rPr>
        <w:t>H. Technical vulnerabilities in the Terravance analysis (for Dr. Sheffield before October 7)</w:t>
      </w:r>
    </w:p>
    <w:p>
      <w:pPr>
        <w:pStyle w:val="ListBullet"/>
        <w:spacing w:after="60"/>
      </w:pPr>
      <w:r>
        <w:rPr>
          <w:b/>
        </w:rPr>
        <w:t>MW-13 versus the off-site source theory (most significant).</w:t>
      </w:r>
      <w:r>
        <w:t xml:space="preserve"> RI Table 2 places background well MW-13 at the "northeast perimeter of the Facility upgradient of all SWMUs," non-detect for TCE and all VOCs. Note 4 says this confirms that groundwater is not VOC-impacted "in the absence of a local source." The Consolidated Metalworks site lies to the northeast. Clarendon will argue that an off-site plume entering from the northeast should appear at MW-13. Dr. Sheffield needs to explain the plume geometry (for example, that MW-13 lies outside the plume’s flow path and that MW-11 lies inside it) with maps, ideally from RI Appendix E/F.</w:t>
      </w:r>
    </w:p>
    <w:p>
      <w:pPr>
        <w:pStyle w:val="ListBullet"/>
        <w:spacing w:after="60"/>
      </w:pPr>
      <w:r>
        <w:rPr>
          <w:b/>
        </w:rPr>
        <w:t>MNA timeframe.</w:t>
      </w:r>
      <w:r>
        <w:t xml:space="preserve"> The modeling uses a TCE half-life of about 2.8 years. The observed declines imply slower attenuation at MW-7: 42.1 → 28.4 µg/L over about 2.75 years is a half-life of about </w:t>
      </w:r>
      <w:r>
        <w:rPr>
          <w:b/>
        </w:rPr>
        <w:t>4.8 years</w:t>
      </w:r>
      <w:r>
        <w:t xml:space="preserve">, which projects attainment of 5 µg/L in about </w:t>
      </w:r>
      <w:r>
        <w:rPr>
          <w:b/>
        </w:rPr>
        <w:t>12 years</w:t>
      </w:r>
      <w:r>
        <w:t>, not 8–10. MW-9 implies about 4.0 years and about 8 years. The $1.2M MNA cost assumes 10 years of monitoring. Clarendon will make this point. The CMS should present a range, and the cost estimate should be sensitivity-tested.</w:t>
      </w:r>
    </w:p>
    <w:p>
      <w:pPr>
        <w:pStyle w:val="ListBullet"/>
        <w:spacing w:after="60"/>
      </w:pPr>
      <w:r>
        <w:rPr>
          <w:b/>
        </w:rPr>
        <w:t>Seepage velocity.</w:t>
      </w:r>
      <w:r>
        <w:t xml:space="preserve"> The stated inputs (K = 3.2 × 10⁻³ cm/s, i = 0.008, nₑ = 0.25) yield about </w:t>
      </w:r>
      <w:r>
        <w:rPr>
          <w:b/>
        </w:rPr>
        <w:t>106 ft/yr</w:t>
      </w:r>
      <w:r>
        <w:t>, not the 75 ft/yr reported. Ask Dr. Sheffield to reconcile; it affects plume travel time and BIOSCREEN outputs.</w:t>
      </w:r>
    </w:p>
    <w:p>
      <w:pPr>
        <w:pStyle w:val="ListBullet"/>
        <w:spacing w:after="60"/>
      </w:pPr>
      <w:r>
        <w:rPr>
          <w:b/>
        </w:rPr>
        <w:t>Landfill Cell B waste profile.</w:t>
      </w:r>
      <w:r>
        <w:t xml:space="preserve"> The RI states the cell received C&amp;D debris and "certain industrial wastes" and "limited quantities of non-hazardous industrial waste from GRS’s recycling operations." Those operations managed F001–F005 solvents. The "no solvents in Cell B" premise needs record support (manifests and operating logs), and that is why Section 7.8(c) includes a records review.</w:t>
      </w:r>
    </w:p>
    <w:p>
      <w:pPr>
        <w:pStyle w:val="ListBullet"/>
        <w:spacing w:after="60"/>
      </w:pPr>
      <w:r>
        <w:rPr>
          <w:b/>
        </w:rPr>
        <w:t>Data currency.</w:t>
      </w:r>
      <w:r>
        <w:t xml:space="preserve"> RI groundwater data run through December 2022. Quarterly data for 2023–2024 should exist, and updated trends at MW-7, MW-9, MW-11 and MW-12 would strengthen both the MNA and the source arguments, or warn us early if they weaken. Your email refers to a "recent supplemental analysis" by Dr. Sheffield (updated modeling or isotopes). It is not in our file, and we should obtain it.</w:t>
      </w:r>
    </w:p>
    <w:p>
      <w:pPr>
        <w:pStyle w:val="ListBullet"/>
        <w:spacing w:after="60"/>
      </w:pPr>
      <w:r>
        <w:rPr>
          <w:b/>
        </w:rPr>
        <w:t>Minor.</w:t>
      </w:r>
      <w:r>
        <w:t xml:space="preserve"> The RI text identifies MW-1/MW-2 as downgradient of SWMU-1, while Table 2 lists MW-5. MW-11 is described as "75 feet northeast of the GRS property boundary," which suggests it sits off-site, and we should confirm the access arrangement.</w:t>
      </w:r>
    </w:p>
    <w:p>
      <w:pPr>
        <w:pStyle w:val="ListBullet"/>
        <w:spacing w:after="60"/>
      </w:pPr>
      <w:r>
        <w:rPr>
          <w:b/>
        </w:rPr>
        <w:t>EPA Region 5 record.</w:t>
      </w:r>
      <w:r>
        <w:t xml:space="preserve"> The Consolidated Metalworks site is on the NPL. EPA’s site file (RI/FS, ROD, five-year reviews, plume maps) is public and may independently document a plume reaching the GRS boundary. Pulling it is quick and inexpensive, and it would be the most persuasive support we could cite to Calloway.</w:t>
      </w:r>
    </w:p>
    <w:p>
      <w:pPr>
        <w:pStyle w:val="Heading2"/>
      </w:pPr>
      <w:r>
        <w:rPr>
          <w:rFonts w:ascii="Times New Roman" w:hAnsi="Times New Roman"/>
          <w:color w:val="000000"/>
        </w:rPr>
        <w:t>I. CERCLA contribution mechanics (Section 17.5)</w:t>
      </w:r>
    </w:p>
    <w:p>
      <w:pPr>
        <w:spacing w:after="120"/>
        <w:jc w:val="both"/>
      </w:pPr>
      <w:r>
        <w:t>Section 17.5 (Comment 28) seeks contribution protection under CERCLA § 113(f)(2) and preserves GRS’s claims against Consolidated Metalworks and other PRPs under CERCLA §§ 107 and 113(f) and 415 ILCS 5/22.2(f). Three cautions follow.</w:t>
      </w:r>
    </w:p>
    <w:p>
      <w:pPr>
        <w:pStyle w:val="ListBullet"/>
        <w:spacing w:after="60"/>
      </w:pPr>
      <w:r>
        <w:t xml:space="preserve">Under </w:t>
      </w:r>
      <w:r>
        <w:rPr>
          <w:i/>
        </w:rPr>
        <w:t>Territory of Guam v. United States</w:t>
      </w:r>
      <w:r>
        <w:t>, 593 U.S. 310 (2021), a § 113(f)(3)(B) contribution claim arises only from a settlement that resolves CERCLA-specific liability. The State’s complaint pleads the Illinois Act and RCRA, not CERCLA. A recital that the decree is a § 113(f)(2) settlement may not by itself create CERCLA contribution protection or a § 113(f)(3)(B) claim. One option is to ask the AG to add a CERCLA § 107 claim (or state-law cost recovery under 415 ILCS 5/22.2(f)) to the matters resolved. That makes protection more robust, but it also triggers points 2 and 3.</w:t>
      </w:r>
    </w:p>
    <w:p>
      <w:pPr>
        <w:pStyle w:val="ListBullet"/>
        <w:spacing w:after="60"/>
      </w:pPr>
      <w:r>
        <w:t xml:space="preserve">If the decree </w:t>
      </w:r>
      <w:r>
        <w:rPr>
          <w:b/>
        </w:rPr>
        <w:t>does</w:t>
      </w:r>
      <w:r>
        <w:t xml:space="preserve"> qualify as a CERCLA settlement, the </w:t>
      </w:r>
      <w:r>
        <w:rPr>
          <w:b/>
        </w:rPr>
        <w:t>three-year limitations period</w:t>
      </w:r>
      <w:r>
        <w:t xml:space="preserve"> for GRS’s contribution claim under § 113(g)(3)(B) runs from entry. We must calendar it, and we should consider sending a tolling request to the Consolidated Metalworks PRPs promptly.</w:t>
      </w:r>
    </w:p>
    <w:p>
      <w:pPr>
        <w:pStyle w:val="ListBullet"/>
        <w:spacing w:after="60"/>
      </w:pPr>
      <w:r>
        <w:t xml:space="preserve">If it does </w:t>
      </w:r>
      <w:r>
        <w:rPr>
          <w:b/>
        </w:rPr>
        <w:t>not</w:t>
      </w:r>
      <w:r>
        <w:t xml:space="preserve"> qualify, GRS likely retains a § 107(a) cost-recovery claim (</w:t>
      </w:r>
      <w:r>
        <w:rPr>
          <w:i/>
        </w:rPr>
        <w:t>United States v. Atlantic Research Corp.</w:t>
      </w:r>
      <w:r>
        <w:t>, 551 U.S. 128 (2007)) for costs it incurs, which carries a different limitations period and the potential for joint-and-several recovery. Section 17.5(b) is drafted to preserve both routes, and Section 17.5(c) characterizes GRS’s expenditures as NCP-consistent response costs to support recovery. Recommendation: hold the CERCLA-claim question for the first AG call. Either way, the reservation of rights in Section 17.5(b) is the non-negotiable piece.</w:t>
      </w:r>
    </w:p>
    <w:p>
      <w:pPr>
        <w:pStyle w:val="Heading1"/>
      </w:pPr>
      <w:r>
        <w:rPr>
          <w:rFonts w:ascii="Times New Roman" w:hAnsi="Times New Roman"/>
          <w:color w:val="000000"/>
        </w:rPr>
        <w:t>III. Liquidity Scenarios (Illustrative)</w:t>
      </w:r>
    </w:p>
    <w:p>
      <w:pPr>
        <w:spacing w:after="120"/>
        <w:jc w:val="both"/>
      </w:pPr>
      <w:r>
        <w:t>Assumptions are taken from the GRS workbook unless noted: starting liquidity of $15.55M at 6/30/24 (cash plus revolver availability); operating cash flow of $0.7M per month (the workbook’s figure, which may be overstated; see II.E); financial assurance posted as LCs, which reduce revolver availability dollar for dollar; $10M LC sub-limit; and a $5M minimum-liquidity covenant. Figures are in $M and are measured from the Effective Date. Finance must validate these before we rely on them externally.</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944"/>
            <w:shd w:val="clear" w:color="auto" w:fill="D9D9D9"/>
          </w:tcPr>
          <w:p>
            <w:r/>
            <w:r>
              <w:rPr>
                <w:b/>
                <w:sz w:val="18"/>
              </w:rPr>
              <w:t>Scenario</w:t>
            </w:r>
          </w:p>
        </w:tc>
        <w:tc>
          <w:tcPr>
            <w:tcW w:type="dxa" w:w="2520"/>
            <w:shd w:val="clear" w:color="auto" w:fill="D9D9D9"/>
          </w:tcPr>
          <w:p>
            <w:r/>
            <w:r>
              <w:rPr>
                <w:b/>
                <w:sz w:val="18"/>
              </w:rPr>
              <w:t>Cash / FA demands in first 120 days</w:t>
            </w:r>
          </w:p>
        </w:tc>
        <w:tc>
          <w:tcPr>
            <w:tcW w:type="dxa" w:w="2088"/>
            <w:shd w:val="clear" w:color="auto" w:fill="D9D9D9"/>
          </w:tcPr>
          <w:p>
            <w:r/>
            <w:r>
              <w:rPr>
                <w:b/>
                <w:sz w:val="18"/>
              </w:rPr>
              <w:t>Liquidity at measurement date</w:t>
            </w:r>
          </w:p>
        </w:tc>
        <w:tc>
          <w:tcPr>
            <w:tcW w:type="dxa" w:w="1368"/>
            <w:shd w:val="clear" w:color="auto" w:fill="D9D9D9"/>
          </w:tcPr>
          <w:p>
            <w:r/>
            <w:r>
              <w:rPr>
                <w:b/>
                <w:sz w:val="18"/>
              </w:rPr>
              <w:t>vs. $5M covenant</w:t>
            </w:r>
          </w:p>
        </w:tc>
        <w:tc>
          <w:tcPr>
            <w:tcW w:type="dxa" w:w="1440"/>
            <w:shd w:val="clear" w:color="auto" w:fill="D9D9D9"/>
          </w:tcPr>
          <w:p>
            <w:r/>
            <w:r>
              <w:rPr>
                <w:b/>
                <w:sz w:val="18"/>
              </w:rPr>
              <w:t>LC sub-limit ($10M)</w:t>
            </w:r>
          </w:p>
        </w:tc>
      </w:tr>
      <w:tr>
        <w:tc>
          <w:tcPr>
            <w:tcW w:type="dxa" w:w="1944"/>
          </w:tcPr>
          <w:p>
            <w:r>
              <w:rPr>
                <w:sz w:val="18"/>
              </w:rPr>
            </w:r>
            <w:r>
              <w:rPr>
                <w:b/>
                <w:sz w:val="18"/>
              </w:rPr>
              <w:t>AG draft as written</w:t>
            </w:r>
          </w:p>
        </w:tc>
        <w:tc>
          <w:tcPr>
            <w:tcW w:type="dxa" w:w="2520"/>
          </w:tcPr>
          <w:p>
            <w:r>
              <w:rPr>
                <w:sz w:val="18"/>
              </w:rPr>
            </w:r>
            <w:r>
              <w:rPr>
                <w:sz w:val="18"/>
              </w:rPr>
              <w:t xml:space="preserve">Penalty 1.5 (day 30); FA 16.2 + SEP 2.0 + FRC 0.6 (day 60) = </w:t>
            </w:r>
            <w:r>
              <w:rPr>
                <w:b/>
                <w:sz w:val="18"/>
              </w:rPr>
              <w:t>20.3 by day 60</w:t>
            </w:r>
          </w:p>
        </w:tc>
        <w:tc>
          <w:tcPr>
            <w:tcW w:type="dxa" w:w="2088"/>
          </w:tcPr>
          <w:p>
            <w:r>
              <w:rPr>
                <w:sz w:val="18"/>
              </w:rPr>
            </w:r>
            <w:r>
              <w:rPr>
                <w:sz w:val="18"/>
              </w:rPr>
              <w:t xml:space="preserve">Day 60: 15.55 + 1.4 − 20.3 = </w:t>
            </w:r>
            <w:r>
              <w:rPr>
                <w:b/>
                <w:sz w:val="18"/>
              </w:rPr>
              <w:t>(3.35)</w:t>
            </w:r>
          </w:p>
        </w:tc>
        <w:tc>
          <w:tcPr>
            <w:tcW w:type="dxa" w:w="1368"/>
          </w:tcPr>
          <w:p>
            <w:r>
              <w:rPr>
                <w:sz w:val="18"/>
              </w:rPr>
            </w:r>
            <w:r>
              <w:rPr>
                <w:b/>
                <w:sz w:val="18"/>
              </w:rPr>
              <w:t>Breach by ~8.35</w:t>
            </w:r>
          </w:p>
        </w:tc>
        <w:tc>
          <w:tcPr>
            <w:tcW w:type="dxa" w:w="1440"/>
          </w:tcPr>
          <w:p>
            <w:r>
              <w:rPr>
                <w:sz w:val="18"/>
              </w:rPr>
            </w:r>
            <w:r>
              <w:rPr>
                <w:sz w:val="18"/>
              </w:rPr>
              <w:t>Exceeded (16.2)</w:t>
            </w:r>
          </w:p>
        </w:tc>
      </w:tr>
      <w:tr>
        <w:tc>
          <w:tcPr>
            <w:tcW w:type="dxa" w:w="1944"/>
          </w:tcPr>
          <w:p>
            <w:r>
              <w:rPr>
                <w:sz w:val="18"/>
              </w:rPr>
            </w:r>
            <w:r>
              <w:rPr>
                <w:b/>
                <w:sz w:val="18"/>
              </w:rPr>
              <w:t>Direction-email counter</w:t>
            </w:r>
            <w:r>
              <w:rPr>
                <w:sz w:val="18"/>
              </w:rPr>
              <w:t xml:space="preserve"> (120%, FA at 120 days, penalty at 90 days; SEP/FRC unchanged)</w:t>
            </w:r>
          </w:p>
        </w:tc>
        <w:tc>
          <w:tcPr>
            <w:tcW w:type="dxa" w:w="2520"/>
          </w:tcPr>
          <w:p>
            <w:r>
              <w:rPr>
                <w:sz w:val="18"/>
              </w:rPr>
            </w:r>
            <w:r>
              <w:rPr>
                <w:sz w:val="18"/>
              </w:rPr>
              <w:t>FRC 0.6 + SEP 2.0 (day 60); penalty 1.5 (day 90); FA 12.96 (day 120) = 17.06</w:t>
            </w:r>
          </w:p>
        </w:tc>
        <w:tc>
          <w:tcPr>
            <w:tcW w:type="dxa" w:w="2088"/>
          </w:tcPr>
          <w:p>
            <w:r>
              <w:rPr>
                <w:sz w:val="18"/>
              </w:rPr>
            </w:r>
            <w:r>
              <w:rPr>
                <w:sz w:val="18"/>
              </w:rPr>
              <w:t xml:space="preserve">Day 120: 15.55 + 2.8 − 17.06 = </w:t>
            </w:r>
            <w:r>
              <w:rPr>
                <w:b/>
                <w:sz w:val="18"/>
              </w:rPr>
              <w:t>1.29</w:t>
            </w:r>
          </w:p>
        </w:tc>
        <w:tc>
          <w:tcPr>
            <w:tcW w:type="dxa" w:w="1368"/>
          </w:tcPr>
          <w:p>
            <w:r>
              <w:rPr>
                <w:sz w:val="18"/>
              </w:rPr>
            </w:r>
            <w:r>
              <w:rPr>
                <w:b/>
                <w:sz w:val="18"/>
              </w:rPr>
              <w:t>Breach by ~3.71</w:t>
            </w:r>
          </w:p>
        </w:tc>
        <w:tc>
          <w:tcPr>
            <w:tcW w:type="dxa" w:w="1440"/>
          </w:tcPr>
          <w:p>
            <w:r>
              <w:rPr>
                <w:sz w:val="18"/>
              </w:rPr>
            </w:r>
            <w:r>
              <w:rPr>
                <w:sz w:val="18"/>
              </w:rPr>
              <w:t>Exceeded (12.96); also &gt; 12.7 availability</w:t>
            </w:r>
          </w:p>
        </w:tc>
      </w:tr>
      <w:tr>
        <w:tc>
          <w:tcPr>
            <w:tcW w:type="dxa" w:w="1944"/>
          </w:tcPr>
          <w:p>
            <w:r>
              <w:rPr>
                <w:sz w:val="18"/>
              </w:rPr>
            </w:r>
            <w:r>
              <w:rPr>
                <w:b/>
                <w:sz w:val="18"/>
              </w:rPr>
              <w:t>Email counter + 50/50 FA at 120/180 days</w:t>
            </w:r>
          </w:p>
        </w:tc>
        <w:tc>
          <w:tcPr>
            <w:tcW w:type="dxa" w:w="2520"/>
          </w:tcPr>
          <w:p>
            <w:r>
              <w:rPr>
                <w:sz w:val="18"/>
              </w:rPr>
            </w:r>
            <w:r>
              <w:rPr>
                <w:sz w:val="18"/>
              </w:rPr>
              <w:t>As above, but FA 6.48 at day 120 and 6.48 at day 180</w:t>
            </w:r>
          </w:p>
        </w:tc>
        <w:tc>
          <w:tcPr>
            <w:tcW w:type="dxa" w:w="2088"/>
          </w:tcPr>
          <w:p>
            <w:r>
              <w:rPr>
                <w:sz w:val="18"/>
              </w:rPr>
            </w:r>
            <w:r>
              <w:rPr>
                <w:sz w:val="18"/>
              </w:rPr>
              <w:t xml:space="preserve">Month 6: 15.55 + 4.2 − 17.06 − 0.0 ≈ </w:t>
            </w:r>
            <w:r>
              <w:rPr>
                <w:b/>
                <w:sz w:val="18"/>
              </w:rPr>
              <w:t>2.7</w:t>
            </w:r>
            <w:r>
              <w:rPr>
                <w:sz w:val="18"/>
              </w:rPr>
              <w:t xml:space="preserve"> (≈ 4.2 even if the SEP were tranched)</w:t>
            </w:r>
          </w:p>
        </w:tc>
        <w:tc>
          <w:tcPr>
            <w:tcW w:type="dxa" w:w="1368"/>
          </w:tcPr>
          <w:p>
            <w:r>
              <w:rPr>
                <w:sz w:val="18"/>
              </w:rPr>
            </w:r>
            <w:r>
              <w:rPr>
                <w:b/>
                <w:sz w:val="18"/>
              </w:rPr>
              <w:t>Breach by ~2.3</w:t>
            </w:r>
            <w:r>
              <w:rPr>
                <w:sz w:val="18"/>
              </w:rPr>
              <w:t xml:space="preserve"> (~0.8 with SEP tranched)</w:t>
            </w:r>
          </w:p>
        </w:tc>
        <w:tc>
          <w:tcPr>
            <w:tcW w:type="dxa" w:w="1440"/>
          </w:tcPr>
          <w:p>
            <w:r>
              <w:rPr>
                <w:sz w:val="18"/>
              </w:rPr>
            </w:r>
            <w:r>
              <w:rPr>
                <w:sz w:val="18"/>
              </w:rPr>
              <w:t>Exceeded at month 6</w:t>
            </w:r>
          </w:p>
        </w:tc>
      </w:tr>
      <w:tr>
        <w:tc>
          <w:tcPr>
            <w:tcW w:type="dxa" w:w="1944"/>
          </w:tcPr>
          <w:p>
            <w:r>
              <w:rPr>
                <w:sz w:val="18"/>
              </w:rPr>
            </w:r>
            <w:r>
              <w:rPr>
                <w:b/>
                <w:sz w:val="18"/>
              </w:rPr>
              <w:t>Markup as drafted</w:t>
            </w:r>
          </w:p>
        </w:tc>
        <w:tc>
          <w:tcPr>
            <w:tcW w:type="dxa" w:w="2520"/>
          </w:tcPr>
          <w:p>
            <w:r>
              <w:rPr>
                <w:sz w:val="18"/>
              </w:rPr>
            </w:r>
            <w:r>
              <w:rPr>
                <w:sz w:val="18"/>
              </w:rPr>
              <w:t>FRC 0.6 (day 60); penalty 1.5 + SEP 0.5 (day 90); FA 6.48 (day 120) = 9.08</w:t>
            </w:r>
          </w:p>
        </w:tc>
        <w:tc>
          <w:tcPr>
            <w:tcW w:type="dxa" w:w="2088"/>
          </w:tcPr>
          <w:p>
            <w:r>
              <w:rPr>
                <w:sz w:val="18"/>
              </w:rPr>
            </w:r>
            <w:r>
              <w:rPr>
                <w:sz w:val="18"/>
              </w:rPr>
              <w:t xml:space="preserve">Day 120: 15.55 + 2.8 − 9.08 = </w:t>
            </w:r>
            <w:r>
              <w:rPr>
                <w:b/>
                <w:sz w:val="18"/>
              </w:rPr>
              <w:t>9.27</w:t>
            </w:r>
          </w:p>
        </w:tc>
        <w:tc>
          <w:tcPr>
            <w:tcW w:type="dxa" w:w="1368"/>
          </w:tcPr>
          <w:p>
            <w:r>
              <w:rPr>
                <w:sz w:val="18"/>
              </w:rPr>
            </w:r>
            <w:r>
              <w:rPr>
                <w:b/>
                <w:sz w:val="18"/>
              </w:rPr>
              <w:t>Compliant (+4.27)</w:t>
            </w:r>
          </w:p>
        </w:tc>
        <w:tc>
          <w:tcPr>
            <w:tcW w:type="dxa" w:w="1440"/>
          </w:tcPr>
          <w:p>
            <w:r>
              <w:rPr>
                <w:sz w:val="18"/>
              </w:rPr>
            </w:r>
            <w:r>
              <w:rPr>
                <w:sz w:val="18"/>
              </w:rPr>
              <w:t>Within (6.48)</w:t>
            </w:r>
          </w:p>
        </w:tc>
      </w:tr>
      <w:tr>
        <w:tc>
          <w:tcPr>
            <w:tcW w:type="dxa" w:w="1944"/>
          </w:tcPr>
          <w:p>
            <w:r>
              <w:rPr>
                <w:sz w:val="18"/>
              </w:rPr>
            </w:r>
            <w:r>
              <w:rPr>
                <w:b/>
                <w:sz w:val="18"/>
              </w:rPr>
              <w:t>Markup: FA true-up after CMS approval</w:t>
            </w:r>
            <w:r>
              <w:rPr>
                <w:sz w:val="18"/>
              </w:rPr>
              <w:t xml:space="preserve"> (about month 18)</w:t>
            </w:r>
          </w:p>
        </w:tc>
        <w:tc>
          <w:tcPr>
            <w:tcW w:type="dxa" w:w="2520"/>
          </w:tcPr>
          <w:p>
            <w:r>
              <w:rPr>
                <w:sz w:val="18"/>
              </w:rPr>
            </w:r>
            <w:r>
              <w:rPr>
                <w:sz w:val="18"/>
              </w:rPr>
              <w:t>Months 5–18: SEP 1.0, penalty #2 1.125, remediation start ~2.7 (workbook); then FA top-up</w:t>
            </w:r>
          </w:p>
        </w:tc>
        <w:tc>
          <w:tcPr>
            <w:tcW w:type="dxa" w:w="2088"/>
          </w:tcPr>
          <w:p>
            <w:r>
              <w:rPr>
                <w:sz w:val="18"/>
              </w:rPr>
            </w:r>
            <w:r>
              <w:rPr>
                <w:sz w:val="18"/>
              </w:rPr>
              <w:t>Before top-up about 14.2; after top-up: 7.8 (remedy $10.8M) / 11.2 (MNA, $7.9M) / 13.5 (MNA + SWMU-4 off-site, $6.0M)</w:t>
            </w:r>
          </w:p>
        </w:tc>
        <w:tc>
          <w:tcPr>
            <w:tcW w:type="dxa" w:w="1368"/>
          </w:tcPr>
          <w:p>
            <w:r>
              <w:rPr>
                <w:sz w:val="18"/>
              </w:rPr>
            </w:r>
            <w:r>
              <w:rPr>
                <w:sz w:val="18"/>
              </w:rPr>
              <w:t>Compliant in all three cases</w:t>
            </w:r>
          </w:p>
        </w:tc>
        <w:tc>
          <w:tcPr>
            <w:tcW w:type="dxa" w:w="1440"/>
          </w:tcPr>
          <w:p>
            <w:r>
              <w:rPr>
                <w:sz w:val="18"/>
              </w:rPr>
            </w:r>
            <w:r>
              <w:rPr>
                <w:sz w:val="18"/>
              </w:rPr>
              <w:t>At $10.8M the total FA of 12.96 exceeds the sub-limit, so surety bond or sub-limit increase needed for ~2.96</w:t>
            </w:r>
          </w:p>
        </w:tc>
      </w:tr>
    </w:tbl>
    <w:p>
      <w:pPr>
        <w:spacing w:after="40"/>
      </w:pPr>
    </w:p>
    <w:p>
      <w:pPr>
        <w:spacing w:after="120"/>
        <w:jc w:val="both"/>
      </w:pPr>
      <w:r>
        <w:rPr>
          <w:b/>
        </w:rPr>
        <w:t>Lender points.</w:t>
      </w:r>
      <w:r>
        <w:t xml:space="preserve"> (1) The Beacon revolver </w:t>
      </w:r>
      <w:r>
        <w:rPr>
          <w:b/>
        </w:rPr>
        <w:t>matures March 15, 2026</w:t>
      </w:r>
      <w:r>
        <w:t xml:space="preserve">, before the FA true-up date and most of the remedy. A refinancing that preserves LC capacity (ideally a larger LC sub-limit) is a gating item, and LC tenors must survive maturity. That is why Section 11.2(b) now gives GRS a 90-day substitution window after a non-renewal notice. (2) Entry of the decree is a reportable material-litigation event (30-day notice) and could trigger MAC review. We recommend approaching Beacon </w:t>
      </w:r>
      <w:r>
        <w:rPr>
          <w:b/>
        </w:rPr>
        <w:t>before</w:t>
      </w:r>
      <w:r>
        <w:t xml:space="preserve"> entry, sharing the agreed financial assurance structure, and obtaining comfort or consent, including consent for any surety collateral under the negative pledge.</w:t>
      </w:r>
    </w:p>
    <w:p>
      <w:pPr>
        <w:pStyle w:val="Heading1"/>
      </w:pPr>
      <w:r>
        <w:rPr>
          <w:rFonts w:ascii="Times New Roman" w:hAnsi="Times New Roman"/>
          <w:color w:val="000000"/>
        </w:rPr>
        <w:t>IV. Issue-by-Issue Summary of Revisions, Rationale, and Risk Assessment</w:t>
      </w:r>
    </w:p>
    <w:p>
      <w:pPr>
        <w:spacing w:after="120"/>
        <w:jc w:val="both"/>
      </w:pPr>
      <w:r>
        <w:t>Risk refers to the likelihood and intensity of pushback (High / Medium / Low), not the importance of the issue. "AG" means Calloway’s office and Illinois EPA.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360"/>
            <w:shd w:val="clear" w:color="auto" w:fill="D9D9D9"/>
          </w:tcPr>
          <w:p>
            <w:r/>
            <w:r>
              <w:rPr>
                <w:b/>
                <w:sz w:val="15"/>
              </w:rPr>
              <w:t>#</w:t>
            </w:r>
          </w:p>
        </w:tc>
        <w:tc>
          <w:tcPr>
            <w:tcW w:type="dxa" w:w="1080"/>
            <w:shd w:val="clear" w:color="auto" w:fill="D9D9D9"/>
          </w:tcPr>
          <w:p>
            <w:r/>
            <w:r>
              <w:rPr>
                <w:b/>
                <w:sz w:val="15"/>
              </w:rPr>
              <w:t>Decree §</w:t>
            </w:r>
          </w:p>
        </w:tc>
        <w:tc>
          <w:tcPr>
            <w:tcW w:type="dxa" w:w="1512"/>
            <w:shd w:val="clear" w:color="auto" w:fill="D9D9D9"/>
          </w:tcPr>
          <w:p>
            <w:r/>
            <w:r>
              <w:rPr>
                <w:b/>
                <w:sz w:val="15"/>
              </w:rPr>
              <w:t>Issue in AG draft</w:t>
            </w:r>
          </w:p>
        </w:tc>
        <w:tc>
          <w:tcPr>
            <w:tcW w:type="dxa" w:w="2304"/>
            <w:shd w:val="clear" w:color="auto" w:fill="D9D9D9"/>
          </w:tcPr>
          <w:p>
            <w:r/>
            <w:r>
              <w:rPr>
                <w:b/>
                <w:sz w:val="15"/>
              </w:rPr>
              <w:t>GRS markup</w:t>
            </w:r>
          </w:p>
        </w:tc>
        <w:tc>
          <w:tcPr>
            <w:tcW w:type="dxa" w:w="1512"/>
            <w:shd w:val="clear" w:color="auto" w:fill="D9D9D9"/>
          </w:tcPr>
          <w:p>
            <w:r/>
            <w:r>
              <w:rPr>
                <w:b/>
                <w:sz w:val="15"/>
              </w:rPr>
              <w:t>Basis</w:t>
            </w:r>
          </w:p>
        </w:tc>
        <w:tc>
          <w:tcPr>
            <w:tcW w:type="dxa" w:w="1152"/>
            <w:shd w:val="clear" w:color="auto" w:fill="D9D9D9"/>
          </w:tcPr>
          <w:p>
            <w:r/>
            <w:r>
              <w:rPr>
                <w:b/>
                <w:sz w:val="15"/>
              </w:rPr>
              <w:t>Expected pushback</w:t>
            </w:r>
          </w:p>
        </w:tc>
        <w:tc>
          <w:tcPr>
            <w:tcW w:type="dxa" w:w="1440"/>
            <w:shd w:val="clear" w:color="auto" w:fill="D9D9D9"/>
          </w:tcPr>
          <w:p>
            <w:r/>
            <w:r>
              <w:rPr>
                <w:b/>
                <w:sz w:val="15"/>
              </w:rPr>
              <w:t>Fallback / notes</w:t>
            </w:r>
          </w:p>
        </w:tc>
      </w:tr>
      <w:tr>
        <w:tc>
          <w:tcPr>
            <w:tcW w:type="dxa" w:w="360"/>
          </w:tcPr>
          <w:p>
            <w:r>
              <w:rPr>
                <w:sz w:val="15"/>
              </w:rPr>
            </w:r>
            <w:r>
              <w:rPr>
                <w:sz w:val="15"/>
              </w:rPr>
              <w:t>1</w:t>
            </w:r>
          </w:p>
        </w:tc>
        <w:tc>
          <w:tcPr>
            <w:tcW w:type="dxa" w:w="1080"/>
          </w:tcPr>
          <w:p>
            <w:r>
              <w:rPr>
                <w:sz w:val="15"/>
              </w:rPr>
            </w:r>
            <w:r>
              <w:rPr>
                <w:sz w:val="15"/>
              </w:rPr>
              <w:t>§§ 6.1(a), 8.3, 11.1–11.5 (Tier 1)</w:t>
            </w:r>
          </w:p>
        </w:tc>
        <w:tc>
          <w:tcPr>
            <w:tcW w:type="dxa" w:w="1512"/>
          </w:tcPr>
          <w:p>
            <w:r>
              <w:rPr>
                <w:sz w:val="15"/>
              </w:rPr>
            </w:r>
            <w:r>
              <w:rPr>
                <w:sz w:val="15"/>
              </w:rPr>
              <w:t>Front-loaded cash: penalty, SEP, FRC, and 150% FA ($16.2M) all due by day 60; FA limited to three instruments; 150% floor on adjustments</w:t>
            </w:r>
          </w:p>
        </w:tc>
        <w:tc>
          <w:tcPr>
            <w:tcW w:type="dxa" w:w="2304"/>
          </w:tcPr>
          <w:p>
            <w:r>
              <w:rPr>
                <w:sz w:val="15"/>
              </w:rPr>
            </w:r>
            <w:r>
              <w:rPr>
                <w:sz w:val="15"/>
              </w:rPr>
              <w:t xml:space="preserve">Penalty #1 to 90 days; SEP in four $500K tranches (90 days, 9, 15, 21 months); FA at </w:t>
            </w:r>
            <w:r>
              <w:rPr>
                <w:b/>
                <w:sz w:val="15"/>
              </w:rPr>
              <w:t>120%</w:t>
            </w:r>
            <w:r>
              <w:rPr>
                <w:sz w:val="15"/>
              </w:rPr>
              <w:t>, staged 50% at 120 days and the balance sized to the Selected Remedies 60 days after CMS approval (outside date 21 months); full Subpart H menu (insurance, financial test, guarantee, combinations) with replacement obligation; 120% adjustment floor; reductions as Work is completed; 90-day LC substitution window; notice and cure before 11.5 remedies (Comments 8, 17, 21, 22)</w:t>
            </w:r>
          </w:p>
        </w:tc>
        <w:tc>
          <w:tcPr>
            <w:tcW w:type="dxa" w:w="1512"/>
          </w:tcPr>
          <w:p>
            <w:r>
              <w:rPr>
                <w:sz w:val="15"/>
              </w:rPr>
            </w:r>
            <w:r>
              <w:rPr>
                <w:sz w:val="15"/>
              </w:rPr>
              <w:t>RCRA Subpart H ties FA to the cost estimate (100%) with annual adjustment (35 IAC 724.243; 40 C.F.R. § 264.143); the $10.8M base assumes remedies still to be decided in the CMS; mathematical infeasibility (Part III); State is secured before construction begins</w:t>
            </w:r>
          </w:p>
        </w:tc>
        <w:tc>
          <w:tcPr>
            <w:tcW w:type="dxa" w:w="1152"/>
          </w:tcPr>
          <w:p>
            <w:r>
              <w:rPr>
                <w:sz w:val="15"/>
              </w:rPr>
            </w:r>
            <w:r>
              <w:rPr>
                <w:sz w:val="15"/>
              </w:rPr>
              <w:t>AG: Medium-High; likely to accept timing more readily than the multiplier. FRC: High (letter insists on 150% and no extension)</w:t>
            </w:r>
          </w:p>
        </w:tc>
        <w:tc>
          <w:tcPr>
            <w:tcW w:type="dxa" w:w="1440"/>
          </w:tcPr>
          <w:p>
            <w:r>
              <w:rPr>
                <w:sz w:val="15"/>
              </w:rPr>
            </w:r>
            <w:r>
              <w:rPr>
                <w:sz w:val="15"/>
              </w:rPr>
              <w:t>Fallbacks in order: 125–130% multiplier; 75% at 120 days; outside date at 15 months; offer a trust fund funded over a pay-in period. Hold 100% (regulatory baseline) as an argument, not a proposal</w:t>
            </w:r>
          </w:p>
        </w:tc>
      </w:tr>
      <w:tr>
        <w:tc>
          <w:tcPr>
            <w:tcW w:type="dxa" w:w="360"/>
          </w:tcPr>
          <w:p>
            <w:r>
              <w:rPr>
                <w:sz w:val="15"/>
              </w:rPr>
            </w:r>
            <w:r>
              <w:rPr>
                <w:sz w:val="15"/>
              </w:rPr>
              <w:t>2</w:t>
            </w:r>
          </w:p>
        </w:tc>
        <w:tc>
          <w:tcPr>
            <w:tcW w:type="dxa" w:w="1080"/>
          </w:tcPr>
          <w:p>
            <w:r>
              <w:rPr>
                <w:sz w:val="15"/>
              </w:rPr>
            </w:r>
            <w:r>
              <w:rPr>
                <w:sz w:val="15"/>
              </w:rPr>
              <w:t>§ XVII; defs. 2.20–2.22 (Tier 1)</w:t>
            </w:r>
          </w:p>
        </w:tc>
        <w:tc>
          <w:tcPr>
            <w:tcW w:type="dxa" w:w="1512"/>
          </w:tcPr>
          <w:p>
            <w:r>
              <w:rPr>
                <w:sz w:val="15"/>
              </w:rPr>
            </w:r>
            <w:r>
              <w:rPr>
                <w:sz w:val="15"/>
              </w:rPr>
              <w:t>Covenant effective only after all ROs are met and 30 years of monitoring are complete; illusory</w:t>
            </w:r>
          </w:p>
        </w:tc>
        <w:tc>
          <w:tcPr>
            <w:tcW w:type="dxa" w:w="2304"/>
          </w:tcPr>
          <w:p>
            <w:r>
              <w:rPr>
                <w:sz w:val="15"/>
              </w:rPr>
            </w:r>
            <w:r>
              <w:rPr>
                <w:sz w:val="15"/>
              </w:rPr>
              <w:t>Phased covenant: civil penalty claims released at Effective Date; injunctive and corrective action claims released at Remedy Completion (Illinois EPA certification within 90 days of request; disputable); monitoring survives independently; FRC covenant parallel (Comment 27)</w:t>
            </w:r>
          </w:p>
        </w:tc>
        <w:tc>
          <w:tcPr>
            <w:tcW w:type="dxa" w:w="1512"/>
          </w:tcPr>
          <w:p>
            <w:r>
              <w:rPr>
                <w:sz w:val="15"/>
              </w:rPr>
            </w:r>
            <w:r>
              <w:rPr>
                <w:sz w:val="15"/>
              </w:rPr>
              <w:t>U.S. EPA model RD/RA decree structure (covenant effective on entry/payment and on certification of completion); reopeners and § 17.3 reservations preserve the State’s protection</w:t>
            </w:r>
          </w:p>
        </w:tc>
        <w:tc>
          <w:tcPr>
            <w:tcW w:type="dxa" w:w="1152"/>
          </w:tcPr>
          <w:p>
            <w:r>
              <w:rPr>
                <w:sz w:val="15"/>
              </w:rPr>
            </w:r>
            <w:r>
              <w:rPr>
                <w:sz w:val="15"/>
              </w:rPr>
              <w:t>AG: High; FRC: High ("non-negotiable")</w:t>
            </w:r>
          </w:p>
        </w:tc>
        <w:tc>
          <w:tcPr>
            <w:tcW w:type="dxa" w:w="1440"/>
          </w:tcPr>
          <w:p>
            <w:r>
              <w:rPr>
                <w:sz w:val="15"/>
              </w:rPr>
            </w:r>
            <w:r>
              <w:rPr>
                <w:sz w:val="15"/>
              </w:rPr>
              <w:t>Accept Remedy Completion defined as construction complete + O&amp;M functioning (not RO attainment); accept a covenant on injunctive claims at a fixed date (e.g., 5 years after Remedy Completion); the penalty-claims release at entry should be firm</w:t>
            </w:r>
          </w:p>
        </w:tc>
      </w:tr>
      <w:tr>
        <w:tc>
          <w:tcPr>
            <w:tcW w:type="dxa" w:w="360"/>
          </w:tcPr>
          <w:p>
            <w:r>
              <w:rPr>
                <w:sz w:val="15"/>
              </w:rPr>
            </w:r>
            <w:r>
              <w:rPr>
                <w:sz w:val="15"/>
              </w:rPr>
              <w:t>3</w:t>
            </w:r>
          </w:p>
        </w:tc>
        <w:tc>
          <w:tcPr>
            <w:tcW w:type="dxa" w:w="1080"/>
          </w:tcPr>
          <w:p>
            <w:r>
              <w:rPr>
                <w:sz w:val="15"/>
              </w:rPr>
            </w:r>
            <w:r>
              <w:rPr>
                <w:sz w:val="15"/>
              </w:rPr>
              <w:t>§§ 7.1, 7.7, new 7.8, new 17.5, Recitals 7(d)/8, § 5.2 (Tier 1)</w:t>
            </w:r>
          </w:p>
        </w:tc>
        <w:tc>
          <w:tcPr>
            <w:tcW w:type="dxa" w:w="1512"/>
          </w:tcPr>
          <w:p>
            <w:r>
              <w:rPr>
                <w:sz w:val="15"/>
              </w:rPr>
            </w:r>
            <w:r>
              <w:rPr>
                <w:sz w:val="15"/>
              </w:rPr>
              <w:t>SWMU-4 assigned solely to GRS "without regard to source"; no preservation of contribution rights</w:t>
            </w:r>
          </w:p>
        </w:tc>
        <w:tc>
          <w:tcPr>
            <w:tcW w:type="dxa" w:w="2304"/>
          </w:tcPr>
          <w:p>
            <w:r>
              <w:rPr>
                <w:sz w:val="15"/>
              </w:rPr>
            </w:r>
            <w:r>
              <w:rPr>
                <w:b/>
                <w:sz w:val="15"/>
              </w:rPr>
              <w:t>Option A</w:t>
            </w:r>
            <w:r>
              <w:rPr>
                <w:sz w:val="15"/>
              </w:rPr>
              <w:t>: SWMU-4 out of corrective action pending a defined Source Evaluation (2 boundary wells, expanded CSIA, Cell B records; ~18 months); Cell B share returns to the CMS if shown; data to EPA Region 5; delete "without regard to source"; express reservation of CERCLA §§ 107/113(f) and 415 ILCS 5/22.2(f) rights; § 113(f)(2) protection (Comments 4, 10, 14, 15, 28)</w:t>
            </w:r>
          </w:p>
        </w:tc>
        <w:tc>
          <w:tcPr>
            <w:tcW w:type="dxa" w:w="1512"/>
          </w:tcPr>
          <w:p>
            <w:r>
              <w:rPr>
                <w:sz w:val="15"/>
              </w:rPr>
            </w:r>
            <w:r>
              <w:rPr>
                <w:sz w:val="15"/>
              </w:rPr>
              <w:t>RI §3.4 and Appendix H; flow direction; MW-11 chlorinated ethenes; Cell B waste profile; Clarendon did no upgradient evaluation; 415 ILCS 5/58.9 proportionate-share principles (confirm applicability to a RCRA-permitted facility)</w:t>
            </w:r>
          </w:p>
        </w:tc>
        <w:tc>
          <w:tcPr>
            <w:tcW w:type="dxa" w:w="1152"/>
          </w:tcPr>
          <w:p>
            <w:r>
              <w:rPr>
                <w:sz w:val="15"/>
              </w:rPr>
            </w:r>
            <w:r>
              <w:rPr>
                <w:sz w:val="15"/>
              </w:rPr>
              <w:t>AG: High on exclusion; Medium on the reservation of rights. FRC: High (opposes any narrowing)</w:t>
            </w:r>
          </w:p>
        </w:tc>
        <w:tc>
          <w:tcPr>
            <w:tcW w:type="dxa" w:w="1440"/>
          </w:tcPr>
          <w:p>
            <w:r>
              <w:rPr>
                <w:sz w:val="15"/>
              </w:rPr>
            </w:r>
            <w:r>
              <w:rPr>
                <w:sz w:val="15"/>
              </w:rPr>
              <w:t xml:space="preserve">Move to </w:t>
            </w:r>
            <w:r>
              <w:rPr>
                <w:b/>
                <w:sz w:val="15"/>
              </w:rPr>
              <w:t>Option B</w:t>
            </w:r>
            <w:r>
              <w:rPr>
                <w:sz w:val="15"/>
              </w:rPr>
              <w:t xml:space="preserve"> (Part VIII.A). The reservation of rights (§ 17.5(b)) is non-negotiable. Expect to concede that GRS performs interim monitoring/containment at SWMU-4 during the source evaluation</w:t>
            </w:r>
          </w:p>
        </w:tc>
      </w:tr>
      <w:tr>
        <w:tc>
          <w:tcPr>
            <w:tcW w:type="dxa" w:w="360"/>
          </w:tcPr>
          <w:p>
            <w:r>
              <w:rPr>
                <w:sz w:val="15"/>
              </w:rPr>
            </w:r>
            <w:r>
              <w:rPr>
                <w:sz w:val="15"/>
              </w:rPr>
              <w:t>4</w:t>
            </w:r>
          </w:p>
        </w:tc>
        <w:tc>
          <w:tcPr>
            <w:tcW w:type="dxa" w:w="1080"/>
          </w:tcPr>
          <w:p>
            <w:r>
              <w:rPr>
                <w:sz w:val="15"/>
              </w:rPr>
            </w:r>
            <w:r>
              <w:rPr>
                <w:sz w:val="15"/>
              </w:rPr>
              <w:t>§ 14.2; § 19.3</w:t>
            </w:r>
          </w:p>
        </w:tc>
        <w:tc>
          <w:tcPr>
            <w:tcW w:type="dxa" w:w="1512"/>
          </w:tcPr>
          <w:p>
            <w:r>
              <w:rPr>
                <w:sz w:val="15"/>
              </w:rPr>
            </w:r>
            <w:r>
              <w:rPr>
                <w:sz w:val="15"/>
              </w:rPr>
              <w:t>Blanket waiver of attorney-client privilege and work product for the life of the decree plus 5 years</w:t>
            </w:r>
          </w:p>
        </w:tc>
        <w:tc>
          <w:tcPr>
            <w:tcW w:type="dxa" w:w="2304"/>
          </w:tcPr>
          <w:p>
            <w:r>
              <w:rPr>
                <w:sz w:val="15"/>
              </w:rPr>
            </w:r>
            <w:r>
              <w:rPr>
                <w:sz w:val="15"/>
              </w:rPr>
              <w:t>Privilege preserved with a privilege log; no privilege claims over data, required submissions, or records required by law; Rule 201(p) non-waiver; trade-secret/CBI designation (415 ILCS 5/7, 7.1); FRC limited to data, reports and non-privileged environmental records; survival clause conformed (Comment 25)</w:t>
            </w:r>
          </w:p>
        </w:tc>
        <w:tc>
          <w:tcPr>
            <w:tcW w:type="dxa" w:w="1512"/>
          </w:tcPr>
          <w:p>
            <w:r>
              <w:rPr>
                <w:sz w:val="15"/>
              </w:rPr>
            </w:r>
            <w:r>
              <w:rPr>
                <w:sz w:val="15"/>
              </w:rPr>
              <w:t>No model decree contains such a waiver; it would reach Terravance’s work at the direction of counsel and our own files</w:t>
            </w:r>
          </w:p>
        </w:tc>
        <w:tc>
          <w:tcPr>
            <w:tcW w:type="dxa" w:w="1152"/>
          </w:tcPr>
          <w:p>
            <w:r>
              <w:rPr>
                <w:sz w:val="15"/>
              </w:rPr>
            </w:r>
            <w:r>
              <w:rPr>
                <w:sz w:val="15"/>
              </w:rPr>
              <w:t>AG: Low (you predicted they expect it). FRC: Medium (its letter claims the waiver, misreading § 14.2 as IEPA-only when it already includes FRC)</w:t>
            </w:r>
          </w:p>
        </w:tc>
        <w:tc>
          <w:tcPr>
            <w:tcW w:type="dxa" w:w="1440"/>
          </w:tcPr>
          <w:p>
            <w:r>
              <w:rPr>
                <w:sz w:val="15"/>
              </w:rPr>
            </w:r>
            <w:r>
              <w:rPr>
                <w:sz w:val="15"/>
              </w:rPr>
              <w:t>Minimal; could agree to an in camera procedure for privilege disputes</w:t>
            </w:r>
          </w:p>
        </w:tc>
      </w:tr>
      <w:tr>
        <w:tc>
          <w:tcPr>
            <w:tcW w:type="dxa" w:w="360"/>
          </w:tcPr>
          <w:p>
            <w:r>
              <w:rPr>
                <w:sz w:val="15"/>
              </w:rPr>
            </w:r>
            <w:r>
              <w:rPr>
                <w:sz w:val="15"/>
              </w:rPr>
              <w:t>5</w:t>
            </w:r>
          </w:p>
        </w:tc>
        <w:tc>
          <w:tcPr>
            <w:tcW w:type="dxa" w:w="1080"/>
          </w:tcPr>
          <w:p>
            <w:r>
              <w:rPr>
                <w:sz w:val="15"/>
              </w:rPr>
            </w:r>
            <w:r>
              <w:rPr>
                <w:sz w:val="15"/>
              </w:rPr>
              <w:t>§§ 9.1–9.7; 15.3</w:t>
            </w:r>
          </w:p>
        </w:tc>
        <w:tc>
          <w:tcPr>
            <w:tcW w:type="dxa" w:w="1512"/>
          </w:tcPr>
          <w:p>
            <w:r>
              <w:rPr>
                <w:sz w:val="15"/>
              </w:rPr>
            </w:r>
            <w:r>
              <w:rPr>
                <w:sz w:val="15"/>
              </w:rPr>
              <w:t>Escalating stipulated penalties with no notice, cure, cap, de minimis exception, or waiver; FRC can demand payment; penalties payable even if GRS prevails in a dispute</w:t>
            </w:r>
          </w:p>
        </w:tc>
        <w:tc>
          <w:tcPr>
            <w:tcW w:type="dxa" w:w="2304"/>
          </w:tcPr>
          <w:p>
            <w:r>
              <w:rPr>
                <w:sz w:val="15"/>
              </w:rPr>
            </w:r>
            <w:r>
              <w:rPr>
                <w:sz w:val="15"/>
              </w:rPr>
              <w:t xml:space="preserve">30-day notice-and-cure before accrual; </w:t>
            </w:r>
            <w:r>
              <w:rPr>
                <w:b/>
                <w:sz w:val="15"/>
              </w:rPr>
              <w:t>$1.5M aggregate cap</w:t>
            </w:r>
            <w:r>
              <w:rPr>
                <w:sz w:val="15"/>
              </w:rPr>
              <w:t xml:space="preserve"> (other remedies preserved); de minimis exception and lower report-only tiers ($1K/$2.5K/$5K); single-event rule; State-only demand (FRC may request); payment stayed during disputes, none owed if GRS prevails; State waiver discretion (Comment 19)</w:t>
            </w:r>
          </w:p>
        </w:tc>
        <w:tc>
          <w:tcPr>
            <w:tcW w:type="dxa" w:w="1512"/>
          </w:tcPr>
          <w:p>
            <w:r>
              <w:rPr>
                <w:sz w:val="15"/>
              </w:rPr>
            </w:r>
            <w:r>
              <w:rPr>
                <w:sz w:val="15"/>
              </w:rPr>
              <w:t>Standard EPA/Illinois decree features; per-day amounts accepted</w:t>
            </w:r>
          </w:p>
        </w:tc>
        <w:tc>
          <w:tcPr>
            <w:tcW w:type="dxa" w:w="1152"/>
          </w:tcPr>
          <w:p>
            <w:r>
              <w:rPr>
                <w:sz w:val="15"/>
              </w:rPr>
            </w:r>
            <w:r>
              <w:rPr>
                <w:sz w:val="15"/>
              </w:rPr>
              <w:t>AG: Medium (cap: High). FRC: High</w:t>
            </w:r>
          </w:p>
        </w:tc>
        <w:tc>
          <w:tcPr>
            <w:tcW w:type="dxa" w:w="1440"/>
          </w:tcPr>
          <w:p>
            <w:r>
              <w:rPr>
                <w:sz w:val="15"/>
              </w:rPr>
            </w:r>
            <w:r>
              <w:rPr>
                <w:sz w:val="15"/>
              </w:rPr>
              <w:t>Cap at $2.5M (target landing $2–3M per your guidance); cure period 15 days; cap excludes payment-default penalties</w:t>
            </w:r>
          </w:p>
        </w:tc>
      </w:tr>
      <w:tr>
        <w:tc>
          <w:tcPr>
            <w:tcW w:type="dxa" w:w="360"/>
          </w:tcPr>
          <w:p>
            <w:r>
              <w:rPr>
                <w:sz w:val="15"/>
              </w:rPr>
            </w:r>
            <w:r>
              <w:rPr>
                <w:sz w:val="15"/>
              </w:rPr>
              <w:t>6</w:t>
            </w:r>
          </w:p>
        </w:tc>
        <w:tc>
          <w:tcPr>
            <w:tcW w:type="dxa" w:w="1080"/>
          </w:tcPr>
          <w:p>
            <w:r>
              <w:rPr>
                <w:sz w:val="15"/>
              </w:rPr>
            </w:r>
            <w:r>
              <w:rPr>
                <w:sz w:val="15"/>
              </w:rPr>
              <w:t>§§ 7.2(a)–(c), 7.5; Recital 9; def. 2.14</w:t>
            </w:r>
          </w:p>
        </w:tc>
        <w:tc>
          <w:tcPr>
            <w:tcW w:type="dxa" w:w="1512"/>
          </w:tcPr>
          <w:p>
            <w:r>
              <w:rPr>
                <w:sz w:val="15"/>
              </w:rPr>
            </w:r>
            <w:r>
              <w:rPr>
                <w:sz w:val="15"/>
              </w:rPr>
              <w:t>CMS must meet a 60-month attainment deadline and Class I/residential standards, effectively foreclosing MNA at SWMU-3 and TACO industrial options</w:t>
            </w:r>
          </w:p>
        </w:tc>
        <w:tc>
          <w:tcPr>
            <w:tcW w:type="dxa" w:w="2304"/>
          </w:tcPr>
          <w:p>
            <w:r>
              <w:rPr>
                <w:sz w:val="15"/>
              </w:rPr>
            </w:r>
            <w:r>
              <w:rPr>
                <w:sz w:val="15"/>
              </w:rPr>
              <w:t>MNA must be evaluated at SWMU-3 under OSWER Directive 9200.4-17P (not committed); new criterion (vi) for land-use consistency; attainment per the CMS restoration timeframe with milestones and contingencies; ROs defined by TACO, including Tier 2/3 and institutional controls (Comments 3, 5, 11, 13)</w:t>
            </w:r>
          </w:p>
        </w:tc>
        <w:tc>
          <w:tcPr>
            <w:tcW w:type="dxa" w:w="1512"/>
          </w:tcPr>
          <w:p>
            <w:r>
              <w:rPr>
                <w:sz w:val="15"/>
              </w:rPr>
            </w:r>
            <w:r>
              <w:rPr>
                <w:sz w:val="15"/>
              </w:rPr>
              <w:t>RI §3.3: three lines of evidence; the 60-month deadline is internally inconsistent with the decree’s own schedule; Facility is industrial</w:t>
            </w:r>
          </w:p>
        </w:tc>
        <w:tc>
          <w:tcPr>
            <w:tcW w:type="dxa" w:w="1152"/>
          </w:tcPr>
          <w:p>
            <w:r>
              <w:rPr>
                <w:sz w:val="15"/>
              </w:rPr>
            </w:r>
            <w:r>
              <w:rPr>
                <w:sz w:val="15"/>
              </w:rPr>
              <w:t>AG: Medium (Clarendon favors pump-and-treat). FRC: Medium-High</w:t>
            </w:r>
          </w:p>
        </w:tc>
        <w:tc>
          <w:tcPr>
            <w:tcW w:type="dxa" w:w="1440"/>
          </w:tcPr>
          <w:p>
            <w:r>
              <w:rPr>
                <w:sz w:val="15"/>
              </w:rPr>
            </w:r>
            <w:r>
              <w:rPr>
                <w:sz w:val="15"/>
              </w:rPr>
              <w:t>Accept a firm SWMU-3 contingency trigger (e.g., if TCE at MW-7 is not &lt; X µg/L by year 5, implement active measures). Do not commit to MNA in the decree</w:t>
            </w:r>
          </w:p>
        </w:tc>
      </w:tr>
      <w:tr>
        <w:tc>
          <w:tcPr>
            <w:tcW w:type="dxa" w:w="360"/>
          </w:tcPr>
          <w:p>
            <w:r>
              <w:rPr>
                <w:sz w:val="15"/>
              </w:rPr>
            </w:r>
            <w:r>
              <w:rPr>
                <w:sz w:val="15"/>
              </w:rPr>
              <w:t>7</w:t>
            </w:r>
          </w:p>
        </w:tc>
        <w:tc>
          <w:tcPr>
            <w:tcW w:type="dxa" w:w="1080"/>
          </w:tcPr>
          <w:p>
            <w:r>
              <w:rPr>
                <w:sz w:val="15"/>
              </w:rPr>
            </w:r>
            <w:r>
              <w:rPr>
                <w:sz w:val="15"/>
              </w:rPr>
              <w:t>§ 7.3; § 15.4</w:t>
            </w:r>
          </w:p>
        </w:tc>
        <w:tc>
          <w:tcPr>
            <w:tcW w:type="dxa" w:w="1512"/>
          </w:tcPr>
          <w:p>
            <w:r>
              <w:rPr>
                <w:sz w:val="15"/>
              </w:rPr>
            </w:r>
            <w:r>
              <w:rPr>
                <w:sz w:val="15"/>
              </w:rPr>
              <w:t>Remedy selection non-disputable; court must defer to State interpretation unless "plainly erroneous"</w:t>
            </w:r>
          </w:p>
        </w:tc>
        <w:tc>
          <w:tcPr>
            <w:tcW w:type="dxa" w:w="2304"/>
          </w:tcPr>
          <w:p>
            <w:r>
              <w:rPr>
                <w:sz w:val="15"/>
              </w:rPr>
            </w:r>
            <w:r>
              <w:rPr>
                <w:sz w:val="15"/>
              </w:rPr>
              <w:t>Written remedy decision; dispute resolution with record review under an arbitrary-and-capricious standard; contract interpretation de novo (Comments 12, 26)</w:t>
            </w:r>
          </w:p>
        </w:tc>
        <w:tc>
          <w:tcPr>
            <w:tcW w:type="dxa" w:w="1512"/>
          </w:tcPr>
          <w:p>
            <w:r>
              <w:rPr>
                <w:sz w:val="15"/>
              </w:rPr>
            </w:r>
            <w:r>
              <w:rPr>
                <w:sz w:val="15"/>
              </w:rPr>
              <w:t>Contract principles govern consent decrees; deferential review still protects the Agency</w:t>
            </w:r>
          </w:p>
        </w:tc>
        <w:tc>
          <w:tcPr>
            <w:tcW w:type="dxa" w:w="1152"/>
          </w:tcPr>
          <w:p>
            <w:r>
              <w:rPr>
                <w:sz w:val="15"/>
              </w:rPr>
            </w:r>
            <w:r>
              <w:rPr>
                <w:sz w:val="15"/>
              </w:rPr>
              <w:t>AG: Medium-High (agencies resist review of remedy selection)</w:t>
            </w:r>
          </w:p>
        </w:tc>
        <w:tc>
          <w:tcPr>
            <w:tcW w:type="dxa" w:w="1440"/>
          </w:tcPr>
          <w:p>
            <w:r>
              <w:rPr>
                <w:sz w:val="15"/>
              </w:rPr>
            </w:r>
            <w:r>
              <w:rPr>
                <w:sz w:val="15"/>
              </w:rPr>
              <w:t>Accept record review only, with no evidentiary hearing; keep de novo review of interpretation</w:t>
            </w:r>
          </w:p>
        </w:tc>
      </w:tr>
      <w:tr>
        <w:tc>
          <w:tcPr>
            <w:tcW w:type="dxa" w:w="360"/>
          </w:tcPr>
          <w:p>
            <w:r>
              <w:rPr>
                <w:sz w:val="15"/>
              </w:rPr>
            </w:r>
            <w:r>
              <w:rPr>
                <w:sz w:val="15"/>
              </w:rPr>
              <w:t>8</w:t>
            </w:r>
          </w:p>
        </w:tc>
        <w:tc>
          <w:tcPr>
            <w:tcW w:type="dxa" w:w="1080"/>
          </w:tcPr>
          <w:p>
            <w:r>
              <w:rPr>
                <w:sz w:val="15"/>
              </w:rPr>
            </w:r>
            <w:r>
              <w:rPr>
                <w:sz w:val="15"/>
              </w:rPr>
              <w:t>§§ 8.2, 8.4, 8.5, 19.1(d)</w:t>
            </w:r>
          </w:p>
        </w:tc>
        <w:tc>
          <w:tcPr>
            <w:tcW w:type="dxa" w:w="1512"/>
          </w:tcPr>
          <w:p>
            <w:r>
              <w:rPr>
                <w:sz w:val="15"/>
              </w:rPr>
            </w:r>
            <w:r>
              <w:rPr>
                <w:sz w:val="15"/>
              </w:rPr>
              <w:t>FRC has sole, unreviewable control of the $2M SEP; even Illinois EPA cannot disapprove expenditures</w:t>
            </w:r>
          </w:p>
        </w:tc>
        <w:tc>
          <w:tcPr>
            <w:tcW w:type="dxa" w:w="2304"/>
          </w:tcPr>
          <w:p>
            <w:r>
              <w:rPr>
                <w:sz w:val="15"/>
              </w:rPr>
            </w:r>
            <w:r>
              <w:rPr>
                <w:sz w:val="15"/>
              </w:rPr>
              <w:t>Independent SEP Administrator selected by Illinois EPA; three-party Oversight Committee with Illinois EPA as tie-breaker; FRC may be project partner/subcontractor; annual CPA audit; GRS records review (no veto); Illinois EPA disapproval right (Comments 16, 18)</w:t>
            </w:r>
          </w:p>
        </w:tc>
        <w:tc>
          <w:tcPr>
            <w:tcW w:type="dxa" w:w="1512"/>
          </w:tcPr>
          <w:p>
            <w:r>
              <w:rPr>
                <w:sz w:val="15"/>
              </w:rPr>
            </w:r>
            <w:r>
              <w:rPr>
                <w:sz w:val="15"/>
              </w:rPr>
              <w:t>U.S. EPA SEP Policy (2015 Update): defendant remains responsible and funds must be accountable; avoids a public-comment objection to an adverse party controlling funds</w:t>
            </w:r>
          </w:p>
        </w:tc>
        <w:tc>
          <w:tcPr>
            <w:tcW w:type="dxa" w:w="1152"/>
          </w:tcPr>
          <w:p>
            <w:r>
              <w:rPr>
                <w:sz w:val="15"/>
              </w:rPr>
            </w:r>
            <w:r>
              <w:rPr>
                <w:sz w:val="15"/>
              </w:rPr>
              <w:t xml:space="preserve">AG: Low-Medium (likely to welcome its own oversight). FRC: </w:t>
            </w:r>
            <w:r>
              <w:rPr>
                <w:b/>
                <w:sz w:val="15"/>
              </w:rPr>
              <w:t>High</w:t>
            </w:r>
            <w:r>
              <w:rPr>
                <w:sz w:val="15"/>
              </w:rPr>
              <w:t xml:space="preserve"> (its most emphatic demand)</w:t>
            </w:r>
          </w:p>
        </w:tc>
        <w:tc>
          <w:tcPr>
            <w:tcW w:type="dxa" w:w="1440"/>
          </w:tcPr>
          <w:p>
            <w:r>
              <w:rPr>
                <w:sz w:val="15"/>
              </w:rPr>
            </w:r>
            <w:r>
              <w:rPr>
                <w:sz w:val="15"/>
              </w:rPr>
              <w:t>Joint oversight with FRC as administrator, subject to the CPA audit, Illinois EPA disapproval right, and a segregated account; drop the GRS records right last</w:t>
            </w:r>
          </w:p>
        </w:tc>
      </w:tr>
      <w:tr>
        <w:tc>
          <w:tcPr>
            <w:tcW w:type="dxa" w:w="360"/>
          </w:tcPr>
          <w:p>
            <w:r>
              <w:rPr>
                <w:sz w:val="15"/>
              </w:rPr>
            </w:r>
            <w:r>
              <w:rPr>
                <w:sz w:val="15"/>
              </w:rPr>
              <w:t>9</w:t>
            </w:r>
          </w:p>
        </w:tc>
        <w:tc>
          <w:tcPr>
            <w:tcW w:type="dxa" w:w="1080"/>
          </w:tcPr>
          <w:p>
            <w:r>
              <w:rPr>
                <w:sz w:val="15"/>
              </w:rPr>
            </w:r>
            <w:r>
              <w:rPr>
                <w:sz w:val="15"/>
              </w:rPr>
              <w:t>§ 14.1</w:t>
            </w:r>
          </w:p>
        </w:tc>
        <w:tc>
          <w:tcPr>
            <w:tcW w:type="dxa" w:w="1512"/>
          </w:tcPr>
          <w:p>
            <w:r>
              <w:rPr>
                <w:sz w:val="15"/>
              </w:rPr>
            </w:r>
            <w:r>
              <w:rPr>
                <w:sz w:val="15"/>
              </w:rPr>
              <w:t>FRC gets unrestricted, unannounced access identical to the regulator’s</w:t>
            </w:r>
          </w:p>
        </w:tc>
        <w:tc>
          <w:tcPr>
            <w:tcW w:type="dxa" w:w="2304"/>
          </w:tcPr>
          <w:p>
            <w:r>
              <w:rPr>
                <w:sz w:val="15"/>
              </w:rPr>
            </w:r>
            <w:r>
              <w:rPr>
                <w:sz w:val="15"/>
              </w:rPr>
              <w:t>State/IEPA access unchanged (subject to health and safety rules); FRC: 1 escorted visit per year on 10 Business Days’ notice (more with IEPA approval), all reports, and observation and split sampling of monitoring events at its own cost (Comment 24)</w:t>
            </w:r>
          </w:p>
        </w:tc>
        <w:tc>
          <w:tcPr>
            <w:tcW w:type="dxa" w:w="1512"/>
          </w:tcPr>
          <w:p>
            <w:r>
              <w:rPr>
                <w:sz w:val="15"/>
              </w:rPr>
            </w:r>
            <w:r>
              <w:rPr>
                <w:sz w:val="15"/>
              </w:rPr>
              <w:t>RCRA § 7002 confers no inspection authority on a citizen plaintiff; safety and liability at an operating TSD facility</w:t>
            </w:r>
          </w:p>
        </w:tc>
        <w:tc>
          <w:tcPr>
            <w:tcW w:type="dxa" w:w="1152"/>
          </w:tcPr>
          <w:p>
            <w:r>
              <w:rPr>
                <w:sz w:val="15"/>
              </w:rPr>
            </w:r>
            <w:r>
              <w:rPr>
                <w:sz w:val="15"/>
              </w:rPr>
              <w:t>AG: Low. FRC: High</w:t>
            </w:r>
          </w:p>
        </w:tc>
        <w:tc>
          <w:tcPr>
            <w:tcW w:type="dxa" w:w="1440"/>
          </w:tcPr>
          <w:p>
            <w:r>
              <w:rPr>
                <w:sz w:val="15"/>
              </w:rPr>
            </w:r>
            <w:r>
              <w:rPr>
                <w:sz w:val="15"/>
              </w:rPr>
              <w:t>Two visits per year; 5 Business Days’ notice; FRC may accompany IEPA inspections</w:t>
            </w:r>
          </w:p>
        </w:tc>
      </w:tr>
      <w:tr>
        <w:tc>
          <w:tcPr>
            <w:tcW w:type="dxa" w:w="360"/>
          </w:tcPr>
          <w:p>
            <w:r>
              <w:rPr>
                <w:sz w:val="15"/>
              </w:rPr>
            </w:r>
            <w:r>
              <w:rPr>
                <w:sz w:val="15"/>
              </w:rPr>
              <w:t>10</w:t>
            </w:r>
          </w:p>
        </w:tc>
        <w:tc>
          <w:tcPr>
            <w:tcW w:type="dxa" w:w="1080"/>
          </w:tcPr>
          <w:p>
            <w:r>
              <w:rPr>
                <w:sz w:val="15"/>
              </w:rPr>
            </w:r>
            <w:r>
              <w:rPr>
                <w:sz w:val="15"/>
              </w:rPr>
              <w:t>§ 12.4; § 19.1(c)</w:t>
            </w:r>
          </w:p>
        </w:tc>
        <w:tc>
          <w:tcPr>
            <w:tcW w:type="dxa" w:w="1512"/>
          </w:tcPr>
          <w:p>
            <w:r>
              <w:rPr>
                <w:sz w:val="15"/>
              </w:rPr>
            </w:r>
            <w:r>
              <w:rPr>
                <w:sz w:val="15"/>
              </w:rPr>
              <w:t>Fixed 30 years / 120 quarterly events regardless of results</w:t>
            </w:r>
          </w:p>
        </w:tc>
        <w:tc>
          <w:tcPr>
            <w:tcW w:type="dxa" w:w="2304"/>
          </w:tcPr>
          <w:p>
            <w:r>
              <w:rPr>
                <w:sz w:val="15"/>
              </w:rPr>
            </w:r>
            <w:r>
              <w:rPr>
                <w:sz w:val="15"/>
              </w:rPr>
              <w:t>Adaptive monitoring: quarterly ≥ 5 years and through active remediation; semi-annual after 5 years of compliance or stable/declining trend; annual after 10; termination after 4 consecutive compliant years; 10-year floor; automatic reversion to quarterly on a confirmed exceedance; OSWER 9283.1-44 and Unified Guidance (Comment 23)</w:t>
            </w:r>
          </w:p>
        </w:tc>
        <w:tc>
          <w:tcPr>
            <w:tcW w:type="dxa" w:w="1512"/>
          </w:tcPr>
          <w:p>
            <w:r>
              <w:rPr>
                <w:sz w:val="15"/>
              </w:rPr>
            </w:r>
            <w:r>
              <w:rPr>
                <w:sz w:val="15"/>
              </w:rPr>
              <w:t>EPA performance-based monitoring guidance; the rebound safeguard answers FRC’s stated concern</w:t>
            </w:r>
          </w:p>
        </w:tc>
        <w:tc>
          <w:tcPr>
            <w:tcW w:type="dxa" w:w="1152"/>
          </w:tcPr>
          <w:p>
            <w:r>
              <w:rPr>
                <w:sz w:val="15"/>
              </w:rPr>
            </w:r>
            <w:r>
              <w:rPr>
                <w:sz w:val="15"/>
              </w:rPr>
              <w:t>AG: Medium. FRC: High</w:t>
            </w:r>
          </w:p>
        </w:tc>
        <w:tc>
          <w:tcPr>
            <w:tcW w:type="dxa" w:w="1440"/>
          </w:tcPr>
          <w:p>
            <w:r>
              <w:rPr>
                <w:sz w:val="15"/>
              </w:rPr>
            </w:r>
            <w:r>
              <w:rPr>
                <w:sz w:val="15"/>
              </w:rPr>
              <w:t>15-year floor; 2-year step intervals; post-termination sentinel well sampling every 5 years</w:t>
            </w:r>
          </w:p>
        </w:tc>
      </w:tr>
      <w:tr>
        <w:tc>
          <w:tcPr>
            <w:tcW w:type="dxa" w:w="360"/>
          </w:tcPr>
          <w:p>
            <w:r>
              <w:rPr>
                <w:sz w:val="15"/>
              </w:rPr>
            </w:r>
            <w:r>
              <w:rPr>
                <w:sz w:val="15"/>
              </w:rPr>
              <w:t>11</w:t>
            </w:r>
          </w:p>
        </w:tc>
        <w:tc>
          <w:tcPr>
            <w:tcW w:type="dxa" w:w="1080"/>
          </w:tcPr>
          <w:p>
            <w:r>
              <w:rPr>
                <w:sz w:val="15"/>
              </w:rPr>
            </w:r>
            <w:r>
              <w:rPr>
                <w:sz w:val="15"/>
              </w:rPr>
              <w:t>§ XVIII</w:t>
            </w:r>
          </w:p>
        </w:tc>
        <w:tc>
          <w:tcPr>
            <w:tcW w:type="dxa" w:w="1512"/>
          </w:tcPr>
          <w:p>
            <w:r>
              <w:rPr>
                <w:sz w:val="15"/>
              </w:rPr>
            </w:r>
            <w:r>
              <w:rPr>
                <w:sz w:val="15"/>
              </w:rPr>
              <w:t>Reopener open-ended (any new contamination, any source); State may impose new penalties; GRS must disprove by clear and convincing evidence; FRC has a coextensive reopener</w:t>
            </w:r>
          </w:p>
        </w:tc>
        <w:tc>
          <w:tcPr>
            <w:tcW w:type="dxa" w:w="2304"/>
          </w:tcPr>
          <w:p>
            <w:r>
              <w:rPr>
                <w:sz w:val="15"/>
              </w:rPr>
            </w:r>
            <w:r>
              <w:rPr>
                <w:sz w:val="15"/>
              </w:rPr>
              <w:t>EPA model unknown-conditions/new-information test; causal nexus to GRS releases (excludes off-site migration); materiality; protectiveness trigger; no new penalties via reopener; burden on the petitioner by a preponderance; FRC must first request State action (Comment 29)</w:t>
            </w:r>
          </w:p>
        </w:tc>
        <w:tc>
          <w:tcPr>
            <w:tcW w:type="dxa" w:w="1512"/>
          </w:tcPr>
          <w:p>
            <w:r>
              <w:rPr>
                <w:sz w:val="15"/>
              </w:rPr>
            </w:r>
            <w:r>
              <w:rPr>
                <w:sz w:val="15"/>
              </w:rPr>
              <w:t>U.S. EPA model reopeners; ties to the SWMU-4 issue</w:t>
            </w:r>
          </w:p>
        </w:tc>
        <w:tc>
          <w:tcPr>
            <w:tcW w:type="dxa" w:w="1152"/>
          </w:tcPr>
          <w:p>
            <w:r>
              <w:rPr>
                <w:sz w:val="15"/>
              </w:rPr>
            </w:r>
            <w:r>
              <w:rPr>
                <w:sz w:val="15"/>
              </w:rPr>
              <w:t>AG: Medium-High. FRC: Medium</w:t>
            </w:r>
          </w:p>
        </w:tc>
        <w:tc>
          <w:tcPr>
            <w:tcW w:type="dxa" w:w="1440"/>
          </w:tcPr>
          <w:p>
            <w:r>
              <w:rPr>
                <w:sz w:val="15"/>
              </w:rPr>
            </w:r>
            <w:r>
              <w:rPr>
                <w:sz w:val="15"/>
              </w:rPr>
              <w:t>Drop the FRC sequencing; accept that the reopener survives termination (left as drafted in § 18.2)</w:t>
            </w:r>
          </w:p>
        </w:tc>
      </w:tr>
      <w:tr>
        <w:tc>
          <w:tcPr>
            <w:tcW w:type="dxa" w:w="360"/>
          </w:tcPr>
          <w:p>
            <w:r>
              <w:rPr>
                <w:sz w:val="15"/>
              </w:rPr>
            </w:r>
            <w:r>
              <w:rPr>
                <w:sz w:val="15"/>
              </w:rPr>
              <w:t>12</w:t>
            </w:r>
          </w:p>
        </w:tc>
        <w:tc>
          <w:tcPr>
            <w:tcW w:type="dxa" w:w="1080"/>
          </w:tcPr>
          <w:p>
            <w:r>
              <w:rPr>
                <w:sz w:val="15"/>
              </w:rPr>
            </w:r>
            <w:r>
              <w:rPr>
                <w:sz w:val="15"/>
              </w:rPr>
              <w:t>New § IX-A; def. 2.19; § 7.4</w:t>
            </w:r>
          </w:p>
        </w:tc>
        <w:tc>
          <w:tcPr>
            <w:tcW w:type="dxa" w:w="1512"/>
          </w:tcPr>
          <w:p>
            <w:r>
              <w:rPr>
                <w:sz w:val="15"/>
              </w:rPr>
            </w:r>
            <w:r>
              <w:rPr>
                <w:sz w:val="15"/>
              </w:rPr>
              <w:t>No force majeure; no extension for IEPA review delays</w:t>
            </w:r>
          </w:p>
        </w:tc>
        <w:tc>
          <w:tcPr>
            <w:tcW w:type="dxa" w:w="2304"/>
          </w:tcPr>
          <w:p>
            <w:r>
              <w:rPr>
                <w:sz w:val="15"/>
              </w:rPr>
            </w:r>
            <w:r>
              <w:rPr>
                <w:sz w:val="15"/>
              </w:rPr>
              <w:t>Standard force majeure (10 Business Days’ written notice, documentation, burden on GRS; increased cost and financial inability excluded) including supply chain, permits, change in law, and unexpected subsurface conditions; day-for-day extension for late IEPA reviews (Comment 20)</w:t>
            </w:r>
          </w:p>
        </w:tc>
        <w:tc>
          <w:tcPr>
            <w:tcW w:type="dxa" w:w="1512"/>
          </w:tcPr>
          <w:p>
            <w:r>
              <w:rPr>
                <w:sz w:val="15"/>
              </w:rPr>
            </w:r>
            <w:r>
              <w:rPr>
                <w:sz w:val="15"/>
              </w:rPr>
              <w:t>Conventional; AG decrees typically include it</w:t>
            </w:r>
          </w:p>
        </w:tc>
        <w:tc>
          <w:tcPr>
            <w:tcW w:type="dxa" w:w="1152"/>
          </w:tcPr>
          <w:p>
            <w:r>
              <w:rPr>
                <w:sz w:val="15"/>
              </w:rPr>
            </w:r>
            <w:r>
              <w:rPr>
                <w:sz w:val="15"/>
              </w:rPr>
              <w:t>AG: Low (Medium on change-in-law and subsurface conditions)</w:t>
            </w:r>
          </w:p>
        </w:tc>
        <w:tc>
          <w:tcPr>
            <w:tcW w:type="dxa" w:w="1440"/>
          </w:tcPr>
          <w:p>
            <w:r>
              <w:rPr>
                <w:sz w:val="15"/>
              </w:rPr>
            </w:r>
            <w:r>
              <w:rPr>
                <w:sz w:val="15"/>
              </w:rPr>
              <w:t>Drop change-in-law and subsurface conditions if needed; keep permits and supply chain</w:t>
            </w:r>
          </w:p>
        </w:tc>
      </w:tr>
      <w:tr>
        <w:tc>
          <w:tcPr>
            <w:tcW w:type="dxa" w:w="360"/>
          </w:tcPr>
          <w:p>
            <w:r>
              <w:rPr>
                <w:sz w:val="15"/>
              </w:rPr>
            </w:r>
            <w:r>
              <w:rPr>
                <w:sz w:val="15"/>
              </w:rPr>
              <w:t>13</w:t>
            </w:r>
          </w:p>
        </w:tc>
        <w:tc>
          <w:tcPr>
            <w:tcW w:type="dxa" w:w="1080"/>
          </w:tcPr>
          <w:p>
            <w:r>
              <w:rPr>
                <w:sz w:val="15"/>
              </w:rPr>
            </w:r>
            <w:r>
              <w:rPr>
                <w:sz w:val="15"/>
              </w:rPr>
              <w:t>§§ 4.3–4.4</w:t>
            </w:r>
          </w:p>
        </w:tc>
        <w:tc>
          <w:tcPr>
            <w:tcW w:type="dxa" w:w="1512"/>
          </w:tcPr>
          <w:p>
            <w:r>
              <w:rPr>
                <w:sz w:val="15"/>
              </w:rPr>
            </w:r>
            <w:r>
              <w:rPr>
                <w:sz w:val="15"/>
              </w:rPr>
              <w:t>FRC consent required for any transfer or change of control</w:t>
            </w:r>
          </w:p>
        </w:tc>
        <w:tc>
          <w:tcPr>
            <w:tcW w:type="dxa" w:w="2304"/>
          </w:tcPr>
          <w:p>
            <w:r>
              <w:rPr>
                <w:sz w:val="15"/>
              </w:rPr>
            </w:r>
            <w:r>
              <w:rPr>
                <w:sz w:val="15"/>
              </w:rPr>
              <w:t>Illinois EPA approval (not unreasonably withheld) after consultation with FRC; contractors not an assignment (Comment 7)</w:t>
            </w:r>
          </w:p>
        </w:tc>
        <w:tc>
          <w:tcPr>
            <w:tcW w:type="dxa" w:w="1512"/>
          </w:tcPr>
          <w:p>
            <w:r>
              <w:rPr>
                <w:sz w:val="15"/>
              </w:rPr>
            </w:r>
            <w:r>
              <w:rPr>
                <w:sz w:val="15"/>
              </w:rPr>
              <w:t>Third-party veto over corporate transactions</w:t>
            </w:r>
          </w:p>
        </w:tc>
        <w:tc>
          <w:tcPr>
            <w:tcW w:type="dxa" w:w="1152"/>
          </w:tcPr>
          <w:p>
            <w:r>
              <w:rPr>
                <w:sz w:val="15"/>
              </w:rPr>
            </w:r>
            <w:r>
              <w:rPr>
                <w:sz w:val="15"/>
              </w:rPr>
              <w:t>AG: Low. FRC: Medium</w:t>
            </w:r>
          </w:p>
        </w:tc>
        <w:tc>
          <w:tcPr>
            <w:tcW w:type="dxa" w:w="1440"/>
          </w:tcPr>
          <w:p>
            <w:r>
              <w:rPr>
                <w:sz w:val="15"/>
              </w:rPr>
            </w:r>
            <w:r>
              <w:rPr>
                <w:sz w:val="15"/>
              </w:rPr>
              <w:t>Accept FRC notice and an objection right to Illinois EPA</w:t>
            </w:r>
          </w:p>
        </w:tc>
      </w:tr>
      <w:tr>
        <w:tc>
          <w:tcPr>
            <w:tcW w:type="dxa" w:w="360"/>
          </w:tcPr>
          <w:p>
            <w:r>
              <w:rPr>
                <w:sz w:val="15"/>
              </w:rPr>
            </w:r>
            <w:r>
              <w:rPr>
                <w:sz w:val="15"/>
              </w:rPr>
              <w:t>14</w:t>
            </w:r>
          </w:p>
        </w:tc>
        <w:tc>
          <w:tcPr>
            <w:tcW w:type="dxa" w:w="1080"/>
          </w:tcPr>
          <w:p>
            <w:r>
              <w:rPr>
                <w:sz w:val="15"/>
              </w:rPr>
            </w:r>
            <w:r>
              <w:rPr>
                <w:sz w:val="15"/>
              </w:rPr>
              <w:t>§§ 5.1–5.2; Recitals 7–9</w:t>
            </w:r>
          </w:p>
        </w:tc>
        <w:tc>
          <w:tcPr>
            <w:tcW w:type="dxa" w:w="1512"/>
          </w:tcPr>
          <w:p>
            <w:r>
              <w:rPr>
                <w:sz w:val="15"/>
              </w:rPr>
            </w:r>
            <w:r>
              <w:rPr>
                <w:sz w:val="15"/>
              </w:rPr>
              <w:t>GRS admits all Recitals, including Clarendon’s conclusions and the attribution of all five areas</w:t>
            </w:r>
          </w:p>
        </w:tc>
        <w:tc>
          <w:tcPr>
            <w:tcW w:type="dxa" w:w="2304"/>
          </w:tcPr>
          <w:p>
            <w:r>
              <w:rPr>
                <w:sz w:val="15"/>
              </w:rPr>
            </w:r>
            <w:r>
              <w:rPr>
                <w:sz w:val="15"/>
              </w:rPr>
              <w:t>Admit Recitals 1–6 only; Recitals 7–9 are described as the Parties’ positions; conforming changes to the Recitals (Comments 2–5)</w:t>
            </w:r>
          </w:p>
        </w:tc>
        <w:tc>
          <w:tcPr>
            <w:tcW w:type="dxa" w:w="1512"/>
          </w:tcPr>
          <w:p>
            <w:r>
              <w:rPr>
                <w:sz w:val="15"/>
              </w:rPr>
            </w:r>
            <w:r>
              <w:rPr>
                <w:sz w:val="15"/>
              </w:rPr>
              <w:t>Protects SWMU-3/SWMU-4 positions, insurance coverage, and third-party exposure</w:t>
            </w:r>
          </w:p>
        </w:tc>
        <w:tc>
          <w:tcPr>
            <w:tcW w:type="dxa" w:w="1152"/>
          </w:tcPr>
          <w:p>
            <w:r>
              <w:rPr>
                <w:sz w:val="15"/>
              </w:rPr>
            </w:r>
            <w:r>
              <w:rPr>
                <w:sz w:val="15"/>
              </w:rPr>
              <w:t>AG: Medium</w:t>
            </w:r>
          </w:p>
        </w:tc>
        <w:tc>
          <w:tcPr>
            <w:tcW w:type="dxa" w:w="1440"/>
          </w:tcPr>
          <w:p>
            <w:r>
              <w:rPr>
                <w:sz w:val="15"/>
              </w:rPr>
            </w:r>
            <w:r>
              <w:rPr>
                <w:sz w:val="15"/>
              </w:rPr>
              <w:t>Admit Recital 7 data values (not characterizations) if pressed</w:t>
            </w:r>
          </w:p>
        </w:tc>
      </w:tr>
      <w:tr>
        <w:tc>
          <w:tcPr>
            <w:tcW w:type="dxa" w:w="360"/>
          </w:tcPr>
          <w:p>
            <w:r>
              <w:rPr>
                <w:sz w:val="15"/>
              </w:rPr>
            </w:r>
            <w:r>
              <w:rPr>
                <w:sz w:val="15"/>
              </w:rPr>
              <w:t>15</w:t>
            </w:r>
          </w:p>
        </w:tc>
        <w:tc>
          <w:tcPr>
            <w:tcW w:type="dxa" w:w="1080"/>
          </w:tcPr>
          <w:p>
            <w:r>
              <w:rPr>
                <w:sz w:val="15"/>
              </w:rPr>
            </w:r>
            <w:r>
              <w:rPr>
                <w:sz w:val="15"/>
              </w:rPr>
              <w:t>§ 6.4</w:t>
            </w:r>
          </w:p>
        </w:tc>
        <w:tc>
          <w:tcPr>
            <w:tcW w:type="dxa" w:w="1512"/>
          </w:tcPr>
          <w:p>
            <w:r>
              <w:rPr>
                <w:sz w:val="15"/>
              </w:rPr>
            </w:r>
            <w:r>
              <w:rPr>
                <w:sz w:val="15"/>
              </w:rPr>
              <w:t>No § 162(f) identification of remediation/compliance costs</w:t>
            </w:r>
          </w:p>
        </w:tc>
        <w:tc>
          <w:tcPr>
            <w:tcW w:type="dxa" w:w="2304"/>
          </w:tcPr>
          <w:p>
            <w:r>
              <w:rPr>
                <w:sz w:val="15"/>
              </w:rPr>
            </w:r>
            <w:r>
              <w:rPr>
                <w:sz w:val="15"/>
              </w:rPr>
              <w:t>Identification of Work costs as restitution, remediation, or compliance under 26 U.S.C. § 162(f)(2)(A); civil penalty remains non-deductible (Comment 9)</w:t>
            </w:r>
          </w:p>
        </w:tc>
        <w:tc>
          <w:tcPr>
            <w:tcW w:type="dxa" w:w="1512"/>
          </w:tcPr>
          <w:p>
            <w:r>
              <w:rPr>
                <w:sz w:val="15"/>
              </w:rPr>
            </w:r>
            <w:r>
              <w:rPr>
                <w:sz w:val="15"/>
              </w:rPr>
              <w:t>Required for deductibility; the AG has no reason to object</w:t>
            </w:r>
          </w:p>
        </w:tc>
        <w:tc>
          <w:tcPr>
            <w:tcW w:type="dxa" w:w="1152"/>
          </w:tcPr>
          <w:p>
            <w:r>
              <w:rPr>
                <w:sz w:val="15"/>
              </w:rPr>
            </w:r>
            <w:r>
              <w:rPr>
                <w:sz w:val="15"/>
              </w:rPr>
              <w:t>AG: Low</w:t>
            </w:r>
          </w:p>
        </w:tc>
        <w:tc>
          <w:tcPr>
            <w:tcW w:type="dxa" w:w="1440"/>
          </w:tcPr>
          <w:p>
            <w:r>
              <w:rPr>
                <w:sz w:val="15"/>
              </w:rPr>
            </w:r>
            <w:r>
              <w:rPr>
                <w:sz w:val="15"/>
              </w:rPr>
              <w:t>None needed. Confirm with GRS tax advisors (and Form 1098-F reporting under § 6050X)</w:t>
            </w:r>
          </w:p>
        </w:tc>
      </w:tr>
      <w:tr>
        <w:tc>
          <w:tcPr>
            <w:tcW w:type="dxa" w:w="360"/>
          </w:tcPr>
          <w:p>
            <w:r>
              <w:rPr>
                <w:sz w:val="15"/>
              </w:rPr>
            </w:r>
            <w:r>
              <w:rPr>
                <w:sz w:val="15"/>
              </w:rPr>
              <w:t>16</w:t>
            </w:r>
          </w:p>
        </w:tc>
        <w:tc>
          <w:tcPr>
            <w:tcW w:type="dxa" w:w="1080"/>
          </w:tcPr>
          <w:p>
            <w:r>
              <w:rPr>
                <w:sz w:val="15"/>
              </w:rPr>
            </w:r>
            <w:r>
              <w:rPr>
                <w:sz w:val="15"/>
              </w:rPr>
              <w:t>§ 19.1; § 19.3</w:t>
            </w:r>
          </w:p>
        </w:tc>
        <w:tc>
          <w:tcPr>
            <w:tcW w:type="dxa" w:w="1512"/>
          </w:tcPr>
          <w:p>
            <w:r>
              <w:rPr>
                <w:sz w:val="15"/>
              </w:rPr>
            </w:r>
            <w:r>
              <w:rPr>
                <w:sz w:val="15"/>
              </w:rPr>
              <w:t>GRS cannot move to terminate without State and FRC consent; privilege waiver survives</w:t>
            </w:r>
          </w:p>
        </w:tc>
        <w:tc>
          <w:tcPr>
            <w:tcW w:type="dxa" w:w="2304"/>
          </w:tcPr>
          <w:p>
            <w:r>
              <w:rPr>
                <w:sz w:val="15"/>
              </w:rPr>
            </w:r>
            <w:r>
              <w:rPr>
                <w:sz w:val="15"/>
              </w:rPr>
              <w:t>Motion on notice; conformed to adaptive monitoring and the SEP Administrator; remaining monitoring may move to a permit or agreement (Comment 30)</w:t>
            </w:r>
          </w:p>
        </w:tc>
        <w:tc>
          <w:tcPr>
            <w:tcW w:type="dxa" w:w="1512"/>
          </w:tcPr>
          <w:p>
            <w:r>
              <w:rPr>
                <w:sz w:val="15"/>
              </w:rPr>
            </w:r>
            <w:r>
              <w:rPr>
                <w:sz w:val="15"/>
              </w:rPr>
              <w:t>Consent requirement makes termination illusory; § 19.2 opposition right remains</w:t>
            </w:r>
          </w:p>
        </w:tc>
        <w:tc>
          <w:tcPr>
            <w:tcW w:type="dxa" w:w="1152"/>
          </w:tcPr>
          <w:p>
            <w:r>
              <w:rPr>
                <w:sz w:val="15"/>
              </w:rPr>
            </w:r>
            <w:r>
              <w:rPr>
                <w:sz w:val="15"/>
              </w:rPr>
              <w:t>AG: Low-Medium</w:t>
            </w:r>
          </w:p>
        </w:tc>
        <w:tc>
          <w:tcPr>
            <w:tcW w:type="dxa" w:w="1440"/>
          </w:tcPr>
          <w:p>
            <w:r>
              <w:rPr>
                <w:sz w:val="15"/>
              </w:rPr>
            </w:r>
            <w:r>
              <w:rPr>
                <w:sz w:val="15"/>
              </w:rPr>
              <w:t>Accept a requirement of 2 years’ compliance before a termination motion</w:t>
            </w:r>
          </w:p>
        </w:tc>
      </w:tr>
      <w:tr>
        <w:tc>
          <w:tcPr>
            <w:tcW w:type="dxa" w:w="360"/>
          </w:tcPr>
          <w:p>
            <w:r>
              <w:rPr>
                <w:sz w:val="15"/>
              </w:rPr>
            </w:r>
            <w:r>
              <w:rPr>
                <w:sz w:val="15"/>
              </w:rPr>
              <w:t>17</w:t>
            </w:r>
          </w:p>
        </w:tc>
        <w:tc>
          <w:tcPr>
            <w:tcW w:type="dxa" w:w="1080"/>
          </w:tcPr>
          <w:p>
            <w:r>
              <w:rPr>
                <w:sz w:val="15"/>
              </w:rPr>
            </w:r>
            <w:r>
              <w:rPr>
                <w:sz w:val="15"/>
              </w:rPr>
              <w:t>Notices; signature block; App. D; App. A–C</w:t>
            </w:r>
          </w:p>
        </w:tc>
        <w:tc>
          <w:tcPr>
            <w:tcW w:type="dxa" w:w="1512"/>
          </w:tcPr>
          <w:p>
            <w:r>
              <w:rPr>
                <w:sz w:val="15"/>
              </w:rPr>
            </w:r>
            <w:r>
              <w:rPr>
                <w:sz w:val="15"/>
              </w:rPr>
              <w:t>Errors and the privileged-memo risk; appendices not attached</w:t>
            </w:r>
          </w:p>
        </w:tc>
        <w:tc>
          <w:tcPr>
            <w:tcW w:type="dxa" w:w="2304"/>
          </w:tcPr>
          <w:p>
            <w:r>
              <w:rPr>
                <w:sz w:val="15"/>
              </w:rPr>
            </w:r>
            <w:r>
              <w:rPr>
                <w:sz w:val="15"/>
              </w:rPr>
              <w:t>Corrections and flags; App. D = RI Report with Appendices G/H; agree App. A–C before lodging (Comments 31–33)</w:t>
            </w:r>
          </w:p>
        </w:tc>
        <w:tc>
          <w:tcPr>
            <w:tcW w:type="dxa" w:w="1512"/>
          </w:tcPr>
          <w:p>
            <w:r>
              <w:rPr>
                <w:sz w:val="15"/>
              </w:rPr>
            </w:r>
            <w:r>
              <w:rPr>
                <w:sz w:val="15"/>
              </w:rPr>
              <w:t>Accuracy; privilege</w:t>
            </w:r>
          </w:p>
        </w:tc>
        <w:tc>
          <w:tcPr>
            <w:tcW w:type="dxa" w:w="1152"/>
          </w:tcPr>
          <w:p>
            <w:r>
              <w:rPr>
                <w:sz w:val="15"/>
              </w:rPr>
            </w:r>
            <w:r>
              <w:rPr>
                <w:sz w:val="15"/>
              </w:rPr>
              <w:t>AG: Low</w:t>
            </w:r>
          </w:p>
        </w:tc>
        <w:tc>
          <w:tcPr>
            <w:tcW w:type="dxa" w:w="1440"/>
          </w:tcPr>
          <w:p>
            <w:r>
              <w:rPr>
                <w:sz w:val="15"/>
              </w:rPr>
            </w:r>
            <w:r>
              <w:rPr>
                <w:sz w:val="15"/>
              </w:rPr>
              <w:t>—</w:t>
            </w:r>
          </w:p>
        </w:tc>
      </w:tr>
    </w:tbl>
    <w:p>
      <w:pPr>
        <w:spacing w:after="40"/>
      </w:pPr>
    </w:p>
    <w:p>
      <w:pPr>
        <w:pStyle w:val="Heading1"/>
      </w:pPr>
      <w:r>
        <w:rPr>
          <w:rFonts w:ascii="Times New Roman" w:hAnsi="Times New Roman"/>
          <w:color w:val="000000"/>
        </w:rPr>
        <w:t>V. Provisions Deliberately Left Unchanged</w:t>
      </w:r>
    </w:p>
    <w:p>
      <w:pPr>
        <w:pStyle w:val="ListBullet"/>
        <w:spacing w:after="60"/>
      </w:pPr>
      <w:r>
        <w:rPr>
          <w:b/>
        </w:rPr>
        <w:t>Per your direction:</w:t>
      </w:r>
      <w:r>
        <w:t xml:space="preserve"> the $3.75M civil penalty and installments 2–3 (§ 6.1(b)–(c)); the 12-month CMS (§ 7.1); the $600K FRC payment (§ X), including its 60-day timing (it adds $0.6M inside the 60-day window, which the markup absorbs, but consider whether to ask Andrade informally for 90 days; see Part VII); quarterly monitoring frequency during active remediation (§ 12.3); and the $2.0M SEP amount (§ 8.1).</w:t>
      </w:r>
    </w:p>
    <w:p>
      <w:pPr>
        <w:pStyle w:val="ListBullet"/>
        <w:spacing w:after="60"/>
      </w:pPr>
      <w:r>
        <w:rPr>
          <w:b/>
        </w:rPr>
        <w:t>Not worth the capital:</w:t>
      </w:r>
      <w:r>
        <w:t xml:space="preserve"> 12% interest on late penalty installments (§ 6.3), which is above the 9% judgment rate under 735 ILCS 5/2-1303 but immaterial if GRS pays on time; 10-year post-termination record retention (§ 13.1); the NRD and criminal reservations (§ 17.3(a)–(b)), which are standard; perpetual survival of the reopener (§ 18.2), which we accept once the § 18.1 triggers are narrowed; Illinois EPA split-sampling costs (§ 12.6); the 45-day monitoring report deadline (§ 12.5); certification language (§ 13.4); and the hard-copy submission format (§ 13.3).</w:t>
      </w:r>
    </w:p>
    <w:p>
      <w:pPr>
        <w:pStyle w:val="ListBullet"/>
        <w:spacing w:after="60"/>
      </w:pPr>
      <w:r>
        <w:rPr>
          <w:b/>
        </w:rPr>
        <w:t>Considered but not proposed:</w:t>
      </w:r>
      <w:r>
        <w:t xml:space="preserve"> a reciprocal GRS covenant not to sue the State (a possible low-cost trade if the AG asks for one; it must exclude claims against third parties); a fee-shifting provision for unsuccessful FRC challenges (inflammatory with Judge Sung); and limits on Illinois EPA’s additional-parameter and additional-well directives beyond a reasonableness standard.</w:t>
      </w:r>
    </w:p>
    <w:p>
      <w:pPr>
        <w:pStyle w:val="Heading1"/>
      </w:pPr>
      <w:r>
        <w:rPr>
          <w:rFonts w:ascii="Times New Roman" w:hAnsi="Times New Roman"/>
          <w:color w:val="000000"/>
        </w:rPr>
        <w:t>VI. FRC Dynamics and Negotiation Strategy</w:t>
      </w:r>
    </w:p>
    <w:p>
      <w:pPr>
        <w:spacing w:after="120"/>
        <w:jc w:val="both"/>
      </w:pPr>
      <w:r>
        <w:t>Andrade’s September 20 letter lists eight "non-negotiable" demands and threatens to oppose entry, continue the citizen-suit claims, and move for summary judgment on liability. Our markup accepts item 1 (fees) and departs from items 2–8. Key considerations:</w:t>
      </w:r>
    </w:p>
    <w:p>
      <w:pPr>
        <w:pStyle w:val="ListBullet"/>
        <w:spacing w:after="60"/>
      </w:pPr>
      <w:r>
        <w:rPr>
          <w:b/>
        </w:rPr>
        <w:t>FRC cannot veto the State’s settlement, but it must consent to release its own claims.</w:t>
      </w:r>
      <w:r>
        <w:t xml:space="preserve"> An intervenor generally cannot block a consent decree between other parties, but a decree cannot dispose of the intervenor’s own claims without its agreement (</w:t>
      </w:r>
      <w:r>
        <w:rPr>
          <w:i/>
        </w:rPr>
        <w:t>Local No. 93, Int’l Ass’n of Firefighters v. City of Cleveland</w:t>
      </w:r>
      <w:r>
        <w:t>, 478 U.S. 501 (1986)). The State–GRS decree could therefore be entered over FRC’s objection if Judge Sung finds it fair, reasonable, and in the public interest. However, FRC’s RCRA § 7002 claims (and its § 17.2 covenant) would survive. The extent to which the State’s diligent prosecution limits FRC’s independent claims under 42 U.S.C. § 6972(b) needs separate analysis, particularly for any § 7002(a)(1)(B) endangerment claim. That should be done before we rely on it.</w:t>
      </w:r>
    </w:p>
    <w:p>
      <w:pPr>
        <w:pStyle w:val="ListBullet"/>
        <w:spacing w:after="60"/>
      </w:pPr>
      <w:r>
        <w:rPr>
          <w:b/>
        </w:rPr>
        <w:t>FRC’s letter contains openings.</w:t>
      </w:r>
      <w:r>
        <w:t xml:space="preserve"> It misreads § 14.2 as giving the privilege waiver only to Illinois EPA (it already extends to FRC), which shows that FRC’s demands track the AG draft rather than any independent analysis. Its "tributary" framing is weak on the groundwater record: TCE at downgradient perimeter well MW-15 is 1.4 µg/L, below the 5 µg/L standard, and the AOC-1 chromium impact is limited to about 200 feet of sediment that will be removed. Its demand for a share of stipulated penalties is unsupported because penalties are paid to the Environmental Protection Trust Fund, and the markup does not accommodate it.</w:t>
      </w:r>
    </w:p>
    <w:p>
      <w:pPr>
        <w:pStyle w:val="ListBullet"/>
        <w:spacing w:after="60"/>
      </w:pPr>
      <w:r>
        <w:rPr>
          <w:b/>
        </w:rPr>
        <w:t>Concessions already built into the markup for FRC:</w:t>
      </w:r>
      <w:r>
        <w:t xml:space="preserve"> a seat on the SEP Oversight Committee; an express project-partner role in the SEP; receipt of every progress and monitoring report; observation and split sampling of monitoring events; an annual escorted visit plus more for good cause; automatic reversion to quarterly monitoring on any exceedance; a right to request State reopener action and then petition; and preservation of its covenant parallel to the State’s. We can describe these to Andrade as responsive to her letter.</w:t>
      </w:r>
    </w:p>
    <w:p>
      <w:pPr>
        <w:pStyle w:val="ListBullet"/>
        <w:spacing w:after="60"/>
      </w:pPr>
      <w:r>
        <w:rPr>
          <w:b/>
        </w:rPr>
        <w:t>Sequencing.</w:t>
      </w:r>
      <w:r>
        <w:t xml:space="preserve"> Lock in the AG on Tier 1 first; Calloway controls entry and has every interest in a decree that GRS can actually perform. Then trade access and SEP-governance points with FRC. A three-way meeting before October 7 could lower the temperature of FRC’s response. FRC asked for a courtesy copy at the same time as transmittal to the AG, and I recommend agreeing because FRC is a Party and Judge Sung will value transparency. Before sending, replace the internal legend with the Rule 408 legend and remove all non-external material.</w:t>
      </w:r>
    </w:p>
    <w:p>
      <w:pPr>
        <w:pStyle w:val="ListBullet"/>
        <w:spacing w:after="60"/>
      </w:pPr>
      <w:r>
        <w:rPr>
          <w:b/>
        </w:rPr>
        <w:t>Judge Sung.</w:t>
      </w:r>
      <w:r>
        <w:t xml:space="preserve"> Both GRS and FRC want to avoid appearing obstructive. Our comments are framed around feasibility and standard practice, avoid attacking FRC, and leave every economic term FRC cares about (fees, SEP amount) intact.</w:t>
      </w:r>
    </w:p>
    <w:p>
      <w:pPr>
        <w:pStyle w:val="Heading1"/>
      </w:pPr>
      <w:r>
        <w:rPr>
          <w:rFonts w:ascii="Times New Roman" w:hAnsi="Times New Roman"/>
          <w:color w:val="000000"/>
        </w:rPr>
        <w:t>VII. Open Items Requiring Client Input or Technical Support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32"/>
            <w:shd w:val="clear" w:color="auto" w:fill="D9D9D9"/>
          </w:tcPr>
          <w:p>
            <w:r/>
            <w:r>
              <w:rPr>
                <w:b/>
                <w:sz w:val="17"/>
              </w:rPr>
              <w:t>#</w:t>
            </w:r>
          </w:p>
        </w:tc>
        <w:tc>
          <w:tcPr>
            <w:tcW w:type="dxa" w:w="5760"/>
            <w:shd w:val="clear" w:color="auto" w:fill="D9D9D9"/>
          </w:tcPr>
          <w:p>
            <w:r/>
            <w:r>
              <w:rPr>
                <w:b/>
                <w:sz w:val="17"/>
              </w:rPr>
              <w:t>Item</w:t>
            </w:r>
          </w:p>
        </w:tc>
        <w:tc>
          <w:tcPr>
            <w:tcW w:type="dxa" w:w="2016"/>
            <w:shd w:val="clear" w:color="auto" w:fill="D9D9D9"/>
          </w:tcPr>
          <w:p>
            <w:r/>
            <w:r>
              <w:rPr>
                <w:b/>
                <w:sz w:val="17"/>
              </w:rPr>
              <w:t>Owner</w:t>
            </w:r>
          </w:p>
        </w:tc>
        <w:tc>
          <w:tcPr>
            <w:tcW w:type="dxa" w:w="1152"/>
            <w:shd w:val="clear" w:color="auto" w:fill="D9D9D9"/>
          </w:tcPr>
          <w:p>
            <w:r/>
            <w:r>
              <w:rPr>
                <w:b/>
                <w:sz w:val="17"/>
              </w:rPr>
              <w:t>Needed by</w:t>
            </w:r>
          </w:p>
        </w:tc>
      </w:tr>
      <w:tr>
        <w:tc>
          <w:tcPr>
            <w:tcW w:type="dxa" w:w="432"/>
          </w:tcPr>
          <w:p>
            <w:r>
              <w:rPr>
                <w:sz w:val="17"/>
              </w:rPr>
            </w:r>
            <w:r>
              <w:rPr>
                <w:sz w:val="17"/>
              </w:rPr>
              <w:t>1</w:t>
            </w:r>
          </w:p>
        </w:tc>
        <w:tc>
          <w:tcPr>
            <w:tcW w:type="dxa" w:w="5760"/>
          </w:tcPr>
          <w:p>
            <w:r>
              <w:rPr>
                <w:sz w:val="17"/>
              </w:rPr>
            </w:r>
            <w:r>
              <w:rPr>
                <w:sz w:val="17"/>
              </w:rPr>
              <w:t>Confirm liquidity figures; correct the workbook (II.E); approve sharing confidential financial information with the AG (Comment 8 offers it); decide whether to ask FRC informally for 90-day timing on its $600K</w:t>
            </w:r>
          </w:p>
        </w:tc>
        <w:tc>
          <w:tcPr>
            <w:tcW w:type="dxa" w:w="2016"/>
          </w:tcPr>
          <w:p>
            <w:r>
              <w:rPr>
                <w:sz w:val="17"/>
              </w:rPr>
            </w:r>
            <w:r>
              <w:rPr>
                <w:sz w:val="17"/>
              </w:rPr>
              <w:t>S. Frey / GRS finance; T. Ellison</w:t>
            </w:r>
          </w:p>
        </w:tc>
        <w:tc>
          <w:tcPr>
            <w:tcW w:type="dxa" w:w="1152"/>
          </w:tcPr>
          <w:p>
            <w:r>
              <w:rPr>
                <w:sz w:val="17"/>
              </w:rPr>
            </w:r>
            <w:r>
              <w:rPr>
                <w:sz w:val="17"/>
              </w:rPr>
              <w:t>Oct. 3</w:t>
            </w:r>
          </w:p>
        </w:tc>
      </w:tr>
      <w:tr>
        <w:tc>
          <w:tcPr>
            <w:tcW w:type="dxa" w:w="432"/>
          </w:tcPr>
          <w:p>
            <w:r>
              <w:rPr>
                <w:sz w:val="17"/>
              </w:rPr>
            </w:r>
            <w:r>
              <w:rPr>
                <w:sz w:val="17"/>
              </w:rPr>
              <w:t>2</w:t>
            </w:r>
          </w:p>
        </w:tc>
        <w:tc>
          <w:tcPr>
            <w:tcW w:type="dxa" w:w="5760"/>
          </w:tcPr>
          <w:p>
            <w:r>
              <w:rPr>
                <w:sz w:val="17"/>
              </w:rPr>
            </w:r>
            <w:r>
              <w:rPr>
                <w:sz w:val="17"/>
              </w:rPr>
              <w:t>Beacon: refinancing timeline (March 15, 2026 maturity); LC sub-limit increase; MAC/consent strategy; negative-pledge consent for surety collateral</w:t>
            </w:r>
          </w:p>
        </w:tc>
        <w:tc>
          <w:tcPr>
            <w:tcW w:type="dxa" w:w="2016"/>
          </w:tcPr>
          <w:p>
            <w:r>
              <w:rPr>
                <w:sz w:val="17"/>
              </w:rPr>
            </w:r>
            <w:r>
              <w:rPr>
                <w:sz w:val="17"/>
              </w:rPr>
              <w:t>GRS finance; HBL finance group</w:t>
            </w:r>
          </w:p>
        </w:tc>
        <w:tc>
          <w:tcPr>
            <w:tcW w:type="dxa" w:w="1152"/>
          </w:tcPr>
          <w:p>
            <w:r>
              <w:rPr>
                <w:sz w:val="17"/>
              </w:rPr>
            </w:r>
            <w:r>
              <w:rPr>
                <w:sz w:val="17"/>
              </w:rPr>
              <w:t>Before entry</w:t>
            </w:r>
          </w:p>
        </w:tc>
      </w:tr>
      <w:tr>
        <w:tc>
          <w:tcPr>
            <w:tcW w:type="dxa" w:w="432"/>
          </w:tcPr>
          <w:p>
            <w:r>
              <w:rPr>
                <w:sz w:val="17"/>
              </w:rPr>
            </w:r>
            <w:r>
              <w:rPr>
                <w:sz w:val="17"/>
              </w:rPr>
              <w:t>3</w:t>
            </w:r>
          </w:p>
        </w:tc>
        <w:tc>
          <w:tcPr>
            <w:tcW w:type="dxa" w:w="5760"/>
          </w:tcPr>
          <w:p>
            <w:r>
              <w:rPr>
                <w:sz w:val="17"/>
              </w:rPr>
            </w:r>
            <w:r>
              <w:rPr>
                <w:sz w:val="17"/>
              </w:rPr>
              <w:t>Surety broker indication: performance bond capacity, premium, and collateral for $3–7M</w:t>
            </w:r>
          </w:p>
        </w:tc>
        <w:tc>
          <w:tcPr>
            <w:tcW w:type="dxa" w:w="2016"/>
          </w:tcPr>
          <w:p>
            <w:r>
              <w:rPr>
                <w:sz w:val="17"/>
              </w:rPr>
            </w:r>
            <w:r>
              <w:rPr>
                <w:sz w:val="17"/>
              </w:rPr>
              <w:t>GRS risk manager</w:t>
            </w:r>
          </w:p>
        </w:tc>
        <w:tc>
          <w:tcPr>
            <w:tcW w:type="dxa" w:w="1152"/>
          </w:tcPr>
          <w:p>
            <w:r>
              <w:rPr>
                <w:sz w:val="17"/>
              </w:rPr>
            </w:r>
            <w:r>
              <w:rPr>
                <w:sz w:val="17"/>
              </w:rPr>
              <w:t>Oct. 4</w:t>
            </w:r>
          </w:p>
        </w:tc>
      </w:tr>
      <w:tr>
        <w:tc>
          <w:tcPr>
            <w:tcW w:type="dxa" w:w="432"/>
          </w:tcPr>
          <w:p>
            <w:r>
              <w:rPr>
                <w:sz w:val="17"/>
              </w:rPr>
            </w:r>
            <w:r>
              <w:rPr>
                <w:sz w:val="17"/>
              </w:rPr>
              <w:t>4</w:t>
            </w:r>
          </w:p>
        </w:tc>
        <w:tc>
          <w:tcPr>
            <w:tcW w:type="dxa" w:w="5760"/>
          </w:tcPr>
          <w:p>
            <w:r>
              <w:rPr>
                <w:sz w:val="17"/>
              </w:rPr>
            </w:r>
            <w:r>
              <w:rPr>
                <w:sz w:val="17"/>
              </w:rPr>
              <w:t>Confirm whether the AG has the privileged Terravance memorandum (Appendix D); clawback if so</w:t>
            </w:r>
          </w:p>
        </w:tc>
        <w:tc>
          <w:tcPr>
            <w:tcW w:type="dxa" w:w="2016"/>
          </w:tcPr>
          <w:p>
            <w:r>
              <w:rPr>
                <w:sz w:val="17"/>
              </w:rPr>
            </w:r>
            <w:r>
              <w:rPr>
                <w:sz w:val="17"/>
              </w:rPr>
              <w:t>R. Downing / K. Pratt</w:t>
            </w:r>
          </w:p>
        </w:tc>
        <w:tc>
          <w:tcPr>
            <w:tcW w:type="dxa" w:w="1152"/>
          </w:tcPr>
          <w:p>
            <w:r>
              <w:rPr>
                <w:sz w:val="17"/>
              </w:rPr>
            </w:r>
            <w:r>
              <w:rPr>
                <w:sz w:val="17"/>
              </w:rPr>
              <w:t>Immediately</w:t>
            </w:r>
          </w:p>
        </w:tc>
      </w:tr>
      <w:tr>
        <w:tc>
          <w:tcPr>
            <w:tcW w:type="dxa" w:w="432"/>
          </w:tcPr>
          <w:p>
            <w:r>
              <w:rPr>
                <w:sz w:val="17"/>
              </w:rPr>
            </w:r>
            <w:r>
              <w:rPr>
                <w:sz w:val="17"/>
              </w:rPr>
              <w:t>5</w:t>
            </w:r>
          </w:p>
        </w:tc>
        <w:tc>
          <w:tcPr>
            <w:tcW w:type="dxa" w:w="5760"/>
          </w:tcPr>
          <w:p>
            <w:r>
              <w:rPr>
                <w:sz w:val="17"/>
              </w:rPr>
            </w:r>
            <w:r>
              <w:rPr>
                <w:sz w:val="17"/>
              </w:rPr>
              <w:t>Dr. Sheffield: MW-13 explanation; MW-7 half-life/12-year projection; seepage velocity; Cell B waste records; 2023–2024 data; the "supplemental analysis"; confirm all externally cited figures appear in the RI Report</w:t>
            </w:r>
          </w:p>
        </w:tc>
        <w:tc>
          <w:tcPr>
            <w:tcW w:type="dxa" w:w="2016"/>
          </w:tcPr>
          <w:p>
            <w:r>
              <w:rPr>
                <w:sz w:val="17"/>
              </w:rPr>
            </w:r>
            <w:r>
              <w:rPr>
                <w:sz w:val="17"/>
              </w:rPr>
              <w:t>I. Sheffield (Terravance)</w:t>
            </w:r>
          </w:p>
        </w:tc>
        <w:tc>
          <w:tcPr>
            <w:tcW w:type="dxa" w:w="1152"/>
          </w:tcPr>
          <w:p>
            <w:r>
              <w:rPr>
                <w:sz w:val="17"/>
              </w:rPr>
            </w:r>
            <w:r>
              <w:rPr>
                <w:sz w:val="17"/>
              </w:rPr>
              <w:t>Oct. 3</w:t>
            </w:r>
          </w:p>
        </w:tc>
      </w:tr>
      <w:tr>
        <w:tc>
          <w:tcPr>
            <w:tcW w:type="dxa" w:w="432"/>
          </w:tcPr>
          <w:p>
            <w:r>
              <w:rPr>
                <w:sz w:val="17"/>
              </w:rPr>
            </w:r>
            <w:r>
              <w:rPr>
                <w:sz w:val="17"/>
              </w:rPr>
              <w:t>6</w:t>
            </w:r>
          </w:p>
        </w:tc>
        <w:tc>
          <w:tcPr>
            <w:tcW w:type="dxa" w:w="5760"/>
          </w:tcPr>
          <w:p>
            <w:r>
              <w:rPr>
                <w:sz w:val="17"/>
              </w:rPr>
            </w:r>
            <w:r>
              <w:rPr>
                <w:sz w:val="17"/>
              </w:rPr>
              <w:t>Pull the EPA Region 5 Consolidated Metalworks site file (ROD, five-year reviews, plume maps); identify PRPs and successors; consider a tolling agreement</w:t>
            </w:r>
          </w:p>
        </w:tc>
        <w:tc>
          <w:tcPr>
            <w:tcW w:type="dxa" w:w="2016"/>
          </w:tcPr>
          <w:p>
            <w:r>
              <w:rPr>
                <w:sz w:val="17"/>
              </w:rPr>
            </w:r>
            <w:r>
              <w:rPr>
                <w:sz w:val="17"/>
              </w:rPr>
              <w:t>K. Pratt / paralegal</w:t>
            </w:r>
          </w:p>
        </w:tc>
        <w:tc>
          <w:tcPr>
            <w:tcW w:type="dxa" w:w="1152"/>
          </w:tcPr>
          <w:p>
            <w:r>
              <w:rPr>
                <w:sz w:val="17"/>
              </w:rPr>
            </w:r>
            <w:r>
              <w:rPr>
                <w:sz w:val="17"/>
              </w:rPr>
              <w:t>Oct. 4</w:t>
            </w:r>
          </w:p>
        </w:tc>
      </w:tr>
      <w:tr>
        <w:tc>
          <w:tcPr>
            <w:tcW w:type="dxa" w:w="432"/>
          </w:tcPr>
          <w:p>
            <w:r>
              <w:rPr>
                <w:sz w:val="17"/>
              </w:rPr>
            </w:r>
            <w:r>
              <w:rPr>
                <w:sz w:val="17"/>
              </w:rPr>
              <w:t>7</w:t>
            </w:r>
          </w:p>
        </w:tc>
        <w:tc>
          <w:tcPr>
            <w:tcW w:type="dxa" w:w="5760"/>
          </w:tcPr>
          <w:p>
            <w:r>
              <w:rPr>
                <w:sz w:val="17"/>
              </w:rPr>
            </w:r>
            <w:r>
              <w:rPr>
                <w:sz w:val="17"/>
              </w:rPr>
              <w:t>CERCLA strategy: whether to ask the AG to add a CERCLA/22.2(f) claim to support § 113(f)(2) protection; calendar the § 113(g)(3)(B) 3-year period if applicable</w:t>
            </w:r>
          </w:p>
        </w:tc>
        <w:tc>
          <w:tcPr>
            <w:tcW w:type="dxa" w:w="2016"/>
          </w:tcPr>
          <w:p>
            <w:r>
              <w:rPr>
                <w:sz w:val="17"/>
              </w:rPr>
            </w:r>
            <w:r>
              <w:rPr>
                <w:sz w:val="17"/>
              </w:rPr>
              <w:t>R. Downing</w:t>
            </w:r>
          </w:p>
        </w:tc>
        <w:tc>
          <w:tcPr>
            <w:tcW w:type="dxa" w:w="1152"/>
          </w:tcPr>
          <w:p>
            <w:r>
              <w:rPr>
                <w:sz w:val="17"/>
              </w:rPr>
            </w:r>
            <w:r>
              <w:rPr>
                <w:sz w:val="17"/>
              </w:rPr>
              <w:t>Before first AG call</w:t>
            </w:r>
          </w:p>
        </w:tc>
      </w:tr>
      <w:tr>
        <w:tc>
          <w:tcPr>
            <w:tcW w:type="dxa" w:w="432"/>
          </w:tcPr>
          <w:p>
            <w:r>
              <w:rPr>
                <w:sz w:val="17"/>
              </w:rPr>
            </w:r>
            <w:r>
              <w:rPr>
                <w:sz w:val="17"/>
              </w:rPr>
              <w:t>8</w:t>
            </w:r>
          </w:p>
        </w:tc>
        <w:tc>
          <w:tcPr>
            <w:tcW w:type="dxa" w:w="5760"/>
          </w:tcPr>
          <w:p>
            <w:r>
              <w:rPr>
                <w:sz w:val="17"/>
              </w:rPr>
            </w:r>
            <w:r>
              <w:rPr>
                <w:sz w:val="17"/>
              </w:rPr>
              <w:t>Coverage counsel: Pinnacle tender status, reservation of rights, 4/1/2025 renewal; review of § 5.1 admissions</w:t>
            </w:r>
          </w:p>
        </w:tc>
        <w:tc>
          <w:tcPr>
            <w:tcW w:type="dxa" w:w="2016"/>
          </w:tcPr>
          <w:p>
            <w:r>
              <w:rPr>
                <w:sz w:val="17"/>
              </w:rPr>
            </w:r>
            <w:r>
              <w:rPr>
                <w:sz w:val="17"/>
              </w:rPr>
              <w:t>Coverage counsel</w:t>
            </w:r>
          </w:p>
        </w:tc>
        <w:tc>
          <w:tcPr>
            <w:tcW w:type="dxa" w:w="1152"/>
          </w:tcPr>
          <w:p>
            <w:r>
              <w:rPr>
                <w:sz w:val="17"/>
              </w:rPr>
            </w:r>
            <w:r>
              <w:rPr>
                <w:sz w:val="17"/>
              </w:rPr>
              <w:t>Oct. 4</w:t>
            </w:r>
          </w:p>
        </w:tc>
      </w:tr>
      <w:tr>
        <w:tc>
          <w:tcPr>
            <w:tcW w:type="dxa" w:w="432"/>
          </w:tcPr>
          <w:p>
            <w:r>
              <w:rPr>
                <w:sz w:val="17"/>
              </w:rPr>
            </w:r>
            <w:r>
              <w:rPr>
                <w:sz w:val="17"/>
              </w:rPr>
              <w:t>9</w:t>
            </w:r>
          </w:p>
        </w:tc>
        <w:tc>
          <w:tcPr>
            <w:tcW w:type="dxa" w:w="5760"/>
          </w:tcPr>
          <w:p>
            <w:r>
              <w:rPr>
                <w:sz w:val="17"/>
              </w:rPr>
            </w:r>
            <w:r>
              <w:rPr>
                <w:sz w:val="17"/>
              </w:rPr>
              <w:t>Tax: confirm § 162(f) language and expected Form 1098-F reporting</w:t>
            </w:r>
          </w:p>
        </w:tc>
        <w:tc>
          <w:tcPr>
            <w:tcW w:type="dxa" w:w="2016"/>
          </w:tcPr>
          <w:p>
            <w:r>
              <w:rPr>
                <w:sz w:val="17"/>
              </w:rPr>
            </w:r>
            <w:r>
              <w:rPr>
                <w:sz w:val="17"/>
              </w:rPr>
              <w:t>GRS tax advisor</w:t>
            </w:r>
          </w:p>
        </w:tc>
        <w:tc>
          <w:tcPr>
            <w:tcW w:type="dxa" w:w="1152"/>
          </w:tcPr>
          <w:p>
            <w:r>
              <w:rPr>
                <w:sz w:val="17"/>
              </w:rPr>
            </w:r>
            <w:r>
              <w:rPr>
                <w:sz w:val="17"/>
              </w:rPr>
              <w:t>Oct. 4</w:t>
            </w:r>
          </w:p>
        </w:tc>
      </w:tr>
      <w:tr>
        <w:tc>
          <w:tcPr>
            <w:tcW w:type="dxa" w:w="432"/>
          </w:tcPr>
          <w:p>
            <w:r>
              <w:rPr>
                <w:sz w:val="17"/>
              </w:rPr>
            </w:r>
            <w:r>
              <w:rPr>
                <w:sz w:val="17"/>
              </w:rPr>
              <w:t>10</w:t>
            </w:r>
          </w:p>
        </w:tc>
        <w:tc>
          <w:tcPr>
            <w:tcW w:type="dxa" w:w="5760"/>
          </w:tcPr>
          <w:p>
            <w:r>
              <w:rPr>
                <w:sz w:val="17"/>
              </w:rPr>
            </w:r>
            <w:r>
              <w:rPr>
                <w:sz w:val="17"/>
              </w:rPr>
              <w:t>Client sign-off on fallback ladder (Part VIII) and walk-away points (FA infeasibility; covenant; SWMU-4 reservation)</w:t>
            </w:r>
          </w:p>
        </w:tc>
        <w:tc>
          <w:tcPr>
            <w:tcW w:type="dxa" w:w="2016"/>
          </w:tcPr>
          <w:p>
            <w:r>
              <w:rPr>
                <w:sz w:val="17"/>
              </w:rPr>
            </w:r>
            <w:r>
              <w:rPr>
                <w:sz w:val="17"/>
              </w:rPr>
              <w:t>T. Ellison / S. Frey</w:t>
            </w:r>
          </w:p>
        </w:tc>
        <w:tc>
          <w:tcPr>
            <w:tcW w:type="dxa" w:w="1152"/>
          </w:tcPr>
          <w:p>
            <w:r>
              <w:rPr>
                <w:sz w:val="17"/>
              </w:rPr>
            </w:r>
            <w:r>
              <w:rPr>
                <w:sz w:val="17"/>
              </w:rPr>
              <w:t>Oct. 3</w:t>
            </w:r>
          </w:p>
        </w:tc>
      </w:tr>
      <w:tr>
        <w:tc>
          <w:tcPr>
            <w:tcW w:type="dxa" w:w="432"/>
          </w:tcPr>
          <w:p>
            <w:r>
              <w:rPr>
                <w:sz w:val="17"/>
              </w:rPr>
            </w:r>
            <w:r>
              <w:rPr>
                <w:sz w:val="17"/>
              </w:rPr>
              <w:t>11</w:t>
            </w:r>
          </w:p>
        </w:tc>
        <w:tc>
          <w:tcPr>
            <w:tcW w:type="dxa" w:w="5760"/>
          </w:tcPr>
          <w:p>
            <w:r>
              <w:rPr>
                <w:sz w:val="17"/>
              </w:rPr>
            </w:r>
            <w:r>
              <w:rPr>
                <w:sz w:val="17"/>
              </w:rPr>
              <w:t>Appendices A–C: confirm SWMU/AOC boundaries and well network with Terravance before lodging</w:t>
            </w:r>
          </w:p>
        </w:tc>
        <w:tc>
          <w:tcPr>
            <w:tcW w:type="dxa" w:w="2016"/>
          </w:tcPr>
          <w:p>
            <w:r>
              <w:rPr>
                <w:sz w:val="17"/>
              </w:rPr>
            </w:r>
            <w:r>
              <w:rPr>
                <w:sz w:val="17"/>
              </w:rPr>
              <w:t>Terravance</w:t>
            </w:r>
          </w:p>
        </w:tc>
        <w:tc>
          <w:tcPr>
            <w:tcW w:type="dxa" w:w="1152"/>
          </w:tcPr>
          <w:p>
            <w:r>
              <w:rPr>
                <w:sz w:val="17"/>
              </w:rPr>
            </w:r>
            <w:r>
              <w:rPr>
                <w:sz w:val="17"/>
              </w:rPr>
              <w:t>Before lodging</w:t>
            </w:r>
          </w:p>
        </w:tc>
      </w:tr>
      <w:tr>
        <w:tc>
          <w:tcPr>
            <w:tcW w:type="dxa" w:w="432"/>
          </w:tcPr>
          <w:p>
            <w:r>
              <w:rPr>
                <w:sz w:val="17"/>
              </w:rPr>
            </w:r>
            <w:r>
              <w:rPr>
                <w:sz w:val="17"/>
              </w:rPr>
              <w:t>12</w:t>
            </w:r>
          </w:p>
        </w:tc>
        <w:tc>
          <w:tcPr>
            <w:tcW w:type="dxa" w:w="5760"/>
          </w:tcPr>
          <w:p>
            <w:r>
              <w:rPr>
                <w:sz w:val="17"/>
              </w:rPr>
            </w:r>
            <w:r>
              <w:rPr>
                <w:sz w:val="17"/>
              </w:rPr>
              <w:t>Cite-check of public-comment authority (§ 21.7 / footer) and of 415 ILCS 5/58.9 applicability to a RCRA-permitted facility</w:t>
            </w:r>
          </w:p>
        </w:tc>
        <w:tc>
          <w:tcPr>
            <w:tcW w:type="dxa" w:w="2016"/>
          </w:tcPr>
          <w:p>
            <w:r>
              <w:rPr>
                <w:sz w:val="17"/>
              </w:rPr>
            </w:r>
            <w:r>
              <w:rPr>
                <w:sz w:val="17"/>
              </w:rPr>
              <w:t>K. Pratt</w:t>
            </w:r>
          </w:p>
        </w:tc>
        <w:tc>
          <w:tcPr>
            <w:tcW w:type="dxa" w:w="1152"/>
          </w:tcPr>
          <w:p>
            <w:r>
              <w:rPr>
                <w:sz w:val="17"/>
              </w:rPr>
            </w:r>
            <w:r>
              <w:rPr>
                <w:sz w:val="17"/>
              </w:rPr>
              <w:t>Oct. 2</w:t>
            </w:r>
          </w:p>
        </w:tc>
      </w:tr>
    </w:tbl>
    <w:p>
      <w:pPr>
        <w:spacing w:after="40"/>
      </w:pPr>
    </w:p>
    <w:p>
      <w:pPr>
        <w:pStyle w:val="Heading1"/>
      </w:pPr>
      <w:r>
        <w:rPr>
          <w:rFonts w:ascii="Times New Roman" w:hAnsi="Times New Roman"/>
          <w:color w:val="000000"/>
        </w:rPr>
        <w:t>VIII. Internal Fallback Language (Not for Transmittal)</w:t>
      </w:r>
    </w:p>
    <w:p>
      <w:pPr>
        <w:pStyle w:val="Heading2"/>
      </w:pPr>
      <w:r>
        <w:rPr>
          <w:rFonts w:ascii="Times New Roman" w:hAnsi="Times New Roman"/>
          <w:color w:val="000000"/>
        </w:rPr>
        <w:t>A. SWMU-4 Option B (replacement for markup § 7.8)</w:t>
      </w:r>
    </w:p>
    <w:p>
      <w:pPr>
        <w:spacing w:after="120"/>
        <w:jc w:val="both"/>
      </w:pPr>
      <w:r>
        <w:rPr>
          <w:i/>
        </w:rPr>
        <w:t>"7.8 SWMU-4 (Landfill Cell B). GRS shall include SWMU-4 in the CMS and shall perform corrective action at SWMU-4 in accordance with this Section VII; provided, however, that GRS’s obligation to perform and to bear the cost of corrective action at SWMU-4 is limited to contamination attributable to releases from GRS’s operations at the Facility. GRS’s performance of any Work at SWMU-4 that addresses contamination attributable in whole or in part to off-site sources, including the Consolidated Metalworks Site, shall not constitute an admission of liability for such contamination, and GRS reserves all rights to seek contribution, cost recovery, or offset for such Work as provided in Section 17.5. The SWMU-4 Source Evaluation described in [former Section 7.8(a)–(c)] shall be included in the CMS, and Illinois EPA shall consider its results in selecting the remedy for SWMU-4 and in any request by GRS for an adjustment of financial assurance attributable to SWMU-4."</w:t>
      </w:r>
    </w:p>
    <w:p>
      <w:pPr>
        <w:pStyle w:val="Heading2"/>
      </w:pPr>
      <w:r>
        <w:rPr>
          <w:rFonts w:ascii="Times New Roman" w:hAnsi="Times New Roman"/>
          <w:color w:val="000000"/>
        </w:rPr>
        <w:t>B. Other fallback positions (in order of concession)</w:t>
      </w:r>
    </w:p>
    <w:p>
      <w:pPr>
        <w:pStyle w:val="ListBullet"/>
        <w:spacing w:after="60"/>
      </w:pPr>
      <w:r>
        <w:rPr>
          <w:b/>
        </w:rPr>
        <w:t>Financial assurance:</w:t>
      </w:r>
      <w:r>
        <w:t xml:space="preserve"> 125–130% → 75% initial posting at 120 days → 15-month outside date → trust fund with a pay-in schedule. Do not agree to any structure that requires more than about $8M of LCs before the revolver is refinanced.</w:t>
      </w:r>
    </w:p>
    <w:p>
      <w:pPr>
        <w:pStyle w:val="ListBullet"/>
        <w:spacing w:after="60"/>
      </w:pPr>
      <w:r>
        <w:rPr>
          <w:b/>
        </w:rPr>
        <w:t>Covenant:</w:t>
      </w:r>
      <w:r>
        <w:t xml:space="preserve"> injunctive covenant at construction completion plus O&amp;M certification (rather than RO attainment) → fixed-date covenant (e.g., 5 years after construction completion). Walk-away: any structure that defers the penalty-claim release beyond payment.</w:t>
      </w:r>
    </w:p>
    <w:p>
      <w:pPr>
        <w:pStyle w:val="ListBullet"/>
        <w:spacing w:after="60"/>
      </w:pPr>
      <w:r>
        <w:rPr>
          <w:b/>
        </w:rPr>
        <w:t>Stipulated penalties:</w:t>
      </w:r>
      <w:r>
        <w:t xml:space="preserve"> cap of $2.5M (up to $3M with client approval) → 15-day cure → cap excludes payment defaults.</w:t>
      </w:r>
    </w:p>
    <w:p>
      <w:pPr>
        <w:pStyle w:val="ListBullet"/>
        <w:spacing w:after="60"/>
      </w:pPr>
      <w:r>
        <w:rPr>
          <w:b/>
        </w:rPr>
        <w:t>Monitoring:</w:t>
      </w:r>
      <w:r>
        <w:t xml:space="preserve"> 15-year floor → semi-annual step-down only after 7 years → sentinel sampling after termination.</w:t>
      </w:r>
    </w:p>
    <w:p>
      <w:pPr>
        <w:pStyle w:val="ListBullet"/>
        <w:spacing w:after="60"/>
      </w:pPr>
      <w:r>
        <w:rPr>
          <w:b/>
        </w:rPr>
        <w:t>SEP:</w:t>
      </w:r>
      <w:r>
        <w:t xml:space="preserve"> FRC as administrator under joint oversight, with a CPA audit, an Illinois EPA disapproval right, and a segregated escrow (drop GRS’s records right last).</w:t>
      </w:r>
    </w:p>
    <w:p>
      <w:pPr>
        <w:pStyle w:val="ListBullet"/>
        <w:spacing w:after="60"/>
      </w:pPr>
      <w:r>
        <w:rPr>
          <w:b/>
        </w:rPr>
        <w:t>FRC access:</w:t>
      </w:r>
      <w:r>
        <w:t xml:space="preserve"> two escorted visits per year on 5 Business Days’ notice; FRC may accompany IEPA inspections.</w:t>
      </w:r>
    </w:p>
    <w:p>
      <w:pPr>
        <w:pStyle w:val="Heading1"/>
      </w:pPr>
      <w:r>
        <w:rPr>
          <w:rFonts w:ascii="Times New Roman" w:hAnsi="Times New Roman"/>
          <w:color w:val="000000"/>
        </w:rPr>
        <w:t>IX. Transmittal Checklist and Timeline</w:t>
      </w:r>
    </w:p>
    <w:p>
      <w:pPr>
        <w:pStyle w:val="ListBullet"/>
        <w:spacing w:after="60"/>
      </w:pPr>
      <w:r>
        <w:rPr>
          <w:b/>
        </w:rPr>
        <w:t>Oct. 1:</w:t>
      </w:r>
      <w:r>
        <w:t xml:space="preserve"> your review of the redline and this memo.</w:t>
      </w:r>
    </w:p>
    <w:p>
      <w:pPr>
        <w:pStyle w:val="ListBullet"/>
        <w:spacing w:after="60"/>
      </w:pPr>
      <w:r>
        <w:rPr>
          <w:b/>
        </w:rPr>
        <w:t>Oct. 2–4:</w:t>
      </w:r>
      <w:r>
        <w:t xml:space="preserve"> client call (Ellison/Frey) on Parts III and VIII; Terravance call on II.H; finance corrections; Appendix D privilege check; EPA Region 5 file pull.</w:t>
      </w:r>
    </w:p>
    <w:p>
      <w:pPr>
        <w:pStyle w:val="ListBullet"/>
        <w:spacing w:after="60"/>
      </w:pPr>
      <w:r>
        <w:rPr>
          <w:b/>
        </w:rPr>
        <w:t>Before transmittal:</w:t>
      </w:r>
      <w:r>
        <w:t xml:space="preserve"> (i) replace the internal legend at the top of the redline with the Rule 408 legend; (ii) re-read every margin comment for privileged content (none should cite the Terravance memorandum, this memo, or the email); (iii) confirm the RI Report contains every figure cited; (iv) remove the document’s internal author metadata if desired (the tracked changes and comments are attributed to "Hartwell, Brannigan &amp; Locke LLP (for GRS)"); (v) cover email to Calloway proposing a call the week of October 14; (vi) simultaneous courtesy copy to Andrade.</w:t>
      </w:r>
    </w:p>
    <w:p>
      <w:pPr>
        <w:pStyle w:val="ListBullet"/>
        <w:spacing w:after="60"/>
      </w:pPr>
      <w:r>
        <w:rPr>
          <w:b/>
        </w:rPr>
        <w:t>Oct. 7:</w:t>
      </w:r>
      <w:r>
        <w:t xml:space="preserve"> transmit to the AG (and FRC).</w:t>
      </w:r>
    </w:p>
    <w:p>
      <w:pPr>
        <w:spacing w:after="120"/>
        <w:jc w:val="both"/>
      </w:pPr>
      <w:r>
        <w:t>Please let me know if you would like any Tier 2 item softened before the first turn. My own recommendation would be to hold the § 15.4 and § 4.3–4.4 changes, which are the most expendable, as early trades. — K.M.P.</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Hartwell, Brannigan &amp; Locke LLP — GRS / Case No. 2021-CH-00847 — Consent Decree Markup Cover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AND CONFIDENTIAL — ATTORNEY-CLIENT COMMUNICATION — ATTORNEY WORK PRODUCT — INTERNAL ONLY (DO NOT TRANSMIT TO AG OR FRC)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