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PRIVILEGED &amp; CONFIDENTIAL</w:t>
      </w:r>
    </w:p>
    <w:p>
      <w:pPr>
        <w:spacing w:after="200"/>
        <w:jc w:val="center"/>
      </w:pPr>
      <w:r>
        <w:rPr>
          <w:b/>
          <w:i w:val="0"/>
        </w:rPr>
        <w:t>ATTORNEY-CLIENT COMMUNICATION / ATTORNEY WORK PRODUCT</w:t>
      </w:r>
    </w:p>
    <w:p>
      <w:pPr>
        <w:spacing w:after="200"/>
        <w:jc w:val="center"/>
      </w:pPr>
      <w:r>
        <w:rPr>
          <w:b/>
          <w:i w:val="0"/>
          <w:sz w:val="32"/>
        </w:rPr>
        <w:t>MEMORANDUM</w:t>
      </w:r>
    </w:p>
    <w:tbl>
      <w:tblPr>
        <w:tblStyle w:val="TableGrid"/>
        <w:tblW w:type="auto" w:w="0"/>
        <w:jc w:val="center"/>
        <w:tblLook w:firstColumn="1" w:firstRow="1" w:lastColumn="0" w:lastRow="0" w:noHBand="0" w:noVBand="1" w:val="04A0"/>
      </w:tblPr>
      <w:tblGrid>
        <w:gridCol w:w="4680"/>
        <w:gridCol w:w="4680"/>
      </w:tblGrid>
      <w:tr>
        <w:tc>
          <w:tcPr>
            <w:tcW w:type="dxa" w:w="1296"/>
          </w:tcPr>
          <w:p>
            <w:r/>
            <w:r>
              <w:rPr>
                <w:sz w:val="18"/>
              </w:rPr>
              <w:t>TO:</w:t>
            </w:r>
          </w:p>
        </w:tc>
        <w:tc>
          <w:tcPr>
            <w:tcW w:type="dxa" w:w="8064"/>
          </w:tcPr>
          <w:p>
            <w:r/>
            <w:r>
              <w:rPr>
                <w:sz w:val="18"/>
              </w:rPr>
              <w:t>Sylvia Renard, Partner; David Chu, Senior Associate - Pinehurst, Lowell &amp; Gage LLP (for transmission to Clara Whitfield, General Counsel &amp; Corporate Secretary, Terraverde Holdings, Inc.)</w:t>
            </w:r>
          </w:p>
        </w:tc>
      </w:tr>
      <w:tr>
        <w:tc>
          <w:tcPr>
            <w:tcW w:type="dxa" w:w="1296"/>
          </w:tcPr>
          <w:p>
            <w:r/>
            <w:r>
              <w:rPr>
                <w:sz w:val="18"/>
              </w:rPr>
              <w:t>FROM:</w:t>
            </w:r>
          </w:p>
        </w:tc>
        <w:tc>
          <w:tcPr>
            <w:tcW w:type="dxa" w:w="8064"/>
          </w:tcPr>
          <w:p>
            <w:r/>
            <w:r>
              <w:rPr>
                <w:sz w:val="18"/>
              </w:rPr>
              <w:t>ESG Disclosure Review Team</w:t>
            </w:r>
          </w:p>
        </w:tc>
      </w:tr>
      <w:tr>
        <w:tc>
          <w:tcPr>
            <w:tcW w:type="dxa" w:w="1296"/>
          </w:tcPr>
          <w:p>
            <w:r/>
            <w:r>
              <w:rPr>
                <w:sz w:val="18"/>
              </w:rPr>
              <w:t>DATE:</w:t>
            </w:r>
          </w:p>
        </w:tc>
        <w:tc>
          <w:tcPr>
            <w:tcW w:type="dxa" w:w="8064"/>
          </w:tcPr>
          <w:p>
            <w:r/>
            <w:r>
              <w:rPr>
                <w:sz w:val="18"/>
              </w:rPr>
              <w:t>[Insert date of transmittal]</w:t>
            </w:r>
          </w:p>
        </w:tc>
      </w:tr>
      <w:tr>
        <w:tc>
          <w:tcPr>
            <w:tcW w:type="dxa" w:w="1296"/>
          </w:tcPr>
          <w:p>
            <w:r/>
            <w:r>
              <w:rPr>
                <w:sz w:val="18"/>
              </w:rPr>
              <w:t>RE:</w:t>
            </w:r>
          </w:p>
        </w:tc>
        <w:tc>
          <w:tcPr>
            <w:tcW w:type="dxa" w:w="8064"/>
          </w:tcPr>
          <w:p>
            <w:r/>
            <w:r>
              <w:rPr>
                <w:sz w:val="18"/>
              </w:rPr>
              <w:t>Terraverde Holdings, Inc. (NYSE: TVRD) - "Cold-Eyes" Pre-Publication Review of Draft FY2024 ESG Report (cover date March 15, 2025): Severity-Ranked Legal and Accuracy Issues</w:t>
            </w:r>
          </w:p>
        </w:tc>
      </w:tr>
    </w:tbl>
    <w:p>
      <w:pPr>
        <w:spacing w:after="40"/>
      </w:pPr>
    </w:p>
    <w:p>
      <w:pPr>
        <w:pStyle w:val="Heading1"/>
      </w:pPr>
      <w:r>
        <w:t>I. Executive Summary</w:t>
      </w:r>
    </w:p>
    <w:p>
      <w:pPr>
        <w:spacing w:after="80"/>
      </w:pPr>
      <w:r>
        <w:rPr>
          <w:b w:val="0"/>
          <w:i w:val="0"/>
        </w:rPr>
        <w:t>We reviewed the near-final draft FY2024 ESG Report (the "Draft") against the documents in the review package: the Granville Analytics GHG Emissions Data Workbook dated March 10, 2025 (the "Workbook"); EPA Region 4 Administrative Consent Order and Agreement, Docket No. CAA-04-2024-3187 (the "Consent Order"); excerpts of the minutes of the Board meetings of March 14, July 18, September 12 and December 12, 2024 (the "Minutes"); and the March 10-11, 2025 email chain among Marcus Okonkwo, Dr. Priya Nair and Clara Whitfield (the "Email Chain").</w:t>
      </w:r>
    </w:p>
    <w:p>
      <w:pPr>
        <w:spacing w:after="80"/>
      </w:pPr>
      <w:r>
        <w:rPr>
          <w:b w:val="0"/>
          <w:i w:val="0"/>
        </w:rPr>
        <w:t>Bottom line: the Draft is not ready for publication, and in its present form should not be filed as an exhibit to the Form 10-K/A. We identified 27 issues: 5 Critical, 9 High, 9 Medium and 4 Low. The Critical issues are, in our view, likely to be viewed as materially false or misleading statements to investors under Section 10(b) of the Exchange Act and Rule 10b-5 (and, if the report is filed, Section 18 of the Exchange Act). Several of them contradict (i) the Company's own Form 10-K filed February 28, 2025, (ii) written advice of this firm (D. Chu memorandum of July 5, 2024), and (iii) express Board and General Counsel directions recorded in the Minutes. Because the record shows the Company was told about these issues before finalizing (Minutes; Email Chain), publishing the Draft as written would create significant scienter evidence.</w:t>
      </w:r>
    </w:p>
    <w:p>
      <w:pPr>
        <w:spacing w:after="40"/>
      </w:pPr>
      <w:r>
        <w:rPr>
          <w:b w:val="0"/>
          <w:i w:val="0"/>
        </w:rPr>
        <w:t>The most serious problems are:</w:t>
      </w:r>
    </w:p>
    <w:p>
      <w:pPr>
        <w:pStyle w:val="ListBullet"/>
        <w:spacing w:after="40"/>
      </w:pPr>
      <w:r>
        <w:rPr>
          <w:b/>
        </w:rPr>
        <w:t>Environmental compliance is misstated.</w:t>
      </w:r>
      <w:r>
        <w:t xml:space="preserve"> Section 3.3.1 states the Company "received no material environmental penalties or sanctions" in FY2024, and the CEO letter touts the Company's "environmental compliance record," although EPA issued a Clean Air Act consent order in FY2024 with a $1,175,000 civil penalty and a $425,000 SEP ($1.6 million total), already disclosed in the 10-K, plus a pending ADEM Notice of Violation at Huntsville.</w:t>
      </w:r>
    </w:p>
    <w:p>
      <w:pPr>
        <w:pStyle w:val="ListBullet"/>
        <w:spacing w:after="40"/>
      </w:pPr>
      <w:r>
        <w:rPr>
          <w:b/>
        </w:rPr>
        <w:t>Superfund exposure is denied.</w:t>
      </w:r>
      <w:r>
        <w:t xml:space="preserve"> Section 3.3.2 states the Company has "no material exposure to legacy contamination or Superfund liabilities," although the Company is a CERCLA PRP at the Crowley Landfill Superfund Site and the Board approved a $3.8 million ASC 450 reserve.</w:t>
      </w:r>
    </w:p>
    <w:p>
      <w:pPr>
        <w:pStyle w:val="ListBullet"/>
        <w:spacing w:after="40"/>
      </w:pPr>
      <w:r>
        <w:rPr>
          <w:b/>
        </w:rPr>
        <w:t>GHG figures and the headline progress claim are wrong.</w:t>
      </w:r>
      <w:r>
        <w:t xml:space="preserve"> The Draft's Chattanooga Scope 1 figure (40,290 mt CO2e) is 4,000 mt below the Workbook (44,290). The error carries through total Scope 1 (261,030 vs. 265,030), combined Scope 1+2 (379,820 vs. 383,820), total emissions, intensity metrics and, most importantly, progress-to-target, which is stated as 6.2% when the correct figure is 4.34% (the Board was told 4.3% in December 2024). Even on the Draft's own numbers the arithmetic gives 5.34%, not 6.2%.</w:t>
      </w:r>
    </w:p>
    <w:p>
      <w:pPr>
        <w:pStyle w:val="ListBullet"/>
        <w:spacing w:after="40"/>
      </w:pPr>
      <w:r>
        <w:rPr>
          <w:b/>
        </w:rPr>
        <w:t>The renewable energy claim is likely greenwashing.</w:t>
      </w:r>
      <w:r>
        <w:t xml:space="preserve"> The statement that Terraverde "has transitioned 40% of its electricity consumption to renewable sources" is based solely on unbundled, national Green-e RECs. There are no PPAs and no on-site generation. Granville warned in writing that the phrasing is misleading.</w:t>
      </w:r>
    </w:p>
    <w:p>
      <w:pPr>
        <w:pStyle w:val="ListBullet"/>
        <w:spacing w:after="40"/>
      </w:pPr>
      <w:r>
        <w:rPr>
          <w:b/>
        </w:rPr>
        <w:t>Location-based Scope 2 is omitted.</w:t>
      </w:r>
      <w:r>
        <w:t xml:space="preserve"> The Draft gives only market-based Scope 2, despite the GHG Protocol Scope 2 Guidance and IFRS S2, both of which the Draft claims to follow, and despite the General Counsel's December 2024 direction. Location-based Scope 2 (126,340 mt) shows that a substantial portion (roughly 40-45%) of the claimed FY2024 reduction depends on REC purchases. On a location-based basis, combined Scope 1+2 fell only 2.5%.</w:t>
      </w:r>
    </w:p>
    <w:p>
      <w:pPr>
        <w:spacing w:after="80"/>
      </w:pPr>
      <w:r>
        <w:rPr>
          <w:b w:val="0"/>
          <w:i w:val="0"/>
        </w:rPr>
        <w:t>Corrected key figures are in Section III. Section IV discusses each issue in detail with the Draft language, the source evidence, the legal or accuracy risk and a recommended fix (including proposed replacement language where useful). Section V lists the follow-up items and documents we need before we can clear the report.</w:t>
      </w:r>
    </w:p>
    <w:p>
      <w:pPr>
        <w:pStyle w:val="Heading2"/>
      </w:pPr>
      <w:r>
        <w:t>Severity Scale</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1F3864"/>
          </w:tcPr>
          <w:p>
            <w:r/>
            <w:r>
              <w:rPr>
                <w:b/>
                <w:color w:val="FFFFFF"/>
                <w:sz w:val="18"/>
              </w:rPr>
              <w:t>Severity</w:t>
            </w:r>
          </w:p>
        </w:tc>
        <w:tc>
          <w:tcPr>
            <w:tcW w:type="dxa" w:w="7920"/>
            <w:shd w:val="clear" w:color="auto" w:fill="1F3864"/>
          </w:tcPr>
          <w:p>
            <w:r/>
            <w:r>
              <w:rPr>
                <w:b/>
                <w:color w:val="FFFFFF"/>
                <w:sz w:val="18"/>
              </w:rPr>
              <w:t>Meaning</w:t>
            </w:r>
          </w:p>
        </w:tc>
      </w:tr>
      <w:tr>
        <w:tc>
          <w:tcPr>
            <w:tcW w:type="dxa" w:w="1440"/>
          </w:tcPr>
          <w:p>
            <w:r/>
            <w:r>
              <w:rPr>
                <w:sz w:val="18"/>
              </w:rPr>
              <w:t>Critical</w:t>
            </w:r>
          </w:p>
        </w:tc>
        <w:tc>
          <w:tcPr>
            <w:tcW w:type="dxa" w:w="7920"/>
          </w:tcPr>
          <w:p>
            <w:r/>
            <w:r>
              <w:rPr>
                <w:sz w:val="18"/>
              </w:rPr>
              <w:t>Likely materially false/misleading statement or omission; contradicts SEC filings, counsel advice or Board direction; must be fixed before any publication or filing.</w:t>
            </w:r>
          </w:p>
        </w:tc>
      </w:tr>
      <w:tr>
        <w:tc>
          <w:tcPr>
            <w:tcW w:type="dxa" w:w="1440"/>
          </w:tcPr>
          <w:p>
            <w:r/>
            <w:r>
              <w:rPr>
                <w:sz w:val="18"/>
              </w:rPr>
              <w:t>High</w:t>
            </w:r>
          </w:p>
        </w:tc>
        <w:tc>
          <w:tcPr>
            <w:tcW w:type="dxa" w:w="7920"/>
          </w:tcPr>
          <w:p>
            <w:r/>
            <w:r>
              <w:rPr>
                <w:sz w:val="18"/>
              </w:rPr>
              <w:t>Significant legal, regulatory or credibility risk, or departure from the frameworks the Draft claims to follow; fix before publication.</w:t>
            </w:r>
          </w:p>
        </w:tc>
      </w:tr>
      <w:tr>
        <w:tc>
          <w:tcPr>
            <w:tcW w:type="dxa" w:w="1440"/>
          </w:tcPr>
          <w:p>
            <w:r/>
            <w:r>
              <w:rPr>
                <w:sz w:val="18"/>
              </w:rPr>
              <w:t>Medium</w:t>
            </w:r>
          </w:p>
        </w:tc>
        <w:tc>
          <w:tcPr>
            <w:tcW w:type="dxa" w:w="7920"/>
          </w:tcPr>
          <w:p>
            <w:r/>
            <w:r>
              <w:rPr>
                <w:sz w:val="18"/>
              </w:rPr>
              <w:t>Factual inaccuracy, internal inconsistency or unsupported claim; fix or substantiate before publication.</w:t>
            </w:r>
          </w:p>
        </w:tc>
      </w:tr>
      <w:tr>
        <w:tc>
          <w:tcPr>
            <w:tcW w:type="dxa" w:w="1440"/>
          </w:tcPr>
          <w:p>
            <w:r/>
            <w:r>
              <w:rPr>
                <w:sz w:val="18"/>
              </w:rPr>
              <w:t>Low</w:t>
            </w:r>
          </w:p>
        </w:tc>
        <w:tc>
          <w:tcPr>
            <w:tcW w:type="dxa" w:w="7920"/>
          </w:tcPr>
          <w:p>
            <w:r/>
            <w:r>
              <w:rPr>
                <w:sz w:val="18"/>
              </w:rPr>
              <w:t>Clean-up, drafting or process point; address before finalization.</w:t>
            </w:r>
          </w:p>
        </w:tc>
      </w:tr>
    </w:tbl>
    <w:p>
      <w:pPr>
        <w:spacing w:after="40"/>
      </w:pPr>
    </w:p>
    <w:p>
      <w:pPr>
        <w:pStyle w:val="Heading1"/>
      </w:pPr>
      <w:r>
        <w:t>II. Issue Summary Table (Ranked by Severity)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val="clear" w:color="auto" w:fill="1F3864"/>
          </w:tcPr>
          <w:p>
            <w:r/>
            <w:r>
              <w:rPr>
                <w:b/>
                <w:color w:val="FFFFFF"/>
                <w:sz w:val="18"/>
              </w:rPr>
              <w:t>#</w:t>
            </w:r>
          </w:p>
        </w:tc>
        <w:tc>
          <w:tcPr>
            <w:tcW w:type="dxa" w:w="1152"/>
            <w:shd w:val="clear" w:color="auto" w:fill="1F3864"/>
          </w:tcPr>
          <w:p>
            <w:r/>
            <w:r>
              <w:rPr>
                <w:b/>
                <w:color w:val="FFFFFF"/>
                <w:sz w:val="18"/>
              </w:rPr>
              <w:t>Severity</w:t>
            </w:r>
          </w:p>
        </w:tc>
        <w:tc>
          <w:tcPr>
            <w:tcW w:type="dxa" w:w="1944"/>
            <w:shd w:val="clear" w:color="auto" w:fill="1F3864"/>
          </w:tcPr>
          <w:p>
            <w:r/>
            <w:r>
              <w:rPr>
                <w:b/>
                <w:color w:val="FFFFFF"/>
                <w:sz w:val="18"/>
              </w:rPr>
              <w:t>Draft Section</w:t>
            </w:r>
          </w:p>
        </w:tc>
        <w:tc>
          <w:tcPr>
            <w:tcW w:type="dxa" w:w="5760"/>
            <w:shd w:val="clear" w:color="auto" w:fill="1F3864"/>
          </w:tcPr>
          <w:p>
            <w:r/>
            <w:r>
              <w:rPr>
                <w:b/>
                <w:color w:val="FFFFFF"/>
                <w:sz w:val="18"/>
              </w:rPr>
              <w:t>Issue</w:t>
            </w:r>
          </w:p>
        </w:tc>
      </w:tr>
      <w:tr>
        <w:tc>
          <w:tcPr>
            <w:tcW w:type="dxa" w:w="504"/>
          </w:tcPr>
          <w:p>
            <w:r/>
            <w:r>
              <w:rPr>
                <w:sz w:val="18"/>
              </w:rPr>
              <w:t>1</w:t>
            </w:r>
          </w:p>
        </w:tc>
        <w:tc>
          <w:tcPr>
            <w:tcW w:type="dxa" w:w="1152"/>
            <w:shd w:val="clear" w:color="auto" w:fill="F4B6B6"/>
          </w:tcPr>
          <w:p>
            <w:r/>
            <w:r>
              <w:rPr>
                <w:sz w:val="18"/>
              </w:rPr>
              <w:t>Critical</w:t>
            </w:r>
          </w:p>
        </w:tc>
        <w:tc>
          <w:tcPr>
            <w:tcW w:type="dxa" w:w="1944"/>
          </w:tcPr>
          <w:p>
            <w:r/>
            <w:r>
              <w:rPr>
                <w:sz w:val="18"/>
              </w:rPr>
              <w:t>3.3.1; CEO Letter</w:t>
            </w:r>
          </w:p>
        </w:tc>
        <w:tc>
          <w:tcPr>
            <w:tcW w:type="dxa" w:w="5760"/>
          </w:tcPr>
          <w:p>
            <w:r/>
            <w:r>
              <w:rPr>
                <w:sz w:val="18"/>
              </w:rPr>
              <w:t>"No material environmental penalties or sanctions" in FY2024; omits EPA Consent Order CAA-04-2024-3187 ($1.175M penalty + $425K SEP = $1.6M)</w:t>
            </w:r>
          </w:p>
        </w:tc>
      </w:tr>
      <w:tr>
        <w:tc>
          <w:tcPr>
            <w:tcW w:type="dxa" w:w="504"/>
          </w:tcPr>
          <w:p>
            <w:r/>
            <w:r>
              <w:rPr>
                <w:sz w:val="18"/>
              </w:rPr>
              <w:t>2</w:t>
            </w:r>
          </w:p>
        </w:tc>
        <w:tc>
          <w:tcPr>
            <w:tcW w:type="dxa" w:w="1152"/>
            <w:shd w:val="clear" w:color="auto" w:fill="F4B6B6"/>
          </w:tcPr>
          <w:p>
            <w:r/>
            <w:r>
              <w:rPr>
                <w:sz w:val="18"/>
              </w:rPr>
              <w:t>Critical</w:t>
            </w:r>
          </w:p>
        </w:tc>
        <w:tc>
          <w:tcPr>
            <w:tcW w:type="dxa" w:w="1944"/>
          </w:tcPr>
          <w:p>
            <w:r/>
            <w:r>
              <w:rPr>
                <w:sz w:val="18"/>
              </w:rPr>
              <w:t>3.3.2</w:t>
            </w:r>
          </w:p>
        </w:tc>
        <w:tc>
          <w:tcPr>
            <w:tcW w:type="dxa" w:w="5760"/>
          </w:tcPr>
          <w:p>
            <w:r/>
            <w:r>
              <w:rPr>
                <w:sz w:val="18"/>
              </w:rPr>
              <w:t>Denies Superfund/legacy exposure; Company is a CERCLA PRP at Crowley Landfill with $3.8M ASC 450 reserve</w:t>
            </w:r>
          </w:p>
        </w:tc>
      </w:tr>
      <w:tr>
        <w:tc>
          <w:tcPr>
            <w:tcW w:type="dxa" w:w="504"/>
          </w:tcPr>
          <w:p>
            <w:r/>
            <w:r>
              <w:rPr>
                <w:sz w:val="18"/>
              </w:rPr>
              <w:t>3</w:t>
            </w:r>
          </w:p>
        </w:tc>
        <w:tc>
          <w:tcPr>
            <w:tcW w:type="dxa" w:w="1152"/>
            <w:shd w:val="clear" w:color="auto" w:fill="F4B6B6"/>
          </w:tcPr>
          <w:p>
            <w:r/>
            <w:r>
              <w:rPr>
                <w:sz w:val="18"/>
              </w:rPr>
              <w:t>Critical</w:t>
            </w:r>
          </w:p>
        </w:tc>
        <w:tc>
          <w:tcPr>
            <w:tcW w:type="dxa" w:w="1944"/>
          </w:tcPr>
          <w:p>
            <w:r/>
            <w:r>
              <w:rPr>
                <w:sz w:val="18"/>
              </w:rPr>
              <w:t>3.2.2, 3.2.3, 3.2.4, 3.2.6, 6.1</w:t>
            </w:r>
          </w:p>
        </w:tc>
        <w:tc>
          <w:tcPr>
            <w:tcW w:type="dxa" w:w="5760"/>
          </w:tcPr>
          <w:p>
            <w:r/>
            <w:r>
              <w:rPr>
                <w:sz w:val="18"/>
              </w:rPr>
              <w:t>Scope 1 understated by 4,000 mt (Chattanooga 40,290 vs. 44,290); all downstream totals, intensities and progress-to-target wrong</w:t>
            </w:r>
          </w:p>
        </w:tc>
      </w:tr>
      <w:tr>
        <w:tc>
          <w:tcPr>
            <w:tcW w:type="dxa" w:w="504"/>
          </w:tcPr>
          <w:p>
            <w:r/>
            <w:r>
              <w:rPr>
                <w:sz w:val="18"/>
              </w:rPr>
              <w:t>4</w:t>
            </w:r>
          </w:p>
        </w:tc>
        <w:tc>
          <w:tcPr>
            <w:tcW w:type="dxa" w:w="1152"/>
            <w:shd w:val="clear" w:color="auto" w:fill="F4B6B6"/>
          </w:tcPr>
          <w:p>
            <w:r/>
            <w:r>
              <w:rPr>
                <w:sz w:val="18"/>
              </w:rPr>
              <w:t>Critical</w:t>
            </w:r>
          </w:p>
        </w:tc>
        <w:tc>
          <w:tcPr>
            <w:tcW w:type="dxa" w:w="1944"/>
          </w:tcPr>
          <w:p>
            <w:r/>
            <w:r>
              <w:rPr>
                <w:sz w:val="18"/>
              </w:rPr>
              <w:t>3.2.4, 6.1; Email Chain</w:t>
            </w:r>
          </w:p>
        </w:tc>
        <w:tc>
          <w:tcPr>
            <w:tcW w:type="dxa" w:w="5760"/>
          </w:tcPr>
          <w:p>
            <w:r/>
            <w:r>
              <w:rPr>
                <w:sz w:val="18"/>
              </w:rPr>
              <w:t>Progress-to-target stated as 6.2%; correct figure 4.34% (Board told 4.3%); 6.2% is not reproducible from any data set</w:t>
            </w:r>
          </w:p>
        </w:tc>
      </w:tr>
      <w:tr>
        <w:tc>
          <w:tcPr>
            <w:tcW w:type="dxa" w:w="504"/>
          </w:tcPr>
          <w:p>
            <w:r/>
            <w:r>
              <w:rPr>
                <w:sz w:val="18"/>
              </w:rPr>
              <w:t>5</w:t>
            </w:r>
          </w:p>
        </w:tc>
        <w:tc>
          <w:tcPr>
            <w:tcW w:type="dxa" w:w="1152"/>
            <w:shd w:val="clear" w:color="auto" w:fill="F4B6B6"/>
          </w:tcPr>
          <w:p>
            <w:r/>
            <w:r>
              <w:rPr>
                <w:sz w:val="18"/>
              </w:rPr>
              <w:t>Critical</w:t>
            </w:r>
          </w:p>
        </w:tc>
        <w:tc>
          <w:tcPr>
            <w:tcW w:type="dxa" w:w="1944"/>
          </w:tcPr>
          <w:p>
            <w:r/>
            <w:r>
              <w:rPr>
                <w:sz w:val="18"/>
              </w:rPr>
              <w:t>3.2.5, 6.1</w:t>
            </w:r>
          </w:p>
        </w:tc>
        <w:tc>
          <w:tcPr>
            <w:tcW w:type="dxa" w:w="5760"/>
          </w:tcPr>
          <w:p>
            <w:r/>
            <w:r>
              <w:rPr>
                <w:sz w:val="18"/>
              </w:rPr>
              <w:t>"Transitioned 40% of electricity consumption to renewable sources" based solely on unbundled national RECs</w:t>
            </w:r>
          </w:p>
        </w:tc>
      </w:tr>
      <w:tr>
        <w:tc>
          <w:tcPr>
            <w:tcW w:type="dxa" w:w="504"/>
          </w:tcPr>
          <w:p>
            <w:r/>
            <w:r>
              <w:rPr>
                <w:sz w:val="18"/>
              </w:rPr>
              <w:t>6</w:t>
            </w:r>
          </w:p>
        </w:tc>
        <w:tc>
          <w:tcPr>
            <w:tcW w:type="dxa" w:w="1152"/>
            <w:shd w:val="clear" w:color="auto" w:fill="F8CBAD"/>
          </w:tcPr>
          <w:p>
            <w:r/>
            <w:r>
              <w:rPr>
                <w:sz w:val="18"/>
              </w:rPr>
              <w:t>High</w:t>
            </w:r>
          </w:p>
        </w:tc>
        <w:tc>
          <w:tcPr>
            <w:tcW w:type="dxa" w:w="1944"/>
          </w:tcPr>
          <w:p>
            <w:r/>
            <w:r>
              <w:rPr>
                <w:sz w:val="18"/>
              </w:rPr>
              <w:t>3.2.1, 3.2.3, 6.1</w:t>
            </w:r>
          </w:p>
        </w:tc>
        <w:tc>
          <w:tcPr>
            <w:tcW w:type="dxa" w:w="5760"/>
          </w:tcPr>
          <w:p>
            <w:r/>
            <w:r>
              <w:rPr>
                <w:sz w:val="18"/>
              </w:rPr>
              <w:t>Location-based Scope 2 (126,340 mt) omitted, contrary to GHG Protocol, IFRS S2 and GC direction; progress is substantially REC-driven</w:t>
            </w:r>
          </w:p>
        </w:tc>
      </w:tr>
      <w:tr>
        <w:tc>
          <w:tcPr>
            <w:tcW w:type="dxa" w:w="504"/>
          </w:tcPr>
          <w:p>
            <w:r/>
            <w:r>
              <w:rPr>
                <w:sz w:val="18"/>
              </w:rPr>
              <w:t>7</w:t>
            </w:r>
          </w:p>
        </w:tc>
        <w:tc>
          <w:tcPr>
            <w:tcW w:type="dxa" w:w="1152"/>
            <w:shd w:val="clear" w:color="auto" w:fill="F8CBAD"/>
          </w:tcPr>
          <w:p>
            <w:r/>
            <w:r>
              <w:rPr>
                <w:sz w:val="18"/>
              </w:rPr>
              <w:t>High</w:t>
            </w:r>
          </w:p>
        </w:tc>
        <w:tc>
          <w:tcPr>
            <w:tcW w:type="dxa" w:w="1944"/>
          </w:tcPr>
          <w:p>
            <w:r/>
            <w:r>
              <w:rPr>
                <w:sz w:val="18"/>
              </w:rPr>
              <w:t>3.3.1</w:t>
            </w:r>
          </w:p>
        </w:tc>
        <w:tc>
          <w:tcPr>
            <w:tcW w:type="dxa" w:w="5760"/>
          </w:tcPr>
          <w:p>
            <w:r/>
            <w:r>
              <w:rPr>
                <w:sz w:val="18"/>
              </w:rPr>
              <w:t>ADEM NOV (Huntsville, Nov. 18, 2024) omitted despite GC direction; Workbook shows 2 NOVs and $37,500 in fines that do not match the Minutes</w:t>
            </w:r>
          </w:p>
        </w:tc>
      </w:tr>
      <w:tr>
        <w:tc>
          <w:tcPr>
            <w:tcW w:type="dxa" w:w="504"/>
          </w:tcPr>
          <w:p>
            <w:r/>
            <w:r>
              <w:rPr>
                <w:sz w:val="18"/>
              </w:rPr>
              <w:t>8</w:t>
            </w:r>
          </w:p>
        </w:tc>
        <w:tc>
          <w:tcPr>
            <w:tcW w:type="dxa" w:w="1152"/>
            <w:shd w:val="clear" w:color="auto" w:fill="F8CBAD"/>
          </w:tcPr>
          <w:p>
            <w:r/>
            <w:r>
              <w:rPr>
                <w:sz w:val="18"/>
              </w:rPr>
              <w:t>High</w:t>
            </w:r>
          </w:p>
        </w:tc>
        <w:tc>
          <w:tcPr>
            <w:tcW w:type="dxa" w:w="1944"/>
          </w:tcPr>
          <w:p>
            <w:r/>
            <w:r>
              <w:rPr>
                <w:sz w:val="18"/>
              </w:rPr>
              <w:t>3.2.2, 3.3.1</w:t>
            </w:r>
          </w:p>
        </w:tc>
        <w:tc>
          <w:tcPr>
            <w:tcW w:type="dxa" w:w="5760"/>
          </w:tcPr>
          <w:p>
            <w:r/>
            <w:r>
              <w:rPr>
                <w:sz w:val="18"/>
              </w:rPr>
              <w:t>Draft says LDAR programs work at all facilities while Savannah is under a corrective-action order; Consent Order compliance status and deadlines not disclosed; Minutes misdescribe Order terms</w:t>
            </w:r>
          </w:p>
        </w:tc>
      </w:tr>
      <w:tr>
        <w:tc>
          <w:tcPr>
            <w:tcW w:type="dxa" w:w="504"/>
          </w:tcPr>
          <w:p>
            <w:r/>
            <w:r>
              <w:rPr>
                <w:sz w:val="18"/>
              </w:rPr>
              <w:t>9</w:t>
            </w:r>
          </w:p>
        </w:tc>
        <w:tc>
          <w:tcPr>
            <w:tcW w:type="dxa" w:w="1152"/>
            <w:shd w:val="clear" w:color="auto" w:fill="F8CBAD"/>
          </w:tcPr>
          <w:p>
            <w:r/>
            <w:r>
              <w:rPr>
                <w:sz w:val="18"/>
              </w:rPr>
              <w:t>High</w:t>
            </w:r>
          </w:p>
        </w:tc>
        <w:tc>
          <w:tcPr>
            <w:tcW w:type="dxa" w:w="1944"/>
          </w:tcPr>
          <w:p>
            <w:r/>
            <w:r>
              <w:rPr>
                <w:sz w:val="18"/>
              </w:rPr>
              <w:t>2.3, 7</w:t>
            </w:r>
          </w:p>
        </w:tc>
        <w:tc>
          <w:tcPr>
            <w:tcW w:type="dxa" w:w="5760"/>
          </w:tcPr>
          <w:p>
            <w:r/>
            <w:r>
              <w:rPr>
                <w:sz w:val="18"/>
              </w:rPr>
              <w:t>Plan to file the report as an exhibit to Form 10-K/A: Section 18 liability, SOX certification exposure, no Board authorization in the Minutes</w:t>
            </w:r>
          </w:p>
        </w:tc>
      </w:tr>
      <w:tr>
        <w:tc>
          <w:tcPr>
            <w:tcW w:type="dxa" w:w="504"/>
          </w:tcPr>
          <w:p>
            <w:r/>
            <w:r>
              <w:rPr>
                <w:sz w:val="18"/>
              </w:rPr>
              <w:t>10</w:t>
            </w:r>
          </w:p>
        </w:tc>
        <w:tc>
          <w:tcPr>
            <w:tcW w:type="dxa" w:w="1152"/>
            <w:shd w:val="clear" w:color="auto" w:fill="F8CBAD"/>
          </w:tcPr>
          <w:p>
            <w:r/>
            <w:r>
              <w:rPr>
                <w:sz w:val="18"/>
              </w:rPr>
              <w:t>High</w:t>
            </w:r>
          </w:p>
        </w:tc>
        <w:tc>
          <w:tcPr>
            <w:tcW w:type="dxa" w:w="1944"/>
          </w:tcPr>
          <w:p>
            <w:r/>
            <w:r>
              <w:rPr>
                <w:sz w:val="18"/>
              </w:rPr>
              <w:t>CEO Letter, 3.2.4, 3.2.5</w:t>
            </w:r>
          </w:p>
        </w:tc>
        <w:tc>
          <w:tcPr>
            <w:tcW w:type="dxa" w:w="5760"/>
          </w:tcPr>
          <w:p>
            <w:r/>
            <w:r>
              <w:rPr>
                <w:sz w:val="18"/>
              </w:rPr>
              <w:t>No forward-looking statements legend or PSLRA cautionary language for targets, $45M capex and PPA plans, contrary to GC advice (Sept. 12, 2024)</w:t>
            </w:r>
          </w:p>
        </w:tc>
      </w:tr>
      <w:tr>
        <w:tc>
          <w:tcPr>
            <w:tcW w:type="dxa" w:w="504"/>
          </w:tcPr>
          <w:p>
            <w:r/>
            <w:r>
              <w:rPr>
                <w:sz w:val="18"/>
              </w:rPr>
              <w:t>11</w:t>
            </w:r>
          </w:p>
        </w:tc>
        <w:tc>
          <w:tcPr>
            <w:tcW w:type="dxa" w:w="1152"/>
            <w:shd w:val="clear" w:color="auto" w:fill="F8CBAD"/>
          </w:tcPr>
          <w:p>
            <w:r/>
            <w:r>
              <w:rPr>
                <w:sz w:val="18"/>
              </w:rPr>
              <w:t>High</w:t>
            </w:r>
          </w:p>
        </w:tc>
        <w:tc>
          <w:tcPr>
            <w:tcW w:type="dxa" w:w="1944"/>
          </w:tcPr>
          <w:p>
            <w:r/>
            <w:r>
              <w:rPr>
                <w:sz w:val="18"/>
              </w:rPr>
              <w:t>2.3, 7</w:t>
            </w:r>
          </w:p>
        </w:tc>
        <w:tc>
          <w:tcPr>
            <w:tcW w:type="dxa" w:w="5760"/>
          </w:tcPr>
          <w:p>
            <w:r/>
            <w:r>
              <w:rPr>
                <w:sz w:val="18"/>
              </w:rPr>
              <w:t>Claims to align with SEC climate rules (stayed) and IFRS S2 overstate conformity</w:t>
            </w:r>
          </w:p>
        </w:tc>
      </w:tr>
      <w:tr>
        <w:tc>
          <w:tcPr>
            <w:tcW w:type="dxa" w:w="504"/>
          </w:tcPr>
          <w:p>
            <w:r/>
            <w:r>
              <w:rPr>
                <w:sz w:val="18"/>
              </w:rPr>
              <w:t>12</w:t>
            </w:r>
          </w:p>
        </w:tc>
        <w:tc>
          <w:tcPr>
            <w:tcW w:type="dxa" w:w="1152"/>
            <w:shd w:val="clear" w:color="auto" w:fill="F8CBAD"/>
          </w:tcPr>
          <w:p>
            <w:r/>
            <w:r>
              <w:rPr>
                <w:sz w:val="18"/>
              </w:rPr>
              <w:t>High</w:t>
            </w:r>
          </w:p>
        </w:tc>
        <w:tc>
          <w:tcPr>
            <w:tcW w:type="dxa" w:w="1944"/>
          </w:tcPr>
          <w:p>
            <w:r/>
            <w:r>
              <w:rPr>
                <w:sz w:val="18"/>
              </w:rPr>
              <w:t>3.2, 3.2.6</w:t>
            </w:r>
          </w:p>
        </w:tc>
        <w:tc>
          <w:tcPr>
            <w:tcW w:type="dxa" w:w="5760"/>
          </w:tcPr>
          <w:p>
            <w:r/>
            <w:r>
              <w:rPr>
                <w:sz w:val="18"/>
              </w:rPr>
              <w:t>Scope 3 described as "comprehensive": only 6 of 15 categories, no screening or exclusion rationale, Cat. 12 potentially material, Cat. 11 partial; method descriptions inaccurate</w:t>
            </w:r>
          </w:p>
        </w:tc>
      </w:tr>
      <w:tr>
        <w:tc>
          <w:tcPr>
            <w:tcW w:type="dxa" w:w="504"/>
          </w:tcPr>
          <w:p>
            <w:r/>
            <w:r>
              <w:rPr>
                <w:sz w:val="18"/>
              </w:rPr>
              <w:t>13</w:t>
            </w:r>
          </w:p>
        </w:tc>
        <w:tc>
          <w:tcPr>
            <w:tcW w:type="dxa" w:w="1152"/>
            <w:shd w:val="clear" w:color="auto" w:fill="F8CBAD"/>
          </w:tcPr>
          <w:p>
            <w:r/>
            <w:r>
              <w:rPr>
                <w:sz w:val="18"/>
              </w:rPr>
              <w:t>High</w:t>
            </w:r>
          </w:p>
        </w:tc>
        <w:tc>
          <w:tcPr>
            <w:tcW w:type="dxa" w:w="1944"/>
          </w:tcPr>
          <w:p>
            <w:r/>
            <w:r>
              <w:rPr>
                <w:sz w:val="18"/>
              </w:rPr>
              <w:t>3.2.3, 3.2.5</w:t>
            </w:r>
          </w:p>
        </w:tc>
        <w:tc>
          <w:tcPr>
            <w:tcW w:type="dxa" w:w="5760"/>
          </w:tcPr>
          <w:p>
            <w:r/>
            <w:r>
              <w:rPr>
                <w:sz w:val="18"/>
              </w:rPr>
              <w:t>Scope 2 market-based figures cannot be reproduced from the Workbook's REC and eGRID inputs; possible eGRID subregion and REC vintage problems</w:t>
            </w:r>
          </w:p>
        </w:tc>
      </w:tr>
      <w:tr>
        <w:tc>
          <w:tcPr>
            <w:tcW w:type="dxa" w:w="504"/>
          </w:tcPr>
          <w:p>
            <w:r/>
            <w:r>
              <w:rPr>
                <w:sz w:val="18"/>
              </w:rPr>
              <w:t>14</w:t>
            </w:r>
          </w:p>
        </w:tc>
        <w:tc>
          <w:tcPr>
            <w:tcW w:type="dxa" w:w="1152"/>
            <w:shd w:val="clear" w:color="auto" w:fill="F8CBAD"/>
          </w:tcPr>
          <w:p>
            <w:r/>
            <w:r>
              <w:rPr>
                <w:sz w:val="18"/>
              </w:rPr>
              <w:t>High</w:t>
            </w:r>
          </w:p>
        </w:tc>
        <w:tc>
          <w:tcPr>
            <w:tcW w:type="dxa" w:w="1944"/>
          </w:tcPr>
          <w:p>
            <w:r/>
            <w:r>
              <w:rPr>
                <w:sz w:val="18"/>
              </w:rPr>
              <w:t>5.1</w:t>
            </w:r>
          </w:p>
        </w:tc>
        <w:tc>
          <w:tcPr>
            <w:tcW w:type="dxa" w:w="5760"/>
          </w:tcPr>
          <w:p>
            <w:r/>
            <w:r>
              <w:rPr>
                <w:sz w:val="18"/>
              </w:rPr>
              <w:t>Board actions mischaracterized (Dec. 2024 "approval"/"authorization" of publication and SEC filing; "benchmarking against industry peers"; quarterly Board updates)</w:t>
            </w:r>
          </w:p>
        </w:tc>
      </w:tr>
      <w:tr>
        <w:tc>
          <w:tcPr>
            <w:tcW w:type="dxa" w:w="504"/>
          </w:tcPr>
          <w:p>
            <w:r/>
            <w:r>
              <w:rPr>
                <w:sz w:val="18"/>
              </w:rPr>
              <w:t>15</w:t>
            </w:r>
          </w:p>
        </w:tc>
        <w:tc>
          <w:tcPr>
            <w:tcW w:type="dxa" w:w="1152"/>
            <w:shd w:val="clear" w:color="auto" w:fill="FFE699"/>
          </w:tcPr>
          <w:p>
            <w:r/>
            <w:r>
              <w:rPr>
                <w:sz w:val="18"/>
              </w:rPr>
              <w:t>Medium</w:t>
            </w:r>
          </w:p>
        </w:tc>
        <w:tc>
          <w:tcPr>
            <w:tcW w:type="dxa" w:w="1944"/>
          </w:tcPr>
          <w:p>
            <w:r/>
            <w:r>
              <w:rPr>
                <w:sz w:val="18"/>
              </w:rPr>
              <w:t>2.1, 2.4</w:t>
            </w:r>
          </w:p>
        </w:tc>
        <w:tc>
          <w:tcPr>
            <w:tcW w:type="dxa" w:w="5760"/>
          </w:tcPr>
          <w:p>
            <w:r/>
            <w:r>
              <w:rPr>
                <w:sz w:val="18"/>
              </w:rPr>
              <w:t>Revenue stated as $2.91B (2.1) and $2.87B (2.4); the agreed fix to $2.87B was not made</w:t>
            </w:r>
          </w:p>
        </w:tc>
      </w:tr>
      <w:tr>
        <w:tc>
          <w:tcPr>
            <w:tcW w:type="dxa" w:w="504"/>
          </w:tcPr>
          <w:p>
            <w:r/>
            <w:r>
              <w:rPr>
                <w:sz w:val="18"/>
              </w:rPr>
              <w:t>16</w:t>
            </w:r>
          </w:p>
        </w:tc>
        <w:tc>
          <w:tcPr>
            <w:tcW w:type="dxa" w:w="1152"/>
            <w:shd w:val="clear" w:color="auto" w:fill="FFE699"/>
          </w:tcPr>
          <w:p>
            <w:r/>
            <w:r>
              <w:rPr>
                <w:sz w:val="18"/>
              </w:rPr>
              <w:t>Medium</w:t>
            </w:r>
          </w:p>
        </w:tc>
        <w:tc>
          <w:tcPr>
            <w:tcW w:type="dxa" w:w="1944"/>
          </w:tcPr>
          <w:p>
            <w:r/>
            <w:r>
              <w:rPr>
                <w:sz w:val="18"/>
              </w:rPr>
              <w:t>4.1, 6.1, 6.2</w:t>
            </w:r>
          </w:p>
        </w:tc>
        <w:tc>
          <w:tcPr>
            <w:tcW w:type="dxa" w:w="5760"/>
          </w:tcPr>
          <w:p>
            <w:r/>
            <w:r>
              <w:rPr>
                <w:sz w:val="18"/>
              </w:rPr>
              <w:t>Headcount 3,100 (budget figure) used instead of actual 3,001 despite GC direction; per-employee intensity and 87%/13% split wrong</w:t>
            </w:r>
          </w:p>
        </w:tc>
      </w:tr>
      <w:tr>
        <w:tc>
          <w:tcPr>
            <w:tcW w:type="dxa" w:w="504"/>
          </w:tcPr>
          <w:p>
            <w:r/>
            <w:r>
              <w:rPr>
                <w:sz w:val="18"/>
              </w:rPr>
              <w:t>17</w:t>
            </w:r>
          </w:p>
        </w:tc>
        <w:tc>
          <w:tcPr>
            <w:tcW w:type="dxa" w:w="1152"/>
            <w:shd w:val="clear" w:color="auto" w:fill="FFE699"/>
          </w:tcPr>
          <w:p>
            <w:r/>
            <w:r>
              <w:rPr>
                <w:sz w:val="18"/>
              </w:rPr>
              <w:t>Medium</w:t>
            </w:r>
          </w:p>
        </w:tc>
        <w:tc>
          <w:tcPr>
            <w:tcW w:type="dxa" w:w="1944"/>
          </w:tcPr>
          <w:p>
            <w:r/>
            <w:r>
              <w:rPr>
                <w:sz w:val="18"/>
              </w:rPr>
              <w:t>4.3, 6.2</w:t>
            </w:r>
          </w:p>
        </w:tc>
        <w:tc>
          <w:tcPr>
            <w:tcW w:type="dxa" w:w="5760"/>
          </w:tcPr>
          <w:p>
            <w:r/>
            <w:r>
              <w:rPr>
                <w:sz w:val="18"/>
              </w:rPr>
              <w:t>TRIR stated as 1.82; correct calculation is 1.805 (1.80/1.81)</w:t>
            </w:r>
          </w:p>
        </w:tc>
      </w:tr>
      <w:tr>
        <w:tc>
          <w:tcPr>
            <w:tcW w:type="dxa" w:w="504"/>
          </w:tcPr>
          <w:p>
            <w:r/>
            <w:r>
              <w:rPr>
                <w:sz w:val="18"/>
              </w:rPr>
              <w:t>18</w:t>
            </w:r>
          </w:p>
        </w:tc>
        <w:tc>
          <w:tcPr>
            <w:tcW w:type="dxa" w:w="1152"/>
            <w:shd w:val="clear" w:color="auto" w:fill="FFE699"/>
          </w:tcPr>
          <w:p>
            <w:r/>
            <w:r>
              <w:rPr>
                <w:sz w:val="18"/>
              </w:rPr>
              <w:t>Medium</w:t>
            </w:r>
          </w:p>
        </w:tc>
        <w:tc>
          <w:tcPr>
            <w:tcW w:type="dxa" w:w="1944"/>
          </w:tcPr>
          <w:p>
            <w:r/>
            <w:r>
              <w:rPr>
                <w:sz w:val="18"/>
              </w:rPr>
              <w:t>2.2</w:t>
            </w:r>
          </w:p>
        </w:tc>
        <w:tc>
          <w:tcPr>
            <w:tcW w:type="dxa" w:w="5760"/>
          </w:tcPr>
          <w:p>
            <w:r/>
            <w:r>
              <w:rPr>
                <w:sz w:val="18"/>
              </w:rPr>
              <w:t>Addresses for all six plants conflict with the Workbook, Consent Order and Minutes</w:t>
            </w:r>
          </w:p>
        </w:tc>
      </w:tr>
      <w:tr>
        <w:tc>
          <w:tcPr>
            <w:tcW w:type="dxa" w:w="504"/>
          </w:tcPr>
          <w:p>
            <w:r/>
            <w:r>
              <w:rPr>
                <w:sz w:val="18"/>
              </w:rPr>
              <w:t>19</w:t>
            </w:r>
          </w:p>
        </w:tc>
        <w:tc>
          <w:tcPr>
            <w:tcW w:type="dxa" w:w="1152"/>
            <w:shd w:val="clear" w:color="auto" w:fill="FFE699"/>
          </w:tcPr>
          <w:p>
            <w:r/>
            <w:r>
              <w:rPr>
                <w:sz w:val="18"/>
              </w:rPr>
              <w:t>Medium</w:t>
            </w:r>
          </w:p>
        </w:tc>
        <w:tc>
          <w:tcPr>
            <w:tcW w:type="dxa" w:w="1944"/>
          </w:tcPr>
          <w:p>
            <w:r/>
            <w:r>
              <w:rPr>
                <w:sz w:val="18"/>
              </w:rPr>
              <w:t>3.2.1, 3.2.2</w:t>
            </w:r>
          </w:p>
        </w:tc>
        <w:tc>
          <w:tcPr>
            <w:tcW w:type="dxa" w:w="5760"/>
          </w:tcPr>
          <w:p>
            <w:r/>
            <w:r>
              <w:rPr>
                <w:sz w:val="18"/>
              </w:rPr>
              <w:t>Scope 1 methodology gaps: diesel/mobile combustion and most refrigerants not in Workbook; VOCs reported as CO2e; CH4/N2O omitted at plants; Savannah data-quality caveats</w:t>
            </w:r>
          </w:p>
        </w:tc>
      </w:tr>
      <w:tr>
        <w:tc>
          <w:tcPr>
            <w:tcW w:type="dxa" w:w="504"/>
          </w:tcPr>
          <w:p>
            <w:r/>
            <w:r>
              <w:rPr>
                <w:sz w:val="18"/>
              </w:rPr>
              <w:t>20</w:t>
            </w:r>
          </w:p>
        </w:tc>
        <w:tc>
          <w:tcPr>
            <w:tcW w:type="dxa" w:w="1152"/>
            <w:shd w:val="clear" w:color="auto" w:fill="FFE699"/>
          </w:tcPr>
          <w:p>
            <w:r/>
            <w:r>
              <w:rPr>
                <w:sz w:val="18"/>
              </w:rPr>
              <w:t>Medium</w:t>
            </w:r>
          </w:p>
        </w:tc>
        <w:tc>
          <w:tcPr>
            <w:tcW w:type="dxa" w:w="1944"/>
          </w:tcPr>
          <w:p>
            <w:r/>
            <w:r>
              <w:rPr>
                <w:sz w:val="18"/>
              </w:rPr>
              <w:t>6.3, 5.1</w:t>
            </w:r>
          </w:p>
        </w:tc>
        <w:tc>
          <w:tcPr>
            <w:tcW w:type="dxa" w:w="5760"/>
          </w:tcPr>
          <w:p>
            <w:r/>
            <w:r>
              <w:rPr>
                <w:sz w:val="18"/>
              </w:rPr>
              <w:t>Board meeting count/description ("four regular and one special") conflicts with the Minutes (at least two special meetings)</w:t>
            </w:r>
          </w:p>
        </w:tc>
      </w:tr>
      <w:tr>
        <w:tc>
          <w:tcPr>
            <w:tcW w:type="dxa" w:w="504"/>
          </w:tcPr>
          <w:p>
            <w:r/>
            <w:r>
              <w:rPr>
                <w:sz w:val="18"/>
              </w:rPr>
              <w:t>21</w:t>
            </w:r>
          </w:p>
        </w:tc>
        <w:tc>
          <w:tcPr>
            <w:tcW w:type="dxa" w:w="1152"/>
            <w:shd w:val="clear" w:color="auto" w:fill="FFE699"/>
          </w:tcPr>
          <w:p>
            <w:r/>
            <w:r>
              <w:rPr>
                <w:sz w:val="18"/>
              </w:rPr>
              <w:t>Medium</w:t>
            </w:r>
          </w:p>
        </w:tc>
        <w:tc>
          <w:tcPr>
            <w:tcW w:type="dxa" w:w="1944"/>
          </w:tcPr>
          <w:p>
            <w:r/>
            <w:r>
              <w:rPr>
                <w:sz w:val="18"/>
              </w:rPr>
              <w:t>CEO Letter, 3.2.4</w:t>
            </w:r>
          </w:p>
        </w:tc>
        <w:tc>
          <w:tcPr>
            <w:tcW w:type="dxa" w:w="5760"/>
          </w:tcPr>
          <w:p>
            <w:r/>
            <w:r>
              <w:rPr>
                <w:sz w:val="18"/>
              </w:rPr>
              <w:t>$45M capex program and PPA evaluations have no support in the package; Board approval and basis unverified</w:t>
            </w:r>
          </w:p>
        </w:tc>
      </w:tr>
      <w:tr>
        <w:tc>
          <w:tcPr>
            <w:tcW w:type="dxa" w:w="504"/>
          </w:tcPr>
          <w:p>
            <w:r/>
            <w:r>
              <w:rPr>
                <w:sz w:val="18"/>
              </w:rPr>
              <w:t>22</w:t>
            </w:r>
          </w:p>
        </w:tc>
        <w:tc>
          <w:tcPr>
            <w:tcW w:type="dxa" w:w="1152"/>
            <w:shd w:val="clear" w:color="auto" w:fill="FFE699"/>
          </w:tcPr>
          <w:p>
            <w:r/>
            <w:r>
              <w:rPr>
                <w:sz w:val="18"/>
              </w:rPr>
              <w:t>Medium</w:t>
            </w:r>
          </w:p>
        </w:tc>
        <w:tc>
          <w:tcPr>
            <w:tcW w:type="dxa" w:w="1944"/>
          </w:tcPr>
          <w:p>
            <w:r/>
            <w:r>
              <w:rPr>
                <w:sz w:val="18"/>
              </w:rPr>
              <w:t>4.1, 4.3, CEO Letter</w:t>
            </w:r>
          </w:p>
        </w:tc>
        <w:tc>
          <w:tcPr>
            <w:tcW w:type="dxa" w:w="5760"/>
          </w:tcPr>
          <w:p>
            <w:r/>
            <w:r>
              <w:rPr>
                <w:sz w:val="18"/>
              </w:rPr>
              <w:t>Unsupported comparative and performance claims (TRIR vs. industry averages; engagement above benchmarks; safety "continued to improve"; contractor fatalities)</w:t>
            </w:r>
          </w:p>
        </w:tc>
      </w:tr>
      <w:tr>
        <w:tc>
          <w:tcPr>
            <w:tcW w:type="dxa" w:w="504"/>
          </w:tcPr>
          <w:p>
            <w:r/>
            <w:r>
              <w:rPr>
                <w:sz w:val="18"/>
              </w:rPr>
              <w:t>23</w:t>
            </w:r>
          </w:p>
        </w:tc>
        <w:tc>
          <w:tcPr>
            <w:tcW w:type="dxa" w:w="1152"/>
            <w:shd w:val="clear" w:color="auto" w:fill="FFE699"/>
          </w:tcPr>
          <w:p>
            <w:r/>
            <w:r>
              <w:rPr>
                <w:sz w:val="18"/>
              </w:rPr>
              <w:t>Medium</w:t>
            </w:r>
          </w:p>
        </w:tc>
        <w:tc>
          <w:tcPr>
            <w:tcW w:type="dxa" w:w="1944"/>
          </w:tcPr>
          <w:p>
            <w:r/>
            <w:r>
              <w:rPr>
                <w:sz w:val="18"/>
              </w:rPr>
              <w:t>4.1, 4.2, 5.1, 6.2, 6.3</w:t>
            </w:r>
          </w:p>
        </w:tc>
        <w:tc>
          <w:tcPr>
            <w:tcW w:type="dxa" w:w="5760"/>
          </w:tcPr>
          <w:p>
            <w:r/>
            <w:r>
              <w:rPr>
                <w:sz w:val="18"/>
              </w:rPr>
              <w:t>Social and governance metrics (diversity, VP+ data, hotline, Audit Committee meetings, $1.2M giving) have no backup in the package</w:t>
            </w:r>
          </w:p>
        </w:tc>
      </w:tr>
      <w:tr>
        <w:tc>
          <w:tcPr>
            <w:tcW w:type="dxa" w:w="504"/>
          </w:tcPr>
          <w:p>
            <w:r/>
            <w:r>
              <w:rPr>
                <w:sz w:val="18"/>
              </w:rPr>
              <w:t>24</w:t>
            </w:r>
          </w:p>
        </w:tc>
        <w:tc>
          <w:tcPr>
            <w:tcW w:type="dxa" w:w="1152"/>
            <w:shd w:val="clear" w:color="auto" w:fill="E2EFDA"/>
          </w:tcPr>
          <w:p>
            <w:r/>
            <w:r>
              <w:rPr>
                <w:sz w:val="18"/>
              </w:rPr>
              <w:t>Low</w:t>
            </w:r>
          </w:p>
        </w:tc>
        <w:tc>
          <w:tcPr>
            <w:tcW w:type="dxa" w:w="1944"/>
          </w:tcPr>
          <w:p>
            <w:r/>
            <w:r>
              <w:rPr>
                <w:sz w:val="18"/>
              </w:rPr>
              <w:t>4.4</w:t>
            </w:r>
          </w:p>
        </w:tc>
        <w:tc>
          <w:tcPr>
            <w:tcW w:type="dxa" w:w="5760"/>
          </w:tcPr>
          <w:p>
            <w:r/>
            <w:r>
              <w:rPr>
                <w:sz w:val="18"/>
              </w:rPr>
              <w:t>"Seven-state operating region": Company operates in five states</w:t>
            </w:r>
          </w:p>
        </w:tc>
      </w:tr>
      <w:tr>
        <w:tc>
          <w:tcPr>
            <w:tcW w:type="dxa" w:w="504"/>
          </w:tcPr>
          <w:p>
            <w:r/>
            <w:r>
              <w:rPr>
                <w:sz w:val="18"/>
              </w:rPr>
              <w:t>25</w:t>
            </w:r>
          </w:p>
        </w:tc>
        <w:tc>
          <w:tcPr>
            <w:tcW w:type="dxa" w:w="1152"/>
            <w:shd w:val="clear" w:color="auto" w:fill="E2EFDA"/>
          </w:tcPr>
          <w:p>
            <w:r/>
            <w:r>
              <w:rPr>
                <w:sz w:val="18"/>
              </w:rPr>
              <w:t>Low</w:t>
            </w:r>
          </w:p>
        </w:tc>
        <w:tc>
          <w:tcPr>
            <w:tcW w:type="dxa" w:w="1944"/>
          </w:tcPr>
          <w:p>
            <w:r/>
            <w:r>
              <w:rPr>
                <w:sz w:val="18"/>
              </w:rPr>
              <w:t>2.1, 2.4</w:t>
            </w:r>
          </w:p>
        </w:tc>
        <w:tc>
          <w:tcPr>
            <w:tcW w:type="dxa" w:w="5760"/>
          </w:tcPr>
          <w:p>
            <w:r/>
            <w:r>
              <w:rPr>
                <w:sz w:val="18"/>
              </w:rPr>
              <w:t>Naming the auditor and engagement partner implies auditor association with unaudited ESG data; possible consent issues if the report is filed</w:t>
            </w:r>
          </w:p>
        </w:tc>
      </w:tr>
      <w:tr>
        <w:tc>
          <w:tcPr>
            <w:tcW w:type="dxa" w:w="504"/>
          </w:tcPr>
          <w:p>
            <w:r/>
            <w:r>
              <w:rPr>
                <w:sz w:val="18"/>
              </w:rPr>
              <w:t>26</w:t>
            </w:r>
          </w:p>
        </w:tc>
        <w:tc>
          <w:tcPr>
            <w:tcW w:type="dxa" w:w="1152"/>
            <w:shd w:val="clear" w:color="auto" w:fill="E2EFDA"/>
          </w:tcPr>
          <w:p>
            <w:r/>
            <w:r>
              <w:rPr>
                <w:sz w:val="18"/>
              </w:rPr>
              <w:t>Low</w:t>
            </w:r>
          </w:p>
        </w:tc>
        <w:tc>
          <w:tcPr>
            <w:tcW w:type="dxa" w:w="1944"/>
          </w:tcPr>
          <w:p>
            <w:r/>
            <w:r>
              <w:rPr>
                <w:sz w:val="18"/>
              </w:rPr>
              <w:t>3.4.1, 3.5, 3.3.1</w:t>
            </w:r>
          </w:p>
        </w:tc>
        <w:tc>
          <w:tcPr>
            <w:tcW w:type="dxa" w:w="5760"/>
          </w:tcPr>
          <w:p>
            <w:r/>
            <w:r>
              <w:rPr>
                <w:sz w:val="18"/>
              </w:rPr>
              <w:t>Drafting inaccuracies: NPDES/POTW description, Huntsville general permit, hazardous waste "six facilities"</w:t>
            </w:r>
          </w:p>
        </w:tc>
      </w:tr>
      <w:tr>
        <w:tc>
          <w:tcPr>
            <w:tcW w:type="dxa" w:w="504"/>
          </w:tcPr>
          <w:p>
            <w:r/>
            <w:r>
              <w:rPr>
                <w:sz w:val="18"/>
              </w:rPr>
              <w:t>27</w:t>
            </w:r>
          </w:p>
        </w:tc>
        <w:tc>
          <w:tcPr>
            <w:tcW w:type="dxa" w:w="1152"/>
            <w:shd w:val="clear" w:color="auto" w:fill="E2EFDA"/>
          </w:tcPr>
          <w:p>
            <w:r/>
            <w:r>
              <w:rPr>
                <w:sz w:val="18"/>
              </w:rPr>
              <w:t>Low</w:t>
            </w:r>
          </w:p>
        </w:tc>
        <w:tc>
          <w:tcPr>
            <w:tcW w:type="dxa" w:w="1944"/>
          </w:tcPr>
          <w:p>
            <w:r/>
            <w:r>
              <w:rPr>
                <w:sz w:val="18"/>
              </w:rPr>
              <w:t>Process</w:t>
            </w:r>
          </w:p>
        </w:tc>
        <w:tc>
          <w:tcPr>
            <w:tcW w:type="dxa" w:w="5760"/>
          </w:tcPr>
          <w:p>
            <w:r/>
            <w:r>
              <w:rPr>
                <w:sz w:val="18"/>
              </w:rPr>
              <w:t>Privilege and record-handling: third-party consultant on GC emails; privileged Minutes; Consent Order copy anomaly (para. 33 cites FY2024 revenue)</w:t>
            </w:r>
          </w:p>
        </w:tc>
      </w:tr>
    </w:tbl>
    <w:p>
      <w:pPr>
        <w:spacing w:after="40"/>
      </w:pPr>
    </w:p>
    <w:p>
      <w:pPr>
        <w:pStyle w:val="Heading1"/>
      </w:pPr>
      <w:r>
        <w:t>III. Corrected Key Figures</w:t>
      </w:r>
    </w:p>
    <w:p>
      <w:pPr>
        <w:spacing w:after="80"/>
      </w:pPr>
      <w:r>
        <w:rPr>
          <w:b w:val="0"/>
          <w:i w:val="0"/>
        </w:rPr>
        <w:t>All corrected figures below tie to the Workbook (Summary, Scope 1 Detail, Scope 2 Detail and EHS Metrics tabs), the Minutes (December 12, 2024) and the 10-K revenue of $2.87 billion. We recomputed every figure independently.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864"/>
          </w:tcPr>
          <w:p>
            <w:r/>
            <w:r>
              <w:rPr>
                <w:b/>
                <w:color w:val="FFFFFF"/>
                <w:sz w:val="18"/>
              </w:rPr>
              <w:t>Metric</w:t>
            </w:r>
          </w:p>
        </w:tc>
        <w:tc>
          <w:tcPr>
            <w:tcW w:type="dxa" w:w="1728"/>
            <w:shd w:val="clear" w:color="auto" w:fill="1F3864"/>
          </w:tcPr>
          <w:p>
            <w:r/>
            <w:r>
              <w:rPr>
                <w:b/>
                <w:color w:val="FFFFFF"/>
                <w:sz w:val="18"/>
              </w:rPr>
              <w:t>Draft</w:t>
            </w:r>
          </w:p>
        </w:tc>
        <w:tc>
          <w:tcPr>
            <w:tcW w:type="dxa" w:w="3456"/>
            <w:shd w:val="clear" w:color="auto" w:fill="1F3864"/>
          </w:tcPr>
          <w:p>
            <w:r/>
            <w:r>
              <w:rPr>
                <w:b/>
                <w:color w:val="FFFFFF"/>
                <w:sz w:val="18"/>
              </w:rPr>
              <w:t>Correct (Source)</w:t>
            </w:r>
          </w:p>
        </w:tc>
        <w:tc>
          <w:tcPr>
            <w:tcW w:type="dxa" w:w="1872"/>
            <w:shd w:val="clear" w:color="auto" w:fill="1F3864"/>
          </w:tcPr>
          <w:p>
            <w:r/>
            <w:r>
              <w:rPr>
                <w:b/>
                <w:color w:val="FFFFFF"/>
                <w:sz w:val="18"/>
              </w:rPr>
              <w:t>Note</w:t>
            </w:r>
          </w:p>
        </w:tc>
      </w:tr>
      <w:tr>
        <w:tc>
          <w:tcPr>
            <w:tcW w:type="dxa" w:w="2304"/>
          </w:tcPr>
          <w:p>
            <w:r/>
            <w:r>
              <w:rPr>
                <w:sz w:val="18"/>
              </w:rPr>
              <w:t>Chattanooga Scope 1</w:t>
            </w:r>
          </w:p>
        </w:tc>
        <w:tc>
          <w:tcPr>
            <w:tcW w:type="dxa" w:w="1728"/>
          </w:tcPr>
          <w:p>
            <w:r/>
            <w:r>
              <w:rPr>
                <w:sz w:val="18"/>
              </w:rPr>
              <w:t>40,290</w:t>
            </w:r>
          </w:p>
        </w:tc>
        <w:tc>
          <w:tcPr>
            <w:tcW w:type="dxa" w:w="3456"/>
          </w:tcPr>
          <w:p>
            <w:r/>
            <w:r>
              <w:rPr>
                <w:sz w:val="18"/>
              </w:rPr>
              <w:t>44,290 (Workbook: 21,489 + 18,920 + 3,881)</w:t>
            </w:r>
          </w:p>
        </w:tc>
        <w:tc>
          <w:tcPr>
            <w:tcW w:type="dxa" w:w="1872"/>
          </w:tcPr>
          <w:p>
            <w:r/>
            <w:r>
              <w:rPr>
                <w:sz w:val="18"/>
              </w:rPr>
              <w:t>Transcription error of 4,000 mt</w:t>
            </w:r>
          </w:p>
        </w:tc>
      </w:tr>
      <w:tr>
        <w:tc>
          <w:tcPr>
            <w:tcW w:type="dxa" w:w="2304"/>
          </w:tcPr>
          <w:p>
            <w:r/>
            <w:r>
              <w:rPr>
                <w:sz w:val="18"/>
              </w:rPr>
              <w:t>Total Scope 1</w:t>
            </w:r>
          </w:p>
        </w:tc>
        <w:tc>
          <w:tcPr>
            <w:tcW w:type="dxa" w:w="1728"/>
          </w:tcPr>
          <w:p>
            <w:r/>
            <w:r>
              <w:rPr>
                <w:sz w:val="18"/>
              </w:rPr>
              <w:t>261,030</w:t>
            </w:r>
          </w:p>
        </w:tc>
        <w:tc>
          <w:tcPr>
            <w:tcW w:type="dxa" w:w="3456"/>
          </w:tcPr>
          <w:p>
            <w:r/>
            <w:r>
              <w:rPr>
                <w:sz w:val="18"/>
              </w:rPr>
              <w:t>265,030 (Workbook; Minutes 12/12/24)</w:t>
            </w:r>
          </w:p>
        </w:tc>
        <w:tc>
          <w:tcPr>
            <w:tcW w:type="dxa" w:w="1872"/>
          </w:tcPr>
          <w:p>
            <w:r/>
            <w:r>
              <w:rPr>
                <w:sz w:val="18"/>
              </w:rPr>
            </w:r>
          </w:p>
        </w:tc>
      </w:tr>
      <w:tr>
        <w:tc>
          <w:tcPr>
            <w:tcW w:type="dxa" w:w="2304"/>
          </w:tcPr>
          <w:p>
            <w:r/>
            <w:r>
              <w:rPr>
                <w:sz w:val="18"/>
              </w:rPr>
              <w:t>Huntsville share of Scope 1</w:t>
            </w:r>
          </w:p>
        </w:tc>
        <w:tc>
          <w:tcPr>
            <w:tcW w:type="dxa" w:w="1728"/>
          </w:tcPr>
          <w:p>
            <w:r/>
            <w:r>
              <w:rPr>
                <w:sz w:val="18"/>
              </w:rPr>
              <w:t>~26%</w:t>
            </w:r>
          </w:p>
        </w:tc>
        <w:tc>
          <w:tcPr>
            <w:tcW w:type="dxa" w:w="3456"/>
          </w:tcPr>
          <w:p>
            <w:r/>
            <w:r>
              <w:rPr>
                <w:sz w:val="18"/>
              </w:rPr>
              <w:t>~25% (67,420 / 265,030 = 25.4%)</w:t>
            </w:r>
          </w:p>
        </w:tc>
        <w:tc>
          <w:tcPr>
            <w:tcW w:type="dxa" w:w="1872"/>
          </w:tcPr>
          <w:p>
            <w:r/>
            <w:r>
              <w:rPr>
                <w:sz w:val="18"/>
              </w:rPr>
            </w:r>
          </w:p>
        </w:tc>
      </w:tr>
      <w:tr>
        <w:tc>
          <w:tcPr>
            <w:tcW w:type="dxa" w:w="2304"/>
          </w:tcPr>
          <w:p>
            <w:r/>
            <w:r>
              <w:rPr>
                <w:sz w:val="18"/>
              </w:rPr>
              <w:t>Scope 2 market-based</w:t>
            </w:r>
          </w:p>
        </w:tc>
        <w:tc>
          <w:tcPr>
            <w:tcW w:type="dxa" w:w="1728"/>
          </w:tcPr>
          <w:p>
            <w:r/>
            <w:r>
              <w:rPr>
                <w:sz w:val="18"/>
              </w:rPr>
              <w:t>118,790</w:t>
            </w:r>
          </w:p>
        </w:tc>
        <w:tc>
          <w:tcPr>
            <w:tcW w:type="dxa" w:w="3456"/>
          </w:tcPr>
          <w:p>
            <w:r/>
            <w:r>
              <w:rPr>
                <w:sz w:val="18"/>
              </w:rPr>
              <w:t>118,790 (subject to Issue 13)</w:t>
            </w:r>
          </w:p>
        </w:tc>
        <w:tc>
          <w:tcPr>
            <w:tcW w:type="dxa" w:w="1872"/>
          </w:tcPr>
          <w:p>
            <w:r/>
            <w:r>
              <w:rPr>
                <w:sz w:val="18"/>
              </w:rPr>
              <w:t>Methodology unverified</w:t>
            </w:r>
          </w:p>
        </w:tc>
      </w:tr>
      <w:tr>
        <w:tc>
          <w:tcPr>
            <w:tcW w:type="dxa" w:w="2304"/>
          </w:tcPr>
          <w:p>
            <w:r/>
            <w:r>
              <w:rPr>
                <w:sz w:val="18"/>
              </w:rPr>
              <w:t>Scope 2 location-based</w:t>
            </w:r>
          </w:p>
        </w:tc>
        <w:tc>
          <w:tcPr>
            <w:tcW w:type="dxa" w:w="1728"/>
          </w:tcPr>
          <w:p>
            <w:r/>
            <w:r>
              <w:rPr>
                <w:sz w:val="18"/>
              </w:rPr>
              <w:t>Not disclosed</w:t>
            </w:r>
          </w:p>
        </w:tc>
        <w:tc>
          <w:tcPr>
            <w:tcW w:type="dxa" w:w="3456"/>
          </w:tcPr>
          <w:p>
            <w:r/>
            <w:r>
              <w:rPr>
                <w:sz w:val="18"/>
              </w:rPr>
              <w:t>126,340 (Workbook; Minutes)</w:t>
            </w:r>
          </w:p>
        </w:tc>
        <w:tc>
          <w:tcPr>
            <w:tcW w:type="dxa" w:w="1872"/>
          </w:tcPr>
          <w:p>
            <w:r/>
            <w:r>
              <w:rPr>
                <w:sz w:val="18"/>
              </w:rPr>
              <w:t>Required (Issue 6)</w:t>
            </w:r>
          </w:p>
        </w:tc>
      </w:tr>
      <w:tr>
        <w:tc>
          <w:tcPr>
            <w:tcW w:type="dxa" w:w="2304"/>
          </w:tcPr>
          <w:p>
            <w:r/>
            <w:r>
              <w:rPr>
                <w:sz w:val="18"/>
              </w:rPr>
              <w:t>Combined Scope 1+2 (market)</w:t>
            </w:r>
          </w:p>
        </w:tc>
        <w:tc>
          <w:tcPr>
            <w:tcW w:type="dxa" w:w="1728"/>
          </w:tcPr>
          <w:p>
            <w:r/>
            <w:r>
              <w:rPr>
                <w:sz w:val="18"/>
              </w:rPr>
              <w:t>379,820</w:t>
            </w:r>
          </w:p>
        </w:tc>
        <w:tc>
          <w:tcPr>
            <w:tcW w:type="dxa" w:w="3456"/>
          </w:tcPr>
          <w:p>
            <w:r/>
            <w:r>
              <w:rPr>
                <w:sz w:val="18"/>
              </w:rPr>
              <w:t>383,820</w:t>
            </w:r>
          </w:p>
        </w:tc>
        <w:tc>
          <w:tcPr>
            <w:tcW w:type="dxa" w:w="1872"/>
          </w:tcPr>
          <w:p>
            <w:r/>
            <w:r>
              <w:rPr>
                <w:sz w:val="18"/>
              </w:rPr>
            </w:r>
          </w:p>
        </w:tc>
      </w:tr>
      <w:tr>
        <w:tc>
          <w:tcPr>
            <w:tcW w:type="dxa" w:w="2304"/>
          </w:tcPr>
          <w:p>
            <w:r/>
            <w:r>
              <w:rPr>
                <w:sz w:val="18"/>
              </w:rPr>
              <w:t>Combined Scope 1+2 (location)</w:t>
            </w:r>
          </w:p>
        </w:tc>
        <w:tc>
          <w:tcPr>
            <w:tcW w:type="dxa" w:w="1728"/>
          </w:tcPr>
          <w:p>
            <w:r/>
            <w:r>
              <w:rPr>
                <w:sz w:val="18"/>
              </w:rPr>
              <w:t>Not disclosed</w:t>
            </w:r>
          </w:p>
        </w:tc>
        <w:tc>
          <w:tcPr>
            <w:tcW w:type="dxa" w:w="3456"/>
          </w:tcPr>
          <w:p>
            <w:r/>
            <w:r>
              <w:rPr>
                <w:sz w:val="18"/>
              </w:rPr>
              <w:t>391,370</w:t>
            </w:r>
          </w:p>
        </w:tc>
        <w:tc>
          <w:tcPr>
            <w:tcW w:type="dxa" w:w="1872"/>
          </w:tcPr>
          <w:p>
            <w:r/>
            <w:r>
              <w:rPr>
                <w:sz w:val="18"/>
              </w:rPr>
            </w:r>
          </w:p>
        </w:tc>
      </w:tr>
      <w:tr>
        <w:tc>
          <w:tcPr>
            <w:tcW w:type="dxa" w:w="2304"/>
          </w:tcPr>
          <w:p>
            <w:r/>
            <w:r>
              <w:rPr>
                <w:sz w:val="18"/>
              </w:rPr>
              <w:t>Total Scope 1+2+3</w:t>
            </w:r>
          </w:p>
        </w:tc>
        <w:tc>
          <w:tcPr>
            <w:tcW w:type="dxa" w:w="1728"/>
          </w:tcPr>
          <w:p>
            <w:r/>
            <w:r>
              <w:rPr>
                <w:sz w:val="18"/>
              </w:rPr>
              <w:t>995,420</w:t>
            </w:r>
          </w:p>
        </w:tc>
        <w:tc>
          <w:tcPr>
            <w:tcW w:type="dxa" w:w="3456"/>
          </w:tcPr>
          <w:p>
            <w:r/>
            <w:r>
              <w:rPr>
                <w:sz w:val="18"/>
              </w:rPr>
              <w:t>999,420</w:t>
            </w:r>
          </w:p>
        </w:tc>
        <w:tc>
          <w:tcPr>
            <w:tcW w:type="dxa" w:w="1872"/>
          </w:tcPr>
          <w:p>
            <w:r/>
            <w:r>
              <w:rPr>
                <w:sz w:val="18"/>
              </w:rPr>
            </w:r>
          </w:p>
        </w:tc>
      </w:tr>
      <w:tr>
        <w:tc>
          <w:tcPr>
            <w:tcW w:type="dxa" w:w="2304"/>
          </w:tcPr>
          <w:p>
            <w:r/>
            <w:r>
              <w:rPr>
                <w:sz w:val="18"/>
              </w:rPr>
              <w:t>Scope 3 share of total</w:t>
            </w:r>
          </w:p>
        </w:tc>
        <w:tc>
          <w:tcPr>
            <w:tcW w:type="dxa" w:w="1728"/>
          </w:tcPr>
          <w:p>
            <w:r/>
            <w:r>
              <w:rPr>
                <w:sz w:val="18"/>
              </w:rPr>
              <w:t>~62%</w:t>
            </w:r>
          </w:p>
        </w:tc>
        <w:tc>
          <w:tcPr>
            <w:tcW w:type="dxa" w:w="3456"/>
          </w:tcPr>
          <w:p>
            <w:r/>
            <w:r>
              <w:rPr>
                <w:sz w:val="18"/>
              </w:rPr>
              <w:t>~62% (615,600 / 999,420 = 61.6%)</w:t>
            </w:r>
          </w:p>
        </w:tc>
        <w:tc>
          <w:tcPr>
            <w:tcW w:type="dxa" w:w="1872"/>
          </w:tcPr>
          <w:p>
            <w:r/>
            <w:r>
              <w:rPr>
                <w:sz w:val="18"/>
              </w:rPr>
              <w:t>No change in rounding</w:t>
            </w:r>
          </w:p>
        </w:tc>
      </w:tr>
      <w:tr>
        <w:tc>
          <w:tcPr>
            <w:tcW w:type="dxa" w:w="2304"/>
          </w:tcPr>
          <w:p>
            <w:r/>
            <w:r>
              <w:rPr>
                <w:sz w:val="18"/>
              </w:rPr>
              <w:t>Progress vs. 2023 baseline (market)</w:t>
            </w:r>
          </w:p>
        </w:tc>
        <w:tc>
          <w:tcPr>
            <w:tcW w:type="dxa" w:w="1728"/>
          </w:tcPr>
          <w:p>
            <w:r/>
            <w:r>
              <w:rPr>
                <w:sz w:val="18"/>
              </w:rPr>
              <w:t>6.2%</w:t>
            </w:r>
          </w:p>
        </w:tc>
        <w:tc>
          <w:tcPr>
            <w:tcW w:type="dxa" w:w="3456"/>
          </w:tcPr>
          <w:p>
            <w:r/>
            <w:r>
              <w:rPr>
                <w:sz w:val="18"/>
              </w:rPr>
              <w:t>4.34% ((401,250 - 383,820) / 401,250)</w:t>
            </w:r>
          </w:p>
        </w:tc>
        <w:tc>
          <w:tcPr>
            <w:tcW w:type="dxa" w:w="1872"/>
          </w:tcPr>
          <w:p>
            <w:r/>
            <w:r>
              <w:rPr>
                <w:sz w:val="18"/>
              </w:rPr>
              <w:t>Draft's own numbers give 5.34%</w:t>
            </w:r>
          </w:p>
        </w:tc>
      </w:tr>
      <w:tr>
        <w:tc>
          <w:tcPr>
            <w:tcW w:type="dxa" w:w="2304"/>
          </w:tcPr>
          <w:p>
            <w:r/>
            <w:r>
              <w:rPr>
                <w:sz w:val="18"/>
              </w:rPr>
              <w:t>Progress vs. baseline (location-based S2)</w:t>
            </w:r>
          </w:p>
        </w:tc>
        <w:tc>
          <w:tcPr>
            <w:tcW w:type="dxa" w:w="1728"/>
          </w:tcPr>
          <w:p>
            <w:r/>
            <w:r>
              <w:rPr>
                <w:sz w:val="18"/>
              </w:rPr>
              <w:t>Not disclosed</w:t>
            </w:r>
          </w:p>
        </w:tc>
        <w:tc>
          <w:tcPr>
            <w:tcW w:type="dxa" w:w="3456"/>
          </w:tcPr>
          <w:p>
            <w:r/>
            <w:r>
              <w:rPr>
                <w:sz w:val="18"/>
              </w:rPr>
              <w:t>2.46% (391,370 vs. 401,250)*</w:t>
            </w:r>
          </w:p>
        </w:tc>
        <w:tc>
          <w:tcPr>
            <w:tcW w:type="dxa" w:w="1872"/>
          </w:tcPr>
          <w:p>
            <w:r/>
            <w:r>
              <w:rPr>
                <w:sz w:val="18"/>
              </w:rPr>
              <w:t>*Assumes 2023 baseline had no REC benefit; confirm</w:t>
            </w:r>
          </w:p>
        </w:tc>
      </w:tr>
      <w:tr>
        <w:tc>
          <w:tcPr>
            <w:tcW w:type="dxa" w:w="2304"/>
          </w:tcPr>
          <w:p>
            <w:r/>
            <w:r>
              <w:rPr>
                <w:sz w:val="18"/>
              </w:rPr>
              <w:t>Remaining reduction to 2030 target</w:t>
            </w:r>
          </w:p>
        </w:tc>
        <w:tc>
          <w:tcPr>
            <w:tcW w:type="dxa" w:w="1728"/>
          </w:tcPr>
          <w:p>
            <w:r/>
            <w:r>
              <w:rPr>
                <w:sz w:val="18"/>
              </w:rPr>
              <w:t>Not stated</w:t>
            </w:r>
          </w:p>
        </w:tc>
        <w:tc>
          <w:tcPr>
            <w:tcW w:type="dxa" w:w="3456"/>
          </w:tcPr>
          <w:p>
            <w:r/>
            <w:r>
              <w:rPr>
                <w:sz w:val="18"/>
              </w:rPr>
              <w:t>102,945 mt (383,820 - 280,875); ~26.8% further cut needed</w:t>
            </w:r>
          </w:p>
        </w:tc>
        <w:tc>
          <w:tcPr>
            <w:tcW w:type="dxa" w:w="1872"/>
          </w:tcPr>
          <w:p>
            <w:r/>
            <w:r>
              <w:rPr>
                <w:sz w:val="18"/>
              </w:rPr>
            </w:r>
          </w:p>
        </w:tc>
      </w:tr>
      <w:tr>
        <w:tc>
          <w:tcPr>
            <w:tcW w:type="dxa" w:w="2304"/>
          </w:tcPr>
          <w:p>
            <w:r/>
            <w:r>
              <w:rPr>
                <w:sz w:val="18"/>
              </w:rPr>
              <w:t>GHG intensity / $1,000 revenue</w:t>
            </w:r>
          </w:p>
        </w:tc>
        <w:tc>
          <w:tcPr>
            <w:tcW w:type="dxa" w:w="1728"/>
          </w:tcPr>
          <w:p>
            <w:r/>
            <w:r>
              <w:rPr>
                <w:sz w:val="18"/>
              </w:rPr>
              <w:t>0.132</w:t>
            </w:r>
          </w:p>
        </w:tc>
        <w:tc>
          <w:tcPr>
            <w:tcW w:type="dxa" w:w="3456"/>
          </w:tcPr>
          <w:p>
            <w:r/>
            <w:r>
              <w:rPr>
                <w:sz w:val="18"/>
              </w:rPr>
              <w:t>0.134 (383,820 / 2,870,000)</w:t>
            </w:r>
          </w:p>
        </w:tc>
        <w:tc>
          <w:tcPr>
            <w:tcW w:type="dxa" w:w="1872"/>
          </w:tcPr>
          <w:p>
            <w:r/>
            <w:r>
              <w:rPr>
                <w:sz w:val="18"/>
              </w:rPr>
              <w:t>Workbook: 133.8 per $M</w:t>
            </w:r>
          </w:p>
        </w:tc>
      </w:tr>
      <w:tr>
        <w:tc>
          <w:tcPr>
            <w:tcW w:type="dxa" w:w="2304"/>
          </w:tcPr>
          <w:p>
            <w:r/>
            <w:r>
              <w:rPr>
                <w:sz w:val="18"/>
              </w:rPr>
              <w:t>GHG intensity / employee</w:t>
            </w:r>
          </w:p>
        </w:tc>
        <w:tc>
          <w:tcPr>
            <w:tcW w:type="dxa" w:w="1728"/>
          </w:tcPr>
          <w:p>
            <w:r/>
            <w:r>
              <w:rPr>
                <w:sz w:val="18"/>
              </w:rPr>
              <w:t>122.5</w:t>
            </w:r>
          </w:p>
        </w:tc>
        <w:tc>
          <w:tcPr>
            <w:tcW w:type="dxa" w:w="3456"/>
          </w:tcPr>
          <w:p>
            <w:r/>
            <w:r>
              <w:rPr>
                <w:sz w:val="18"/>
              </w:rPr>
              <w:t>127.9 (383,820 / 3,001)</w:t>
            </w:r>
          </w:p>
        </w:tc>
        <w:tc>
          <w:tcPr>
            <w:tcW w:type="dxa" w:w="1872"/>
          </w:tcPr>
          <w:p>
            <w:r/>
            <w:r>
              <w:rPr>
                <w:sz w:val="18"/>
              </w:rPr>
            </w:r>
          </w:p>
        </w:tc>
      </w:tr>
      <w:tr>
        <w:tc>
          <w:tcPr>
            <w:tcW w:type="dxa" w:w="2304"/>
          </w:tcPr>
          <w:p>
            <w:r/>
            <w:r>
              <w:rPr>
                <w:sz w:val="18"/>
              </w:rPr>
              <w:t>Revenue</w:t>
            </w:r>
          </w:p>
        </w:tc>
        <w:tc>
          <w:tcPr>
            <w:tcW w:type="dxa" w:w="1728"/>
          </w:tcPr>
          <w:p>
            <w:r/>
            <w:r>
              <w:rPr>
                <w:sz w:val="18"/>
              </w:rPr>
              <w:t>$2.91B (2.1) / $2.87B (2.4)</w:t>
            </w:r>
          </w:p>
        </w:tc>
        <w:tc>
          <w:tcPr>
            <w:tcW w:type="dxa" w:w="3456"/>
          </w:tcPr>
          <w:p>
            <w:r/>
            <w:r>
              <w:rPr>
                <w:sz w:val="18"/>
              </w:rPr>
              <w:t>$2.87B (audited 10-K filed 2/28/25)</w:t>
            </w:r>
          </w:p>
        </w:tc>
        <w:tc>
          <w:tcPr>
            <w:tcW w:type="dxa" w:w="1872"/>
          </w:tcPr>
          <w:p>
            <w:r/>
            <w:r>
              <w:rPr>
                <w:sz w:val="18"/>
              </w:rPr>
            </w:r>
          </w:p>
        </w:tc>
      </w:tr>
      <w:tr>
        <w:tc>
          <w:tcPr>
            <w:tcW w:type="dxa" w:w="2304"/>
          </w:tcPr>
          <w:p>
            <w:r/>
            <w:r>
              <w:rPr>
                <w:sz w:val="18"/>
              </w:rPr>
              <w:t>Total employees</w:t>
            </w:r>
          </w:p>
        </w:tc>
        <w:tc>
          <w:tcPr>
            <w:tcW w:type="dxa" w:w="1728"/>
          </w:tcPr>
          <w:p>
            <w:r/>
            <w:r>
              <w:rPr>
                <w:sz w:val="18"/>
              </w:rPr>
              <w:t>~3,100 (4.1, 6.2); ~3,000 (CEO)</w:t>
            </w:r>
          </w:p>
        </w:tc>
        <w:tc>
          <w:tcPr>
            <w:tcW w:type="dxa" w:w="3456"/>
          </w:tcPr>
          <w:p>
            <w:r/>
            <w:r>
              <w:rPr>
                <w:sz w:val="18"/>
              </w:rPr>
              <w:t>3,001 (HR census; Minutes 12/12/24)</w:t>
            </w:r>
          </w:p>
        </w:tc>
        <w:tc>
          <w:tcPr>
            <w:tcW w:type="dxa" w:w="1872"/>
          </w:tcPr>
          <w:p>
            <w:r/>
            <w:r>
              <w:rPr>
                <w:sz w:val="18"/>
              </w:rPr>
            </w:r>
          </w:p>
        </w:tc>
      </w:tr>
      <w:tr>
        <w:tc>
          <w:tcPr>
            <w:tcW w:type="dxa" w:w="2304"/>
          </w:tcPr>
          <w:p>
            <w:r/>
            <w:r>
              <w:rPr>
                <w:sz w:val="18"/>
              </w:rPr>
              <w:t>Manufacturing / HQ split</w:t>
            </w:r>
          </w:p>
        </w:tc>
        <w:tc>
          <w:tcPr>
            <w:tcW w:type="dxa" w:w="1728"/>
          </w:tcPr>
          <w:p>
            <w:r/>
            <w:r>
              <w:rPr>
                <w:sz w:val="18"/>
              </w:rPr>
              <w:t>87% / 13%</w:t>
            </w:r>
          </w:p>
        </w:tc>
        <w:tc>
          <w:tcPr>
            <w:tcW w:type="dxa" w:w="3456"/>
          </w:tcPr>
          <w:p>
            <w:r/>
            <w:r>
              <w:rPr>
                <w:sz w:val="18"/>
              </w:rPr>
              <w:t>89% / 11% (2,681 / 3,001)</w:t>
            </w:r>
          </w:p>
        </w:tc>
        <w:tc>
          <w:tcPr>
            <w:tcW w:type="dxa" w:w="1872"/>
          </w:tcPr>
          <w:p>
            <w:r/>
            <w:r>
              <w:rPr>
                <w:sz w:val="18"/>
              </w:rPr>
            </w:r>
          </w:p>
        </w:tc>
      </w:tr>
      <w:tr>
        <w:tc>
          <w:tcPr>
            <w:tcW w:type="dxa" w:w="2304"/>
          </w:tcPr>
          <w:p>
            <w:r/>
            <w:r>
              <w:rPr>
                <w:sz w:val="18"/>
              </w:rPr>
              <w:t>TRIR</w:t>
            </w:r>
          </w:p>
        </w:tc>
        <w:tc>
          <w:tcPr>
            <w:tcW w:type="dxa" w:w="1728"/>
          </w:tcPr>
          <w:p>
            <w:r/>
            <w:r>
              <w:rPr>
                <w:sz w:val="18"/>
              </w:rPr>
              <w:t>1.82</w:t>
            </w:r>
          </w:p>
        </w:tc>
        <w:tc>
          <w:tcPr>
            <w:tcW w:type="dxa" w:w="3456"/>
          </w:tcPr>
          <w:p>
            <w:r/>
            <w:r>
              <w:rPr>
                <w:sz w:val="18"/>
              </w:rPr>
              <w:t>1.80 (52 x 200,000 / 5,762,000 = 1.805; Workbook rounds to 1.81)</w:t>
            </w:r>
          </w:p>
        </w:tc>
        <w:tc>
          <w:tcPr>
            <w:tcW w:type="dxa" w:w="1872"/>
          </w:tcPr>
          <w:p>
            <w:r/>
            <w:r>
              <w:rPr>
                <w:sz w:val="18"/>
              </w:rPr>
              <w:t>Use one rounding convention</w:t>
            </w:r>
          </w:p>
        </w:tc>
      </w:tr>
      <w:tr>
        <w:tc>
          <w:tcPr>
            <w:tcW w:type="dxa" w:w="2304"/>
          </w:tcPr>
          <w:p>
            <w:r/>
            <w:r>
              <w:rPr>
                <w:sz w:val="18"/>
              </w:rPr>
              <w:t>Water intensity</w:t>
            </w:r>
          </w:p>
        </w:tc>
        <w:tc>
          <w:tcPr>
            <w:tcW w:type="dxa" w:w="1728"/>
          </w:tcPr>
          <w:p>
            <w:r/>
            <w:r>
              <w:rPr>
                <w:sz w:val="18"/>
              </w:rPr>
              <w:t>295 gal/$1,000</w:t>
            </w:r>
          </w:p>
        </w:tc>
        <w:tc>
          <w:tcPr>
            <w:tcW w:type="dxa" w:w="3456"/>
          </w:tcPr>
          <w:p>
            <w:r/>
            <w:r>
              <w:rPr>
                <w:sz w:val="18"/>
              </w:rPr>
              <w:t>295 (correct at $2.87B)</w:t>
            </w:r>
          </w:p>
        </w:tc>
        <w:tc>
          <w:tcPr>
            <w:tcW w:type="dxa" w:w="1872"/>
          </w:tcPr>
          <w:p>
            <w:r/>
            <w:r>
              <w:rPr>
                <w:sz w:val="18"/>
              </w:rPr>
              <w:t>Would be ~291 at $2.91B</w:t>
            </w:r>
          </w:p>
        </w:tc>
      </w:tr>
      <w:tr>
        <w:tc>
          <w:tcPr>
            <w:tcW w:type="dxa" w:w="2304"/>
          </w:tcPr>
          <w:p>
            <w:r/>
            <w:r>
              <w:rPr>
                <w:sz w:val="18"/>
              </w:rPr>
              <w:t>Environmental penalties FY2024</w:t>
            </w:r>
          </w:p>
        </w:tc>
        <w:tc>
          <w:tcPr>
            <w:tcW w:type="dxa" w:w="1728"/>
          </w:tcPr>
          <w:p>
            <w:r/>
            <w:r>
              <w:rPr>
                <w:sz w:val="18"/>
              </w:rPr>
              <w:t>"No material"</w:t>
            </w:r>
          </w:p>
        </w:tc>
        <w:tc>
          <w:tcPr>
            <w:tcW w:type="dxa" w:w="3456"/>
          </w:tcPr>
          <w:p>
            <w:r/>
            <w:r>
              <w:rPr>
                <w:sz w:val="18"/>
              </w:rPr>
              <w:t>$1,175,000 EPA civil penalty + $425,000 SEP; ADEM NOV pending; Workbook also lists $37,500 Huntsville fines</w:t>
            </w:r>
          </w:p>
        </w:tc>
        <w:tc>
          <w:tcPr>
            <w:tcW w:type="dxa" w:w="1872"/>
          </w:tcPr>
          <w:p>
            <w:r/>
            <w:r>
              <w:rPr>
                <w:sz w:val="18"/>
              </w:rPr>
              <w:t>Reconcile (Issue 7)</w:t>
            </w:r>
          </w:p>
        </w:tc>
      </w:tr>
    </w:tbl>
    <w:p>
      <w:pPr>
        <w:spacing w:after="40"/>
      </w:pPr>
    </w:p>
    <w:p>
      <w:pPr>
        <w:pStyle w:val="Heading1"/>
      </w:pPr>
      <w:r>
        <w:t>IV. Detailed Discussion of Issues</w:t>
      </w:r>
    </w:p>
    <w:p>
      <w:pPr>
        <w:pStyle w:val="Heading2"/>
      </w:pPr>
      <w:r>
        <w:t>Issue 1 [Critical]: Environmental compliance record misstated; EPA Consent Order omitted</w:t>
      </w:r>
    </w:p>
    <w:p>
      <w:pPr>
        <w:spacing w:after="80"/>
      </w:pPr>
      <w:r>
        <w:rPr>
          <w:b/>
        </w:rPr>
        <w:t xml:space="preserve">Draft text / location: </w:t>
      </w:r>
      <w:r>
        <w:rPr>
          <w:b w:val="0"/>
        </w:rPr>
        <w:t>Section 3.3.1: "In FY2024, Terraverde received no material environmental penalties or sanctions. Our EHS management system ensures ongoing monitoring and compliance across all manufacturing facilities, and our compliance teams work proactively to identify and address potential issues before they rise to the level of regulatory enforcement." CEO Letter: "We are proud that our environmental compliance record reflects our commitment to operating responsibly. We hold ourselves to the highest standards of regulatory compliance . . . ."</w:t>
      </w:r>
    </w:p>
    <w:p>
      <w:pPr>
        <w:spacing w:after="80"/>
      </w:pPr>
      <w:r>
        <w:rPr>
          <w:b/>
        </w:rPr>
        <w:t xml:space="preserve">Source evidence: </w:t>
      </w:r>
      <w:r>
        <w:rPr>
          <w:b w:val="0"/>
        </w:rPr>
        <w:t>EPA Region 4 issued Administrative Consent Order No. CAA-04-2024-3187 on June 14, 2024 (effective July 8, 2024) for the Savannah facility. The Order assessed a $1,175,000 civil penalty and required a $425,000 SEP, for a $1,600,000 total obligation (Consent Order paras. 34, 37, 45, 55). It made findings on four counts of CAA Section 112/NESHAP Subpart FFFF violations: LDAR monitoring frequency (412 and 387 unmonitored components; 56 new components not monitored), late repairs (23 leaking components), CEMS data integrity (TO-301 data gaps of 21% and 15% of operating hours; no 2022 RATAs) and recordkeeping. The violations ran for about 22 months and were found by EPA inspection, not self-identified. Minutes: on July 18, 2024 the GC said the Order is "a significant environmental enforcement action" to be disclosed in the 10-K and is relevant to ESG disclosures. D. Chu's memorandum of July 5, 2024 advised that an ESG report "that asserts the absence of material environmental penalties without disclosing the Consent Order could be viewed as materially misleading." The Board directed disclosure "in all relevant filings, reports, and disclosures, including the forthcoming ESG report" and the GC repeated this on December 12, 2024. The Email Chain (Okonkwo, March 11, 2025) confirms the Order "was disclosed in the 10-K" and that the compliance section was drafted to say "no material penalties"; the email asks whether to revisit, and no answer appears.</w:t>
      </w:r>
    </w:p>
    <w:p>
      <w:pPr>
        <w:spacing w:after="80"/>
      </w:pPr>
      <w:r>
        <w:rPr>
          <w:b/>
        </w:rPr>
        <w:t xml:space="preserve">Legal / accuracy risk: </w:t>
      </w:r>
      <w:r>
        <w:rPr>
          <w:b w:val="0"/>
        </w:rPr>
        <w:t>This is an affirmative misstatement and a half-truth on a topic the Draft itself identifies as a priority material topic ("Environmental compliance", Section 3.1). A penalty of more than $1 million is above the $300,000 (or up to $1 million if the issuer elects) threshold for environmental proceedings with a governmental authority under Regulation S-K Item 103(c)(3)(iii), which is why it appears in the 10-K. A statement that directly contradicts the Company's own 10-K, made after written advice of counsel and Board direction to the contrary, presents strong Rule 10b-5 risk, including scienter, and Section 18 risk if the report is filed. Characterizing the penalty as "not material" is not a defense: the statement is qualitative (compliance record), the Order is a matter of public record (paras. 70-71), and an ESG audience treats enforcement history as material regardless of its size relative to revenue. The statement that teams address issues "before they rise to the level of regulatory enforcement" is contradicted by the EPA inspection findings. The CEO letter compounds the problem, and similar "puffery" has been held actionable when contradicted by known, specific facts.</w:t>
      </w:r>
    </w:p>
    <w:p>
      <w:pPr>
        <w:spacing w:after="160"/>
      </w:pPr>
      <w:r>
        <w:rPr>
          <w:b/>
        </w:rPr>
        <w:t xml:space="preserve">Recommendation: </w:t>
      </w:r>
      <w:r>
        <w:rPr>
          <w:b w:val="0"/>
        </w:rPr>
        <w:t>Delete the "no material environmental penalties" sentence and the "before they rise to the level of regulatory enforcement" clause. Add a subsection along these lines: "Savannah, Georgia Consent Order. On June 14, 2024, EPA Region 4 issued an Administrative Consent Order and Agreement (Docket No. CAA-04-2024-3187), effective July 8, 2024, resolving alleged violations of the Clean Air Act NESHAP for Miscellaneous Organic Chemical Manufacturing (40 C.F.R. Part 63, Subpart FFFF) identified during an October 2023 EPA inspection of our Savannah facility, relating to leak detection and repair monitoring and repair, continuous emission monitoring data and recordkeeping. Without admitting or denying EPA's findings, we paid a civil penalty of $1,175,000 and agreed to fund a $425,000 Supplemental Environmental Project for community air quality monitoring in Chatham County, Georgia, and to complete LDAR program upgrades and an independent CEMS data integrity audit. [Insert status as of publication.]" Revise the CEO letter to remove "compliance record" and "highest standards" language, or tie it to the Order (for example, "FY2024 reinforced the importance of rigorous compliance; we resolved an EPA enforcement matter at our Savannah facility and are investing in program upgrades . . ."). Conform the Section 3.3.1 language to the 10-K Item 103 disclosure verbatim where possible.</w:t>
      </w:r>
    </w:p>
    <w:p>
      <w:pPr>
        <w:pStyle w:val="Heading2"/>
      </w:pPr>
      <w:r>
        <w:t>Issue 2 [Critical]: Superfund / legacy contamination exposure denied</w:t>
      </w:r>
    </w:p>
    <w:p>
      <w:pPr>
        <w:spacing w:after="80"/>
      </w:pPr>
      <w:r>
        <w:rPr>
          <w:b/>
        </w:rPr>
        <w:t xml:space="preserve">Draft text / location: </w:t>
      </w:r>
      <w:r>
        <w:rPr>
          <w:b w:val="0"/>
        </w:rPr>
        <w:t>Section 3.3.2: "Terraverde has no material exposure to legacy contamination or Superfund liabilities. Our manufacturing facilities are located on relatively modern industrial sites, and we have not inherited significant environmental legacies from prior operations or previous site occupants."</w:t>
      </w:r>
    </w:p>
    <w:p>
      <w:pPr>
        <w:spacing w:after="80"/>
      </w:pPr>
      <w:r>
        <w:rPr>
          <w:b/>
        </w:rPr>
        <w:t xml:space="preserve">Source evidence: </w:t>
      </w:r>
      <w:r>
        <w:rPr>
          <w:b w:val="0"/>
        </w:rPr>
        <w:t>Minutes (July 18, 2024, Section 2.3): the Company has been "formally identified as a potentially responsible party (PRP) under CERCLA" at the Crowley Landfill Superfund Site, Aiken County, SC (RI/FS phase, EPA Region 4), for disposal of process waste from about 1987 to 1995. Its estimated allocated share is about $3.8 million, and the Board approved recording a $3.8 million ASC 450 reserve ("probable and reasonably estimable"), which Cresthaven confirmed. Reaffirmed on September 12, 2024 (Section 3.3), with a warning that the share "could change as the RI/FS progressed."</w:t>
      </w:r>
    </w:p>
    <w:p>
      <w:pPr>
        <w:spacing w:after="80"/>
      </w:pPr>
      <w:r>
        <w:rPr>
          <w:b/>
        </w:rPr>
        <w:t xml:space="preserve">Legal / accuracy risk: </w:t>
      </w:r>
      <w:r>
        <w:rPr>
          <w:b w:val="0"/>
        </w:rPr>
        <w:t>The statement is flatly false. It also conflicts with the audited financial statements, which carry a recorded environmental reserve (and presumably related contingency disclosure in the 10-K). The "relatively modern sites" framing is misleading because CERCLA liability here comes from off-site disposal (arranger liability under 42 U.S.C. Section 9607(a)(3)), not from the condition of current sites. Joint and several liability under CERCLA, the early RI/FS stage and the possibility of reallocation mean the exposure could grow. Denying any Superfund exposure while a reserve is booked is a classic inconsistency that plaintiffs use in Rule 10b-5 complaints.</w:t>
      </w:r>
    </w:p>
    <w:p>
      <w:pPr>
        <w:spacing w:after="160"/>
      </w:pPr>
      <w:r>
        <w:rPr>
          <w:b/>
        </w:rPr>
        <w:t xml:space="preserve">Recommendation: </w:t>
      </w:r>
      <w:r>
        <w:rPr>
          <w:b w:val="0"/>
        </w:rPr>
        <w:t>Replace the first two sentences with accurate disclosure, for example: "Terraverde has been named a potentially responsible party under CERCLA at the Crowley Landfill Superfund Site in Aiken County, South Carolina, relating to the historical off-site disposal of process wastes between approximately 1987 and 1995. The site is in the remedial investigation/feasibility study phase. We have recorded an environmental reserve of $3.8 million, representing our estimated allocated share of remediation costs; this estimate may change as the RI/FS progresses." Conform to the 10-K contingencies note and confirm with Cresthaven and Fieldstone &amp; Hale. Check whether the soil and groundwater monitoring statement in the next paragraph ("results . . . have not indicated contamination requiring significant remediation") can be substantiated for every site.</w:t>
      </w:r>
    </w:p>
    <w:p>
      <w:pPr>
        <w:pStyle w:val="Heading2"/>
      </w:pPr>
      <w:r>
        <w:t>Issue 3 [Critical]: Scope 1 total understated by 4,000 mt CO2e; errors carry through the report</w:t>
      </w:r>
    </w:p>
    <w:p>
      <w:pPr>
        <w:spacing w:after="80"/>
      </w:pPr>
      <w:r>
        <w:rPr>
          <w:b/>
        </w:rPr>
        <w:t xml:space="preserve">Draft text / location: </w:t>
      </w:r>
      <w:r>
        <w:rPr>
          <w:b w:val="0"/>
        </w:rPr>
        <w:t>Section 3.2.2 facility table: Chattanooga 40,290; Total Scope 1 261,030. Repeated in 3.2.3 (combined 379,820), 3.2.4 (FY2024 actual 379,820), 3.2.6 (total 995,420) and 6.1 (all GHG lines; intensity 0.132 per $1,000 and 122.5 per employee).</w:t>
      </w:r>
    </w:p>
    <w:p>
      <w:pPr>
        <w:spacing w:after="80"/>
      </w:pPr>
      <w:r>
        <w:rPr>
          <w:b/>
        </w:rPr>
        <w:t xml:space="preserve">Source evidence: </w:t>
      </w:r>
      <w:r>
        <w:rPr>
          <w:b w:val="0"/>
        </w:rPr>
        <w:t>Workbook, Scope 1 Detail: Chattanooga = 21,489 (stationary) + 18,920 (process) + 3,881 (fugitive) = 44,290. Grand total 265,030. Workbook Summary: combined market-based 383,820; total 999,420. The Minutes of December 12, 2024 record the same Granville figures (Scope 1 265,030; combined 383,820) presented to the Board. Dr. Nair (March 10, 2025) wrote that Granville "haven't independently verified the combined Scope 1+2 total used in the draft," that the roll-up "was done by your team," and recommended tying it back to the detail tabs. The Draft's other six facility values match the Workbook, so the error is confined to the Chattanooga line and the sums built on it.</w:t>
      </w:r>
    </w:p>
    <w:p>
      <w:pPr>
        <w:spacing w:after="80"/>
      </w:pPr>
      <w:r>
        <w:rPr>
          <w:b/>
        </w:rPr>
        <w:t xml:space="preserve">Legal / accuracy risk: </w:t>
      </w:r>
      <w:r>
        <w:rPr>
          <w:b w:val="0"/>
        </w:rPr>
        <w:t>The understatement is in the favorable direction and drives the headline progress claim (Issue 4). The report says the inventory was prepared "with the support of" Granville, which implies third-party rigor. Publishing figures that differ from the consultant's workbook and from figures presented to the Board, after the consultant flagged the need to reconcile, creates accuracy and scienter risk. These are the core quantitative climate metrics investors and rating agencies will use.</w:t>
      </w:r>
    </w:p>
    <w:p>
      <w:pPr>
        <w:spacing w:after="160"/>
      </w:pPr>
      <w:r>
        <w:rPr>
          <w:b/>
        </w:rPr>
        <w:t xml:space="preserve">Recommendation: </w:t>
      </w:r>
      <w:r>
        <w:rPr>
          <w:b w:val="0"/>
        </w:rPr>
        <w:t>Correct the Chattanooga value to 44,290 and recompute every dependent figure (see Section III): Scope 1 265,030; combined 383,820; total 999,420; Huntsville share about 25%; intensity 0.134 per $1,000 revenue and 127.9 per employee. Require Granville to sign off in writing that every GHG figure in the final report ties to the Workbook. Put in place a documented tie-out (disclosure controls) for all quantitative data.</w:t>
      </w:r>
    </w:p>
    <w:p>
      <w:pPr>
        <w:pStyle w:val="Heading2"/>
      </w:pPr>
      <w:r>
        <w:t>Issue 4 [Critical]: Progress-to-target overstated (6.2% vs. 4.34%)</w:t>
      </w:r>
    </w:p>
    <w:p>
      <w:pPr>
        <w:spacing w:after="80"/>
      </w:pPr>
      <w:r>
        <w:rPr>
          <w:b/>
        </w:rPr>
        <w:t xml:space="preserve">Draft text / location: </w:t>
      </w:r>
      <w:r>
        <w:rPr>
          <w:b w:val="0"/>
        </w:rPr>
        <w:t>Section 3.2.4: "379,820 metric tons CO2e, representing a 6.2% reduction from our 2023 baseline of 401,250" and "we are encouraged by this initial progress"; Section 6.1: "FY2024 Progress vs. 2023 Baseline: 6.2%."</w:t>
      </w:r>
    </w:p>
    <w:p>
      <w:pPr>
        <w:spacing w:after="80"/>
      </w:pPr>
      <w:r>
        <w:rPr>
          <w:b/>
        </w:rPr>
        <w:t xml:space="preserve">Source evidence: </w:t>
      </w:r>
      <w:r>
        <w:rPr>
          <w:b w:val="0"/>
        </w:rPr>
        <w:t>Correct calculation: (401,250 - 383,820) / 401,250 = 4.34% (Workbook Summary, "YoY Reduction vs. 2023 Baseline 4.34%"). Even using the Draft's own erroneous 379,820, the reduction is 5.34%, not 6.2%; we found no data set that produces 6.2%. The Board was told on December 12, 2024 that the reduction was "approximately 4.3%," and Mr. Okonkwo said then that "the rate of reduction would need to accelerate significantly." In the Email Chain, Mr. Okonkwo proposed 6.2% and asked whether the GC was "comfortable . . . given this will be in a document filed with the SEC"; Dr. Nair flagged that the total was unverified; the GC replied "6.2% is a good number . . . Let's put our best foot forward."</w:t>
      </w:r>
    </w:p>
    <w:p>
      <w:pPr>
        <w:spacing w:after="80"/>
      </w:pPr>
      <w:r>
        <w:rPr>
          <w:b/>
        </w:rPr>
        <w:t xml:space="preserve">Legal / accuracy risk: </w:t>
      </w:r>
      <w:r>
        <w:rPr>
          <w:b w:val="0"/>
        </w:rPr>
        <w:t>This is the single most prominent quantitative claim in the climate section, and it overstates progress by about 43% (6.2 vs. 4.34). The record shows the Board and management knew the correct figure was about 4.3%, and that the GC approved 6.2% after being told it was unverified. That chronology would be powerful scienter evidence in a Rule 10b-5 action and is the kind of misstatement the SEC Enforcement Division has pursued in ESG cases. Separately, attributing the reduction to "operational efficiency measures" is unsupported: much of the change comes from REC purchases (Issue 6).</w:t>
      </w:r>
    </w:p>
    <w:p>
      <w:pPr>
        <w:spacing w:after="160"/>
      </w:pPr>
      <w:r>
        <w:rPr>
          <w:b/>
        </w:rPr>
        <w:t xml:space="preserve">Recommendation: </w:t>
      </w:r>
      <w:r>
        <w:rPr>
          <w:b w:val="0"/>
        </w:rPr>
        <w:t>Replace with: "Our FY2024 combined Scope 1 and Scope 2 (market-based) emissions were 383,820 mt CO2e, approximately 4.3% below our 2023 baseline of 401,250 mt CO2e. On a location-based basis, combined emissions were 391,370 mt CO2e [approximately 2.5% below the baseline - confirm baseline basis]. A substantial portion of the market-based reduction reflects the purchase of unbundled RECs. Meeting our 2030 target of 280,875 mt CO2e will require an additional reduction of approximately 102,945 mt CO2e (about 27% below FY2024 levels), and the pace of reduction must accelerate significantly." Recommend that the GC formally withdraw the March 11, 2025 direction in writing and that the decision be documented, given that the existing email record is discoverable.</w:t>
      </w:r>
    </w:p>
    <w:p>
      <w:pPr>
        <w:pStyle w:val="Heading2"/>
      </w:pPr>
      <w:r>
        <w:t>Issue 5 [Critical]: Renewable energy claim ("transitioned 40% ... to renewable sources")</w:t>
      </w:r>
    </w:p>
    <w:p>
      <w:pPr>
        <w:spacing w:after="80"/>
      </w:pPr>
      <w:r>
        <w:rPr>
          <w:b/>
        </w:rPr>
        <w:t xml:space="preserve">Draft text / location: </w:t>
      </w:r>
      <w:r>
        <w:rPr>
          <w:b w:val="0"/>
        </w:rPr>
        <w:t>Section 3.2.5: "Terraverde has transitioned 40% of its electricity consumption to renewable sources through the purchase of renewable energy certificates (RECs)." Section 6.1: "Renewable Energy as % of Total Electricity: 40%." Section 3.2.1: Scope 2 reflects "the specific contractual instruments in place for electricity procurement at each facility." Section 3.2.5 also says the RECs are "exclusively claimed by Terraverde."</w:t>
      </w:r>
    </w:p>
    <w:p>
      <w:pPr>
        <w:spacing w:after="80"/>
      </w:pPr>
      <w:r>
        <w:rPr>
          <w:b/>
        </w:rPr>
        <w:t xml:space="preserve">Source evidence: </w:t>
      </w:r>
      <w:r>
        <w:rPr>
          <w:b w:val="0"/>
        </w:rPr>
        <w:t>Workbook REC Purchases tab: four purchases from Northshore Energy Advisors totaling 119,680 MWh (40.0% of 299,200 MWh consumed), all "Unbundled national RECs; not facility-specific; not from a PPA or on-site generation"; "No Power Purchase Agreements (PPAs) or on-site renewable generation in place." Dr. Nair (March 10, 2025) warned that "transitioned . . . to renewable sources" "could reasonably be read as implying that Terraverde has physically changed its electricity supply," noted SEC, FTC and plaintiff-bar scrutiny, and proposed: "Terraverde has procured renewable energy certificates (RECs) covering approximately 40% of its total electricity consumption." The GC nevertheless approved the stronger language on March 11, 2025, citing Ridgeline's view that investors "respond much more positively" to affirmative claims.</w:t>
      </w:r>
    </w:p>
    <w:p>
      <w:pPr>
        <w:spacing w:after="80"/>
      </w:pPr>
      <w:r>
        <w:rPr>
          <w:b/>
        </w:rPr>
        <w:t xml:space="preserve">Legal / accuracy risk: </w:t>
      </w:r>
      <w:r>
        <w:rPr>
          <w:b w:val="0"/>
        </w:rPr>
        <w:t>The claim implies a physical or contractual change in electricity supply that has not occurred; Terraverde's facilities still draw 100% grid power from Southeastern utilities. The Email Chain shows the language was chosen for its investor appeal over the consultant's express warning, which increases Rule 10b-5 risk and the risk of an SEC greenwashing inquiry. The FTC Green Guides (16 C.F.R. Section 260.15) require renewable energy claims to be qualified so they do not mislead and to make clear the role of RECs; state consumer protection and anti-greenwashing claims (and NGO complaints) are also possible. Describing the RECs as "specific contractual instruments . . . at each facility" is inaccurate because they are national and not facility-specific. "Renewable energy as % of total electricity: 40%" in Table 6.1 repeats the problem.</w:t>
      </w:r>
    </w:p>
    <w:p>
      <w:pPr>
        <w:spacing w:after="160"/>
      </w:pPr>
      <w:r>
        <w:rPr>
          <w:b/>
        </w:rPr>
        <w:t xml:space="preserve">Recommendation: </w:t>
      </w:r>
      <w:r>
        <w:rPr>
          <w:b w:val="0"/>
        </w:rPr>
        <w:t>Adopt Granville's language or similar: "In FY2024, Terraverde purchased and retired Green-e Energy certified, unbundled renewable energy certificates (RECs) equal to approximately 40% of our total electricity consumption (119,680 MWh). These RECs are sourced from wind and solar projects located across the United States, are not associated with a power purchase agreement or on-site generation, and do not change the physical electricity delivered to our facilities. We apply them in calculating our market-based Scope 2 emissions." Rename the 6.1 line to "Electricity consumption matched by unbundled RECs (%)". Delete "specific contractual instruments in place . . . at each facility". Also remove "transitioned" from any CEO, investor or marketing material.</w:t>
      </w:r>
    </w:p>
    <w:p>
      <w:pPr>
        <w:pStyle w:val="Heading2"/>
      </w:pPr>
      <w:r>
        <w:t>Issue 6 [High]: Location-based Scope 2 omitted; progress is substantially REC-driven</w:t>
      </w:r>
    </w:p>
    <w:p>
      <w:pPr>
        <w:spacing w:after="80"/>
      </w:pPr>
      <w:r>
        <w:rPr>
          <w:b/>
        </w:rPr>
        <w:t xml:space="preserve">Draft text / location: </w:t>
      </w:r>
      <w:r>
        <w:rPr>
          <w:b w:val="0"/>
        </w:rPr>
        <w:t>Sections 3.2.1, 3.2.3 and 6.1 present only market-based Scope 2 (118,790). The Draft says it follows the GHG Protocol Scope 2 Guidance and "referenced" IFRS S2.</w:t>
      </w:r>
    </w:p>
    <w:p>
      <w:pPr>
        <w:spacing w:after="80"/>
      </w:pPr>
      <w:r>
        <w:rPr>
          <w:b/>
        </w:rPr>
        <w:t xml:space="preserve">Source evidence: </w:t>
      </w:r>
      <w:r>
        <w:rPr>
          <w:b w:val="0"/>
        </w:rPr>
        <w:t>Workbook: location-based Scope 2 = 126,340 mt (eGRID 2023); combined location-based 391,370. Minutes (December 12, 2024): the GC "directed that the report clearly present both figures with appropriate explanatory context," noting dual reporting is required by the Scope 2 Guidance and IFRS S2.</w:t>
      </w:r>
    </w:p>
    <w:p>
      <w:pPr>
        <w:spacing w:after="80"/>
      </w:pPr>
      <w:r>
        <w:rPr>
          <w:b/>
        </w:rPr>
        <w:t xml:space="preserve">Legal / accuracy risk: </w:t>
      </w:r>
      <w:r>
        <w:rPr>
          <w:b w:val="0"/>
        </w:rPr>
        <w:t>The GHG Protocol Scope 2 Guidance requires dual reporting (location- and market-based) for companies operating in markets with contractual instruments. IFRS S2 requires location-based Scope 2 plus information about contractual instruments. Leaving out location-based figures while claiming to follow these standards is misleading, and it hides that REC purchases account for much of the market-based improvement. On a location-based basis, the year-over-year change in combined emissions is only about 2.5% (if the 2023 baseline had no REC benefit). It also contradicts the GC's express direction.</w:t>
      </w:r>
    </w:p>
    <w:p>
      <w:pPr>
        <w:spacing w:after="160"/>
      </w:pPr>
      <w:r>
        <w:rPr>
          <w:b/>
        </w:rPr>
        <w:t xml:space="preserve">Recommendation: </w:t>
      </w:r>
      <w:r>
        <w:rPr>
          <w:b w:val="0"/>
        </w:rPr>
        <w:t>Add location-based Scope 2 (facility table and totals), combined location-based Scope 1+2 (391,370) and narrative explaining the difference. State whether the 2023 baseline includes any REC benefit and whether the target is measured market-based only (it is). Consider disclosing progress on both bases.</w:t>
      </w:r>
    </w:p>
    <w:p>
      <w:pPr>
        <w:pStyle w:val="Heading2"/>
      </w:pPr>
      <w:r>
        <w:t>Issue 7 [High]: Huntsville ADEM NOV omitted; Workbook compliance data unreconciled</w:t>
      </w:r>
    </w:p>
    <w:p>
      <w:pPr>
        <w:spacing w:after="80"/>
      </w:pPr>
      <w:r>
        <w:rPr>
          <w:b/>
        </w:rPr>
        <w:t xml:space="preserve">Draft text / location: </w:t>
      </w:r>
      <w:r>
        <w:rPr>
          <w:b w:val="0"/>
        </w:rPr>
        <w:t>Section 3.3.1 discloses no enforcement matters. Section 3.4.1 says all wastewater discharges are regulated under facility-specific NPDES permits and meet effluent limits.</w:t>
      </w:r>
    </w:p>
    <w:p>
      <w:pPr>
        <w:spacing w:after="80"/>
      </w:pPr>
      <w:r>
        <w:rPr>
          <w:b/>
        </w:rPr>
        <w:t xml:space="preserve">Source evidence: </w:t>
      </w:r>
      <w:r>
        <w:rPr>
          <w:b w:val="0"/>
        </w:rPr>
        <w:t>Minutes (December 12, 2024, Section 4.5): on November 18, 2024, ADEM issued an NOV alleging Total Suspended Solids exceedances in stormwater from the Huntsville facility's industrial stormwater outfall under its NPDES General Permit. No penalty has been assessed, and informal resolution discussions are ongoing. The GC directed Mr. Okonkwo to include language on the ADEM NOV in the draft ESG report. The Workbook EHS Metrics tab separately reports "Environmental Compliance Violations: 2 notices of violation - Minor air permit exceedances at Huntsville; corrective action completed" and "Environmental Fines Paid: $37,500 - Related to Huntsville air permit exceedances." The tab does not capture the Savannah penalty and does not match the Minutes (a water NOV with no penalty).</w:t>
      </w:r>
    </w:p>
    <w:p>
      <w:pPr>
        <w:spacing w:after="80"/>
      </w:pPr>
      <w:r>
        <w:rPr>
          <w:b/>
        </w:rPr>
        <w:t xml:space="preserve">Legal / accuracy risk: </w:t>
      </w:r>
      <w:r>
        <w:rPr>
          <w:b w:val="0"/>
        </w:rPr>
        <w:t>The omission disregards an express GC direction. The Workbook entries suggest there may be one or more additional Huntsville air matters, with fines paid, that are not reflected in the Minutes, the Draft or (possibly) the 10-K. Any statement about FY2024 penalties must be complete. The Workbook's compliance data also cannot be relied on as the source of record.</w:t>
      </w:r>
    </w:p>
    <w:p>
      <w:pPr>
        <w:spacing w:after="160"/>
      </w:pPr>
      <w:r>
        <w:rPr>
          <w:b/>
        </w:rPr>
        <w:t xml:space="preserve">Recommendation: </w:t>
      </w:r>
      <w:r>
        <w:rPr>
          <w:b w:val="0"/>
        </w:rPr>
        <w:t>Add disclosure of the ADEM NOV (nature, contractor-related sediment cause, remedial measures, status). Before publication, reconcile with Legal and EHS: (i) the number and nature of all FY2024 NOVs (air and water, all facilities); (ii) the $37,500 in fines (agency, facility, date, permit); and (iii) whether the Huntsville air matter was reported to the Board or disclosed in the 10-K. Present an accurate FY2024 enforcement summary table (number of NOVs, penalties paid, SEP commitments).</w:t>
      </w:r>
    </w:p>
    <w:p>
      <w:pPr>
        <w:pStyle w:val="Heading2"/>
      </w:pPr>
      <w:r>
        <w:t>Issue 8 [High]: LDAR and compliance-system claims contradicted; Consent Order compliance status and term discrepancies</w:t>
      </w:r>
    </w:p>
    <w:p>
      <w:pPr>
        <w:spacing w:after="80"/>
      </w:pPr>
      <w:r>
        <w:rPr>
          <w:b/>
        </w:rPr>
        <w:t xml:space="preserve">Draft text / location: </w:t>
      </w:r>
      <w:r>
        <w:rPr>
          <w:b w:val="0"/>
        </w:rPr>
        <w:t>Section 3.2.2: "we have implemented leak detection and repair (LDAR) programs at all manufacturing facilities to minimize these losses." Section 3.3.1: "Our EHS management system ensures ongoing monitoring and compliance across all manufacturing facilities." Neither section describes the Order's corrective-action obligations.</w:t>
      </w:r>
    </w:p>
    <w:p>
      <w:pPr>
        <w:spacing w:after="80"/>
      </w:pPr>
      <w:r>
        <w:rPr>
          <w:b/>
        </w:rPr>
        <w:t xml:space="preserve">Source evidence: </w:t>
      </w:r>
      <w:r>
        <w:rPr>
          <w:b w:val="0"/>
        </w:rPr>
        <w:t>The Consent Order makes LDAR failures at Savannah the basis of Counts I and II and requires: (a) a digital barcode/RFID component tracking system, personnel retraining, a full baseline survey and an independent third-party LDAR audit by a firm not previously retained, all by March 31, 2025, with officer certification within 15 days (paras. 46-48); (b) an independent CEMS data integrity audit with the final report to EPA by June 30, 2025, and implementation of recommendations within 60 days (paras. 49-51); (c) quarterly compliance reports starting 90 days after July 8, 2024 (para. 52); (d) a SEP Implementation Plan within 60 days of the effective date (para. 40), four monitoring stations (para. 38) operated for five years, and semi-annual SEP progress reports starting six months after the effective date (para. 43); and (e) penalty payment within 30 days of the effective date (para. 36), i.e., by about August 7, 2024. Stipulated penalties apply (para. 63: $2,500/day for LDAR or CEMS deadlines; $1,000/day for late reports or payment; $5,000/day for SEP delay). The Minutes describe the Order differently: a 60-day payment period (due about September 6, 2024), three monitoring stations, LDAR upgrades consisting of "enhanced monitoring schedules and installation of optical gas imaging (OGI)," and CEMS audit results due within 30 days of completion. On December 12, 2024, LDAR upgrades were about 60% complete, the SEP had "not yet commenced" and the SEP vendor was not yet selected. The penalty was paid "in August 2024" (exact date not stated).</w:t>
      </w:r>
    </w:p>
    <w:p>
      <w:pPr>
        <w:spacing w:after="80"/>
      </w:pPr>
      <w:r>
        <w:rPr>
          <w:b/>
        </w:rPr>
        <w:t xml:space="preserve">Legal / accuracy risk: </w:t>
      </w:r>
      <w:r>
        <w:rPr>
          <w:b w:val="0"/>
        </w:rPr>
        <w:t>The Draft's general claims about LDAR and compliance systems are misleading in light of the Order. More importantly, the Minutes suggest management may be working from an inaccurate understanding of the Order: wrong payment period, wrong number of SEP stations, and LDAR scope that omits the digital tracking system, third-party audit and baseline survey. That creates a real risk of missed deadlines and stipulated penalties: (i) the payment may have been late if made after about August 7, 2024; (ii) the SEP Implementation Plan was due about September 6, 2024, but no vendor had been selected by December; (iii) the March 31, 2025 LDAR deadline falls two weeks after the Draft's cover date. Any new deviation would also undercut the ESG narrative and may require disclosure.</w:t>
      </w:r>
    </w:p>
    <w:p>
      <w:pPr>
        <w:spacing w:after="160"/>
      </w:pPr>
      <w:r>
        <w:rPr>
          <w:b/>
        </w:rPr>
        <w:t xml:space="preserve">Recommendation: </w:t>
      </w:r>
      <w:r>
        <w:rPr>
          <w:b w:val="0"/>
        </w:rPr>
        <w:t>(1) Revise Section 3.2.2 to say, for example, "we maintain LDAR programs at our manufacturing facilities and, at our Savannah facility, are completing upgrades required under a 2024 EPA consent order." (2) Delete or qualify "ensures ongoing monitoring and compliance." (3) In the Consent Order disclosure (Issue 1), state the status of each corrective action as of publication. (4) Separately, ask Fieldstone &amp; Hale to confirm promptly: the penalty payment date; whether the SEP Implementation Plan and semi-annual SEP reports were submitted on time and whether EPA approved the plan; whether quarterly compliance reports have been filed; whether the LDAR scope being implemented matches para. 46 (digital tracking, retraining, independent auditor, baseline survey); and whether the March 31, 2025 certification will be timely. Correct the Board's understanding of the Order terms in the next Board materials.</w:t>
      </w:r>
    </w:p>
    <w:p>
      <w:pPr>
        <w:pStyle w:val="Heading2"/>
      </w:pPr>
      <w:r>
        <w:t>Issue 9 [High]: Filing the report as an exhibit to Form 10-K/A</w:t>
      </w:r>
    </w:p>
    <w:p>
      <w:pPr>
        <w:spacing w:after="80"/>
      </w:pPr>
      <w:r>
        <w:rPr>
          <w:b/>
        </w:rPr>
        <w:t xml:space="preserve">Draft text / location: </w:t>
      </w:r>
      <w:r>
        <w:rPr>
          <w:b w:val="0"/>
        </w:rPr>
        <w:t>Sections 2.3 and 7: the report "will be filed as an exhibit to the company's Annual Report on Form 10-K/A." Section 5.1: the Board "authorized its planned publication and SEC filing."</w:t>
      </w:r>
    </w:p>
    <w:p>
      <w:pPr>
        <w:spacing w:after="80"/>
      </w:pPr>
      <w:r>
        <w:rPr>
          <w:b/>
        </w:rPr>
        <w:t xml:space="preserve">Source evidence: </w:t>
      </w:r>
      <w:r>
        <w:rPr>
          <w:b w:val="0"/>
        </w:rPr>
        <w:t>Minutes (March 14, 2024): D. Chu advised that filing would subject every statement to securities-law liability; Mr. Okonkwo described filing only as "potentially" occurring. No Minutes excerpt records Board authorization to file. The Email Chain treats filing as decided.</w:t>
      </w:r>
    </w:p>
    <w:p>
      <w:pPr>
        <w:spacing w:after="80"/>
      </w:pPr>
      <w:r>
        <w:rPr>
          <w:b/>
        </w:rPr>
        <w:t xml:space="preserve">Legal / accuracy risk: </w:t>
      </w:r>
      <w:r>
        <w:rPr>
          <w:b w:val="0"/>
        </w:rPr>
        <w:t>Filing (rather than posting on the website) makes the report part of an Exchange Act report. That creates Section 18 liability and exposure to SEC enforcement for filed-document accuracy, brings it within the CEO/CFO certifications required by Rules 13a-14(a)/(b) (SOX Sections 302 and 906) for the 10-K/A and disclosure-controls evaluation, and may cause it to be incorporated by reference into Securities Act registration statements (e.g., Form S-3/S-8). That would raise Section 11 exposure and expert-consent questions (see Issue 25). The report contains forward-looking targets, estimates (spend-based Scope 3) and unassured data, none of which have been through the disclosure controls applied to the 10-K. There is no apparent legal requirement to file it, and the SEC climate rule is stayed (Issue 11).</w:t>
      </w:r>
    </w:p>
    <w:p>
      <w:pPr>
        <w:spacing w:after="160"/>
      </w:pPr>
      <w:r>
        <w:rPr>
          <w:b/>
        </w:rPr>
        <w:t xml:space="preserve">Recommendation: </w:t>
      </w:r>
      <w:r>
        <w:rPr>
          <w:b w:val="0"/>
        </w:rPr>
        <w:t>Strongly recommend not filing the report with the SEC. Publish it on the website with a clear statement that it is not incorporated by reference into any SEC filing, and with robust cautionary language. If the Company nonetheless wishes to file it, (i) obtain express Board (or Audit Committee) authorization; (ii) subject the report to full disclosure-controls procedures and officer sub-certifications; (iii) consider furnishing rather than filing where permitted; and (iv) remove the auditor reference or obtain consent. Correct the Section 5.1 description either way.</w:t>
      </w:r>
    </w:p>
    <w:p>
      <w:pPr>
        <w:pStyle w:val="Heading2"/>
      </w:pPr>
      <w:r>
        <w:t>Issue 10 [High]: No forward-looking statements / cautionary language</w:t>
      </w:r>
    </w:p>
    <w:p>
      <w:pPr>
        <w:spacing w:after="80"/>
      </w:pPr>
      <w:r>
        <w:rPr>
          <w:b/>
        </w:rPr>
        <w:t xml:space="preserve">Draft text / location: </w:t>
      </w:r>
      <w:r>
        <w:rPr>
          <w:b w:val="0"/>
        </w:rPr>
        <w:t>The CEO Letter, Sections 3.2.4, 3.2.5 and 3.4-3.5 contain targets (30% by 2030; net-zero by 2050), a planned $45 million capital program (2025-2028), PPA and on-site solar plans, "intend to significantly expand" renewable energy and future assurance plans. The Draft contains no forward-looking statements legend.</w:t>
      </w:r>
    </w:p>
    <w:p>
      <w:pPr>
        <w:spacing w:after="80"/>
      </w:pPr>
      <w:r>
        <w:rPr>
          <w:b/>
        </w:rPr>
        <w:t xml:space="preserve">Source evidence: </w:t>
      </w:r>
      <w:r>
        <w:rPr>
          <w:b w:val="0"/>
        </w:rPr>
        <w:t>Minutes (September 12, 2024): the GC advised that disclosure of the 2030 and 2050 targets "should be accompanied by appropriate cautionary language, including safe harbor statements under the [PSLRA]." Directors stressed significant uncertainty about the 2050 goal.</w:t>
      </w:r>
    </w:p>
    <w:p>
      <w:pPr>
        <w:spacing w:after="80"/>
      </w:pPr>
      <w:r>
        <w:rPr>
          <w:b/>
        </w:rPr>
        <w:t xml:space="preserve">Legal / accuracy risk: </w:t>
      </w:r>
      <w:r>
        <w:rPr>
          <w:b w:val="0"/>
        </w:rPr>
        <w:t>Without meaningful cautionary statements identifying important risk factors, the statutory safe harbor (Exchange Act Section 21E) and the bespeaks-caution doctrine will not be available. Climate targets have been a focus of SEC comment letters and private litigation. The CEO letter's "we have set ambitious goals" and "to achieve these targets, we plan to invest approximately $45 million" will be read as commitments.</w:t>
      </w:r>
    </w:p>
    <w:p>
      <w:pPr>
        <w:spacing w:after="160"/>
      </w:pPr>
      <w:r>
        <w:rPr>
          <w:b/>
        </w:rPr>
        <w:t xml:space="preserve">Recommendation: </w:t>
      </w:r>
      <w:r>
        <w:rPr>
          <w:b w:val="0"/>
        </w:rPr>
        <w:t>Add a prominent forward-looking statements section, at the front or end of the report and referenced in the CEO letter, that identifies the targets, capex, PPAs and Scope 3 refinements as forward-looking. It should list specific risk factors (technology availability and cost, utility grid mix, REC market, regulatory changes, capital allocation, production growth, data and methodology changes and baseline recalculation, consent order compliance) and cross-reference the 10-K risk factors. Add a methodology and estimates disclaimer (Scope 3 spend-based estimates, data quality ratings, unassured data). Describe the 2050 net-zero goal consistently as aspirational everywhere (the CEO letter is reasonably careful; Section 5.1 calls it an "aspiration" but approved as a "target").</w:t>
      </w:r>
    </w:p>
    <w:p>
      <w:pPr>
        <w:pStyle w:val="Heading2"/>
      </w:pPr>
      <w:r>
        <w:t>Issue 11 [High]: Framework alignment claims overstated; reference to SEC climate rules</w:t>
      </w:r>
    </w:p>
    <w:p>
      <w:pPr>
        <w:spacing w:after="80"/>
      </w:pPr>
      <w:r>
        <w:rPr>
          <w:b/>
        </w:rPr>
        <w:t xml:space="preserve">Draft text / location: </w:t>
      </w:r>
      <w:r>
        <w:rPr>
          <w:b w:val="0"/>
        </w:rPr>
        <w:t>Sections 2.3 and 7 list "U.S. Securities and Exchange Commission climate disclosure rules" and say the Company has "considered the SEC's climate-related disclosure requirements"; the report claims to reference IFRS S2 and to follow the GHG Protocol standards.</w:t>
      </w:r>
    </w:p>
    <w:p>
      <w:pPr>
        <w:spacing w:after="80"/>
      </w:pPr>
      <w:r>
        <w:rPr>
          <w:b/>
        </w:rPr>
        <w:t xml:space="preserve">Source evidence: </w:t>
      </w:r>
      <w:r>
        <w:rPr>
          <w:b w:val="0"/>
        </w:rPr>
        <w:t>Minutes (March 14 and December 12, 2024): the report was to be aligned with ISSB S2 and the SEC rules "adopted in March 2024," covering all four TCFD pillars.</w:t>
      </w:r>
    </w:p>
    <w:p>
      <w:pPr>
        <w:spacing w:after="80"/>
      </w:pPr>
      <w:r>
        <w:rPr>
          <w:b/>
        </w:rPr>
        <w:t xml:space="preserve">Legal / accuracy risk: </w:t>
      </w:r>
      <w:r>
        <w:rPr>
          <w:b w:val="0"/>
        </w:rPr>
        <w:t>The SEC's climate disclosure rules (Release No. 33-11275, March 6, 2024) were voluntarily stayed by the SEC in April 2024 pending Eighth Circuit review. The Commission subsequently voted (March 2025) to end its defense of the rules, so they are not in effect and no compliance obligation has arisen. Listing them as a framework suggests a level of compliance the Draft does not provide and may soon look outdated. The Draft also falls short of IFRS S2 in material respects: no location-based Scope 2; no climate scenario analysis or resilience assessment; limited description of climate-related risks and opportunities and their current and anticipated financial effects; no transition plan detail beyond a capex figure; no internal carbon price or remuneration linkage disclosure; and Scope 3 without category-by-category rationale. Overstated framework claims are a common greenwashing theory.</w:t>
      </w:r>
    </w:p>
    <w:p>
      <w:pPr>
        <w:spacing w:after="160"/>
      </w:pPr>
      <w:r>
        <w:rPr>
          <w:b/>
        </w:rPr>
        <w:t xml:space="preserve">Recommendation: </w:t>
      </w:r>
      <w:r>
        <w:rPr>
          <w:b w:val="0"/>
        </w:rPr>
        <w:t>Remove the SEC rules as a "reference framework" (or describe their status accurately and state that the report is not prepared to comply with them). Change "referenced IFRS S2" to "informed by" and add a statement that the report does not purport to comply fully with IFRS S2, or provide a content index showing which S2 requirements are addressed and which are not. Similarly limit claims that the inventory "follows" the GHG Protocol until the gaps in Issues 6, 12 and 19 are fixed.</w:t>
      </w:r>
    </w:p>
    <w:p>
      <w:pPr>
        <w:pStyle w:val="Heading2"/>
      </w:pPr>
      <w:r>
        <w:t>Issue 12 [High]: Scope 3 described as "comprehensive"; omissions and method misdescriptions</w:t>
      </w:r>
    </w:p>
    <w:p>
      <w:pPr>
        <w:spacing w:after="80"/>
      </w:pPr>
      <w:r>
        <w:rPr>
          <w:b/>
        </w:rPr>
        <w:t xml:space="preserve">Draft text / location: </w:t>
      </w:r>
      <w:r>
        <w:rPr>
          <w:b w:val="0"/>
        </w:rPr>
        <w:t>Section 3.2: "first comprehensive greenhouse gas emissions inventory, covering Scope 1 . . . Scope 2 . . . and Scope 3"; Section 3.2.6: "we completed our first comprehensive Scope 3 assessment covering the categories most relevant to our operations." Section 3.2.1: for categories other than Category 1, "emissions were calculated using a combination of activity data (e.g., . . . transportation distance and mode data, business travel booking records)." Section 3.2.6: Category 6 covers "air travel, rail travel, and rental car usage."</w:t>
      </w:r>
    </w:p>
    <w:p>
      <w:pPr>
        <w:spacing w:after="80"/>
      </w:pPr>
      <w:r>
        <w:rPr>
          <w:b/>
        </w:rPr>
        <w:t xml:space="preserve">Source evidence: </w:t>
      </w:r>
      <w:r>
        <w:rPr>
          <w:b w:val="0"/>
        </w:rPr>
        <w:t>Workbook Scope 3 Detail: only 6 of 15 categories reported. Notes: "Only 6 of 15 categories reported; no screening analysis or exclusion justification provided." Category 12 (end-of-life) is "Not estimated . . . potentially material for specialty chemicals"; Category 10 (processing of sold products) is not estimated, although many products are intermediates; Categories 2, 5 and 7 are not estimated. Category 11 is "Product lifecycle analysis (partial) . . . partial coverage of product portfolio" (data quality 2 of 5). Category 4 and Category 6 were spend-based, not activity-based; Category 6 covered air travel, hotel stays and rental cars (not rail). Data quality ratings are 2-3 for most categories.</w:t>
      </w:r>
    </w:p>
    <w:p>
      <w:pPr>
        <w:spacing w:after="80"/>
      </w:pPr>
      <w:r>
        <w:rPr>
          <w:b/>
        </w:rPr>
        <w:t xml:space="preserve">Legal / accuracy risk: </w:t>
      </w:r>
      <w:r>
        <w:rPr>
          <w:b w:val="0"/>
        </w:rPr>
        <w:t>The GHG Protocol Scope 3 Standard requires companies to report all relevant categories and to disclose and justify exclusions. Calling a partial, largely spend-based estimate "comprehensive" and stating that excluded categories are the "most relevant" (with no screening analysis, and with Category 12 flagged as potentially material) is misleading. Misdescribing estimation methods undermines the methodology section. Note also that Category 11 for intermediates and additives normally covers indirect use-phase emissions; the partial coverage means the 312,500 figure could change materially.</w:t>
      </w:r>
    </w:p>
    <w:p>
      <w:pPr>
        <w:spacing w:after="160"/>
      </w:pPr>
      <w:r>
        <w:rPr>
          <w:b/>
        </w:rPr>
        <w:t xml:space="preserve">Recommendation: </w:t>
      </w:r>
      <w:r>
        <w:rPr>
          <w:b w:val="0"/>
        </w:rPr>
        <w:t>Delete "comprehensive" in both places. Disclose that six categories were estimated; list the categories not estimated and the reason for each (and that no screening was performed, or perform one before publication). Flag Categories 10 and 12 as potentially significant. Correct the method descriptions (Category 4: spend-based using SmartWay factors; Category 6: spend-based, covering air travel, hotel stays and rental cars; Category 9: average-data). Disclose the partial portfolio coverage for Category 11 and the data-quality ratings, and add a statement that Scope 3 figures are estimates subject to material revision.</w:t>
      </w:r>
    </w:p>
    <w:p>
      <w:pPr>
        <w:pStyle w:val="Heading2"/>
      </w:pPr>
      <w:r>
        <w:t>Issue 13 [High]: Scope 2 market-based calculation cannot be reproduced</w:t>
      </w:r>
    </w:p>
    <w:p>
      <w:pPr>
        <w:spacing w:after="80"/>
      </w:pPr>
      <w:r>
        <w:rPr>
          <w:b/>
        </w:rPr>
        <w:t xml:space="preserve">Draft text / location: </w:t>
      </w:r>
      <w:r>
        <w:rPr>
          <w:b w:val="0"/>
        </w:rPr>
        <w:t>Sections 3.2.3 and 3.2.5 present market-based Scope 2 of 118,790 mt and describe a "meaningful reduction" from RECs covering 40% of consumption.</w:t>
      </w:r>
    </w:p>
    <w:p>
      <w:pPr>
        <w:spacing w:after="80"/>
      </w:pPr>
      <w:r>
        <w:rPr>
          <w:b/>
        </w:rPr>
        <w:t xml:space="preserve">Source evidence: </w:t>
      </w:r>
      <w:r>
        <w:rPr>
          <w:b w:val="0"/>
        </w:rPr>
        <w:t>Workbook Scope 2 Detail: location-based 126,340 vs. market-based 118,790 (only about 6% lower) even though RECs cover 40% of MWh. If 40% of consumption carries a zero emission factor, the remaining 60% would need a residual-mix factor about 1.57 times the grid average to yield 118,790. That is implausible, and the Workbook does not state the residual-mix factor (the only reference is the Charlotte note, "residual mix for remainder"). The location-based figures also do not tie to MWh x stated eGRID factors (e.g., Gastonia 45,600 MWh x 816.2 lb/MWh = about 16,880 mt, vs. 19,920 shown; Charlotte about 3,040 vs. 3,640). The Workbook assigns Huntsville (SRSO) and Chattanooga (SRVC); both are in Tennessee Valley Authority service territory, which eGRID places in the SRTV subregion. About 59,840 MWh of the RECs are 2023 vintage (purchased February and May 2024) but are applied to 2024 consumption.</w:t>
      </w:r>
    </w:p>
    <w:p>
      <w:pPr>
        <w:spacing w:after="80"/>
      </w:pPr>
      <w:r>
        <w:rPr>
          <w:b/>
        </w:rPr>
        <w:t xml:space="preserve">Legal / accuracy risk: </w:t>
      </w:r>
      <w:r>
        <w:rPr>
          <w:b w:val="0"/>
        </w:rPr>
        <w:t>If the Scope 2 inputs are unreliable, both the market-based and location-based figures and the progress calculation are unverified. The "meaningful reduction" narrative is contradicted by the numbers as presented. If the RECs were correctly applied, market-based Scope 2 could be materially lower, which would change progress-to-target, so the error could cut either way. REC vintage eligibility depends on the Green-e and GHG Protocol Scope 2 Quality Criteria vintage windows and should be confirmed.</w:t>
      </w:r>
    </w:p>
    <w:p>
      <w:pPr>
        <w:spacing w:after="160"/>
      </w:pPr>
      <w:r>
        <w:rPr>
          <w:b/>
        </w:rPr>
        <w:t xml:space="preserve">Recommendation: </w:t>
      </w:r>
      <w:r>
        <w:rPr>
          <w:b w:val="0"/>
        </w:rPr>
        <w:t>Before publication, require Granville to provide a reconciled Scope 2 calculation: MWh by facility, eGRID subregion and factor (confirm SRTV for Huntsville and Chattanooga), the residual-mix factor and source, the REC application method and confirmation that every REC vintage falls within the applicable eligibility window. Revise figures and narrative accordingly. Hold the progress-to-target figure until this is complete.</w:t>
      </w:r>
    </w:p>
    <w:p>
      <w:pPr>
        <w:pStyle w:val="Heading2"/>
      </w:pPr>
      <w:r>
        <w:t>Issue 14 [High]: Board actions and oversight mischaracterized</w:t>
      </w:r>
    </w:p>
    <w:p>
      <w:pPr>
        <w:spacing w:after="80"/>
      </w:pPr>
      <w:r>
        <w:rPr>
          <w:b/>
        </w:rPr>
        <w:t xml:space="preserve">Draft text / location: </w:t>
      </w:r>
      <w:r>
        <w:rPr>
          <w:b w:val="0"/>
        </w:rPr>
        <w:t>Section 5.1: "December 2024: The Board reviewed and approved the scope and timeline for the company's inaugural ESG report and authorized its planned publication and SEC filing." Section 3.2.4: targets approved "following a thorough review of our emissions profile, available reduction pathways, and benchmarking against industry peers"; "Our Board of Directors will receive quarterly updates on emissions reduction progress and capital investment execution." Section 5.1: Audit Committee receives quarterly updates; VP has a dotted line to the Audit Committee.</w:t>
      </w:r>
    </w:p>
    <w:p>
      <w:pPr>
        <w:spacing w:after="80"/>
      </w:pPr>
      <w:r>
        <w:rPr>
          <w:b/>
        </w:rPr>
        <w:t xml:space="preserve">Source evidence: </w:t>
      </w:r>
      <w:r>
        <w:rPr>
          <w:b w:val="0"/>
        </w:rPr>
        <w:t>Minutes: on December 12, 2024 the Board received only a status update on the ESG report (Section 4.6); no approval or authorization is recorded. The Board approved proceeding with the report on March 14, 2024, when filing was described as "potential." The September 12, 2024 minutes record a Granville feasibility and pathway analysis and Ridgeline's capital-markets view, but no peer benchmarking and no resolution requiring quarterly Board updates. The Minutes record that the Board repeatedly conditioned publication on PL&amp;G's legal review (July 18, 2024).</w:t>
      </w:r>
    </w:p>
    <w:p>
      <w:pPr>
        <w:spacing w:after="80"/>
      </w:pPr>
      <w:r>
        <w:rPr>
          <w:b/>
        </w:rPr>
        <w:t xml:space="preserve">Legal / accuracy risk: </w:t>
      </w:r>
      <w:r>
        <w:rPr>
          <w:b w:val="0"/>
        </w:rPr>
        <w:t>Inaccurate statements about Board process are governance disclosures that investors and proxy advisers rely on, and they can be checked against minutes in litigation. Stating that the Board authorized SEC filing, when the Minutes show no such authorization, is a particular concern if the report is in fact filed.</w:t>
      </w:r>
    </w:p>
    <w:p>
      <w:pPr>
        <w:spacing w:after="160"/>
      </w:pPr>
      <w:r>
        <w:rPr>
          <w:b/>
        </w:rPr>
        <w:t xml:space="preserve">Recommendation: </w:t>
      </w:r>
      <w:r>
        <w:rPr>
          <w:b w:val="0"/>
        </w:rPr>
        <w:t>Conform Section 5.1 to the Minutes: "March 2024: the Board approved development of the inaugural ESG report; September 12, 2024: the Board approved the GHG targets; December 2024: the Board received an update on the report and preliminary data." Delete "benchmarking against industry peers" unless documented. Confirm the quarterly-update and reporting-line statements with the Corporate Secretary, or delete them. Obtain Board or Audit Committee approval of the final report (and of any filing decision) after PL&amp;G's review and before publication.</w:t>
      </w:r>
    </w:p>
    <w:p>
      <w:pPr>
        <w:pStyle w:val="Heading2"/>
      </w:pPr>
      <w:r>
        <w:t>Issue 15 [Medium]: Inconsistent revenue figures</w:t>
      </w:r>
    </w:p>
    <w:p>
      <w:pPr>
        <w:spacing w:after="80"/>
      </w:pPr>
      <w:r>
        <w:rPr>
          <w:b/>
        </w:rPr>
        <w:t xml:space="preserve">Draft text / location: </w:t>
      </w:r>
      <w:r>
        <w:rPr>
          <w:b w:val="0"/>
        </w:rPr>
        <w:t>Section 2.1: "revenue of $2.91 billion"; Section 2.4 and 6.1 notes: $2.87 billion.</w:t>
      </w:r>
    </w:p>
    <w:p>
      <w:pPr>
        <w:spacing w:after="80"/>
      </w:pPr>
      <w:r>
        <w:rPr>
          <w:b/>
        </w:rPr>
        <w:t xml:space="preserve">Source evidence: </w:t>
      </w:r>
      <w:r>
        <w:rPr>
          <w:b w:val="0"/>
        </w:rPr>
        <w:t>10-K filed February 28, 2025: $2.87 billion (Workbook; Minutes, December 12, 2024 preliminary $2.87 billion). Email Chain: the GC directed the change to $2.87 billion and Mr. Okonkwo confirmed he would make it on March 11, 2025, but the Draft still says $2.91 billion.</w:t>
      </w:r>
    </w:p>
    <w:p>
      <w:pPr>
        <w:spacing w:after="80"/>
      </w:pPr>
      <w:r>
        <w:rPr>
          <w:b/>
        </w:rPr>
        <w:t xml:space="preserve">Legal / accuracy risk: </w:t>
      </w:r>
      <w:r>
        <w:rPr>
          <w:b w:val="0"/>
        </w:rPr>
        <w:t>Internal inconsistency with the audited 10-K on a basic financial fact; the auditor and readers will flag it. It also shows the agreed edits were not implemented, which raises version-control concerns.</w:t>
      </w:r>
    </w:p>
    <w:p>
      <w:pPr>
        <w:spacing w:after="160"/>
      </w:pPr>
      <w:r>
        <w:rPr>
          <w:b/>
        </w:rPr>
        <w:t xml:space="preserve">Recommendation: </w:t>
      </w:r>
      <w:r>
        <w:rPr>
          <w:b w:val="0"/>
        </w:rPr>
        <w:t>Change Section 2.1 to $2.87 billion. Confirm that all intensity metrics use $2.87 billion (water intensity 295 is correct; GHG intensity should be 0.134 per $1,000 after the Scope 1 correction). Confirm that every other agreed edit from the Email Chain was actually made in the version sent for review.</w:t>
      </w:r>
    </w:p>
    <w:p>
      <w:pPr>
        <w:pStyle w:val="Heading2"/>
      </w:pPr>
      <w:r>
        <w:t>Issue 16 [Medium]: Headcount uses budget figure (3,100) instead of actual (3,001)</w:t>
      </w:r>
    </w:p>
    <w:p>
      <w:pPr>
        <w:spacing w:after="80"/>
      </w:pPr>
      <w:r>
        <w:rPr>
          <w:b/>
        </w:rPr>
        <w:t xml:space="preserve">Draft text / location: </w:t>
      </w:r>
      <w:r>
        <w:rPr>
          <w:b w:val="0"/>
        </w:rPr>
        <w:t>Section 4.1: "approximately 3,100 people"; Section 6.2: Total Employees 3,100; 6.1 notes: per-employee intensity uses about 3,100 (122.5); Section 4.1: 87% manufacturing / 13% HQ; CEO Letter: "approximately 3,000."</w:t>
      </w:r>
    </w:p>
    <w:p>
      <w:pPr>
        <w:spacing w:after="80"/>
      </w:pPr>
      <w:r>
        <w:rPr>
          <w:b/>
        </w:rPr>
        <w:t xml:space="preserve">Source evidence: </w:t>
      </w:r>
      <w:r>
        <w:rPr>
          <w:b w:val="0"/>
        </w:rPr>
        <w:t>Minutes (December 12, 2024): actual year-end headcount 3,001; 3,100 was the budgeted figure. The GC directed that 3,001 be used in all external reporting and that 3,100 "should not be used." The Draft's own facility table sums to 3,001. Workbook: 3,001; intensity 127.9.</w:t>
      </w:r>
    </w:p>
    <w:p>
      <w:pPr>
        <w:spacing w:after="80"/>
      </w:pPr>
      <w:r>
        <w:rPr>
          <w:b/>
        </w:rPr>
        <w:t xml:space="preserve">Legal / accuracy risk: </w:t>
      </w:r>
      <w:r>
        <w:rPr>
          <w:b w:val="0"/>
        </w:rPr>
        <w:t>Contradicts the Draft's own facility table, the 10-K (expected to use 3,001) and an express GC direction. It understates per-employee GHG intensity.</w:t>
      </w:r>
    </w:p>
    <w:p>
      <w:pPr>
        <w:spacing w:after="160"/>
      </w:pPr>
      <w:r>
        <w:rPr>
          <w:b/>
        </w:rPr>
        <w:t xml:space="preserve">Recommendation: </w:t>
      </w:r>
      <w:r>
        <w:rPr>
          <w:b w:val="0"/>
        </w:rPr>
        <w:t>Use 3,001 throughout; per-employee intensity 127.9 mt CO2e; split 89% manufacturing (2,681) / 11% HQ (320). Align the CEO letter ("approximately 3,000" is acceptable, but "3,001" is preferred for consistency).</w:t>
      </w:r>
    </w:p>
    <w:p>
      <w:pPr>
        <w:pStyle w:val="Heading2"/>
      </w:pPr>
      <w:r>
        <w:t>Issue 17 [Medium]: TRIR misstated</w:t>
      </w:r>
    </w:p>
    <w:p>
      <w:pPr>
        <w:spacing w:after="80"/>
      </w:pPr>
      <w:r>
        <w:rPr>
          <w:b/>
        </w:rPr>
        <w:t xml:space="preserve">Draft text / location: </w:t>
      </w:r>
      <w:r>
        <w:rPr>
          <w:b w:val="0"/>
        </w:rPr>
        <w:t>Sections 4.3 and 6.2: TRIR 1.82.</w:t>
      </w:r>
    </w:p>
    <w:p>
      <w:pPr>
        <w:spacing w:after="80"/>
      </w:pPr>
      <w:r>
        <w:rPr>
          <w:b/>
        </w:rPr>
        <w:t xml:space="preserve">Source evidence: </w:t>
      </w:r>
      <w:r>
        <w:rPr>
          <w:b w:val="0"/>
        </w:rPr>
        <w:t>52 recordables x 200,000 / 5,762,000 hours = 1.805 (Workbook EHS Metrics: "rounds to 1.81"). The Minutes repeated 1.82.</w:t>
      </w:r>
    </w:p>
    <w:p>
      <w:pPr>
        <w:spacing w:after="80"/>
      </w:pPr>
      <w:r>
        <w:rPr>
          <w:b/>
        </w:rPr>
        <w:t xml:space="preserve">Legal / accuracy risk: </w:t>
      </w:r>
      <w:r>
        <w:rPr>
          <w:b w:val="0"/>
        </w:rPr>
        <w:t>Minor numerical inaccuracy in a key safety metric. Readers can recompute it from the hours and incidents disclosed in the same table.</w:t>
      </w:r>
    </w:p>
    <w:p>
      <w:pPr>
        <w:spacing w:after="160"/>
      </w:pPr>
      <w:r>
        <w:rPr>
          <w:b/>
        </w:rPr>
        <w:t xml:space="preserve">Recommendation: </w:t>
      </w:r>
      <w:r>
        <w:rPr>
          <w:b w:val="0"/>
        </w:rPr>
        <w:t>Report 1.80 (or 1.81, applying round-half-up consistently with the Workbook) and correct the Board record going forward. DART of 0.91 is consistent (about 26 cases); the "approximately half" narrative is acceptable.</w:t>
      </w:r>
    </w:p>
    <w:p>
      <w:pPr>
        <w:pStyle w:val="Heading2"/>
      </w:pPr>
      <w:r>
        <w:t>Issue 18 [Medium]: Facility addresses inconsistent with source documents</w:t>
      </w:r>
    </w:p>
    <w:p>
      <w:pPr>
        <w:spacing w:after="80"/>
      </w:pPr>
      <w:r>
        <w:rPr>
          <w:b/>
        </w:rPr>
        <w:t xml:space="preserve">Draft text / location: </w:t>
      </w:r>
      <w:r>
        <w:rPr>
          <w:b w:val="0"/>
        </w:rPr>
        <w:t>Section 2.2 facility table addresses.</w:t>
      </w:r>
    </w:p>
    <w:p>
      <w:pPr>
        <w:spacing w:after="80"/>
      </w:pPr>
      <w:r>
        <w:rPr>
          <w:b/>
        </w:rPr>
        <w:t xml:space="preserve">Source evidence: </w:t>
      </w:r>
      <w:r>
        <w:rPr>
          <w:b w:val="0"/>
        </w:rPr>
        <w:t>Draft vs. Workbook (and, where available, the Consent Order and Minutes): Gastonia 4500 Industrial Park Drive vs. 4500 Chemical Plant Rd; Greenville 2200 Pelham Road, Bldg C vs. 7800 Pelham Industrial Dr; Savannah 7801 Gateway Blvd vs. 2100 Port Wentworth Hwy (Consent Order and Minutes agree with the Workbook); Huntsville 1050 Research Park Blvd NW, 35806 vs. 3300 Research Park Blvd, 35805 (Minutes agree with the Workbook); Tuscaloosa 3300 Kauloosa Ave, 35401 vs. 900 McFarland Blvd E, 35404; Chattanooga 600 Manufacturers Rd, 37405 vs. 5600 Amnicola Hwy, 37406.</w:t>
      </w:r>
    </w:p>
    <w:p>
      <w:pPr>
        <w:spacing w:after="80"/>
      </w:pPr>
      <w:r>
        <w:rPr>
          <w:b/>
        </w:rPr>
        <w:t xml:space="preserve">Legal / accuracy risk: </w:t>
      </w:r>
      <w:r>
        <w:rPr>
          <w:b w:val="0"/>
        </w:rPr>
        <w:t>The Savannah address in the Draft differs from the address of the facility subject to the Consent Order, which could be read as obscuring the link between the report and the enforcement matter. It also casts doubt on the organizational boundary and data integrity.</w:t>
      </w:r>
    </w:p>
    <w:p>
      <w:pPr>
        <w:spacing w:after="160"/>
      </w:pPr>
      <w:r>
        <w:rPr>
          <w:b/>
        </w:rPr>
        <w:t xml:space="preserve">Recommendation: </w:t>
      </w:r>
      <w:r>
        <w:rPr>
          <w:b w:val="0"/>
        </w:rPr>
        <w:t>Verify every address against permits (Title V/NPDES) and corporate records, and conform the Draft. At minimum, conform Savannah and Huntsville to the Consent Order and Minutes.</w:t>
      </w:r>
    </w:p>
    <w:p>
      <w:pPr>
        <w:pStyle w:val="Heading2"/>
      </w:pPr>
      <w:r>
        <w:t>Issue 19 [Medium]: Scope 1 methodology gaps and data-quality caveats</w:t>
      </w:r>
    </w:p>
    <w:p>
      <w:pPr>
        <w:spacing w:after="80"/>
      </w:pPr>
      <w:r>
        <w:rPr>
          <w:b/>
        </w:rPr>
        <w:t xml:space="preserve">Draft text / location: </w:t>
      </w:r>
      <w:r>
        <w:rPr>
          <w:b w:val="0"/>
        </w:rPr>
        <w:t>Section 3.2.2 says Scope 1 includes diesel in backup generators and mobile equipment and refrigerant losses from HVAC and process cooling "across our facilities"; Section 3.2.1 says GHGs are reported in CO2e with AR5 GWPs; the Draft gives no data-quality caveats for Savannah.</w:t>
      </w:r>
    </w:p>
    <w:p>
      <w:pPr>
        <w:spacing w:after="80"/>
      </w:pPr>
      <w:r>
        <w:rPr>
          <w:b/>
        </w:rPr>
        <w:t xml:space="preserve">Source evidence: </w:t>
      </w:r>
      <w:r>
        <w:rPr>
          <w:b w:val="0"/>
        </w:rPr>
        <w:t>Workbook Scope 1 Detail: no diesel or mobile combustion line at any facility; refrigerants tracked only at Huntsville; CH4 and N2O from natural gas combustion computed only for Charlotte ("-" at all plants); several fugitive lines are "Equipment leaks (VOCs)" estimated with EPA LDAR factors and reported as CO2 (VOCs are not Kyoto GHGs unless methane); the Savannah process line is labeled "Polymer intermediates" (Savannah makes industrial adhesives), uses "CEMS data where available" and Savannah fugitives use LDAR emission factors, although the Consent Order found significant CEMS data gaps and LDAR monitoring failures at that plant and the independent CEMS audit is not due until June 30, 2025.</w:t>
      </w:r>
    </w:p>
    <w:p>
      <w:pPr>
        <w:spacing w:after="80"/>
      </w:pPr>
      <w:r>
        <w:rPr>
          <w:b/>
        </w:rPr>
        <w:t xml:space="preserve">Legal / accuracy risk: </w:t>
      </w:r>
      <w:r>
        <w:rPr>
          <w:b w:val="0"/>
        </w:rPr>
        <w:t>The Draft describes sources that the inventory does not quantify, and the inventory may include non-GHG species, so the stated methodology is inaccurate. Any later correction would require restatement and could move the baseline. Data quality at Savannah is a known weakness that should be disclosed.</w:t>
      </w:r>
    </w:p>
    <w:p>
      <w:pPr>
        <w:spacing w:after="160"/>
      </w:pPr>
      <w:r>
        <w:rPr>
          <w:b/>
        </w:rPr>
        <w:t xml:space="preserve">Recommendation: </w:t>
      </w:r>
      <w:r>
        <w:rPr>
          <w:b w:val="0"/>
        </w:rPr>
        <w:t>Ask Granville to (i) add or confirm diesel, mobile and refrigerant sources (or disclose them as excluded or de minimis); (ii) add CH4/N2O for plant combustion; (iii) confirm that fugitive and process lines contain only GHGs and correct the CO2e treatment of VOCs; (iv) confirm the Savannah process description; and (v) confirm the 2023 baseline was built on the same methodology. Add a short data-quality and limitations statement and a baseline recalculation policy (GHG Protocol Chapter 5).</w:t>
      </w:r>
    </w:p>
    <w:p>
      <w:pPr>
        <w:pStyle w:val="Heading2"/>
      </w:pPr>
      <w:r>
        <w:t>Issue 20 [Medium]: Board meeting count and description</w:t>
      </w:r>
    </w:p>
    <w:p>
      <w:pPr>
        <w:spacing w:after="80"/>
      </w:pPr>
      <w:r>
        <w:rPr>
          <w:b/>
        </w:rPr>
        <w:t xml:space="preserve">Draft text / location: </w:t>
      </w:r>
      <w:r>
        <w:rPr>
          <w:b w:val="0"/>
        </w:rPr>
        <w:t>Section 6.3: Board Meetings Held 5; note: "four regular quarterly meetings and one special session."</w:t>
      </w:r>
    </w:p>
    <w:p>
      <w:pPr>
        <w:spacing w:after="80"/>
      </w:pPr>
      <w:r>
        <w:rPr>
          <w:b/>
        </w:rPr>
        <w:t xml:space="preserve">Source evidence: </w:t>
      </w:r>
      <w:r>
        <w:rPr>
          <w:b w:val="0"/>
        </w:rPr>
        <w:t>Minutes reflect regular meetings on March 14, July 18 and December 12, 2024, and special meetings on June 28, 2024 (executive session that authorized execution of the Consent Order) and September 12, 2024. That is at least two special meetings. The excerpts may not cover every meeting.</w:t>
      </w:r>
    </w:p>
    <w:p>
      <w:pPr>
        <w:spacing w:after="80"/>
      </w:pPr>
      <w:r>
        <w:rPr>
          <w:b/>
        </w:rPr>
        <w:t xml:space="preserve">Legal / accuracy risk: </w:t>
      </w:r>
      <w:r>
        <w:rPr>
          <w:b w:val="0"/>
        </w:rPr>
        <w:t>Inconsistent with corporate records and the proxy statement disclosure of meeting counts.</w:t>
      </w:r>
    </w:p>
    <w:p>
      <w:pPr>
        <w:spacing w:after="160"/>
      </w:pPr>
      <w:r>
        <w:rPr>
          <w:b/>
        </w:rPr>
        <w:t xml:space="preserve">Recommendation: </w:t>
      </w:r>
      <w:r>
        <w:rPr>
          <w:b w:val="0"/>
        </w:rPr>
        <w:t>Confirm the total number and type of FY2024 Board and Audit Committee meetings with the Corporate Secretary and conform to the proxy statement.</w:t>
      </w:r>
    </w:p>
    <w:p>
      <w:pPr>
        <w:pStyle w:val="Heading2"/>
      </w:pPr>
      <w:r>
        <w:t>Issue 21 [Medium]: $45 million capex plan and PPA evaluations unsupported</w:t>
      </w:r>
    </w:p>
    <w:p>
      <w:pPr>
        <w:spacing w:after="80"/>
      </w:pPr>
      <w:r>
        <w:rPr>
          <w:b/>
        </w:rPr>
        <w:t xml:space="preserve">Draft text / location: </w:t>
      </w:r>
      <w:r>
        <w:rPr>
          <w:b w:val="0"/>
        </w:rPr>
        <w:t>CEO Letter and Section 3.2.4: "approximately $45 million in emissions control equipment and process upgrades . . . between 2025 and 2028"; PPAs being evaluated at Gastonia and Greenville; waste heat recovery at Huntsville and Chattanooga.</w:t>
      </w:r>
    </w:p>
    <w:p>
      <w:pPr>
        <w:spacing w:after="80"/>
      </w:pPr>
      <w:r>
        <w:rPr>
          <w:b/>
        </w:rPr>
        <w:t xml:space="preserve">Source evidence: </w:t>
      </w:r>
      <w:r>
        <w:rPr>
          <w:b w:val="0"/>
        </w:rPr>
        <w:t>None of the package documents supports the $45 million figure, the facility list or any capital authorization. The September 12, 2024 Minutes refer generally to "several additional capital projects" and Granville's pathway analysis (efficiency, fuel switching, PPAs and RECs). Fuel switching, which Granville identified, is not mentioned in the Draft. Workbook: no PPAs in place.</w:t>
      </w:r>
    </w:p>
    <w:p>
      <w:pPr>
        <w:spacing w:after="80"/>
      </w:pPr>
      <w:r>
        <w:rPr>
          <w:b/>
        </w:rPr>
        <w:t xml:space="preserve">Legal / accuracy risk: </w:t>
      </w:r>
      <w:r>
        <w:rPr>
          <w:b w:val="0"/>
        </w:rPr>
        <w:t>Specific dollar commitments in a public (possibly filed) document need a reasonable basis and should match the Company's capital plan and MD&amp;A disclosures. The phrase "emissions control equipment" also invites confusion with consent-order-driven compliance spending.</w:t>
      </w:r>
    </w:p>
    <w:p>
      <w:pPr>
        <w:spacing w:after="160"/>
      </w:pPr>
      <w:r>
        <w:rPr>
          <w:b/>
        </w:rPr>
        <w:t xml:space="preserve">Recommendation: </w:t>
      </w:r>
      <w:r>
        <w:rPr>
          <w:b w:val="0"/>
        </w:rPr>
        <w:t>Obtain the capex plan and approval documentation; conform the amount, period and scope; describe it as planned and subject to change; and cover it in the forward-looking statements legend. Confirm consistency with 10-K MD&amp;A/capex disclosures.</w:t>
      </w:r>
    </w:p>
    <w:p>
      <w:pPr>
        <w:pStyle w:val="Heading2"/>
      </w:pPr>
      <w:r>
        <w:t>Issue 22 [Medium]: Unsupported comparative and performance claims</w:t>
      </w:r>
    </w:p>
    <w:p>
      <w:pPr>
        <w:spacing w:after="80"/>
      </w:pPr>
      <w:r>
        <w:rPr>
          <w:b/>
        </w:rPr>
        <w:t xml:space="preserve">Draft text / location: </w:t>
      </w:r>
      <w:r>
        <w:rPr>
          <w:b w:val="0"/>
        </w:rPr>
        <w:t>CEO Letter: "Our safety performance continued to improve in FY2024"; Section 4.3: TRIR "represents improvement over industry averages"; "zero fatalities among our employees and contractors"; Section 4.1: engagement score "exceeded industry benchmarks."</w:t>
      </w:r>
    </w:p>
    <w:p>
      <w:pPr>
        <w:spacing w:after="80"/>
      </w:pPr>
      <w:r>
        <w:rPr>
          <w:b/>
        </w:rPr>
        <w:t xml:space="preserve">Source evidence: </w:t>
      </w:r>
      <w:r>
        <w:rPr>
          <w:b w:val="0"/>
        </w:rPr>
        <w:t>No prior-year safety data, industry benchmark or contractor data is in the package. The Workbook EHS tab reflects OSHA 300 log data for employees across seven locations only.</w:t>
      </w:r>
    </w:p>
    <w:p>
      <w:pPr>
        <w:spacing w:after="80"/>
      </w:pPr>
      <w:r>
        <w:rPr>
          <w:b/>
        </w:rPr>
        <w:t xml:space="preserve">Legal / accuracy risk: </w:t>
      </w:r>
      <w:r>
        <w:rPr>
          <w:b w:val="0"/>
        </w:rPr>
        <w:t>Comparative and trend claims without substantiation are a common basis for misleading-statement claims and for FTC and state greenwashing (and "social-washing") theories. "Improvement over industry averages" is also an unclear phrase.</w:t>
      </w:r>
    </w:p>
    <w:p>
      <w:pPr>
        <w:spacing w:after="160"/>
      </w:pPr>
      <w:r>
        <w:rPr>
          <w:b/>
        </w:rPr>
        <w:t xml:space="preserve">Recommendation: </w:t>
      </w:r>
      <w:r>
        <w:rPr>
          <w:b w:val="0"/>
        </w:rPr>
        <w:t>Substantiate each claim (cite the BLS NAICS 325 rate and year, the prior-year TRIR, the benchmark provider and contractor fatality tracking) or delete or soften it.</w:t>
      </w:r>
    </w:p>
    <w:p>
      <w:pPr>
        <w:pStyle w:val="Heading2"/>
      </w:pPr>
      <w:r>
        <w:t>Issue 23 [Medium]: Social and governance metrics without backup</w:t>
      </w:r>
    </w:p>
    <w:p>
      <w:pPr>
        <w:spacing w:after="80"/>
      </w:pPr>
      <w:r>
        <w:rPr>
          <w:b/>
        </w:rPr>
        <w:t xml:space="preserve">Draft text / location: </w:t>
      </w:r>
      <w:r>
        <w:rPr>
          <w:b w:val="0"/>
        </w:rPr>
        <w:t>Sections 4.1-4.4, 5.1-5.2 and Tables 6.2-6.3: workforce diversity (34% female; 29% diverse), Board diversity (3 female; 2 diverse), VP+ data (28; 9; 7), ERGs, 82% survey participation, $1.2M giving, 98% Code training, 14 hotline reports, 8 Audit Committee meetings, 7 independent directors, committee independence.</w:t>
      </w:r>
    </w:p>
    <w:p>
      <w:pPr>
        <w:spacing w:after="80"/>
      </w:pPr>
      <w:r>
        <w:rPr>
          <w:b/>
        </w:rPr>
        <w:t xml:space="preserve">Source evidence: </w:t>
      </w:r>
      <w:r>
        <w:rPr>
          <w:b w:val="0"/>
        </w:rPr>
        <w:t>None of these figures appears in the Workbook, Minutes or other package documents.</w:t>
      </w:r>
    </w:p>
    <w:p>
      <w:pPr>
        <w:spacing w:after="80"/>
      </w:pPr>
      <w:r>
        <w:rPr>
          <w:b/>
        </w:rPr>
        <w:t xml:space="preserve">Legal / accuracy risk: </w:t>
      </w:r>
      <w:r>
        <w:rPr>
          <w:b w:val="0"/>
        </w:rPr>
        <w:t>We cannot verify them. Board figures must match the proxy statement. DEI disclosures also carry heightened legal and political scrutiny in the current environment, and the Company should confirm that the description of its DEI programs (e.g., inclusive recruitment, pay equity reviews) is accurate and has been reviewed by employment counsel.</w:t>
      </w:r>
    </w:p>
    <w:p>
      <w:pPr>
        <w:spacing w:after="160"/>
      </w:pPr>
      <w:r>
        <w:rPr>
          <w:b/>
        </w:rPr>
        <w:t xml:space="preserve">Recommendation: </w:t>
      </w:r>
      <w:r>
        <w:rPr>
          <w:b w:val="0"/>
        </w:rPr>
        <w:t>Obtain source data and owner sign-off for each metric, conform governance metrics to the 2025 proxy statement, and have employment counsel review Section 4.2.</w:t>
      </w:r>
    </w:p>
    <w:p>
      <w:pPr>
        <w:pStyle w:val="Heading2"/>
      </w:pPr>
      <w:r>
        <w:t>Issue 24 [Low]: "Seven-state operating region"</w:t>
      </w:r>
    </w:p>
    <w:p>
      <w:pPr>
        <w:spacing w:after="80"/>
      </w:pPr>
      <w:r>
        <w:rPr>
          <w:b/>
        </w:rPr>
        <w:t xml:space="preserve">Draft text / location: </w:t>
      </w:r>
      <w:r>
        <w:rPr>
          <w:b w:val="0"/>
        </w:rPr>
        <w:t>Section 4.4: "organizations across our seven-state operating region."</w:t>
      </w:r>
    </w:p>
    <w:p>
      <w:pPr>
        <w:spacing w:after="80"/>
      </w:pPr>
      <w:r>
        <w:rPr>
          <w:b/>
        </w:rPr>
        <w:t xml:space="preserve">Source evidence: </w:t>
      </w:r>
      <w:r>
        <w:rPr>
          <w:b w:val="0"/>
        </w:rPr>
        <w:t>Section 2.2: operations in NC, SC, GA, AL and TN (five states, seven facilities).</w:t>
      </w:r>
    </w:p>
    <w:p>
      <w:pPr>
        <w:spacing w:after="80"/>
      </w:pPr>
      <w:r>
        <w:rPr>
          <w:b/>
        </w:rPr>
        <w:t xml:space="preserve">Legal / accuracy risk: </w:t>
      </w:r>
      <w:r>
        <w:rPr>
          <w:b w:val="0"/>
        </w:rPr>
        <w:t>Factual inconsistency.</w:t>
      </w:r>
    </w:p>
    <w:p>
      <w:pPr>
        <w:spacing w:after="160"/>
      </w:pPr>
      <w:r>
        <w:rPr>
          <w:b/>
        </w:rPr>
        <w:t xml:space="preserve">Recommendation: </w:t>
      </w:r>
      <w:r>
        <w:rPr>
          <w:b w:val="0"/>
        </w:rPr>
        <w:t>Change to "five-state operating region" (or "communities near our seven facilities").</w:t>
      </w:r>
    </w:p>
    <w:p>
      <w:pPr>
        <w:pStyle w:val="Heading2"/>
      </w:pPr>
      <w:r>
        <w:t>Issue 25 [Low]: Naming the auditor and engagement partner</w:t>
      </w:r>
    </w:p>
    <w:p>
      <w:pPr>
        <w:spacing w:after="80"/>
      </w:pPr>
      <w:r>
        <w:rPr>
          <w:b/>
        </w:rPr>
        <w:t xml:space="preserve">Draft text / location: </w:t>
      </w:r>
      <w:r>
        <w:rPr>
          <w:b w:val="0"/>
        </w:rPr>
        <w:t>Sections 2.1 and 2.4 name Cresthaven Assurance Group and the engagement partner, Rebecca Tran, CPA, and list "Independent Auditor" in the financial summary table.</w:t>
      </w:r>
    </w:p>
    <w:p>
      <w:pPr>
        <w:spacing w:after="80"/>
      </w:pPr>
      <w:r>
        <w:rPr>
          <w:b/>
        </w:rPr>
        <w:t xml:space="preserve">Source evidence: </w:t>
      </w:r>
      <w:r>
        <w:rPr>
          <w:b w:val="0"/>
        </w:rPr>
        <w:t>Section 7: the report "has not been subject to independent third-party assurance."</w:t>
      </w:r>
    </w:p>
    <w:p>
      <w:pPr>
        <w:spacing w:after="80"/>
      </w:pPr>
      <w:r>
        <w:rPr>
          <w:b/>
        </w:rPr>
        <w:t xml:space="preserve">Legal / accuracy risk: </w:t>
      </w:r>
      <w:r>
        <w:rPr>
          <w:b w:val="0"/>
        </w:rPr>
        <w:t>Naming the financial statement auditor and engagement partner in an unassured ESG report may imply that the auditor has reviewed the ESG data. If the report is filed and incorporated into registration statements, references to the auditor may raise expert-consent questions. The auditor's own policies typically restrict such references.</w:t>
      </w:r>
    </w:p>
    <w:p>
      <w:pPr>
        <w:spacing w:after="160"/>
      </w:pPr>
      <w:r>
        <w:rPr>
          <w:b/>
        </w:rPr>
        <w:t xml:space="preserve">Recommendation: </w:t>
      </w:r>
      <w:r>
        <w:rPr>
          <w:b w:val="0"/>
        </w:rPr>
        <w:t>Delete the engagement partner reference and the auditor line, or limit it to a statement that the financial figures are derived from the audited financial statements in the 10-K. Consult Cresthaven.</w:t>
      </w:r>
    </w:p>
    <w:p>
      <w:pPr>
        <w:pStyle w:val="Heading2"/>
      </w:pPr>
      <w:r>
        <w:t>Issue 26 [Low]: Drafting inaccuracies on permits and waste</w:t>
      </w:r>
    </w:p>
    <w:p>
      <w:pPr>
        <w:spacing w:after="80"/>
      </w:pPr>
      <w:r>
        <w:rPr>
          <w:b/>
        </w:rPr>
        <w:t xml:space="preserve">Draft text / location: </w:t>
      </w:r>
      <w:r>
        <w:rPr>
          <w:b w:val="0"/>
        </w:rPr>
        <w:t>Section 3.4.1: "All wastewater discharges . . . are regulated under facility-specific NPDES permits" while also describing discharges to POTWs; Sections 2.2 and 3.3.1: NPDES permits at all facilities; Section 3.5: hazardous waste generated "across our six manufacturing facilities."</w:t>
      </w:r>
    </w:p>
    <w:p>
      <w:pPr>
        <w:spacing w:after="80"/>
      </w:pPr>
      <w:r>
        <w:rPr>
          <w:b/>
        </w:rPr>
        <w:t xml:space="preserve">Source evidence: </w:t>
      </w:r>
      <w:r>
        <w:rPr>
          <w:b w:val="0"/>
        </w:rPr>
        <w:t>Discharges to POTWs are generally governed by pretreatment requirements and local industrial user permits, not NPDES permits. Huntsville stormwater is covered by the NPDES General Permit for Industrial Stormwater (Minutes). The Workbook states hazardous waste figures cover "All facilities" (including the Charlotte R&amp;D lab, which the Draft says generates lab waste).</w:t>
      </w:r>
    </w:p>
    <w:p>
      <w:pPr>
        <w:spacing w:after="80"/>
      </w:pPr>
      <w:r>
        <w:rPr>
          <w:b/>
        </w:rPr>
        <w:t xml:space="preserve">Legal / accuracy risk: </w:t>
      </w:r>
      <w:r>
        <w:rPr>
          <w:b w:val="0"/>
        </w:rPr>
        <w:t>Technical inaccuracies that undercut credibility with regulators and NGOs.</w:t>
      </w:r>
    </w:p>
    <w:p>
      <w:pPr>
        <w:spacing w:after="160"/>
      </w:pPr>
      <w:r>
        <w:rPr>
          <w:b/>
        </w:rPr>
        <w:t xml:space="preserve">Recommendation: </w:t>
      </w:r>
      <w:r>
        <w:rPr>
          <w:b w:val="0"/>
        </w:rPr>
        <w:t>Revise to "discharges are regulated under NPDES permits (individual or general) or, for indirect discharges to POTWs, applicable pretreatment requirements." Confirm the waste boundary.</w:t>
      </w:r>
    </w:p>
    <w:p>
      <w:pPr>
        <w:pStyle w:val="Heading2"/>
      </w:pPr>
      <w:r>
        <w:t>Issue 27 [Low]: Privilege, record and process points</w:t>
      </w:r>
    </w:p>
    <w:p>
      <w:pPr>
        <w:spacing w:after="80"/>
      </w:pPr>
      <w:r>
        <w:rPr>
          <w:b/>
        </w:rPr>
        <w:t xml:space="preserve">Draft text / location: </w:t>
      </w:r>
      <w:r>
        <w:rPr>
          <w:b w:val="0"/>
        </w:rPr>
        <w:t>Process issues, not Draft text.</w:t>
      </w:r>
    </w:p>
    <w:p>
      <w:pPr>
        <w:spacing w:after="80"/>
      </w:pPr>
      <w:r>
        <w:rPr>
          <w:b/>
        </w:rPr>
        <w:t xml:space="preserve">Source evidence: </w:t>
      </w:r>
      <w:r>
        <w:rPr>
          <w:b w:val="0"/>
        </w:rPr>
        <w:t>The Email Chain (GC legal direction on disclosure) copies Dr. Nair of Granville, a third-party consultant. The Minutes excerpts are marked "Attorney-Client Privileged" yet are compiled for a review package that also discusses business matters. The Consent Order copy in the package refers (para. 33) to FY2024 revenue of $2.87 billion, although the Order was signed in June and July 2024, before FY2024 ended. The Minutes describe several Order terms differently from the Order text (see Issue 8).</w:t>
      </w:r>
    </w:p>
    <w:p>
      <w:pPr>
        <w:spacing w:after="80"/>
      </w:pPr>
      <w:r>
        <w:rPr>
          <w:b/>
        </w:rPr>
        <w:t xml:space="preserve">Legal / accuracy risk: </w:t>
      </w:r>
      <w:r>
        <w:rPr>
          <w:b w:val="0"/>
        </w:rPr>
        <w:t>Communications with a non-lawyer third party may not be privileged unless Granville was retained under a Kovel-type arrangement through counsel. The Email Chain (including the GC's "best foot forward" direction and approval of the renewable claim over the consultant's objection) would likely be discoverable. The Consent Order anomaly suggests the package copy may not be the executed version.</w:t>
      </w:r>
    </w:p>
    <w:p>
      <w:pPr>
        <w:spacing w:after="160"/>
      </w:pPr>
      <w:r>
        <w:rPr>
          <w:b/>
        </w:rPr>
        <w:t xml:space="preserve">Recommendation: </w:t>
      </w:r>
      <w:r>
        <w:rPr>
          <w:b w:val="0"/>
        </w:rPr>
        <w:t>(i) Route further substantive legal advice on the report through counsel and limit consultant copies; consider whether a Kovel arrangement is appropriate for remaining work. (ii) Document the corrective decisions made in response to this memorandum. (iii) Obtain the executed, file-stamped copy of the Consent Order from Fieldstone &amp; Hale and confirm the operative terms. (iv) Preserve all drafts and communications.</w:t>
      </w:r>
    </w:p>
    <w:p>
      <w:pPr>
        <w:pStyle w:val="Heading1"/>
      </w:pPr>
      <w:r>
        <w:t>V. Recommended Next Steps and Open Items</w:t>
      </w:r>
    </w:p>
    <w:p>
      <w:pPr>
        <w:spacing w:after="40"/>
      </w:pPr>
      <w:r>
        <w:rPr>
          <w:b w:val="0"/>
          <w:i w:val="0"/>
        </w:rPr>
        <w:t>Before publication (and before any decision to file), we recommend the following:</w:t>
      </w:r>
    </w:p>
    <w:p>
      <w:pPr>
        <w:pStyle w:val="ListNumber"/>
        <w:spacing w:after="40"/>
      </w:pPr>
      <w:r>
        <w:t>Fix all Critical issues (1-5) and re-circulate a clean and redlined version of the Draft to PL&amp;G for a second-pass review.</w:t>
      </w:r>
    </w:p>
    <w:p>
      <w:pPr>
        <w:pStyle w:val="ListNumber"/>
        <w:spacing w:after="40"/>
      </w:pPr>
      <w:r>
        <w:t>Obtain Granville's written tie-out of every GHG figure (Scope 1, Scope 2 market- and location-based, Scope 3, intensities, baseline and progress) to the Workbook, including the reconciled Scope 2 calculation (Issue 13) and the methodology fixes in Issue 19.</w:t>
      </w:r>
    </w:p>
    <w:p>
      <w:pPr>
        <w:pStyle w:val="ListNumber"/>
        <w:spacing w:after="40"/>
      </w:pPr>
      <w:r>
        <w:t>Reconcile all FY2024 environmental enforcement matters (Savannah Consent Order, ADEM NOV, the Workbook's two Huntsville NOVs and $37,500 in fines) with Legal and Fieldstone &amp; Hale, and conform the report to 10-K Item 103 and the contingencies note (Issues 1, 2 and 7).</w:t>
      </w:r>
    </w:p>
    <w:p>
      <w:pPr>
        <w:pStyle w:val="ListNumber"/>
        <w:spacing w:after="40"/>
      </w:pPr>
      <w:r>
        <w:t>Have Fieldstone &amp; Hale confirm Consent Order compliance status: penalty payment date; SEP Implementation Plan submission and EPA approval; quarterly and semi-annual reports; the March 31, 2025 LDAR deadline and certification; and CEMS audit procurement (Issue 8).</w:t>
      </w:r>
    </w:p>
    <w:p>
      <w:pPr>
        <w:pStyle w:val="ListNumber"/>
        <w:spacing w:after="40"/>
      </w:pPr>
      <w:r>
        <w:t>Reconsider the plan to file the report as an exhibit to Form 10-K/A; if filing remains under consideration, obtain express Board authorization and subject the report to full disclosure controls and certification sub-certifications (Issue 9).</w:t>
      </w:r>
    </w:p>
    <w:p>
      <w:pPr>
        <w:pStyle w:val="ListNumber"/>
        <w:spacing w:after="40"/>
      </w:pPr>
      <w:r>
        <w:t>Add a forward-looking statements legend, methodology and estimates disclaimers, and a framework/content index that accurately describes the degree of alignment with IFRS S2 and the GHG Protocol (Issues 10-12).</w:t>
      </w:r>
    </w:p>
    <w:p>
      <w:pPr>
        <w:pStyle w:val="ListNumber"/>
        <w:spacing w:after="40"/>
      </w:pPr>
      <w:r>
        <w:t>Collect source documentation for social, governance, capex and comparative claims (Issues 21-23), and conform governance data to the 2025 proxy statement.</w:t>
      </w:r>
    </w:p>
    <w:p>
      <w:pPr>
        <w:pStyle w:val="ListNumber"/>
        <w:spacing w:after="40"/>
      </w:pPr>
      <w:r>
        <w:t>Obtain Board or Audit Committee approval of the final report after legal review, as the Board directed on July 18, 2024.</w:t>
      </w:r>
    </w:p>
    <w:p>
      <w:pPr>
        <w:pStyle w:val="Heading2"/>
      </w:pPr>
      <w:r>
        <w:t>Documents Requested</w:t>
      </w:r>
    </w:p>
    <w:p>
      <w:pPr>
        <w:pStyle w:val="ListBullet"/>
        <w:spacing w:after="40"/>
      </w:pPr>
      <w:r>
        <w:t>Form 10-K filed February 28, 2025 (Item 103 legal proceedings, risk factors, contingencies note, MD&amp;A capex) for conformity check.</w:t>
      </w:r>
    </w:p>
    <w:p>
      <w:pPr>
        <w:pStyle w:val="ListBullet"/>
        <w:spacing w:after="40"/>
      </w:pPr>
      <w:r>
        <w:t>D. Chu memorandum dated July 5, 2024.</w:t>
      </w:r>
    </w:p>
    <w:p>
      <w:pPr>
        <w:pStyle w:val="ListBullet"/>
        <w:spacing w:after="40"/>
      </w:pPr>
      <w:r>
        <w:t>Executed Consent Order; proof and date of penalty payment; SEP Implementation Plan and EPA correspondence; quarterly compliance reports filed to date.</w:t>
      </w:r>
    </w:p>
    <w:p>
      <w:pPr>
        <w:pStyle w:val="ListBullet"/>
        <w:spacing w:after="40"/>
      </w:pPr>
      <w:r>
        <w:t>ADEM NOV dated November 18, 2024, and records supporting the Workbook's Huntsville air NOVs and $37,500 in fines.</w:t>
      </w:r>
    </w:p>
    <w:p>
      <w:pPr>
        <w:pStyle w:val="ListBullet"/>
        <w:spacing w:after="40"/>
      </w:pPr>
      <w:r>
        <w:t>Granville's 2023 baseline workbook and methodology memo; residual-mix and eGRID factor sources; REC retirement attestations.</w:t>
      </w:r>
    </w:p>
    <w:p>
      <w:pPr>
        <w:pStyle w:val="ListBullet"/>
        <w:spacing w:after="40"/>
      </w:pPr>
      <w:r>
        <w:t>Minutes of the June 28, 2024 special meeting and any other FY2024 Board/Audit Committee minutes referring to the ESG report, the targets or the capex plan.</w:t>
      </w:r>
    </w:p>
    <w:p>
      <w:pPr>
        <w:pStyle w:val="ListBullet"/>
        <w:spacing w:after="40"/>
      </w:pPr>
      <w:r>
        <w:t>HR, EHS and Legal source data for the social and governance metrics; 2025 proxy statement draft.</w:t>
      </w:r>
    </w:p>
    <w:p>
      <w:pPr>
        <w:spacing w:after="80"/>
      </w:pPr>
    </w:p>
    <w:p>
      <w:pPr>
        <w:spacing w:after="80"/>
      </w:pPr>
      <w:r>
        <w:rPr>
          <w:b w:val="0"/>
          <w:i/>
          <w:sz w:val="18"/>
        </w:rPr>
        <w:t>This memorandum is based solely on the documents in the review package identified above and on our understanding of applicable law as of its date. We have not independently verified the underlying operational data. It is provided to assist counsel in rendering legal advice to Terraverde Holdings, Inc. and is not intended for distribution outside the Company's legal function.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