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i w:val="0"/>
          <w:sz w:val="18"/>
        </w:rPr>
        <w:t>PRIVILEGED &amp; CONFIDENTIAL — ATTORNEY-CLIENT COMMUNICATION / ATTORNEY WORK PRODUCT</w:t>
      </w:r>
    </w:p>
    <w:p>
      <w:pPr>
        <w:spacing w:after="100"/>
        <w:jc w:val="center"/>
      </w:pPr>
      <w:r>
        <w:rPr>
          <w:b/>
          <w:i w:val="0"/>
          <w:sz w:val="32"/>
        </w:rPr>
        <w:t>MEMORANDUM</w:t>
      </w:r>
    </w:p>
    <w:tbl>
      <w:tblPr>
        <w:tblStyle w:val="TableGrid"/>
        <w:tblW w:type="auto" w:w="0"/>
        <w:tblLook w:firstColumn="1" w:firstRow="1" w:lastColumn="0" w:lastRow="0" w:noHBand="0" w:noVBand="1" w:val="04A0"/>
      </w:tblPr>
      <w:tblGrid>
        <w:gridCol w:w="4824"/>
        <w:gridCol w:w="4824"/>
      </w:tblGrid>
      <w:tr>
        <w:tc>
          <w:tcPr>
            <w:tcW w:type="dxa" w:w="1296"/>
          </w:tcPr>
          <w:p>
            <w:r/>
            <w:r>
              <w:rPr>
                <w:b/>
              </w:rPr>
              <w:t>TO:</w:t>
            </w:r>
          </w:p>
        </w:tc>
        <w:tc>
          <w:tcPr>
            <w:tcW w:type="dxa" w:w="8352"/>
          </w:tcPr>
          <w:p>
            <w:r>
              <w:t>Teresa Huang, Chief Investment Officer; PBPEPS Investment Committee</w:t>
            </w:r>
          </w:p>
        </w:tc>
      </w:tr>
      <w:tr>
        <w:tc>
          <w:tcPr>
            <w:tcW w:type="dxa" w:w="1296"/>
          </w:tcPr>
          <w:p>
            <w:r/>
            <w:r>
              <w:rPr>
                <w:b/>
              </w:rPr>
              <w:t>FROM:</w:t>
            </w:r>
          </w:p>
        </w:tc>
        <w:tc>
          <w:tcPr>
            <w:tcW w:type="dxa" w:w="8352"/>
          </w:tcPr>
          <w:p>
            <w:r>
              <w:t>Fund Investment Counsel (Side Letter Review Team)</w:t>
            </w:r>
          </w:p>
        </w:tc>
      </w:tr>
      <w:tr>
        <w:tc>
          <w:tcPr>
            <w:tcW w:type="dxa" w:w="1296"/>
          </w:tcPr>
          <w:p>
            <w:r/>
            <w:r>
              <w:rPr>
                <w:b/>
              </w:rPr>
              <w:t>CC:</w:t>
            </w:r>
          </w:p>
        </w:tc>
        <w:tc>
          <w:tcPr>
            <w:tcW w:type="dxa" w:w="8352"/>
          </w:tcPr>
          <w:p>
            <w:r>
              <w:t>Jonathan Whitmore; Sarah Chen (Whitmore Capital Partners LLP)</w:t>
            </w:r>
          </w:p>
        </w:tc>
      </w:tr>
      <w:tr>
        <w:tc>
          <w:tcPr>
            <w:tcW w:type="dxa" w:w="1296"/>
          </w:tcPr>
          <w:p>
            <w:r/>
            <w:r>
              <w:rPr>
                <w:b/>
              </w:rPr>
              <w:t>DATE:</w:t>
            </w:r>
          </w:p>
        </w:tc>
        <w:tc>
          <w:tcPr>
            <w:tcW w:type="dxa" w:w="8352"/>
          </w:tcPr>
          <w:p>
            <w:r>
              <w:t>October 16, 2026</w:t>
            </w:r>
          </w:p>
        </w:tc>
      </w:tr>
      <w:tr>
        <w:tc>
          <w:tcPr>
            <w:tcW w:type="dxa" w:w="1296"/>
          </w:tcPr>
          <w:p>
            <w:r/>
            <w:r>
              <w:rPr>
                <w:b/>
              </w:rPr>
              <w:t>RE:</w:t>
            </w:r>
          </w:p>
        </w:tc>
        <w:tc>
          <w:tcPr>
            <w:tcW w:type="dxa" w:w="8352"/>
          </w:tcPr>
          <w:p>
            <w:r>
              <w:t>Deviation Analysis — Side Letter Agreement No. SL-RGEF4-PBPEPS-001 (dated June 15, 2022) against the Amended and Restated Agreement of Limited Partnership of Ridgeline Growth Equity Fund IV, L.P. (dated June 15, 2022, as amended through the Final Close of September 30, 2022), and Verification of the CIO’s Investment Committee Approval Memorandum</w:t>
            </w:r>
          </w:p>
        </w:tc>
      </w:tr>
    </w:tbl>
    <w:p/>
    <w:p>
      <w:pPr>
        <w:pStyle w:val="Heading1"/>
      </w:pPr>
      <w:r>
        <w:t>I. Executive Summary</w:t>
      </w:r>
    </w:p>
    <w:p>
      <w:pPr>
        <w:spacing w:after="100"/>
      </w:pPr>
      <w:r>
        <w:rPr>
          <w:b w:val="0"/>
          <w:i w:val="0"/>
        </w:rPr>
        <w:t xml:space="preserve">We compared each provision of the PBPEPS Side Letter (the “Side Letter” or “SL”) against the corresponding provisions of the RGEF IV LPA (the “LPA”), and tested each statement in the CIO’s email memorandum requesting Investment Committee approval (the “IC Memo”) against both documents. Our bottom line: </w:t>
      </w:r>
      <w:r>
        <w:rPr>
          <w:b/>
          <w:i w:val="0"/>
        </w:rPr>
        <w:t>the Side Letter delivers several real economic and reporting improvements, but the IC Memo materially overstates what PBPEPS is getting.</w:t>
      </w:r>
      <w:r>
        <w:rPr>
          <w:b w:val="0"/>
          <w:i w:val="0"/>
        </w:rPr>
        <w:t xml:space="preserve"> Five of the twelve concessions listed in the IC Memo are either misdescribed or are at serious risk of being unenforceable under the LPA’s own conflict rules. The Investment Committee should not rely on the IC Memo as currently written.</w:t>
      </w:r>
    </w:p>
    <w:p>
      <w:pPr>
        <w:spacing w:after="100"/>
      </w:pPr>
      <w:r>
        <w:rPr>
          <w:b/>
          <w:i w:val="0"/>
        </w:rPr>
        <w:t>Key findings (in order of significance):</w:t>
      </w:r>
    </w:p>
    <w:p>
      <w:pPr>
        <w:pStyle w:val="ListBullet"/>
        <w:spacing w:after="60"/>
      </w:pPr>
      <w:r>
        <w:rPr>
          <w:b/>
          <w:i w:val="0"/>
        </w:rPr>
        <w:t>The LPA’s “notwithstanding” rule undermines four headline concessions.</w:t>
      </w:r>
      <w:r>
        <w:rPr>
          <w:b w:val="0"/>
          <w:i w:val="0"/>
        </w:rPr>
        <w:t xml:space="preserve"> LPA § 13.5(b) provides that a Side Letter controls over a conflicting LPA term </w:t>
      </w:r>
      <w:r>
        <w:rPr>
          <w:b/>
          <w:i w:val="0"/>
        </w:rPr>
        <w:t>only if the Side Letter contains express “notwithstanding” language specifically overriding identified LPA provisions</w:t>
      </w:r>
      <w:r>
        <w:rPr>
          <w:b w:val="0"/>
          <w:i w:val="0"/>
        </w:rPr>
        <w:t>; otherwise the LPA governs and the side letter is read as supplemental and “not in derogation of” the LPA. The Clawback Enhancement (SL § 7: “In addition to … Section 5.3”), Key Person automatic suspension (SL § 6: “In addition to … Section 6.3”), Guaranteed LPAC Seat (SL § 5(a): “In addition to … Section 8.1”) and Withdrawal Right (SL § 9: no override language at all) each directly contradict an LPA provision but lack the required override. The SL’s own general conflict clause (“the terms of this Side Letter shall control”) does not satisfy § 13.5(b), which demands provision-specific language. The IC Memo’s statement that the SL’s “provisions control in the event of any inconsistency with the LPA” (IC Memo § 5) is therefore incorrect as a matter of the LPA’s terms.</w:t>
      </w:r>
    </w:p>
    <w:p>
      <w:pPr>
        <w:pStyle w:val="ListBullet"/>
        <w:spacing w:after="60"/>
      </w:pPr>
      <w:r>
        <w:rPr>
          <w:b/>
          <w:i w:val="0"/>
        </w:rPr>
        <w:t>The IC Memo misstates two hard numbers.</w:t>
      </w:r>
      <w:r>
        <w:rPr>
          <w:b w:val="0"/>
          <w:i w:val="0"/>
        </w:rPr>
        <w:t xml:space="preserve"> The co-investment threshold is </w:t>
      </w:r>
      <w:r>
        <w:rPr>
          <w:b/>
          <w:i w:val="0"/>
        </w:rPr>
        <w:t>$125,000,000</w:t>
      </w:r>
      <w:r>
        <w:rPr>
          <w:b w:val="0"/>
          <w:i w:val="0"/>
        </w:rPr>
        <w:t xml:space="preserve"> in SL § 3(a)–(b), not $100,000,000 as stated in IC Memo Table row 2 and § 4. The withdrawal Deployment Threshold is </w:t>
      </w:r>
      <w:r>
        <w:rPr>
          <w:b/>
          <w:i w:val="0"/>
        </w:rPr>
        <w:t>50% ($1.39 billion)</w:t>
      </w:r>
      <w:r>
        <w:rPr>
          <w:b w:val="0"/>
          <w:i w:val="0"/>
        </w:rPr>
        <w:t xml:space="preserve"> in SL § 9, not 40% as stated in IC Memo Table row 11. Both errors make the concessions look more valuable than they are.</w:t>
      </w:r>
    </w:p>
    <w:p>
      <w:pPr>
        <w:pStyle w:val="ListBullet"/>
        <w:spacing w:after="60"/>
      </w:pPr>
      <w:r>
        <w:rPr>
          <w:b/>
          <w:i w:val="0"/>
        </w:rPr>
        <w:t>The clawback is described as “notwithstanding the LPA” when it is not</w:t>
      </w:r>
      <w:r>
        <w:rPr>
          <w:b w:val="0"/>
          <w:i w:val="0"/>
        </w:rPr>
        <w:t>, and its value is overstated. The IC Memo (Table row 10; § 4) says the gross clawback applies “notwithstanding the LPA” — the SL actually says “in addition to.” The IC Memo’s $10 million illustration also implies PBPEPS recovers the full $4.5 million incremental amount; PBPEPS’s economic share of a Fund-level clawback is its ~6.295% Commitment Percentage (≈ $283,000 on those facts). The gross-up is also unsupported by the LPA’s escrow (30% of carry, § 5.3(e)) and personal guaranties (capped at the net-of-tax amount, § 5.3(c)).</w:t>
      </w:r>
    </w:p>
    <w:p>
      <w:pPr>
        <w:pStyle w:val="ListBullet"/>
        <w:spacing w:after="60"/>
      </w:pPr>
      <w:r>
        <w:rPr>
          <w:b/>
          <w:i w:val="0"/>
        </w:rPr>
        <w:t>The MFN may be a step backwards, not forward.</w:t>
      </w:r>
      <w:r>
        <w:rPr>
          <w:b w:val="0"/>
          <w:i w:val="0"/>
        </w:rPr>
        <w:t xml:space="preserve"> SL § 2 (which does override LPA § 10.2) limits PBPEPS’s election to terms granted to LPs whose commitments are </w:t>
      </w:r>
      <w:r>
        <w:rPr>
          <w:b/>
          <w:i w:val="0"/>
        </w:rPr>
        <w:t>equal to or less than $175 million</w:t>
      </w:r>
      <w:r>
        <w:rPr>
          <w:b w:val="0"/>
          <w:i w:val="0"/>
        </w:rPr>
        <w:t>. LPA § 10.2 contains no such size limit — an MFN Eligible LP may elect terms from any other LP’s side letter. Read literally, the SL replaces the broader LPA MFN with a narrower one that excludes the largest (and typically best-treated) investors. The IC Memo’s claim that the MFN “ensures PBPEPS receives best available terms” is inaccurate. The SL does improve timing (15-day notice / 90-day election vs. 30/60), retroactivity, and includes co-investment rights (excluded by LPA § 10.2(d)(iii)).</w:t>
      </w:r>
    </w:p>
    <w:p>
      <w:pPr>
        <w:pStyle w:val="ListBullet"/>
        <w:spacing w:after="60"/>
      </w:pPr>
      <w:r>
        <w:rPr>
          <w:b/>
          <w:i w:val="0"/>
        </w:rPr>
        <w:t>The Key Person “enhancement” does not change the trigger</w:t>
      </w:r>
      <w:r>
        <w:rPr>
          <w:b w:val="0"/>
          <w:i w:val="0"/>
        </w:rPr>
        <w:t xml:space="preserve">, which remains identical to the LPA (Marcus Ridgeline </w:t>
      </w:r>
      <w:r>
        <w:rPr>
          <w:b/>
          <w:i w:val="0"/>
        </w:rPr>
        <w:t>and</w:t>
      </w:r>
      <w:r>
        <w:rPr>
          <w:b w:val="0"/>
          <w:i w:val="0"/>
        </w:rPr>
        <w:t xml:space="preserve"> two of three Senior Managing Directors — i.e., three of four Key Persons must depart). Further, a fund-wide suspension of the Investment Period cannot be effected by one LP’s side letter without affecting other LPs (LPA §§ 13.5(c), 14.1(d)), and the SL’s resumption mechanics are in some respects </w:t>
      </w:r>
      <w:r>
        <w:rPr>
          <w:b/>
          <w:i w:val="0"/>
        </w:rPr>
        <w:t>weaker</w:t>
      </w:r>
      <w:r>
        <w:rPr>
          <w:b w:val="0"/>
          <w:i w:val="0"/>
        </w:rPr>
        <w:t xml:space="preserve"> than the LPA (resumption on designation of replacements acceptable to PBPEPS alone, bypassing LPAC approval under § 6.3(d), or on a 60% LP vote versus the 75% reinstatement vote in § 6.3(e)).</w:t>
      </w:r>
    </w:p>
    <w:p>
      <w:pPr>
        <w:pStyle w:val="ListBullet"/>
        <w:spacing w:after="60"/>
      </w:pPr>
      <w:r>
        <w:rPr>
          <w:b/>
          <w:i w:val="0"/>
        </w:rPr>
        <w:t>The Withdrawal Right conflicts with the LPA’s core closed-end architecture</w:t>
      </w:r>
      <w:r>
        <w:rPr>
          <w:b w:val="0"/>
          <w:i w:val="0"/>
        </w:rPr>
        <w:t xml:space="preserve"> (§ 3.1(b) irrevocable commitments; § 11.2(b) “no right of redemption or withdrawal” except per §§ 11.2 and 9.1) and would require a cash distribution of NAV out of a pooled vehicle, affecting other LPs. Its enforceability is doubtful; even if enforceable, the Election Period (June 15 – August 14, 2025) has now passed and its status must be confirmed.</w:t>
      </w:r>
    </w:p>
    <w:p>
      <w:pPr>
        <w:pStyle w:val="ListBullet"/>
        <w:spacing w:after="60"/>
      </w:pPr>
      <w:r>
        <w:rPr>
          <w:b/>
          <w:i w:val="0"/>
        </w:rPr>
        <w:t>The negligence exculpation standard (SL § 8) is properly overridden but practically limited</w:t>
      </w:r>
      <w:r>
        <w:rPr>
          <w:b w:val="0"/>
          <w:i w:val="0"/>
        </w:rPr>
        <w:t>: it does not override the LPA § 12.3(a) cap limiting GP liability to its $55.6 million Capital Commitment; SL § 8(b) restricts Fund (not GP) indemnification, which impacts pooled Fund assets and so other LPs (§ 14.1(d)); and the IC Memo omits SL § 8(b) entirely.</w:t>
      </w:r>
    </w:p>
    <w:p>
      <w:pPr>
        <w:pStyle w:val="ListBullet"/>
        <w:spacing w:after="60"/>
      </w:pPr>
      <w:r>
        <w:rPr>
          <w:b/>
          <w:i w:val="0"/>
        </w:rPr>
        <w:t>Several drafting errors</w:t>
      </w:r>
      <w:r>
        <w:rPr>
          <w:b w:val="0"/>
          <w:i w:val="0"/>
        </w:rPr>
        <w:t xml:space="preserve"> require correction: wrong cross-references (SL § 7 to LPA § 5.3(c) for escrow — escrow is § 5.3(e); SL § 9(b) to § 7.2 for valuation — valuation is § 7.3; SL § 11(e) to § 13.4 for notices — notices are § 13.3); a waiver of a non-existent “minimum transfer size requirement” in § 9.1; notices to “addresses set forth in the preamble” where the GP’s address does not appear; outdated CPRA citation (Gov. Code § 6250 et seq. was recodified at § 7920.000 et seq. effective January 1, 2023); and inconsistent fund-counsel name (letterhead “Graystone Kirkland LLP” vs. LPA “Graystone Hargrove LLP”).</w:t>
      </w:r>
    </w:p>
    <w:p>
      <w:pPr>
        <w:spacing w:after="100"/>
      </w:pPr>
      <w:r>
        <w:rPr>
          <w:b w:val="0"/>
          <w:i w:val="0"/>
        </w:rPr>
        <w:t>Recommendation: The Investment Committee should (i) be provided with a corrected IC Memo; and (ii) PBPEPS should require, before execution (or, if already executed, by way of a confirmatory amendment under SL § 11(a)), an amended Side Letter that adds express provision-specific “notwithstanding” language to SL §§ 5(a), 6, 7 and 9, removes the size limitation from the MFN (or expressly preserves the LPA § 10.2 MFN in addition), corrects the cross-references, and conforms the economic figures. Detailed recommendations appear in Part VIII.</w:t>
      </w:r>
    </w:p>
    <w:p>
      <w:pPr>
        <w:pStyle w:val="Heading1"/>
      </w:pPr>
      <w:r>
        <w:t>II. Documents Reviewed, Scope and Assumptions</w:t>
      </w:r>
    </w:p>
    <w:p>
      <w:pPr>
        <w:pStyle w:val="ListBullet"/>
        <w:spacing w:after="60"/>
      </w:pPr>
      <w:r>
        <w:rPr>
          <w:b/>
          <w:i w:val="0"/>
        </w:rPr>
        <w:t>LPA:</w:t>
      </w:r>
      <w:r>
        <w:rPr>
          <w:b w:val="0"/>
          <w:i w:val="0"/>
        </w:rPr>
        <w:t xml:space="preserve"> Amended and Restated Agreement of Limited Partnership of Ridgeline Growth Equity Fund IV, L.P., dated as of June 15, 2022 (as amended through the Final Close on September 30, 2022), prepared by Graystone Hargrove LLP; including Schedules A–C and Exhibits A–C.</w:t>
      </w:r>
    </w:p>
    <w:p>
      <w:pPr>
        <w:pStyle w:val="ListBullet"/>
        <w:spacing w:after="60"/>
      </w:pPr>
      <w:r>
        <w:rPr>
          <w:b/>
          <w:i w:val="0"/>
        </w:rPr>
        <w:t>Side Letter:</w:t>
      </w:r>
      <w:r>
        <w:rPr>
          <w:b w:val="0"/>
          <w:i w:val="0"/>
        </w:rPr>
        <w:t xml:space="preserve"> Side Letter Agreement, Reference No. SL-RGEF4-PBPEPS-001, dated June 15, 2022, between Ridgeline Capital Management IV, LLC (GP) and PBPEPS, acknowledged by Ridgeline Capital Advisors, LLC (Manager) as to Section 8 only. Signature blocks are unsigned in the copy reviewed.</w:t>
      </w:r>
    </w:p>
    <w:p>
      <w:pPr>
        <w:pStyle w:val="ListBullet"/>
        <w:spacing w:after="60"/>
      </w:pPr>
      <w:r>
        <w:rPr>
          <w:b/>
          <w:i w:val="0"/>
        </w:rPr>
        <w:t>IC Memo:</w:t>
      </w:r>
      <w:r>
        <w:rPr>
          <w:b w:val="0"/>
          <w:i w:val="0"/>
        </w:rPr>
        <w:t xml:space="preserve"> Email from Teresa Huang (CIO) to the PBPEPS Investment Committee (undated), “Investment Committee Approval Requested — Side Letter Terms for Ridgeline Growth Equity Fund IV, L.P. ($175M Commitment).” The IC Memo references a “Summary comparison chart (one-page PDF)” and the Subscription Agreement, neither of which was provided.</w:t>
      </w:r>
    </w:p>
    <w:p>
      <w:pPr>
        <w:spacing w:after="100"/>
      </w:pPr>
      <w:r>
        <w:rPr>
          <w:b w:val="0"/>
          <w:i w:val="0"/>
        </w:rPr>
        <w:t>Assumptions and limitations: (a) we have not reviewed the Subscription Agreement, the Investment Management Agreement, the PPM, other investors’ side letters or any MFN Notice; (b) the copy of the LPA we reviewed is stated to be “as amended through the Final Close” — PBPEPS should confirm that no LPA amendment between June 15 and September 30, 2022 altered provisions on which the SL relies (the SL defines the “Partnership Agreement” as modified “through the Final Close”); (c) the documents do not establish whether the Side Letter has been executed. Because the Side Letter and LPA are dated June 15, 2022 and several deadlines have since passed, we address both scenarios — pre-execution renegotiation and post-execution remediation; (d) references to California statutes are flagged for confirmation by PBPEPS’s regulatory counsel; this memo does not opine on California law.</w:t>
      </w:r>
    </w:p>
    <w:p>
      <w:pPr>
        <w:pStyle w:val="Heading1"/>
      </w:pPr>
      <w:r>
        <w:t>III. Governing Framework: How the Side Letter Interacts with the LPA</w:t>
      </w:r>
    </w:p>
    <w:p>
      <w:pPr>
        <w:spacing w:after="100"/>
      </w:pPr>
      <w:r>
        <w:rPr>
          <w:b w:val="0"/>
          <w:i w:val="0"/>
        </w:rPr>
        <w:t>The LPA contains four provisions that govern whether and how a side letter can vary its terms. Each SL provision must be tested against these rules: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F3A5F"/>
          </w:tcPr>
          <w:p>
            <w:r/>
            <w:r>
              <w:rPr>
                <w:b/>
                <w:color w:val="FFFFFF"/>
                <w:sz w:val="17"/>
              </w:rPr>
              <w:t>LPA Provision</w:t>
            </w:r>
          </w:p>
        </w:tc>
        <w:tc>
          <w:tcPr>
            <w:tcW w:type="dxa" w:w="3744"/>
            <w:shd w:val="clear" w:color="auto" w:fill="1F3A5F"/>
          </w:tcPr>
          <w:p>
            <w:r/>
            <w:r>
              <w:rPr>
                <w:b/>
                <w:color w:val="FFFFFF"/>
                <w:sz w:val="17"/>
              </w:rPr>
              <w:t>Rule</w:t>
            </w:r>
          </w:p>
        </w:tc>
        <w:tc>
          <w:tcPr>
            <w:tcW w:type="dxa" w:w="4032"/>
            <w:shd w:val="clear" w:color="auto" w:fill="1F3A5F"/>
          </w:tcPr>
          <w:p>
            <w:r/>
            <w:r>
              <w:rPr>
                <w:b/>
                <w:color w:val="FFFFFF"/>
                <w:sz w:val="17"/>
              </w:rPr>
              <w:t>Consequence for the PBPEPS Side Letter</w:t>
            </w:r>
          </w:p>
        </w:tc>
      </w:tr>
      <w:tr>
        <w:tc>
          <w:tcPr>
            <w:tcW w:type="dxa" w:w="1872"/>
          </w:tcPr>
          <w:p>
            <w:r/>
            <w:r>
              <w:rPr>
                <w:b w:val="0"/>
                <w:i w:val="0"/>
                <w:sz w:val="17"/>
              </w:rPr>
              <w:t>§ 13.5(b) (Entire Agreement — conflicts)</w:t>
            </w:r>
          </w:p>
        </w:tc>
        <w:tc>
          <w:tcPr>
            <w:tcW w:type="dxa" w:w="3744"/>
          </w:tcPr>
          <w:p>
            <w:r/>
            <w:r>
              <w:rPr>
                <w:b w:val="0"/>
                <w:i w:val="0"/>
                <w:sz w:val="17"/>
              </w:rPr>
              <w:t>Side Letter controls as between GP and that LP “but only to the extent that such Side Letter contains express ‘notwithstanding’ language specifically overriding identified provisions of this Agreement.” Absent such language, the LPA governs and the Side Letter is “supplemental to, and not in derogation of” the LPA.</w:t>
            </w:r>
          </w:p>
        </w:tc>
        <w:tc>
          <w:tcPr>
            <w:tcW w:type="dxa" w:w="4032"/>
          </w:tcPr>
          <w:p>
            <w:r/>
            <w:r>
              <w:rPr>
                <w:b w:val="0"/>
                <w:i w:val="0"/>
                <w:sz w:val="17"/>
              </w:rPr>
              <w:t>Controlling rule. The SL’s generic conflict clause (Agreement preamble: “the terms of this Side Letter shall control solely as they apply to the Investor”) is not provision-specific. SL §§ 5(a), 6, 7 and 9 lack the required override and conflict with the LPA.</w:t>
            </w:r>
          </w:p>
        </w:tc>
      </w:tr>
      <w:tr>
        <w:tc>
          <w:tcPr>
            <w:tcW w:type="dxa" w:w="1872"/>
          </w:tcPr>
          <w:p>
            <w:r/>
            <w:r>
              <w:rPr>
                <w:b w:val="0"/>
                <w:i w:val="0"/>
                <w:sz w:val="17"/>
              </w:rPr>
              <w:t>§ 13.5(c)</w:t>
            </w:r>
          </w:p>
        </w:tc>
        <w:tc>
          <w:tcPr>
            <w:tcW w:type="dxa" w:w="3744"/>
          </w:tcPr>
          <w:p>
            <w:r/>
            <w:r>
              <w:rPr>
                <w:b w:val="0"/>
                <w:i w:val="0"/>
                <w:sz w:val="17"/>
              </w:rPr>
              <w:t>No Side Letter may modify, amend or waive the rights or obligations of any LP other than the party to it.</w:t>
            </w:r>
          </w:p>
        </w:tc>
        <w:tc>
          <w:tcPr>
            <w:tcW w:type="dxa" w:w="4032"/>
          </w:tcPr>
          <w:p>
            <w:r/>
            <w:r>
              <w:rPr>
                <w:b w:val="0"/>
                <w:i w:val="0"/>
                <w:sz w:val="17"/>
              </w:rPr>
              <w:t>Provisions with fund-wide effects (Investment Period suspension; withdrawal and NAV payout; Fund-level indemnification limits) are vulnerable.</w:t>
            </w:r>
          </w:p>
        </w:tc>
      </w:tr>
      <w:tr>
        <w:tc>
          <w:tcPr>
            <w:tcW w:type="dxa" w:w="1872"/>
          </w:tcPr>
          <w:p>
            <w:r/>
            <w:r>
              <w:rPr>
                <w:b w:val="0"/>
                <w:i w:val="0"/>
                <w:sz w:val="17"/>
              </w:rPr>
              <w:t>§ 14.1(d)</w:t>
            </w:r>
          </w:p>
        </w:tc>
        <w:tc>
          <w:tcPr>
            <w:tcW w:type="dxa" w:w="3744"/>
          </w:tcPr>
          <w:p>
            <w:r/>
            <w:r>
              <w:rPr>
                <w:b w:val="0"/>
                <w:i w:val="0"/>
                <w:sz w:val="17"/>
              </w:rPr>
              <w:t>Side Letters may supplement/modify the LPA as applied to the party LP, but may not “directly or indirectly alter, diminish, or modify” rights of any other LP.</w:t>
            </w:r>
          </w:p>
        </w:tc>
        <w:tc>
          <w:tcPr>
            <w:tcW w:type="dxa" w:w="4032"/>
          </w:tcPr>
          <w:p>
            <w:r/>
            <w:r>
              <w:rPr>
                <w:b w:val="0"/>
                <w:i w:val="0"/>
                <w:sz w:val="17"/>
              </w:rPr>
              <w:t>Same as above; “indirectly” broadens the restriction.</w:t>
            </w:r>
          </w:p>
        </w:tc>
      </w:tr>
      <w:tr>
        <w:tc>
          <w:tcPr>
            <w:tcW w:type="dxa" w:w="1872"/>
          </w:tcPr>
          <w:p>
            <w:r/>
            <w:r>
              <w:rPr>
                <w:b w:val="0"/>
                <w:i w:val="0"/>
                <w:sz w:val="17"/>
              </w:rPr>
              <w:t>§ 14.2(a)–(d)</w:t>
            </w:r>
          </w:p>
        </w:tc>
        <w:tc>
          <w:tcPr>
            <w:tcW w:type="dxa" w:w="3744"/>
          </w:tcPr>
          <w:p>
            <w:r/>
            <w:r>
              <w:rPr>
                <w:b w:val="0"/>
                <w:i w:val="0"/>
                <w:sz w:val="17"/>
              </w:rPr>
              <w:t>GP expressly authorised to grant reduced fees, modified reporting, enhanced information rights, excuse rights, co-investment rights and other accommodations; all side letters subject to MFN (§ 10.2); conflicts governed by § 13.5.</w:t>
            </w:r>
          </w:p>
        </w:tc>
        <w:tc>
          <w:tcPr>
            <w:tcW w:type="dxa" w:w="4032"/>
          </w:tcPr>
          <w:p>
            <w:r/>
            <w:r>
              <w:rPr>
                <w:b w:val="0"/>
                <w:i w:val="0"/>
                <w:sz w:val="17"/>
              </w:rPr>
              <w:t>Fee, reporting, excuse and co-investment concessions are squarely within the GP’s authority.</w:t>
            </w:r>
          </w:p>
        </w:tc>
      </w:tr>
      <w:tr>
        <w:tc>
          <w:tcPr>
            <w:tcW w:type="dxa" w:w="1872"/>
          </w:tcPr>
          <w:p>
            <w:r/>
            <w:r>
              <w:rPr>
                <w:b w:val="0"/>
                <w:i w:val="0"/>
                <w:sz w:val="17"/>
              </w:rPr>
              <w:t>§ 4.1(g); § 12.2(d)</w:t>
            </w:r>
          </w:p>
        </w:tc>
        <w:tc>
          <w:tcPr>
            <w:tcW w:type="dxa" w:w="3744"/>
          </w:tcPr>
          <w:p>
            <w:r/>
            <w:r>
              <w:rPr>
                <w:b w:val="0"/>
                <w:i w:val="0"/>
                <w:sz w:val="17"/>
              </w:rPr>
              <w:t>Fee may be varied by Side Letter; standard of care uniform for all LPs “except as may be separately agreed in a Side Letter (subject to the limitations set forth in this Agreement).”</w:t>
            </w:r>
          </w:p>
        </w:tc>
        <w:tc>
          <w:tcPr>
            <w:tcW w:type="dxa" w:w="4032"/>
          </w:tcPr>
          <w:p>
            <w:r/>
            <w:r>
              <w:rPr>
                <w:b w:val="0"/>
                <w:i w:val="0"/>
                <w:sz w:val="17"/>
              </w:rPr>
              <w:t>Authorises SL §§ 1 and 8 in principle, subject to §§ 12.3, 13.5(c) and 14.1(d).</w:t>
            </w:r>
          </w:p>
        </w:tc>
      </w:tr>
    </w:tbl>
    <w:p>
      <w:pPr>
        <w:spacing w:after="40"/>
      </w:pPr>
    </w:p>
    <w:p>
      <w:pPr>
        <w:spacing w:after="100"/>
      </w:pPr>
      <w:r>
        <w:rPr>
          <w:b/>
          <w:i w:val="0"/>
        </w:rPr>
        <w:t>“Notwithstanding” audit of the Side Letter: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728"/>
            <w:shd w:val="clear" w:color="auto" w:fill="1F3A5F"/>
          </w:tcPr>
          <w:p>
            <w:r/>
            <w:r>
              <w:rPr>
                <w:b/>
                <w:color w:val="FFFFFF"/>
                <w:sz w:val="17"/>
              </w:rPr>
              <w:t>SL Section</w:t>
            </w:r>
          </w:p>
        </w:tc>
        <w:tc>
          <w:tcPr>
            <w:tcW w:type="dxa" w:w="2448"/>
            <w:shd w:val="clear" w:color="auto" w:fill="1F3A5F"/>
          </w:tcPr>
          <w:p>
            <w:r/>
            <w:r>
              <w:rPr>
                <w:b/>
                <w:color w:val="FFFFFF"/>
                <w:sz w:val="17"/>
              </w:rPr>
              <w:t>Opening Language</w:t>
            </w:r>
          </w:p>
        </w:tc>
        <w:tc>
          <w:tcPr>
            <w:tcW w:type="dxa" w:w="2736"/>
            <w:shd w:val="clear" w:color="auto" w:fill="1F3A5F"/>
          </w:tcPr>
          <w:p>
            <w:r/>
            <w:r>
              <w:rPr>
                <w:b/>
                <w:color w:val="FFFFFF"/>
                <w:sz w:val="17"/>
              </w:rPr>
              <w:t>LPA Provision(s) in Conflict</w:t>
            </w:r>
          </w:p>
        </w:tc>
        <w:tc>
          <w:tcPr>
            <w:tcW w:type="dxa" w:w="2736"/>
            <w:shd w:val="clear" w:color="auto" w:fill="1F3A5F"/>
          </w:tcPr>
          <w:p>
            <w:r/>
            <w:r>
              <w:rPr>
                <w:b/>
                <w:color w:val="FFFFFF"/>
                <w:sz w:val="17"/>
              </w:rPr>
              <w:t>Override Effective under § 13.5(b)?</w:t>
            </w:r>
          </w:p>
        </w:tc>
      </w:tr>
      <w:tr>
        <w:tc>
          <w:tcPr>
            <w:tcW w:type="dxa" w:w="1728"/>
          </w:tcPr>
          <w:p>
            <w:r/>
            <w:r>
              <w:rPr>
                <w:b w:val="0"/>
                <w:i w:val="0"/>
                <w:sz w:val="17"/>
              </w:rPr>
              <w:t>§ 1 Management Fee</w:t>
            </w:r>
          </w:p>
        </w:tc>
        <w:tc>
          <w:tcPr>
            <w:tcW w:type="dxa" w:w="2448"/>
          </w:tcPr>
          <w:p>
            <w:r/>
            <w:r>
              <w:rPr>
                <w:b w:val="0"/>
                <w:i w:val="0"/>
                <w:sz w:val="17"/>
              </w:rPr>
              <w:t>“Notwithstanding anything to the contrary in Section 4.1”</w:t>
            </w:r>
          </w:p>
        </w:tc>
        <w:tc>
          <w:tcPr>
            <w:tcW w:type="dxa" w:w="2736"/>
          </w:tcPr>
          <w:p>
            <w:r/>
            <w:r>
              <w:rPr>
                <w:b w:val="0"/>
                <w:i w:val="0"/>
                <w:sz w:val="17"/>
              </w:rPr>
              <w:t>§ 4.1(a)–(b)</w:t>
            </w:r>
          </w:p>
        </w:tc>
        <w:tc>
          <w:tcPr>
            <w:tcW w:type="dxa" w:w="2736"/>
            <w:shd w:val="clear" w:color="auto" w:fill="D9EAD3"/>
          </w:tcPr>
          <w:p>
            <w:r/>
            <w:r>
              <w:rPr>
                <w:b w:val="0"/>
                <w:i w:val="0"/>
                <w:sz w:val="17"/>
              </w:rPr>
              <w:t>LOW risk — Yes (and § 4.1(g) expressly permits)</w:t>
            </w:r>
          </w:p>
        </w:tc>
      </w:tr>
      <w:tr>
        <w:tc>
          <w:tcPr>
            <w:tcW w:type="dxa" w:w="1728"/>
          </w:tcPr>
          <w:p>
            <w:r/>
            <w:r>
              <w:rPr>
                <w:b w:val="0"/>
                <w:i w:val="0"/>
                <w:sz w:val="17"/>
              </w:rPr>
              <w:t>§ 2 MFN</w:t>
            </w:r>
          </w:p>
        </w:tc>
        <w:tc>
          <w:tcPr>
            <w:tcW w:type="dxa" w:w="2448"/>
          </w:tcPr>
          <w:p>
            <w:r/>
            <w:r>
              <w:rPr>
                <w:b w:val="0"/>
                <w:i w:val="0"/>
                <w:sz w:val="17"/>
              </w:rPr>
              <w:t>“Notwithstanding anything to the contrary in Section 10.2”</w:t>
            </w:r>
          </w:p>
        </w:tc>
        <w:tc>
          <w:tcPr>
            <w:tcW w:type="dxa" w:w="2736"/>
          </w:tcPr>
          <w:p>
            <w:r/>
            <w:r>
              <w:rPr>
                <w:b w:val="0"/>
                <w:i w:val="0"/>
                <w:sz w:val="17"/>
              </w:rPr>
              <w:t>§ 10.2(b)–(d)</w:t>
            </w:r>
          </w:p>
        </w:tc>
        <w:tc>
          <w:tcPr>
            <w:tcW w:type="dxa" w:w="2736"/>
            <w:shd w:val="clear" w:color="auto" w:fill="D9EAD3"/>
          </w:tcPr>
          <w:p>
            <w:r/>
            <w:r>
              <w:rPr>
                <w:b w:val="0"/>
                <w:i w:val="0"/>
                <w:sz w:val="17"/>
              </w:rPr>
              <w:t>LOW risk — Yes (but see MFN narrowing, Part V.2)</w:t>
            </w:r>
          </w:p>
        </w:tc>
      </w:tr>
      <w:tr>
        <w:tc>
          <w:tcPr>
            <w:tcW w:type="dxa" w:w="1728"/>
          </w:tcPr>
          <w:p>
            <w:r/>
            <w:r>
              <w:rPr>
                <w:b w:val="0"/>
                <w:i w:val="0"/>
                <w:sz w:val="17"/>
              </w:rPr>
              <w:t>§ 3 Co-Investment</w:t>
            </w:r>
          </w:p>
        </w:tc>
        <w:tc>
          <w:tcPr>
            <w:tcW w:type="dxa" w:w="2448"/>
          </w:tcPr>
          <w:p>
            <w:r/>
            <w:r>
              <w:rPr>
                <w:b w:val="0"/>
                <w:i w:val="0"/>
                <w:sz w:val="17"/>
              </w:rPr>
              <w:t>“The General Partner hereby agrees …” (no override)</w:t>
            </w:r>
          </w:p>
        </w:tc>
        <w:tc>
          <w:tcPr>
            <w:tcW w:type="dxa" w:w="2736"/>
          </w:tcPr>
          <w:p>
            <w:r/>
            <w:r>
              <w:rPr>
                <w:b w:val="0"/>
                <w:i w:val="0"/>
                <w:sz w:val="17"/>
              </w:rPr>
              <w:t>No direct conflict; interacts with §§ 8.2(a)(i), 10.2(d)(iii), 3.3(c)(iii)</w:t>
            </w:r>
          </w:p>
        </w:tc>
        <w:tc>
          <w:tcPr>
            <w:tcW w:type="dxa" w:w="2736"/>
            <w:shd w:val="clear" w:color="auto" w:fill="FCE5CD"/>
          </w:tcPr>
          <w:p>
            <w:r/>
            <w:r>
              <w:rPr>
                <w:b w:val="0"/>
                <w:i w:val="0"/>
                <w:sz w:val="17"/>
              </w:rPr>
              <w:t>MEDIUM — No override needed for the grant itself; LPAC conflict-consent under § 8.2(a)(i) may still be required</w:t>
            </w:r>
          </w:p>
        </w:tc>
      </w:tr>
      <w:tr>
        <w:tc>
          <w:tcPr>
            <w:tcW w:type="dxa" w:w="1728"/>
          </w:tcPr>
          <w:p>
            <w:r/>
            <w:r>
              <w:rPr>
                <w:b w:val="0"/>
                <w:i w:val="0"/>
                <w:sz w:val="17"/>
              </w:rPr>
              <w:t>§ 4 Transfer Rights</w:t>
            </w:r>
          </w:p>
        </w:tc>
        <w:tc>
          <w:tcPr>
            <w:tcW w:type="dxa" w:w="2448"/>
          </w:tcPr>
          <w:p>
            <w:r/>
            <w:r>
              <w:rPr>
                <w:b w:val="0"/>
                <w:i w:val="0"/>
                <w:sz w:val="17"/>
              </w:rPr>
              <w:t>“Notwithstanding Section 9.1”</w:t>
            </w:r>
          </w:p>
        </w:tc>
        <w:tc>
          <w:tcPr>
            <w:tcW w:type="dxa" w:w="2736"/>
          </w:tcPr>
          <w:p>
            <w:r/>
            <w:r>
              <w:rPr>
                <w:b w:val="0"/>
                <w:i w:val="0"/>
                <w:sz w:val="17"/>
              </w:rPr>
              <w:t>§ 9.1(a), (b)(iii), (c), (e)</w:t>
            </w:r>
          </w:p>
        </w:tc>
        <w:tc>
          <w:tcPr>
            <w:tcW w:type="dxa" w:w="2736"/>
            <w:shd w:val="clear" w:color="auto" w:fill="FCE5CD"/>
          </w:tcPr>
          <w:p>
            <w:r/>
            <w:r>
              <w:rPr>
                <w:b w:val="0"/>
                <w:i w:val="0"/>
                <w:sz w:val="17"/>
              </w:rPr>
              <w:t>MEDIUM — Yes as to GP consent; unclear as to § 9.1(b) (“Notwithstanding any other provision of this Agreement”) Competitor/QP bars</w:t>
            </w:r>
          </w:p>
        </w:tc>
      </w:tr>
      <w:tr>
        <w:tc>
          <w:tcPr>
            <w:tcW w:type="dxa" w:w="1728"/>
          </w:tcPr>
          <w:p>
            <w:r/>
            <w:r>
              <w:rPr>
                <w:b w:val="0"/>
                <w:i w:val="0"/>
                <w:sz w:val="17"/>
              </w:rPr>
              <w:t>§ 5(a) LPAC Seat</w:t>
            </w:r>
          </w:p>
        </w:tc>
        <w:tc>
          <w:tcPr>
            <w:tcW w:type="dxa" w:w="2448"/>
          </w:tcPr>
          <w:p>
            <w:r/>
            <w:r>
              <w:rPr>
                <w:b w:val="0"/>
                <w:i w:val="0"/>
                <w:sz w:val="17"/>
              </w:rPr>
              <w:t>“In addition to the provisions of Section 8.1”</w:t>
            </w:r>
          </w:p>
        </w:tc>
        <w:tc>
          <w:tcPr>
            <w:tcW w:type="dxa" w:w="2736"/>
          </w:tcPr>
          <w:p>
            <w:r/>
            <w:r>
              <w:rPr>
                <w:b w:val="0"/>
                <w:i w:val="0"/>
                <w:sz w:val="17"/>
              </w:rPr>
              <w:t>§ 8.1(a) (sole discretion), (b) (removal at any time), (c) (“does not provide for any … guaranteed seat”)</w:t>
            </w:r>
          </w:p>
        </w:tc>
        <w:tc>
          <w:tcPr>
            <w:tcW w:type="dxa" w:w="2736"/>
            <w:shd w:val="clear" w:color="auto" w:fill="F4CCCC"/>
          </w:tcPr>
          <w:p>
            <w:r/>
            <w:r>
              <w:rPr>
                <w:b w:val="0"/>
                <w:i w:val="0"/>
                <w:sz w:val="17"/>
              </w:rPr>
              <w:t>HIGH — No. LPA governs; seat removable</w:t>
            </w:r>
          </w:p>
        </w:tc>
      </w:tr>
      <w:tr>
        <w:tc>
          <w:tcPr>
            <w:tcW w:type="dxa" w:w="1728"/>
          </w:tcPr>
          <w:p>
            <w:r/>
            <w:r>
              <w:rPr>
                <w:b w:val="0"/>
                <w:i w:val="0"/>
                <w:sz w:val="17"/>
              </w:rPr>
              <w:t>§ 5(b) Excuse Rights</w:t>
            </w:r>
          </w:p>
        </w:tc>
        <w:tc>
          <w:tcPr>
            <w:tcW w:type="dxa" w:w="2448"/>
          </w:tcPr>
          <w:p>
            <w:r/>
            <w:r>
              <w:rPr>
                <w:b w:val="0"/>
                <w:i w:val="0"/>
                <w:sz w:val="17"/>
              </w:rPr>
              <w:t>“Notwithstanding Section 9.2”</w:t>
            </w:r>
          </w:p>
        </w:tc>
        <w:tc>
          <w:tcPr>
            <w:tcW w:type="dxa" w:w="2736"/>
          </w:tcPr>
          <w:p>
            <w:r/>
            <w:r>
              <w:rPr>
                <w:b w:val="0"/>
                <w:i w:val="0"/>
                <w:sz w:val="17"/>
              </w:rPr>
              <w:t>§ 9.2(a), (b), (c), (f)</w:t>
            </w:r>
          </w:p>
        </w:tc>
        <w:tc>
          <w:tcPr>
            <w:tcW w:type="dxa" w:w="2736"/>
            <w:shd w:val="clear" w:color="auto" w:fill="D9EAD3"/>
          </w:tcPr>
          <w:p>
            <w:r/>
            <w:r>
              <w:rPr>
                <w:b w:val="0"/>
                <w:i w:val="0"/>
                <w:sz w:val="17"/>
              </w:rPr>
              <w:t>LOW/MEDIUM — Yes, but SL also says rights are “in addition to” § 9.2; GP determination process (§ 9.2(c)) ambiguous</w:t>
            </w:r>
          </w:p>
        </w:tc>
      </w:tr>
      <w:tr>
        <w:tc>
          <w:tcPr>
            <w:tcW w:type="dxa" w:w="1728"/>
          </w:tcPr>
          <w:p>
            <w:r/>
            <w:r>
              <w:rPr>
                <w:b w:val="0"/>
                <w:i w:val="0"/>
                <w:sz w:val="17"/>
              </w:rPr>
              <w:t>§ 6 Key Person</w:t>
            </w:r>
          </w:p>
        </w:tc>
        <w:tc>
          <w:tcPr>
            <w:tcW w:type="dxa" w:w="2448"/>
          </w:tcPr>
          <w:p>
            <w:r/>
            <w:r>
              <w:rPr>
                <w:b w:val="0"/>
                <w:i w:val="0"/>
                <w:sz w:val="17"/>
              </w:rPr>
              <w:t>“In addition to the provisions of Section 6.3”</w:t>
            </w:r>
          </w:p>
        </w:tc>
        <w:tc>
          <w:tcPr>
            <w:tcW w:type="dxa" w:w="2736"/>
          </w:tcPr>
          <w:p>
            <w:r/>
            <w:r>
              <w:rPr>
                <w:b w:val="0"/>
                <w:i w:val="0"/>
                <w:sz w:val="17"/>
              </w:rPr>
              <w:t>§ 6.3(c) (suspension “only upon” 60% vote), (d), (e)</w:t>
            </w:r>
          </w:p>
        </w:tc>
        <w:tc>
          <w:tcPr>
            <w:tcW w:type="dxa" w:w="2736"/>
            <w:shd w:val="clear" w:color="auto" w:fill="F4CCCC"/>
          </w:tcPr>
          <w:p>
            <w:r/>
            <w:r>
              <w:rPr>
                <w:b w:val="0"/>
                <w:i w:val="0"/>
                <w:sz w:val="17"/>
              </w:rPr>
              <w:t>HIGH — No. LPA governs; also fund-wide effect (§§ 13.5(c), 14.1(d))</w:t>
            </w:r>
          </w:p>
        </w:tc>
      </w:tr>
      <w:tr>
        <w:tc>
          <w:tcPr>
            <w:tcW w:type="dxa" w:w="1728"/>
          </w:tcPr>
          <w:p>
            <w:r/>
            <w:r>
              <w:rPr>
                <w:b w:val="0"/>
                <w:i w:val="0"/>
                <w:sz w:val="17"/>
              </w:rPr>
              <w:t>§ 7 Clawback</w:t>
            </w:r>
          </w:p>
        </w:tc>
        <w:tc>
          <w:tcPr>
            <w:tcW w:type="dxa" w:w="2448"/>
          </w:tcPr>
          <w:p>
            <w:r/>
            <w:r>
              <w:rPr>
                <w:b w:val="0"/>
                <w:i w:val="0"/>
                <w:sz w:val="17"/>
              </w:rPr>
              <w:t>“In addition to the clawback obligations set forth in Section 5.3”</w:t>
            </w:r>
          </w:p>
        </w:tc>
        <w:tc>
          <w:tcPr>
            <w:tcW w:type="dxa" w:w="2736"/>
          </w:tcPr>
          <w:p>
            <w:r/>
            <w:r>
              <w:rPr>
                <w:b w:val="0"/>
                <w:i w:val="0"/>
                <w:sz w:val="17"/>
              </w:rPr>
              <w:t>§ 5.3(b) (net of 45% tax), (c) (guaranty of net amount)</w:t>
            </w:r>
          </w:p>
        </w:tc>
        <w:tc>
          <w:tcPr>
            <w:tcW w:type="dxa" w:w="2736"/>
            <w:shd w:val="clear" w:color="auto" w:fill="F4CCCC"/>
          </w:tcPr>
          <w:p>
            <w:r/>
            <w:r>
              <w:rPr>
                <w:b w:val="0"/>
                <w:i w:val="0"/>
                <w:sz w:val="17"/>
              </w:rPr>
              <w:t>HIGH — No. LPA governs; gross-up at risk</w:t>
            </w:r>
          </w:p>
        </w:tc>
      </w:tr>
      <w:tr>
        <w:tc>
          <w:tcPr>
            <w:tcW w:type="dxa" w:w="1728"/>
          </w:tcPr>
          <w:p>
            <w:r/>
            <w:r>
              <w:rPr>
                <w:b w:val="0"/>
                <w:i w:val="0"/>
                <w:sz w:val="17"/>
              </w:rPr>
              <w:t>§ 8 Exculpation/Indemnity</w:t>
            </w:r>
          </w:p>
        </w:tc>
        <w:tc>
          <w:tcPr>
            <w:tcW w:type="dxa" w:w="2448"/>
          </w:tcPr>
          <w:p>
            <w:r/>
            <w:r>
              <w:rPr>
                <w:b w:val="0"/>
                <w:i w:val="0"/>
                <w:sz w:val="17"/>
              </w:rPr>
              <w:t>“Notwithstanding Section 12.1 and Section 12.2”</w:t>
            </w:r>
          </w:p>
        </w:tc>
        <w:tc>
          <w:tcPr>
            <w:tcW w:type="dxa" w:w="2736"/>
          </w:tcPr>
          <w:p>
            <w:r/>
            <w:r>
              <w:rPr>
                <w:b w:val="0"/>
                <w:i w:val="0"/>
                <w:sz w:val="17"/>
              </w:rPr>
              <w:t>§§ 12.1(b), 12.2(a), (c), (d); not § 12.3</w:t>
            </w:r>
          </w:p>
        </w:tc>
        <w:tc>
          <w:tcPr>
            <w:tcW w:type="dxa" w:w="2736"/>
            <w:shd w:val="clear" w:color="auto" w:fill="FCE5CD"/>
          </w:tcPr>
          <w:p>
            <w:r/>
            <w:r>
              <w:rPr>
                <w:b w:val="0"/>
                <w:i w:val="0"/>
                <w:sz w:val="17"/>
              </w:rPr>
              <w:t>MEDIUM — Yes as to 12.1/12.2; § 12.3(a) cap not overridden; Fund-indemnity change affects other LPs</w:t>
            </w:r>
          </w:p>
        </w:tc>
      </w:tr>
      <w:tr>
        <w:tc>
          <w:tcPr>
            <w:tcW w:type="dxa" w:w="1728"/>
          </w:tcPr>
          <w:p>
            <w:r/>
            <w:r>
              <w:rPr>
                <w:b w:val="0"/>
                <w:i w:val="0"/>
                <w:sz w:val="17"/>
              </w:rPr>
              <w:t>§ 9 Withdrawal</w:t>
            </w:r>
          </w:p>
        </w:tc>
        <w:tc>
          <w:tcPr>
            <w:tcW w:type="dxa" w:w="2448"/>
          </w:tcPr>
          <w:p>
            <w:r/>
            <w:r>
              <w:rPr>
                <w:b w:val="0"/>
                <w:i w:val="0"/>
                <w:sz w:val="17"/>
              </w:rPr>
              <w:t>“The General Partner hereby grants …” (no override)</w:t>
            </w:r>
          </w:p>
        </w:tc>
        <w:tc>
          <w:tcPr>
            <w:tcW w:type="dxa" w:w="2736"/>
          </w:tcPr>
          <w:p>
            <w:r/>
            <w:r>
              <w:rPr>
                <w:b w:val="0"/>
                <w:i w:val="0"/>
                <w:sz w:val="17"/>
              </w:rPr>
              <w:t>§ 3.1(b) (irrevocable); § 11.2(b) (no withdrawal); § 7.3</w:t>
            </w:r>
          </w:p>
        </w:tc>
        <w:tc>
          <w:tcPr>
            <w:tcW w:type="dxa" w:w="2736"/>
            <w:shd w:val="clear" w:color="auto" w:fill="F4CCCC"/>
          </w:tcPr>
          <w:p>
            <w:r/>
            <w:r>
              <w:rPr>
                <w:b w:val="0"/>
                <w:i w:val="0"/>
                <w:sz w:val="17"/>
              </w:rPr>
              <w:t>HIGH — No. LPA governs; also fund-wide effect</w:t>
            </w:r>
          </w:p>
        </w:tc>
      </w:tr>
      <w:tr>
        <w:tc>
          <w:tcPr>
            <w:tcW w:type="dxa" w:w="1728"/>
          </w:tcPr>
          <w:p>
            <w:r/>
            <w:r>
              <w:rPr>
                <w:b w:val="0"/>
                <w:i w:val="0"/>
                <w:sz w:val="17"/>
              </w:rPr>
              <w:t>§ 10(a) Reporting</w:t>
            </w:r>
          </w:p>
        </w:tc>
        <w:tc>
          <w:tcPr>
            <w:tcW w:type="dxa" w:w="2448"/>
          </w:tcPr>
          <w:p>
            <w:r/>
            <w:r>
              <w:rPr>
                <w:b w:val="0"/>
                <w:i w:val="0"/>
                <w:sz w:val="17"/>
              </w:rPr>
              <w:t>“Notwithstanding Section 7.1”</w:t>
            </w:r>
          </w:p>
        </w:tc>
        <w:tc>
          <w:tcPr>
            <w:tcW w:type="dxa" w:w="2736"/>
          </w:tcPr>
          <w:p>
            <w:r/>
            <w:r>
              <w:rPr>
                <w:b w:val="0"/>
                <w:i w:val="0"/>
                <w:sz w:val="17"/>
              </w:rPr>
              <w:t>§ 7.1(a)–(b)</w:t>
            </w:r>
          </w:p>
        </w:tc>
        <w:tc>
          <w:tcPr>
            <w:tcW w:type="dxa" w:w="2736"/>
            <w:shd w:val="clear" w:color="auto" w:fill="D9EAD3"/>
          </w:tcPr>
          <w:p>
            <w:r/>
            <w:r>
              <w:rPr>
                <w:b w:val="0"/>
                <w:i w:val="0"/>
                <w:sz w:val="17"/>
              </w:rPr>
              <w:t>LOW — Yes (but softened by efforts/force majeure language)</w:t>
            </w:r>
          </w:p>
        </w:tc>
      </w:tr>
      <w:tr>
        <w:tc>
          <w:tcPr>
            <w:tcW w:type="dxa" w:w="1728"/>
          </w:tcPr>
          <w:p>
            <w:r/>
            <w:r>
              <w:rPr>
                <w:b w:val="0"/>
                <w:i w:val="0"/>
                <w:sz w:val="17"/>
              </w:rPr>
              <w:t>§ 10(b) CPRA</w:t>
            </w:r>
          </w:p>
        </w:tc>
        <w:tc>
          <w:tcPr>
            <w:tcW w:type="dxa" w:w="2448"/>
          </w:tcPr>
          <w:p>
            <w:r/>
            <w:r>
              <w:rPr>
                <w:b w:val="0"/>
                <w:i w:val="0"/>
                <w:sz w:val="17"/>
              </w:rPr>
              <w:t>“Notwithstanding Section 10.1”</w:t>
            </w:r>
          </w:p>
        </w:tc>
        <w:tc>
          <w:tcPr>
            <w:tcW w:type="dxa" w:w="2736"/>
          </w:tcPr>
          <w:p>
            <w:r/>
            <w:r>
              <w:rPr>
                <w:b w:val="0"/>
                <w:i w:val="0"/>
                <w:sz w:val="17"/>
              </w:rPr>
              <w:t>§ 10.1(a)–(c)</w:t>
            </w:r>
          </w:p>
        </w:tc>
        <w:tc>
          <w:tcPr>
            <w:tcW w:type="dxa" w:w="2736"/>
            <w:shd w:val="clear" w:color="auto" w:fill="FCE5CD"/>
          </w:tcPr>
          <w:p>
            <w:r/>
            <w:r>
              <w:rPr>
                <w:b w:val="0"/>
                <w:i w:val="0"/>
                <w:sz w:val="17"/>
              </w:rPr>
              <w:t>MEDIUM — Yes, but does not expressly carve CPRA disclosure out of PBPEPS’s own § 10.1(a) covenant</w:t>
            </w:r>
          </w:p>
        </w:tc>
      </w:tr>
    </w:tbl>
    <w:p>
      <w:pPr>
        <w:spacing w:after="40"/>
      </w:pPr>
    </w:p>
    <w:p>
      <w:pPr>
        <w:pStyle w:val="Heading1"/>
      </w:pPr>
      <w:r>
        <w:t>IV. Provision-by-Provision Deviation Matrix</w:t>
      </w:r>
    </w:p>
    <w:p>
      <w:pPr>
        <w:spacing w:after="100"/>
      </w:pPr>
      <w:r>
        <w:rPr>
          <w:b w:val="0"/>
          <w:i w:val="0"/>
        </w:rPr>
        <w:t>The table below sets out each concession as it appears in the LPA, the Side Letter and the IC Memo. “Accuracy of IC Memo” records whether the IC Memo correctly describes the Side Letter. Risk ratings reflect the combined enforceability and economic risk to PBPEPS.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360"/>
            <w:shd w:val="clear" w:color="auto" w:fill="1F3A5F"/>
          </w:tcPr>
          <w:p>
            <w:r/>
            <w:r>
              <w:rPr>
                <w:b/>
                <w:color w:val="FFFFFF"/>
                <w:sz w:val="15"/>
              </w:rPr>
              <w:t>#</w:t>
            </w:r>
          </w:p>
        </w:tc>
        <w:tc>
          <w:tcPr>
            <w:tcW w:type="dxa" w:w="1080"/>
            <w:shd w:val="clear" w:color="auto" w:fill="1F3A5F"/>
          </w:tcPr>
          <w:p>
            <w:r/>
            <w:r>
              <w:rPr>
                <w:b/>
                <w:color w:val="FFFFFF"/>
                <w:sz w:val="15"/>
              </w:rPr>
              <w:t>Topic</w:t>
            </w:r>
          </w:p>
        </w:tc>
        <w:tc>
          <w:tcPr>
            <w:tcW w:type="dxa" w:w="1944"/>
            <w:shd w:val="clear" w:color="auto" w:fill="1F3A5F"/>
          </w:tcPr>
          <w:p>
            <w:r/>
            <w:r>
              <w:rPr>
                <w:b/>
                <w:color w:val="FFFFFF"/>
                <w:sz w:val="15"/>
              </w:rPr>
              <w:t>LPA Baseline</w:t>
            </w:r>
          </w:p>
        </w:tc>
        <w:tc>
          <w:tcPr>
            <w:tcW w:type="dxa" w:w="1944"/>
            <w:shd w:val="clear" w:color="auto" w:fill="1F3A5F"/>
          </w:tcPr>
          <w:p>
            <w:r/>
            <w:r>
              <w:rPr>
                <w:b/>
                <w:color w:val="FFFFFF"/>
                <w:sz w:val="15"/>
              </w:rPr>
              <w:t>Side Letter Term</w:t>
            </w:r>
          </w:p>
        </w:tc>
        <w:tc>
          <w:tcPr>
            <w:tcW w:type="dxa" w:w="1368"/>
            <w:shd w:val="clear" w:color="auto" w:fill="1F3A5F"/>
          </w:tcPr>
          <w:p>
            <w:r/>
            <w:r>
              <w:rPr>
                <w:b/>
                <w:color w:val="FFFFFF"/>
                <w:sz w:val="15"/>
              </w:rPr>
              <w:t>IC Memo Description</w:t>
            </w:r>
          </w:p>
        </w:tc>
        <w:tc>
          <w:tcPr>
            <w:tcW w:type="dxa" w:w="2304"/>
            <w:shd w:val="clear" w:color="auto" w:fill="1F3A5F"/>
          </w:tcPr>
          <w:p>
            <w:r/>
            <w:r>
              <w:rPr>
                <w:b/>
                <w:color w:val="FFFFFF"/>
                <w:sz w:val="15"/>
              </w:rPr>
              <w:t>Accuracy of IC Memo / Deviation</w:t>
            </w:r>
          </w:p>
        </w:tc>
        <w:tc>
          <w:tcPr>
            <w:tcW w:type="dxa" w:w="792"/>
            <w:shd w:val="clear" w:color="auto" w:fill="1F3A5F"/>
          </w:tcPr>
          <w:p>
            <w:r/>
            <w:r>
              <w:rPr>
                <w:b/>
                <w:color w:val="FFFFFF"/>
                <w:sz w:val="15"/>
              </w:rPr>
              <w:t>Risk</w:t>
            </w:r>
          </w:p>
        </w:tc>
      </w:tr>
      <w:tr>
        <w:tc>
          <w:tcPr>
            <w:tcW w:type="dxa" w:w="360"/>
          </w:tcPr>
          <w:p>
            <w:r/>
            <w:r>
              <w:rPr>
                <w:b w:val="0"/>
                <w:i w:val="0"/>
                <w:sz w:val="15"/>
              </w:rPr>
              <w:t>1</w:t>
            </w:r>
          </w:p>
        </w:tc>
        <w:tc>
          <w:tcPr>
            <w:tcW w:type="dxa" w:w="1080"/>
          </w:tcPr>
          <w:p>
            <w:r/>
            <w:r>
              <w:rPr>
                <w:b w:val="0"/>
                <w:i w:val="0"/>
                <w:sz w:val="15"/>
              </w:rPr>
              <w:t>Management Fee</w:t>
            </w:r>
          </w:p>
        </w:tc>
        <w:tc>
          <w:tcPr>
            <w:tcW w:type="dxa" w:w="1944"/>
          </w:tcPr>
          <w:p>
            <w:r/>
            <w:r>
              <w:rPr>
                <w:b w:val="0"/>
                <w:i w:val="0"/>
                <w:sz w:val="15"/>
              </w:rPr>
              <w:t>§ 4.1(a): 1.75% p.a. of Commitment during IP (6/15/22–6/14/27); § 4.1(b): 1.50% of invested capital (net of write-downs to zero and full realizations) thereafter; § 4.1(f) 100% fee offset</w:t>
            </w:r>
          </w:p>
        </w:tc>
        <w:tc>
          <w:tcPr>
            <w:tcW w:type="dxa" w:w="1944"/>
          </w:tcPr>
          <w:p>
            <w:r/>
            <w:r>
              <w:rPr>
                <w:b w:val="0"/>
                <w:i w:val="0"/>
                <w:sz w:val="15"/>
              </w:rPr>
              <w:t>§ 1(a): 1.50% of Commitment ($2,625,000/yr vs $3,062,500); § 1(b): 1.25% of Invested Capital; offsets and mechanics of § 4.1 preserved</w:t>
            </w:r>
          </w:p>
        </w:tc>
        <w:tc>
          <w:tcPr>
            <w:tcW w:type="dxa" w:w="1368"/>
          </w:tcPr>
          <w:p>
            <w:r/>
            <w:r>
              <w:rPr>
                <w:b w:val="0"/>
                <w:i w:val="0"/>
                <w:sz w:val="15"/>
              </w:rPr>
              <w:t>1.50%/1.25%; $437,500/yr; up to $4,375,000 total</w:t>
            </w:r>
          </w:p>
        </w:tc>
        <w:tc>
          <w:tcPr>
            <w:tcW w:type="dxa" w:w="2304"/>
          </w:tcPr>
          <w:p>
            <w:r/>
            <w:r>
              <w:rPr>
                <w:b w:val="0"/>
                <w:i w:val="0"/>
                <w:sz w:val="15"/>
              </w:rPr>
              <w:t>Rates and IP savings ($2,187,500) accurate. Post-IP saving of $2,187,500 assumes $175M fully invested and never reduced for 5 years — a ceiling, not an estimate; ignores possible term extensions (§ 11.1(b)) and fee-offset interaction.</w:t>
            </w:r>
          </w:p>
        </w:tc>
        <w:tc>
          <w:tcPr>
            <w:tcW w:type="dxa" w:w="792"/>
            <w:shd w:val="clear" w:color="auto" w:fill="D9EAD3"/>
          </w:tcPr>
          <w:p>
            <w:r/>
            <w:r>
              <w:rPr>
                <w:b w:val="0"/>
                <w:i w:val="0"/>
                <w:sz w:val="15"/>
              </w:rPr>
              <w:t>LOW</w:t>
            </w:r>
          </w:p>
        </w:tc>
      </w:tr>
      <w:tr>
        <w:tc>
          <w:tcPr>
            <w:tcW w:type="dxa" w:w="360"/>
          </w:tcPr>
          <w:p>
            <w:r/>
            <w:r>
              <w:rPr>
                <w:b w:val="0"/>
                <w:i w:val="0"/>
                <w:sz w:val="15"/>
              </w:rPr>
              <w:t>2</w:t>
            </w:r>
          </w:p>
        </w:tc>
        <w:tc>
          <w:tcPr>
            <w:tcW w:type="dxa" w:w="1080"/>
          </w:tcPr>
          <w:p>
            <w:r/>
            <w:r>
              <w:rPr>
                <w:b w:val="0"/>
                <w:i w:val="0"/>
                <w:sz w:val="15"/>
              </w:rPr>
              <w:t>Co-Investment</w:t>
            </w:r>
          </w:p>
        </w:tc>
        <w:tc>
          <w:tcPr>
            <w:tcW w:type="dxa" w:w="1944"/>
          </w:tcPr>
          <w:p>
            <w:r/>
            <w:r>
              <w:rPr>
                <w:b w:val="0"/>
                <w:i w:val="0"/>
                <w:sz w:val="15"/>
              </w:rPr>
              <w:t>No co-investment entitlement; § 10.2(d)(iii) excludes co-invest from MFN; § 8.2(a)(i) LPAC consent for affiliate co-invest arrangements; § 3.3(c)(iii)</w:t>
            </w:r>
          </w:p>
        </w:tc>
        <w:tc>
          <w:tcPr>
            <w:tcW w:type="dxa" w:w="1944"/>
          </w:tcPr>
          <w:p>
            <w:r/>
            <w:r>
              <w:rPr>
                <w:b w:val="0"/>
                <w:i w:val="0"/>
                <w:sz w:val="15"/>
              </w:rPr>
              <w:t xml:space="preserve">§ 3: where Fund equity &gt; </w:t>
            </w:r>
            <w:r>
              <w:rPr>
                <w:b/>
                <w:i w:val="0"/>
                <w:sz w:val="15"/>
              </w:rPr>
              <w:t>$125,000,000</w:t>
            </w:r>
            <w:r>
              <w:rPr>
                <w:b w:val="0"/>
                <w:i w:val="0"/>
                <w:sz w:val="15"/>
              </w:rPr>
              <w:t>, offer up to pro rata (~6.29%) of excess; no fee/no carry; ≥10 business days to elect; GP’s fiduciary/regulatory carve-out</w:t>
            </w:r>
          </w:p>
        </w:tc>
        <w:tc>
          <w:tcPr>
            <w:tcW w:type="dxa" w:w="1368"/>
          </w:tcPr>
          <w:p>
            <w:r/>
            <w:r>
              <w:rPr>
                <w:b w:val="0"/>
                <w:i w:val="0"/>
                <w:sz w:val="15"/>
              </w:rPr>
              <w:t>Threshold “$100 million” (Table row 2; § 4)</w:t>
            </w:r>
          </w:p>
        </w:tc>
        <w:tc>
          <w:tcPr>
            <w:tcW w:type="dxa" w:w="2304"/>
          </w:tcPr>
          <w:p>
            <w:r/>
            <w:r>
              <w:rPr>
                <w:b/>
                <w:i w:val="0"/>
                <w:sz w:val="15"/>
              </w:rPr>
              <w:t>INACCURATE.</w:t>
            </w:r>
            <w:r>
              <w:rPr>
                <w:b w:val="0"/>
                <w:i w:val="0"/>
                <w:sz w:val="15"/>
              </w:rPr>
              <w:t xml:space="preserve"> Threshold is $125M. On a $200M deal the IC Memo implies ≈$6.3M allocation; SL yields ≈$4.72M. Right is “subject to fiduciary obligations” — soft. Pro rata is 6.2950% per Schedule A (SL uses rounded 6.29%).</w:t>
            </w:r>
          </w:p>
        </w:tc>
        <w:tc>
          <w:tcPr>
            <w:tcW w:type="dxa" w:w="792"/>
            <w:shd w:val="clear" w:color="auto" w:fill="FCE5CD"/>
          </w:tcPr>
          <w:p>
            <w:r/>
            <w:r>
              <w:rPr>
                <w:b w:val="0"/>
                <w:i w:val="0"/>
                <w:sz w:val="15"/>
              </w:rPr>
              <w:t>MEDIUM</w:t>
            </w:r>
          </w:p>
        </w:tc>
      </w:tr>
      <w:tr>
        <w:tc>
          <w:tcPr>
            <w:tcW w:type="dxa" w:w="360"/>
          </w:tcPr>
          <w:p>
            <w:r/>
            <w:r>
              <w:rPr>
                <w:b w:val="0"/>
                <w:i w:val="0"/>
                <w:sz w:val="15"/>
              </w:rPr>
              <w:t>3</w:t>
            </w:r>
          </w:p>
        </w:tc>
        <w:tc>
          <w:tcPr>
            <w:tcW w:type="dxa" w:w="1080"/>
          </w:tcPr>
          <w:p>
            <w:r/>
            <w:r>
              <w:rPr>
                <w:b w:val="0"/>
                <w:i w:val="0"/>
                <w:sz w:val="15"/>
              </w:rPr>
              <w:t>MFN</w:t>
            </w:r>
          </w:p>
        </w:tc>
        <w:tc>
          <w:tcPr>
            <w:tcW w:type="dxa" w:w="1944"/>
          </w:tcPr>
          <w:p>
            <w:r/>
            <w:r>
              <w:rPr>
                <w:b w:val="0"/>
                <w:i w:val="0"/>
                <w:sz w:val="15"/>
              </w:rPr>
              <w:t xml:space="preserve">§ 10.2: LPs ≥$150M; MFN Notice within 30 days of Final Close (by 10/30/22); 60-day election; prospective effect; carve-outs incl. regulatory accommodations, GP affiliates, co-invest, LPAC; </w:t>
            </w:r>
            <w:r>
              <w:rPr>
                <w:b/>
                <w:i w:val="0"/>
                <w:sz w:val="15"/>
              </w:rPr>
              <w:t>no size limit on source LPs</w:t>
            </w:r>
          </w:p>
        </w:tc>
        <w:tc>
          <w:tcPr>
            <w:tcW w:type="dxa" w:w="1944"/>
          </w:tcPr>
          <w:p>
            <w:r/>
            <w:r>
              <w:rPr>
                <w:b w:val="0"/>
                <w:i w:val="0"/>
                <w:sz w:val="15"/>
              </w:rPr>
              <w:t xml:space="preserve">§ 2 (notwithstanding § 10.2): economic or reporting terms granted to LPs with commitments </w:t>
            </w:r>
            <w:r>
              <w:rPr>
                <w:b/>
                <w:i w:val="0"/>
                <w:sz w:val="15"/>
              </w:rPr>
              <w:t>≤ $175M</w:t>
            </w:r>
            <w:r>
              <w:rPr>
                <w:b w:val="0"/>
                <w:i w:val="0"/>
                <w:sz w:val="15"/>
              </w:rPr>
              <w:t>; carve-outs (regulatory terms not applicable to PBPEPS; GP/affiliates); notice + redacted side letters within 15 days of Final Close; 90-day election; effective from admission</w:t>
            </w:r>
          </w:p>
        </w:tc>
        <w:tc>
          <w:tcPr>
            <w:tcW w:type="dxa" w:w="1368"/>
          </w:tcPr>
          <w:p>
            <w:r/>
            <w:r>
              <w:rPr>
                <w:b w:val="0"/>
                <w:i w:val="0"/>
                <w:sz w:val="15"/>
              </w:rPr>
              <w:t>“Ensures PBPEPS receives best available terms”</w:t>
            </w:r>
          </w:p>
        </w:tc>
        <w:tc>
          <w:tcPr>
            <w:tcW w:type="dxa" w:w="2304"/>
          </w:tcPr>
          <w:p>
            <w:r/>
            <w:r>
              <w:rPr>
                <w:b/>
                <w:i w:val="0"/>
                <w:sz w:val="15"/>
              </w:rPr>
              <w:t>MISLEADING.</w:t>
            </w:r>
            <w:r>
              <w:rPr>
                <w:b w:val="0"/>
                <w:i w:val="0"/>
                <w:sz w:val="15"/>
              </w:rPr>
              <w:t xml:space="preserve"> Size cap excludes terms given to larger LPs — narrower than LPA § 10.2. Timing, retroactivity, redacted copies, and inclusion of co-invest are genuine improvements. Governance terms (LPAC, key person, transfer, excuse) not covered (“economic or reporting” only).</w:t>
            </w:r>
          </w:p>
        </w:tc>
        <w:tc>
          <w:tcPr>
            <w:tcW w:type="dxa" w:w="792"/>
            <w:shd w:val="clear" w:color="auto" w:fill="F4CCCC"/>
          </w:tcPr>
          <w:p>
            <w:r/>
            <w:r>
              <w:rPr>
                <w:b w:val="0"/>
                <w:i w:val="0"/>
                <w:sz w:val="15"/>
              </w:rPr>
              <w:t>HIGH</w:t>
            </w:r>
          </w:p>
        </w:tc>
      </w:tr>
      <w:tr>
        <w:tc>
          <w:tcPr>
            <w:tcW w:type="dxa" w:w="360"/>
          </w:tcPr>
          <w:p>
            <w:r/>
            <w:r>
              <w:rPr>
                <w:b w:val="0"/>
                <w:i w:val="0"/>
                <w:sz w:val="15"/>
              </w:rPr>
              <w:t>4</w:t>
            </w:r>
          </w:p>
        </w:tc>
        <w:tc>
          <w:tcPr>
            <w:tcW w:type="dxa" w:w="1080"/>
          </w:tcPr>
          <w:p>
            <w:r/>
            <w:r>
              <w:rPr>
                <w:b w:val="0"/>
                <w:i w:val="0"/>
                <w:sz w:val="15"/>
              </w:rPr>
              <w:t>Reporting</w:t>
            </w:r>
          </w:p>
        </w:tc>
        <w:tc>
          <w:tcPr>
            <w:tcW w:type="dxa" w:w="1944"/>
          </w:tcPr>
          <w:p>
            <w:r/>
            <w:r>
              <w:rPr>
                <w:b w:val="0"/>
                <w:i w:val="0"/>
                <w:sz w:val="15"/>
              </w:rPr>
              <w:t>§ 7.1(a) quarterly within 90 days; § 7.1(b) audited annual within 120 days; § 7.1(d) semi-annual capital account statements</w:t>
            </w:r>
          </w:p>
        </w:tc>
        <w:tc>
          <w:tcPr>
            <w:tcW w:type="dxa" w:w="1944"/>
          </w:tcPr>
          <w:p>
            <w:r/>
            <w:r>
              <w:rPr>
                <w:b w:val="0"/>
                <w:i w:val="0"/>
                <w:sz w:val="15"/>
              </w:rPr>
              <w:t>§ 10(a): quarterly 60 days; annual audited 90 days; monthly portfolio summaries within 30 days of month-end; “commercially reasonable efforts” and force-majeure carve-out</w:t>
            </w:r>
          </w:p>
        </w:tc>
        <w:tc>
          <w:tcPr>
            <w:tcW w:type="dxa" w:w="1368"/>
          </w:tcPr>
          <w:p>
            <w:r/>
            <w:r>
              <w:rPr>
                <w:b w:val="0"/>
                <w:i w:val="0"/>
                <w:sz w:val="15"/>
              </w:rPr>
              <w:t>60/90 days and monthly summaries</w:t>
            </w:r>
          </w:p>
        </w:tc>
        <w:tc>
          <w:tcPr>
            <w:tcW w:type="dxa" w:w="2304"/>
          </w:tcPr>
          <w:p>
            <w:r/>
            <w:r>
              <w:rPr>
                <w:b w:val="0"/>
                <w:i w:val="0"/>
                <w:sz w:val="15"/>
              </w:rPr>
              <w:t>Accurate as to timing. IC Memo omits that delivery is only on a commercially-reasonable-efforts basis with a no-breach carve-out, which dilutes enforceability.</w:t>
            </w:r>
          </w:p>
        </w:tc>
        <w:tc>
          <w:tcPr>
            <w:tcW w:type="dxa" w:w="792"/>
            <w:shd w:val="clear" w:color="auto" w:fill="D9EAD3"/>
          </w:tcPr>
          <w:p>
            <w:r/>
            <w:r>
              <w:rPr>
                <w:b w:val="0"/>
                <w:i w:val="0"/>
                <w:sz w:val="15"/>
              </w:rPr>
              <w:t>LOW</w:t>
            </w:r>
          </w:p>
        </w:tc>
      </w:tr>
      <w:tr>
        <w:tc>
          <w:tcPr>
            <w:tcW w:type="dxa" w:w="360"/>
          </w:tcPr>
          <w:p>
            <w:r/>
            <w:r>
              <w:rPr>
                <w:b w:val="0"/>
                <w:i w:val="0"/>
                <w:sz w:val="15"/>
              </w:rPr>
              <w:t>5</w:t>
            </w:r>
          </w:p>
        </w:tc>
        <w:tc>
          <w:tcPr>
            <w:tcW w:type="dxa" w:w="1080"/>
          </w:tcPr>
          <w:p>
            <w:r/>
            <w:r>
              <w:rPr>
                <w:b w:val="0"/>
                <w:i w:val="0"/>
                <w:sz w:val="15"/>
              </w:rPr>
              <w:t>LPAC Seat</w:t>
            </w:r>
          </w:p>
        </w:tc>
        <w:tc>
          <w:tcPr>
            <w:tcW w:type="dxa" w:w="1944"/>
          </w:tcPr>
          <w:p>
            <w:r/>
            <w:r>
              <w:rPr>
                <w:b w:val="0"/>
                <w:i w:val="0"/>
                <w:sz w:val="15"/>
              </w:rPr>
              <w:t>§ 8.1(a): 5 members appointed in GP’s sole discretion from LPs ≥$100M; § 8.1(b) GP may remove at any time; § 8.1(c) no guaranteed seat</w:t>
            </w:r>
          </w:p>
        </w:tc>
        <w:tc>
          <w:tcPr>
            <w:tcW w:type="dxa" w:w="1944"/>
          </w:tcPr>
          <w:p>
            <w:r/>
            <w:r>
              <w:rPr>
                <w:b w:val="0"/>
                <w:i w:val="0"/>
                <w:sz w:val="15"/>
              </w:rPr>
              <w:t>§ 5(a): “In addition to” § 8.1, PBPEPS entitled to a seat for Fund term; representative Teresa Huang; “binding obligation”</w:t>
            </w:r>
          </w:p>
        </w:tc>
        <w:tc>
          <w:tcPr>
            <w:tcW w:type="dxa" w:w="1368"/>
          </w:tcPr>
          <w:p>
            <w:r/>
            <w:r>
              <w:rPr>
                <w:b w:val="0"/>
                <w:i w:val="0"/>
                <w:sz w:val="15"/>
              </w:rPr>
              <w:t>“Guaranteed seat on LPAC”</w:t>
            </w:r>
          </w:p>
        </w:tc>
        <w:tc>
          <w:tcPr>
            <w:tcW w:type="dxa" w:w="2304"/>
          </w:tcPr>
          <w:p>
            <w:r/>
            <w:r>
              <w:rPr>
                <w:b/>
                <w:i w:val="0"/>
                <w:sz w:val="15"/>
              </w:rPr>
              <w:t>OVERSTATED.</w:t>
            </w:r>
            <w:r>
              <w:rPr>
                <w:b w:val="0"/>
                <w:i w:val="0"/>
                <w:sz w:val="15"/>
              </w:rPr>
              <w:t xml:space="preserve"> No “notwithstanding” override of § 8.1(b)–(c); under § 13.5(b) the LPA governs, so the GP arguably retains removal discretion. Also not MFN-able by others (§ 10.2(d)(iv)).</w:t>
            </w:r>
          </w:p>
        </w:tc>
        <w:tc>
          <w:tcPr>
            <w:tcW w:type="dxa" w:w="792"/>
            <w:shd w:val="clear" w:color="auto" w:fill="F4CCCC"/>
          </w:tcPr>
          <w:p>
            <w:r/>
            <w:r>
              <w:rPr>
                <w:b w:val="0"/>
                <w:i w:val="0"/>
                <w:sz w:val="15"/>
              </w:rPr>
              <w:t>HIGH</w:t>
            </w:r>
          </w:p>
        </w:tc>
      </w:tr>
      <w:tr>
        <w:tc>
          <w:tcPr>
            <w:tcW w:type="dxa" w:w="360"/>
          </w:tcPr>
          <w:p>
            <w:r/>
            <w:r>
              <w:rPr>
                <w:b w:val="0"/>
                <w:i w:val="0"/>
                <w:sz w:val="15"/>
              </w:rPr>
              <w:t>6</w:t>
            </w:r>
          </w:p>
        </w:tc>
        <w:tc>
          <w:tcPr>
            <w:tcW w:type="dxa" w:w="1080"/>
          </w:tcPr>
          <w:p>
            <w:r/>
            <w:r>
              <w:rPr>
                <w:b w:val="0"/>
                <w:i w:val="0"/>
                <w:sz w:val="15"/>
              </w:rPr>
              <w:t>Transfers</w:t>
            </w:r>
          </w:p>
        </w:tc>
        <w:tc>
          <w:tcPr>
            <w:tcW w:type="dxa" w:w="1944"/>
          </w:tcPr>
          <w:p>
            <w:r/>
            <w:r>
              <w:rPr>
                <w:b w:val="0"/>
                <w:i w:val="0"/>
                <w:sz w:val="15"/>
              </w:rPr>
              <w:t xml:space="preserve">§ 9.1(a) GP consent, sole discretion; § 9.1(b) no transfers to non-QPs, non-accredited, </w:t>
            </w:r>
            <w:r>
              <w:rPr>
                <w:b/>
                <w:i w:val="0"/>
                <w:sz w:val="15"/>
              </w:rPr>
              <w:t>Competitors</w:t>
            </w:r>
            <w:r>
              <w:rPr>
                <w:b w:val="0"/>
                <w:i w:val="0"/>
                <w:sz w:val="15"/>
              </w:rPr>
              <w:t xml:space="preserve"> (definition expressly includes “pension system[s]”), adverse tax/regulatory; § 9.1(e) transferor bears costs; § 9.1(f) affiliate transfers require joint and several liability</w:t>
            </w:r>
          </w:p>
        </w:tc>
        <w:tc>
          <w:tcPr>
            <w:tcW w:type="dxa" w:w="1944"/>
          </w:tcPr>
          <w:p>
            <w:r/>
            <w:r>
              <w:rPr>
                <w:b w:val="0"/>
                <w:i w:val="0"/>
                <w:sz w:val="15"/>
              </w:rPr>
              <w:t>§ 4 (notwithstanding § 9.1): transfer to any US state governmental pension plan without consent; 30 days’ notice; assumption agreement; legal opinion (PTP, securities, 1940 Act) at PBPEPS cost; no transfer fee; no “minimum transfer size”</w:t>
            </w:r>
          </w:p>
        </w:tc>
        <w:tc>
          <w:tcPr>
            <w:tcW w:type="dxa" w:w="1368"/>
          </w:tcPr>
          <w:p>
            <w:r/>
            <w:r>
              <w:rPr>
                <w:b w:val="0"/>
                <w:i w:val="0"/>
                <w:sz w:val="15"/>
              </w:rPr>
              <w:t>Transfer without consent, subject to legal opinion; “liquidity flexibility for PBPEPS successor or co-investing sister funds”</w:t>
            </w:r>
          </w:p>
        </w:tc>
        <w:tc>
          <w:tcPr>
            <w:tcW w:type="dxa" w:w="2304"/>
          </w:tcPr>
          <w:p>
            <w:r/>
            <w:r>
              <w:rPr>
                <w:b/>
                <w:i w:val="0"/>
                <w:sz w:val="15"/>
              </w:rPr>
              <w:t>PARTLY INACCURATE.</w:t>
            </w:r>
            <w:r>
              <w:rPr>
                <w:b w:val="0"/>
                <w:i w:val="0"/>
                <w:sz w:val="15"/>
              </w:rPr>
              <w:t xml:space="preserve"> Right is limited to governmental pension plans organised under US state law — not “sister funds” generally. Competitor bar in § 9.1(b) (itself a “notwithstanding any other provision” clause) may still apply to pension plans with in-house growth equity programs. Waiver of “minimum transfer size” refers to a requirement the LPA does not contain.</w:t>
            </w:r>
          </w:p>
        </w:tc>
        <w:tc>
          <w:tcPr>
            <w:tcW w:type="dxa" w:w="792"/>
            <w:shd w:val="clear" w:color="auto" w:fill="FCE5CD"/>
          </w:tcPr>
          <w:p>
            <w:r/>
            <w:r>
              <w:rPr>
                <w:b w:val="0"/>
                <w:i w:val="0"/>
                <w:sz w:val="15"/>
              </w:rPr>
              <w:t>MEDIUM</w:t>
            </w:r>
          </w:p>
        </w:tc>
      </w:tr>
      <w:tr>
        <w:tc>
          <w:tcPr>
            <w:tcW w:type="dxa" w:w="360"/>
          </w:tcPr>
          <w:p>
            <w:r/>
            <w:r>
              <w:rPr>
                <w:b w:val="0"/>
                <w:i w:val="0"/>
                <w:sz w:val="15"/>
              </w:rPr>
              <w:t>7</w:t>
            </w:r>
          </w:p>
        </w:tc>
        <w:tc>
          <w:tcPr>
            <w:tcW w:type="dxa" w:w="1080"/>
          </w:tcPr>
          <w:p>
            <w:r/>
            <w:r>
              <w:rPr>
                <w:b w:val="0"/>
                <w:i w:val="0"/>
                <w:sz w:val="15"/>
              </w:rPr>
              <w:t>Excuse Rights</w:t>
            </w:r>
          </w:p>
        </w:tc>
        <w:tc>
          <w:tcPr>
            <w:tcW w:type="dxa" w:w="1944"/>
          </w:tcPr>
          <w:p>
            <w:r/>
            <w:r>
              <w:rPr>
                <w:b w:val="0"/>
                <w:i w:val="0"/>
                <w:sz w:val="15"/>
              </w:rPr>
              <w:t>§ 9.2: only binding legal/regulatory prohibitions; GP good-faith determination final; notice within 10 business days of call and before funding; § 9.2(f) no policy-based excuse</w:t>
            </w:r>
          </w:p>
        </w:tc>
        <w:tc>
          <w:tcPr>
            <w:tcW w:type="dxa" w:w="1944"/>
          </w:tcPr>
          <w:p>
            <w:r/>
            <w:r>
              <w:rPr>
                <w:b w:val="0"/>
                <w:i w:val="0"/>
                <w:sz w:val="15"/>
              </w:rPr>
              <w:t>§ 5(b) (notwithstanding § 9.2): excuse where investment would violate Cal. Gov. Code (tobacco, firearms, thermal coal) or portfolio company derives &gt;15% of revenue from those sectors; notice within 15 business days of call notice; commitment reduced; “in addition to” § 9.2</w:t>
            </w:r>
          </w:p>
        </w:tc>
        <w:tc>
          <w:tcPr>
            <w:tcW w:type="dxa" w:w="1368"/>
          </w:tcPr>
          <w:p>
            <w:r/>
            <w:r>
              <w:rPr>
                <w:b w:val="0"/>
                <w:i w:val="0"/>
                <w:sz w:val="15"/>
              </w:rPr>
              <w:t>&gt;15% revenue test; compliance with Cal. Gov. Code §§ 7500–7914 and ESG policies</w:t>
            </w:r>
          </w:p>
        </w:tc>
        <w:tc>
          <w:tcPr>
            <w:tcW w:type="dxa" w:w="2304"/>
          </w:tcPr>
          <w:p>
            <w:r/>
            <w:r>
              <w:rPr>
                <w:b w:val="0"/>
                <w:i w:val="0"/>
                <w:sz w:val="15"/>
              </w:rPr>
              <w:t>Substantially accurate. Note: (i) 15-business-day window coincides with minimum funding period (§ 3.2(a)(iv)) — no pre-call notice to PBPEPS; (ii) whether GP retains a § 9.2(c) determination right is unclear; (iii) applicability of cited statutory divestment mandates to PBPEPS should be confirmed; (iv) thermal coal is largely excluded already by § 6.2(c)(ii).</w:t>
            </w:r>
          </w:p>
        </w:tc>
        <w:tc>
          <w:tcPr>
            <w:tcW w:type="dxa" w:w="792"/>
            <w:shd w:val="clear" w:color="auto" w:fill="D9EAD3"/>
          </w:tcPr>
          <w:p>
            <w:r/>
            <w:r>
              <w:rPr>
                <w:b w:val="0"/>
                <w:i w:val="0"/>
                <w:sz w:val="15"/>
              </w:rPr>
              <w:t>LOW</w:t>
            </w:r>
          </w:p>
        </w:tc>
      </w:tr>
      <w:tr>
        <w:tc>
          <w:tcPr>
            <w:tcW w:type="dxa" w:w="360"/>
          </w:tcPr>
          <w:p>
            <w:r/>
            <w:r>
              <w:rPr>
                <w:b w:val="0"/>
                <w:i w:val="0"/>
                <w:sz w:val="15"/>
              </w:rPr>
              <w:t>8</w:t>
            </w:r>
          </w:p>
        </w:tc>
        <w:tc>
          <w:tcPr>
            <w:tcW w:type="dxa" w:w="1080"/>
          </w:tcPr>
          <w:p>
            <w:r/>
            <w:r>
              <w:rPr>
                <w:b w:val="0"/>
                <w:i w:val="0"/>
                <w:sz w:val="15"/>
              </w:rPr>
              <w:t>Key Person</w:t>
            </w:r>
          </w:p>
        </w:tc>
        <w:tc>
          <w:tcPr>
            <w:tcW w:type="dxa" w:w="1944"/>
          </w:tcPr>
          <w:p>
            <w:r/>
            <w:r>
              <w:rPr>
                <w:b w:val="0"/>
                <w:i w:val="0"/>
                <w:sz w:val="15"/>
              </w:rPr>
              <w:t xml:space="preserve">§ 6.3(b): KPE if Marcus Ridgeline </w:t>
            </w:r>
            <w:r>
              <w:rPr>
                <w:b/>
                <w:i w:val="0"/>
                <w:sz w:val="15"/>
              </w:rPr>
              <w:t>and</w:t>
            </w:r>
            <w:r>
              <w:rPr>
                <w:b w:val="0"/>
                <w:i w:val="0"/>
                <w:sz w:val="15"/>
              </w:rPr>
              <w:t xml:space="preserve"> ≥2 of 3 SMDs cease devoting ≥75% time; § 6.3(c) suspension “only upon” 60% LP vote; § 6.3(d) 180-day cure / LPAC-approved replacements; § 6.3(e) permanent termination unless 75% reinstatement</w:t>
            </w:r>
          </w:p>
        </w:tc>
        <w:tc>
          <w:tcPr>
            <w:tcW w:type="dxa" w:w="1944"/>
          </w:tcPr>
          <w:p>
            <w:r/>
            <w:r>
              <w:rPr>
                <w:b w:val="0"/>
                <w:i w:val="0"/>
                <w:sz w:val="15"/>
              </w:rPr>
              <w:t>§ 6 (“In addition to” § 6.3): same trigger; automatic suspension; carve-outs for binding commitments and follow-ons ≤15%; resumption on earlier of replacements reasonably acceptable to PBPEPS or 60% LP vote; quarterly updates</w:t>
            </w:r>
          </w:p>
        </w:tc>
        <w:tc>
          <w:tcPr>
            <w:tcW w:type="dxa" w:w="1368"/>
          </w:tcPr>
          <w:p>
            <w:r/>
            <w:r>
              <w:rPr>
                <w:b w:val="0"/>
                <w:i w:val="0"/>
                <w:sz w:val="15"/>
              </w:rPr>
              <w:t>“Automatically suspends … stronger investor protection”</w:t>
            </w:r>
          </w:p>
        </w:tc>
        <w:tc>
          <w:tcPr>
            <w:tcW w:type="dxa" w:w="2304"/>
          </w:tcPr>
          <w:p>
            <w:r/>
            <w:r>
              <w:rPr>
                <w:b/>
                <w:i w:val="0"/>
                <w:sz w:val="15"/>
              </w:rPr>
              <w:t>OVERSTATED.</w:t>
            </w:r>
            <w:r>
              <w:rPr>
                <w:b w:val="0"/>
                <w:i w:val="0"/>
                <w:sz w:val="15"/>
              </w:rPr>
              <w:t xml:space="preserve"> No override of § 6.3(c); suspension of a fund-wide Investment Period by one LP’s side letter conflicts with §§ 13.5(c)/14.1(d). Trigger unchanged (needs 3 of 4 departures). Resumption mechanics can be </w:t>
            </w:r>
            <w:r>
              <w:rPr>
                <w:b/>
                <w:i w:val="0"/>
                <w:sz w:val="15"/>
              </w:rPr>
              <w:t>less protective</w:t>
            </w:r>
            <w:r>
              <w:rPr>
                <w:b w:val="0"/>
                <w:i w:val="0"/>
                <w:sz w:val="15"/>
              </w:rPr>
              <w:t xml:space="preserve"> than LPA (bypass LPAC approval; 60% vs 75%).</w:t>
            </w:r>
          </w:p>
        </w:tc>
        <w:tc>
          <w:tcPr>
            <w:tcW w:type="dxa" w:w="792"/>
            <w:shd w:val="clear" w:color="auto" w:fill="F4CCCC"/>
          </w:tcPr>
          <w:p>
            <w:r/>
            <w:r>
              <w:rPr>
                <w:b w:val="0"/>
                <w:i w:val="0"/>
                <w:sz w:val="15"/>
              </w:rPr>
              <w:t>HIGH</w:t>
            </w:r>
          </w:p>
        </w:tc>
      </w:tr>
      <w:tr>
        <w:tc>
          <w:tcPr>
            <w:tcW w:type="dxa" w:w="360"/>
          </w:tcPr>
          <w:p>
            <w:r/>
            <w:r>
              <w:rPr>
                <w:b w:val="0"/>
                <w:i w:val="0"/>
                <w:sz w:val="15"/>
              </w:rPr>
              <w:t>9</w:t>
            </w:r>
          </w:p>
        </w:tc>
        <w:tc>
          <w:tcPr>
            <w:tcW w:type="dxa" w:w="1080"/>
          </w:tcPr>
          <w:p>
            <w:r/>
            <w:r>
              <w:rPr>
                <w:b w:val="0"/>
                <w:i w:val="0"/>
                <w:sz w:val="15"/>
              </w:rPr>
              <w:t>Confidentiality / CPRA</w:t>
            </w:r>
          </w:p>
        </w:tc>
        <w:tc>
          <w:tcPr>
            <w:tcW w:type="dxa" w:w="1944"/>
          </w:tcPr>
          <w:p>
            <w:r/>
            <w:r>
              <w:rPr>
                <w:b w:val="0"/>
                <w:i w:val="0"/>
                <w:sz w:val="15"/>
              </w:rPr>
              <w:t>§ 10.1: broad Confidential Information incl. side letter terms; exceptions for advisers, regulators, compulsory process, GP consent</w:t>
            </w:r>
          </w:p>
        </w:tc>
        <w:tc>
          <w:tcPr>
            <w:tcW w:type="dxa" w:w="1944"/>
          </w:tcPr>
          <w:p>
            <w:r/>
            <w:r>
              <w:rPr>
                <w:b w:val="0"/>
                <w:i w:val="0"/>
                <w:sz w:val="15"/>
              </w:rPr>
              <w:t>§ 10(b) (notwithstanding § 10.1): GP will not designate information confidential to resist CPRA, except trade secrets and proprietary portfolio company info; GP cooperation and log within 30 days; PBPEPS gives ≥10 business days’ prior notice where practicable</w:t>
            </w:r>
          </w:p>
        </w:tc>
        <w:tc>
          <w:tcPr>
            <w:tcW w:type="dxa" w:w="1368"/>
          </w:tcPr>
          <w:p>
            <w:r/>
            <w:r>
              <w:rPr>
                <w:b w:val="0"/>
                <w:i w:val="0"/>
                <w:sz w:val="15"/>
              </w:rPr>
              <w:t>GP will not designate info to resist CPRA obligations; balances trade secrets</w:t>
            </w:r>
          </w:p>
        </w:tc>
        <w:tc>
          <w:tcPr>
            <w:tcW w:type="dxa" w:w="2304"/>
          </w:tcPr>
          <w:p>
            <w:r/>
            <w:r>
              <w:rPr>
                <w:b w:val="0"/>
                <w:i w:val="0"/>
                <w:sz w:val="15"/>
              </w:rPr>
              <w:t>Accurate in summary. Gaps: no express carve-out of CPRA disclosures from PBPEPS’s own § 10.1(a) covenant; 10-business-day pre-notice can conflict with CPRA’s 10-day response period; citation outdated (recodified at Gov. Code § 7920.000 et seq., eff. 1/1/2023); portfolio-company designation exception is broad.</w:t>
            </w:r>
          </w:p>
        </w:tc>
        <w:tc>
          <w:tcPr>
            <w:tcW w:type="dxa" w:w="792"/>
            <w:shd w:val="clear" w:color="auto" w:fill="FCE5CD"/>
          </w:tcPr>
          <w:p>
            <w:r/>
            <w:r>
              <w:rPr>
                <w:b w:val="0"/>
                <w:i w:val="0"/>
                <w:sz w:val="15"/>
              </w:rPr>
              <w:t>MEDIUM</w:t>
            </w:r>
          </w:p>
        </w:tc>
      </w:tr>
      <w:tr>
        <w:tc>
          <w:tcPr>
            <w:tcW w:type="dxa" w:w="360"/>
          </w:tcPr>
          <w:p>
            <w:r/>
            <w:r>
              <w:rPr>
                <w:b w:val="0"/>
                <w:i w:val="0"/>
                <w:sz w:val="15"/>
              </w:rPr>
              <w:t>10</w:t>
            </w:r>
          </w:p>
        </w:tc>
        <w:tc>
          <w:tcPr>
            <w:tcW w:type="dxa" w:w="1080"/>
          </w:tcPr>
          <w:p>
            <w:r/>
            <w:r>
              <w:rPr>
                <w:b w:val="0"/>
                <w:i w:val="0"/>
                <w:sz w:val="15"/>
              </w:rPr>
              <w:t>Clawback</w:t>
            </w:r>
          </w:p>
        </w:tc>
        <w:tc>
          <w:tcPr>
            <w:tcW w:type="dxa" w:w="1944"/>
          </w:tcPr>
          <w:p>
            <w:r/>
            <w:r>
              <w:rPr>
                <w:b w:val="0"/>
                <w:i w:val="0"/>
                <w:sz w:val="15"/>
              </w:rPr>
              <w:t>§ 5.3(b): net of 45% assumed tax; § 5.3(c) personal guaranties of net amount; § 5.3(e) escrow ≥30% of carry; § 5.3(f) 3-year survival</w:t>
            </w:r>
          </w:p>
        </w:tc>
        <w:tc>
          <w:tcPr>
            <w:tcW w:type="dxa" w:w="1944"/>
          </w:tcPr>
          <w:p>
            <w:r/>
            <w:r>
              <w:rPr>
                <w:b w:val="0"/>
                <w:i w:val="0"/>
                <w:sz w:val="15"/>
              </w:rPr>
              <w:t>§ 7 (“In addition to” § 5.3): gross basis, no tax gross-down; dollar-for-dollar return to PBPEPS; secured by escrow “in Section 5.3(c)” [sic]</w:t>
            </w:r>
          </w:p>
        </w:tc>
        <w:tc>
          <w:tcPr>
            <w:tcW w:type="dxa" w:w="1368"/>
          </w:tcPr>
          <w:p>
            <w:r/>
            <w:r>
              <w:rPr>
                <w:b w:val="0"/>
                <w:i w:val="0"/>
                <w:sz w:val="15"/>
              </w:rPr>
              <w:t>“Notwithstanding the LPA”; $10M example → $4.5M additional recovery</w:t>
            </w:r>
          </w:p>
        </w:tc>
        <w:tc>
          <w:tcPr>
            <w:tcW w:type="dxa" w:w="2304"/>
          </w:tcPr>
          <w:p>
            <w:r/>
            <w:r>
              <w:rPr>
                <w:b/>
                <w:i w:val="0"/>
                <w:sz w:val="15"/>
              </w:rPr>
              <w:t>INACCURATE.</w:t>
            </w:r>
            <w:r>
              <w:rPr>
                <w:b w:val="0"/>
                <w:i w:val="0"/>
                <w:sz w:val="15"/>
              </w:rPr>
              <w:t xml:space="preserve"> SL does not use “notwithstanding”; under § 13.5(b) the net-of-tax LPA formula governs. Example overstates PBPEPS’s share (≈6.295% → ≈$283K on the $10M example). Escrow (30%) and guaranties (net amount) do not support a gross obligation. Cross-reference error.</w:t>
            </w:r>
          </w:p>
        </w:tc>
        <w:tc>
          <w:tcPr>
            <w:tcW w:type="dxa" w:w="792"/>
            <w:shd w:val="clear" w:color="auto" w:fill="F4CCCC"/>
          </w:tcPr>
          <w:p>
            <w:r/>
            <w:r>
              <w:rPr>
                <w:b w:val="0"/>
                <w:i w:val="0"/>
                <w:sz w:val="15"/>
              </w:rPr>
              <w:t>HIGH</w:t>
            </w:r>
          </w:p>
        </w:tc>
      </w:tr>
      <w:tr>
        <w:tc>
          <w:tcPr>
            <w:tcW w:type="dxa" w:w="360"/>
          </w:tcPr>
          <w:p>
            <w:r/>
            <w:r>
              <w:rPr>
                <w:b w:val="0"/>
                <w:i w:val="0"/>
                <w:sz w:val="15"/>
              </w:rPr>
              <w:t>11</w:t>
            </w:r>
          </w:p>
        </w:tc>
        <w:tc>
          <w:tcPr>
            <w:tcW w:type="dxa" w:w="1080"/>
          </w:tcPr>
          <w:p>
            <w:r/>
            <w:r>
              <w:rPr>
                <w:b w:val="0"/>
                <w:i w:val="0"/>
                <w:sz w:val="15"/>
              </w:rPr>
              <w:t>Withdrawal Right</w:t>
            </w:r>
          </w:p>
        </w:tc>
        <w:tc>
          <w:tcPr>
            <w:tcW w:type="dxa" w:w="1944"/>
          </w:tcPr>
          <w:p>
            <w:r/>
            <w:r>
              <w:rPr>
                <w:b w:val="0"/>
                <w:i w:val="0"/>
                <w:sz w:val="15"/>
              </w:rPr>
              <w:t>§ 3.1(b) commitments irrevocable; § 11.2(b) no withdrawal/redemption; exit only via § 9.1 transfer or § 11.2 termination (75% LP vote)</w:t>
            </w:r>
          </w:p>
        </w:tc>
        <w:tc>
          <w:tcPr>
            <w:tcW w:type="dxa" w:w="1944"/>
          </w:tcPr>
          <w:p>
            <w:r/>
            <w:r>
              <w:rPr>
                <w:b w:val="0"/>
                <w:i w:val="0"/>
                <w:sz w:val="15"/>
              </w:rPr>
              <w:t>§ 9 (no override): if &lt;</w:t>
            </w:r>
            <w:r>
              <w:rPr>
                <w:b/>
                <w:i w:val="0"/>
                <w:sz w:val="15"/>
              </w:rPr>
              <w:t>50%</w:t>
            </w:r>
            <w:r>
              <w:rPr>
                <w:b w:val="0"/>
                <w:i w:val="0"/>
                <w:sz w:val="15"/>
              </w:rPr>
              <w:t xml:space="preserve"> ($1.39B of $2.78B) deployed (funded + binding commitments) by 6/15/2025, PBPEPS may withdraw; 60-day Election Period (6/15–8/14/2025); 90-day irrevocable notice; NAV by auditor within 180 days; payout less reserves</w:t>
            </w:r>
          </w:p>
        </w:tc>
        <w:tc>
          <w:tcPr>
            <w:tcW w:type="dxa" w:w="1368"/>
          </w:tcPr>
          <w:p>
            <w:r/>
            <w:r>
              <w:rPr>
                <w:b w:val="0"/>
                <w:i w:val="0"/>
                <w:sz w:val="15"/>
              </w:rPr>
              <w:t>“40% of aggregate commitments within 36 months”; “notable concession”</w:t>
            </w:r>
          </w:p>
        </w:tc>
        <w:tc>
          <w:tcPr>
            <w:tcW w:type="dxa" w:w="2304"/>
          </w:tcPr>
          <w:p>
            <w:r/>
            <w:r>
              <w:rPr>
                <w:b/>
                <w:i w:val="0"/>
                <w:sz w:val="15"/>
              </w:rPr>
              <w:t>INACCURATE AND AT RISK.</w:t>
            </w:r>
            <w:r>
              <w:rPr>
                <w:b w:val="0"/>
                <w:i w:val="0"/>
                <w:sz w:val="15"/>
              </w:rPr>
              <w:t xml:space="preserve"> Threshold is 50%, not 40%. No override of §§ 3.1(b)/11.2(b); a cash NAV payout from a pooled vehicle affects other LPs (§§ 13.5(c), 14.1(d)). Cross-reference to § 7.2 (Fiscal Year) should be § 7.3 (Valuation). Election Period has passed; status must be confirmed.</w:t>
            </w:r>
          </w:p>
        </w:tc>
        <w:tc>
          <w:tcPr>
            <w:tcW w:type="dxa" w:w="792"/>
            <w:shd w:val="clear" w:color="auto" w:fill="F4CCCC"/>
          </w:tcPr>
          <w:p>
            <w:r/>
            <w:r>
              <w:rPr>
                <w:b w:val="0"/>
                <w:i w:val="0"/>
                <w:sz w:val="15"/>
              </w:rPr>
              <w:t>HIGH</w:t>
            </w:r>
          </w:p>
        </w:tc>
      </w:tr>
      <w:tr>
        <w:tc>
          <w:tcPr>
            <w:tcW w:type="dxa" w:w="360"/>
          </w:tcPr>
          <w:p>
            <w:r/>
            <w:r>
              <w:rPr>
                <w:b w:val="0"/>
                <w:i w:val="0"/>
                <w:sz w:val="15"/>
              </w:rPr>
              <w:t>12</w:t>
            </w:r>
          </w:p>
        </w:tc>
        <w:tc>
          <w:tcPr>
            <w:tcW w:type="dxa" w:w="1080"/>
          </w:tcPr>
          <w:p>
            <w:r/>
            <w:r>
              <w:rPr>
                <w:b w:val="0"/>
                <w:i w:val="0"/>
                <w:sz w:val="15"/>
              </w:rPr>
              <w:t>Exculpation / Indemnity</w:t>
            </w:r>
          </w:p>
        </w:tc>
        <w:tc>
          <w:tcPr>
            <w:tcW w:type="dxa" w:w="1944"/>
          </w:tcPr>
          <w:p>
            <w:r/>
            <w:r>
              <w:rPr>
                <w:b w:val="0"/>
                <w:i w:val="0"/>
                <w:sz w:val="15"/>
              </w:rPr>
              <w:t>§ 12.1(b)/§ 12.2(a): no exculpation/indemnity for fraud, willful misconduct, gross negligence (final non-appealable judgment); § 12.2(d) uniform standard “except as … agreed in a Side Letter (subject to the limitations … in this Agreement)”; § 12.3(a) GP liability capped at GP Commitment ($55.6M) except clawback</w:t>
            </w:r>
          </w:p>
        </w:tc>
        <w:tc>
          <w:tcPr>
            <w:tcW w:type="dxa" w:w="1944"/>
          </w:tcPr>
          <w:p>
            <w:r/>
            <w:r>
              <w:rPr>
                <w:b w:val="0"/>
                <w:i w:val="0"/>
                <w:sz w:val="15"/>
              </w:rPr>
              <w:t xml:space="preserve">§ 8 (notwithstanding §§ 12.1, 12.2): no exculpation for </w:t>
            </w:r>
            <w:r>
              <w:rPr>
                <w:b/>
                <w:i w:val="0"/>
                <w:sz w:val="15"/>
              </w:rPr>
              <w:t>negligence</w:t>
            </w:r>
            <w:r>
              <w:rPr>
                <w:b w:val="0"/>
                <w:i w:val="0"/>
                <w:sz w:val="15"/>
              </w:rPr>
              <w:t xml:space="preserve"> on claims by PBPEPS re investment decisions deploying its capital (which § 8(c) defines to cover essentially all Fund investments); Fund not to indemnify for such negligence (court judgment or arbitral award); Manager acknowledgement</w:t>
            </w:r>
          </w:p>
        </w:tc>
        <w:tc>
          <w:tcPr>
            <w:tcW w:type="dxa" w:w="1368"/>
          </w:tcPr>
          <w:p>
            <w:r/>
            <w:r>
              <w:rPr>
                <w:b w:val="0"/>
                <w:i w:val="0"/>
                <w:sz w:val="15"/>
              </w:rPr>
              <w:t>Exculpation lowered to negligence for investment decisions involving PBPEPS capital</w:t>
            </w:r>
          </w:p>
        </w:tc>
        <w:tc>
          <w:tcPr>
            <w:tcW w:type="dxa" w:w="2304"/>
          </w:tcPr>
          <w:p>
            <w:r/>
            <w:r>
              <w:rPr>
                <w:b w:val="0"/>
                <w:i w:val="0"/>
                <w:sz w:val="15"/>
              </w:rPr>
              <w:t>Accurate as far as it goes, but omits: (i) § 12.3(a) liability cap not overridden; (ii) SL § 8(b) restricts Fund-level indemnification, which affects pooled assets of other LPs; (iii) only the Manager’s acknowledgement, not a full joinder; (iv) claims still subject to AAA arbitration (§ 13.2).</w:t>
            </w:r>
          </w:p>
        </w:tc>
        <w:tc>
          <w:tcPr>
            <w:tcW w:type="dxa" w:w="792"/>
            <w:shd w:val="clear" w:color="auto" w:fill="FCE5CD"/>
          </w:tcPr>
          <w:p>
            <w:r/>
            <w:r>
              <w:rPr>
                <w:b w:val="0"/>
                <w:i w:val="0"/>
                <w:sz w:val="15"/>
              </w:rPr>
              <w:t>MEDIUM</w:t>
            </w:r>
          </w:p>
        </w:tc>
      </w:tr>
    </w:tbl>
    <w:p>
      <w:pPr>
        <w:spacing w:after="40"/>
      </w:pPr>
    </w:p>
    <w:p>
      <w:pPr>
        <w:pStyle w:val="Heading1"/>
      </w:pPr>
      <w:r>
        <w:t>V. Detailed Analysis of Material Deviations</w:t>
      </w:r>
    </w:p>
    <w:p>
      <w:pPr>
        <w:pStyle w:val="Heading2"/>
      </w:pPr>
      <w:r>
        <w:t>1. Management Fee (SL § 1; LPA § 4.1)</w:t>
      </w:r>
    </w:p>
    <w:p>
      <w:pPr>
        <w:spacing w:after="100"/>
      </w:pPr>
      <w:r>
        <w:rPr>
          <w:b w:val="0"/>
          <w:i w:val="0"/>
        </w:rPr>
        <w:t>SL § 1 validly overrides § 4.1 (express “notwithstanding” language, reinforced by § 4.1(g)). The reduction is 25 bps in each period. Our recalculation:</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2016"/>
            <w:shd w:val="clear" w:color="auto" w:fill="1F3A5F"/>
          </w:tcPr>
          <w:p>
            <w:r/>
            <w:r>
              <w:rPr>
                <w:b/>
                <w:color w:val="FFFFFF"/>
                <w:sz w:val="17"/>
              </w:rPr>
              <w:t>Period</w:t>
            </w:r>
          </w:p>
        </w:tc>
        <w:tc>
          <w:tcPr>
            <w:tcW w:type="dxa" w:w="1584"/>
            <w:shd w:val="clear" w:color="auto" w:fill="1F3A5F"/>
          </w:tcPr>
          <w:p>
            <w:r/>
            <w:r>
              <w:rPr>
                <w:b/>
                <w:color w:val="FFFFFF"/>
                <w:sz w:val="17"/>
              </w:rPr>
              <w:t>LPA Fee</w:t>
            </w:r>
          </w:p>
        </w:tc>
        <w:tc>
          <w:tcPr>
            <w:tcW w:type="dxa" w:w="1584"/>
            <w:shd w:val="clear" w:color="auto" w:fill="1F3A5F"/>
          </w:tcPr>
          <w:p>
            <w:r/>
            <w:r>
              <w:rPr>
                <w:b/>
                <w:color w:val="FFFFFF"/>
                <w:sz w:val="17"/>
              </w:rPr>
              <w:t>SL Fee</w:t>
            </w:r>
          </w:p>
        </w:tc>
        <w:tc>
          <w:tcPr>
            <w:tcW w:type="dxa" w:w="1152"/>
            <w:shd w:val="clear" w:color="auto" w:fill="1F3A5F"/>
          </w:tcPr>
          <w:p>
            <w:r/>
            <w:r>
              <w:rPr>
                <w:b/>
                <w:color w:val="FFFFFF"/>
                <w:sz w:val="17"/>
              </w:rPr>
              <w:t>Annual Saving</w:t>
            </w:r>
          </w:p>
        </w:tc>
        <w:tc>
          <w:tcPr>
            <w:tcW w:type="dxa" w:w="1152"/>
            <w:shd w:val="clear" w:color="auto" w:fill="1F3A5F"/>
          </w:tcPr>
          <w:p>
            <w:r/>
            <w:r>
              <w:rPr>
                <w:b/>
                <w:color w:val="FFFFFF"/>
                <w:sz w:val="17"/>
              </w:rPr>
              <w:t>Period Saving</w:t>
            </w:r>
          </w:p>
        </w:tc>
        <w:tc>
          <w:tcPr>
            <w:tcW w:type="dxa" w:w="2160"/>
            <w:shd w:val="clear" w:color="auto" w:fill="1F3A5F"/>
          </w:tcPr>
          <w:p>
            <w:r/>
            <w:r>
              <w:rPr>
                <w:b/>
                <w:color w:val="FFFFFF"/>
                <w:sz w:val="17"/>
              </w:rPr>
              <w:t>Comment</w:t>
            </w:r>
          </w:p>
        </w:tc>
      </w:tr>
      <w:tr>
        <w:tc>
          <w:tcPr>
            <w:tcW w:type="dxa" w:w="2016"/>
          </w:tcPr>
          <w:p>
            <w:r/>
            <w:r>
              <w:rPr>
                <w:b w:val="0"/>
                <w:i w:val="0"/>
                <w:sz w:val="17"/>
              </w:rPr>
              <w:t>Investment Period (6/15/2022–6/14/2027)</w:t>
            </w:r>
          </w:p>
        </w:tc>
        <w:tc>
          <w:tcPr>
            <w:tcW w:type="dxa" w:w="1584"/>
          </w:tcPr>
          <w:p>
            <w:r/>
            <w:r>
              <w:rPr>
                <w:b w:val="0"/>
                <w:i w:val="0"/>
                <w:sz w:val="17"/>
              </w:rPr>
              <w:t>$3,062,500/yr (1.75% × $175M)</w:t>
            </w:r>
          </w:p>
        </w:tc>
        <w:tc>
          <w:tcPr>
            <w:tcW w:type="dxa" w:w="1584"/>
          </w:tcPr>
          <w:p>
            <w:r/>
            <w:r>
              <w:rPr>
                <w:b w:val="0"/>
                <w:i w:val="0"/>
                <w:sz w:val="17"/>
              </w:rPr>
              <w:t>$2,625,000/yr (1.50% × $175M)</w:t>
            </w:r>
          </w:p>
        </w:tc>
        <w:tc>
          <w:tcPr>
            <w:tcW w:type="dxa" w:w="1152"/>
          </w:tcPr>
          <w:p>
            <w:r/>
            <w:r>
              <w:rPr>
                <w:b w:val="0"/>
                <w:i w:val="0"/>
                <w:sz w:val="17"/>
              </w:rPr>
              <w:t>$437,500</w:t>
            </w:r>
          </w:p>
        </w:tc>
        <w:tc>
          <w:tcPr>
            <w:tcW w:type="dxa" w:w="1152"/>
          </w:tcPr>
          <w:p>
            <w:r/>
            <w:r>
              <w:rPr>
                <w:b w:val="0"/>
                <w:i w:val="0"/>
                <w:sz w:val="17"/>
              </w:rPr>
              <w:t>$2,187,500</w:t>
            </w:r>
          </w:p>
        </w:tc>
        <w:tc>
          <w:tcPr>
            <w:tcW w:type="dxa" w:w="2160"/>
          </w:tcPr>
          <w:p>
            <w:r/>
            <w:r>
              <w:rPr>
                <w:b w:val="0"/>
                <w:i w:val="0"/>
                <w:sz w:val="17"/>
              </w:rPr>
              <w:t>Firm — based on Commitment</w:t>
            </w:r>
          </w:p>
        </w:tc>
      </w:tr>
      <w:tr>
        <w:tc>
          <w:tcPr>
            <w:tcW w:type="dxa" w:w="2016"/>
          </w:tcPr>
          <w:p>
            <w:r/>
            <w:r>
              <w:rPr>
                <w:b w:val="0"/>
                <w:i w:val="0"/>
                <w:sz w:val="17"/>
              </w:rPr>
              <w:t>Post-IP (6/15/2027–6/14/2032)</w:t>
            </w:r>
          </w:p>
        </w:tc>
        <w:tc>
          <w:tcPr>
            <w:tcW w:type="dxa" w:w="1584"/>
          </w:tcPr>
          <w:p>
            <w:r/>
            <w:r>
              <w:rPr>
                <w:b w:val="0"/>
                <w:i w:val="0"/>
                <w:sz w:val="17"/>
              </w:rPr>
              <w:t>1.50% × Invested Capital</w:t>
            </w:r>
          </w:p>
        </w:tc>
        <w:tc>
          <w:tcPr>
            <w:tcW w:type="dxa" w:w="1584"/>
          </w:tcPr>
          <w:p>
            <w:r/>
            <w:r>
              <w:rPr>
                <w:b w:val="0"/>
                <w:i w:val="0"/>
                <w:sz w:val="17"/>
              </w:rPr>
              <w:t>1.25% × Invested Capital</w:t>
            </w:r>
          </w:p>
        </w:tc>
        <w:tc>
          <w:tcPr>
            <w:tcW w:type="dxa" w:w="1152"/>
          </w:tcPr>
          <w:p>
            <w:r/>
            <w:r>
              <w:rPr>
                <w:b w:val="0"/>
                <w:i w:val="0"/>
                <w:sz w:val="17"/>
              </w:rPr>
              <w:t>≤ $437,500</w:t>
            </w:r>
          </w:p>
        </w:tc>
        <w:tc>
          <w:tcPr>
            <w:tcW w:type="dxa" w:w="1152"/>
          </w:tcPr>
          <w:p>
            <w:r/>
            <w:r>
              <w:rPr>
                <w:b w:val="0"/>
                <w:i w:val="0"/>
                <w:sz w:val="17"/>
              </w:rPr>
              <w:t>≤ $2,187,500</w:t>
            </w:r>
          </w:p>
        </w:tc>
        <w:tc>
          <w:tcPr>
            <w:tcW w:type="dxa" w:w="2160"/>
          </w:tcPr>
          <w:p>
            <w:r/>
            <w:r>
              <w:rPr>
                <w:b w:val="0"/>
                <w:i w:val="0"/>
                <w:sz w:val="17"/>
              </w:rPr>
              <w:t>Ceiling only: assumes $175M invested and never reduced by realizations/write-downs; actual likely materially lower</w:t>
            </w:r>
          </w:p>
        </w:tc>
      </w:tr>
      <w:tr>
        <w:tc>
          <w:tcPr>
            <w:tcW w:type="dxa" w:w="2016"/>
          </w:tcPr>
          <w:p>
            <w:r/>
            <w:r>
              <w:rPr>
                <w:b w:val="0"/>
                <w:i w:val="0"/>
                <w:sz w:val="17"/>
              </w:rPr>
              <w:t>Extensions (to 6/14/2034, § 11.1(b))</w:t>
            </w:r>
          </w:p>
        </w:tc>
        <w:tc>
          <w:tcPr>
            <w:tcW w:type="dxa" w:w="1584"/>
          </w:tcPr>
          <w:p>
            <w:r/>
            <w:r>
              <w:rPr>
                <w:b w:val="0"/>
                <w:i w:val="0"/>
                <w:sz w:val="17"/>
              </w:rPr>
              <w:t>1.50% × Invested Capital</w:t>
            </w:r>
          </w:p>
        </w:tc>
        <w:tc>
          <w:tcPr>
            <w:tcW w:type="dxa" w:w="1584"/>
          </w:tcPr>
          <w:p>
            <w:r/>
            <w:r>
              <w:rPr>
                <w:b w:val="0"/>
                <w:i w:val="0"/>
                <w:sz w:val="17"/>
              </w:rPr>
              <w:t>1.25% × Invested Capital</w:t>
            </w:r>
          </w:p>
        </w:tc>
        <w:tc>
          <w:tcPr>
            <w:tcW w:type="dxa" w:w="1152"/>
          </w:tcPr>
          <w:p>
            <w:r/>
            <w:r>
              <w:rPr>
                <w:b w:val="0"/>
                <w:i w:val="0"/>
                <w:sz w:val="17"/>
              </w:rPr>
              <w:t>Variable</w:t>
            </w:r>
          </w:p>
        </w:tc>
        <w:tc>
          <w:tcPr>
            <w:tcW w:type="dxa" w:w="1152"/>
          </w:tcPr>
          <w:p>
            <w:r/>
            <w:r>
              <w:rPr>
                <w:b w:val="0"/>
                <w:i w:val="0"/>
                <w:sz w:val="17"/>
              </w:rPr>
              <w:t>Variable</w:t>
            </w:r>
          </w:p>
        </w:tc>
        <w:tc>
          <w:tcPr>
            <w:tcW w:type="dxa" w:w="2160"/>
          </w:tcPr>
          <w:p>
            <w:r/>
            <w:r>
              <w:rPr>
                <w:b w:val="0"/>
                <w:i w:val="0"/>
                <w:sz w:val="17"/>
              </w:rPr>
              <w:t>Not addressed in IC Memo</w:t>
            </w:r>
          </w:p>
        </w:tc>
      </w:tr>
    </w:tbl>
    <w:p>
      <w:pPr>
        <w:spacing w:after="40"/>
      </w:pPr>
    </w:p>
    <w:p>
      <w:pPr>
        <w:spacing w:after="100"/>
      </w:pPr>
      <w:r>
        <w:rPr>
          <w:b w:val="0"/>
          <w:i w:val="0"/>
        </w:rPr>
        <w:t>Observations: (a) the IC Memo’s “$4,375,000” should be presented as a maximum; a realistic post-IP figure is substantially below $2.19 million because invested capital is reduced by full realizations and write-downs to zero under § 4.1(b); (b) because PBPEPS is MFN-eligible under LPA § 10.2 (and other ≥$150M LPs may elect PBPEPS’s fee term, which is not within any § 10.2(d) carve-out), the GP may later resist granting further concessions; (c) the SL refers to the fee as payable to “the General Partner (or … the Manager)” — § 4.1(c) makes it payable to the Manager; harmless but should be conformed.</w:t>
      </w:r>
    </w:p>
    <w:p>
      <w:pPr>
        <w:pStyle w:val="Heading2"/>
      </w:pPr>
      <w:r>
        <w:t>2. Most Favored Nation (SL § 2; LPA § 10.2)</w:t>
      </w:r>
    </w:p>
    <w:p>
      <w:pPr>
        <w:spacing w:after="100"/>
      </w:pPr>
      <w:r>
        <w:rPr>
          <w:b w:val="0"/>
          <w:i w:val="0"/>
        </w:rPr>
        <w:t xml:space="preserve">SL § 2 is introduced by “Notwithstanding anything to the contrary in Section 10.2,” which under § 13.5(b) is effective. That cuts both ways: it means the SL formulation </w:t>
      </w:r>
      <w:r>
        <w:rPr>
          <w:b/>
          <w:i w:val="0"/>
        </w:rPr>
        <w:t>replaces</w:t>
      </w:r>
      <w:r>
        <w:rPr>
          <w:b w:val="0"/>
          <w:i w:val="0"/>
        </w:rPr>
        <w:t xml:space="preserve"> § 10.2 for PBPEPS to the extent inconsistent. The key deviations are:</w:t>
      </w:r>
    </w:p>
    <w:p>
      <w:pPr>
        <w:pStyle w:val="ListBullet"/>
        <w:spacing w:after="60"/>
      </w:pPr>
      <w:r>
        <w:rPr>
          <w:b/>
          <w:i w:val="0"/>
        </w:rPr>
        <w:t>Narrower universe of source side letters.</w:t>
      </w:r>
      <w:r>
        <w:rPr>
          <w:b w:val="0"/>
          <w:i w:val="0"/>
        </w:rPr>
        <w:t xml:space="preserve"> SL § 2 extends only to terms granted to LPs “whose Capital Commitment … is equal to or less than” $175 million. LPA § 10.2(b)–(c) has no such limit. PBPEPS (6.295% of commitments) is unlikely to be the largest LP in a $2.78 billion fund; anchor investors with larger commitments typically receive the most favorable terms, and PBPEPS would be excluded from them. This is the single most significant economic drafting point in the SL and is not disclosed in the IC Memo.</w:t>
      </w:r>
    </w:p>
    <w:p>
      <w:pPr>
        <w:pStyle w:val="ListBullet"/>
        <w:spacing w:after="60"/>
      </w:pPr>
      <w:r>
        <w:rPr>
          <w:b/>
          <w:i w:val="0"/>
        </w:rPr>
        <w:t>Improvements:</w:t>
      </w:r>
      <w:r>
        <w:rPr>
          <w:b w:val="0"/>
          <w:i w:val="0"/>
        </w:rPr>
        <w:t xml:space="preserve"> 15-day notice (by October 15, 2022) versus 30 days (October 30, 2022); 90-day versus 60-day election period; redacted copies of side letters rather than a summary; effectiveness from admission (retroactive) versus the LPA’s prospective effect (§ 10.2(c)); a narrower regulatory carve-out (only terms “not applicable to the Investor”) versus § 10.2(d)(i)’s broad carve-out for any public-pension accommodation; and co-investment rights are included (§ 10.2(d)(iii) excludes them). The SL is silent on the LPAC exclusion (§ 10.2(d)(iv)).</w:t>
      </w:r>
    </w:p>
    <w:p>
      <w:pPr>
        <w:pStyle w:val="ListBullet"/>
        <w:spacing w:after="60"/>
      </w:pPr>
      <w:r>
        <w:rPr>
          <w:b/>
          <w:i w:val="0"/>
        </w:rPr>
        <w:t>Gaps:</w:t>
      </w:r>
      <w:r>
        <w:rPr>
          <w:b w:val="0"/>
          <w:i w:val="0"/>
        </w:rPr>
        <w:t xml:space="preserve"> limited to “economic or reporting” terms (governance protections such as key person, transfer, excuse and LPAC rights may fall outside); no express coverage of side letters entered into after the Final Close (e.g., with transferees) or of supplemental MFN Notices under § 10.2(e); no remedy beyond self-executing effectiveness if the GP fails to give notice.</w:t>
      </w:r>
    </w:p>
    <w:p>
      <w:pPr>
        <w:spacing w:after="100"/>
      </w:pPr>
      <w:r>
        <w:rPr>
          <w:b w:val="0"/>
          <w:i w:val="0"/>
        </w:rPr>
        <w:t>Recommendation: delete the size limitation or, at a minimum, add: “The rights of the Investor under this Section 2 are in addition to, and not in limitation of, the rights of the Investor as an MFN Eligible LP under Section 10.2 of the Partnership Agreement, and the Investor may elect under whichever provision is more favorable.”</w:t>
      </w:r>
    </w:p>
    <w:p>
      <w:pPr>
        <w:pStyle w:val="Heading2"/>
      </w:pPr>
      <w:r>
        <w:t>3. Co-Investment Rights (SL § 3)</w:t>
      </w:r>
    </w:p>
    <w:p>
      <w:pPr>
        <w:spacing w:after="100"/>
      </w:pPr>
      <w:r>
        <w:rPr>
          <w:b w:val="0"/>
          <w:i w:val="0"/>
        </w:rPr>
        <w:t xml:space="preserve">The IC Memo states the threshold twice as $100 million; SL § 3(a), § 3(b) and the closing paragraph of § 3 all state </w:t>
      </w:r>
      <w:r>
        <w:rPr>
          <w:b/>
          <w:i w:val="0"/>
        </w:rPr>
        <w:t>$125,000,000</w:t>
      </w:r>
      <w:r>
        <w:rPr>
          <w:b w:val="0"/>
          <w:i w:val="0"/>
        </w:rPr>
        <w:t>. The SL’s worked example (Fund equity $200M; excess $75M; allocation $4,717,500 at 6.29%) is arithmetically correct at the rounded rate (≈$4,721,000 at Schedule A’s 6.2950%). Given the Fund’s $100–$750 million EV focus and the 20% single-company limit (≈$556 million, § 6.2(a)), equity cheques above $125 million will occur only in the larger transactions, so the right will be exercised infrequently. Other points: (a) the definition of the Fund’s “aggregate equity commitment (including any equity commitment made through a co-investment vehicle)” is circular and could inflate or deflate the threshold; (b) the obligation is “subject to [the GP’s] fiduciary obligations” and regulatory constraints — a broad escape; (c) co-investment vehicles organised by the GP are “Affiliates” under the LPA definition, so § 8.2(a)(i) LPAC conflict consent may be required; (d) expenses of the co-investment vehicle and broken-deal cost sharing are unaddressed; (e) the SL right is protected from other LPs’ MFN by § 10.2(d)(iii), which is favorable to PBPEPS’s exclusivity.</w:t>
      </w:r>
    </w:p>
    <w:p>
      <w:pPr>
        <w:pStyle w:val="Heading2"/>
      </w:pPr>
      <w:r>
        <w:t>4. Transfer Rights (SL § 4; LPA § 9.1)</w:t>
      </w:r>
    </w:p>
    <w:p>
      <w:pPr>
        <w:spacing w:after="100"/>
      </w:pPr>
      <w:r>
        <w:rPr>
          <w:b w:val="0"/>
          <w:i w:val="0"/>
        </w:rPr>
        <w:t>SL § 4 effectively removes the GP’s § 9.1(a) sole-discretion consent for transfers to US state governmental pension plans, subject to notice, assumption, legal opinion and compliance conditions. Points of deviation and risk:</w:t>
      </w:r>
    </w:p>
    <w:p>
      <w:pPr>
        <w:pStyle w:val="ListBullet"/>
        <w:spacing w:after="60"/>
      </w:pPr>
      <w:r>
        <w:rPr>
          <w:b/>
          <w:i w:val="0"/>
        </w:rPr>
        <w:t>Competitor bar.</w:t>
      </w:r>
      <w:r>
        <w:rPr>
          <w:b w:val="0"/>
          <w:i w:val="0"/>
        </w:rPr>
        <w:t xml:space="preserve"> LPA § 9.1(b) opens with “Notwithstanding any other provision of this Agreement” and prohibits transfers to any Competitor. The “Competitor” definition (§ 1.1) expressly sweeps in “pension system[s]” that manage or advise a fund with a substantially similar strategy. A GP could argue that a state pension plan with an in-house growth equity or co-investment program is a Competitor, and that SL § 4’s general override of “Section 9.1” does not reach § 9.1(b)(iii). The SL should state expressly that a governmental pension plan shall not be deemed a Competitor solely by reason of its in-house investment activities.</w:t>
      </w:r>
    </w:p>
    <w:p>
      <w:pPr>
        <w:pStyle w:val="ListBullet"/>
        <w:spacing w:after="60"/>
      </w:pPr>
      <w:r>
        <w:rPr>
          <w:b/>
          <w:i w:val="0"/>
        </w:rPr>
        <w:t>Eligibility bars retained by implication.</w:t>
      </w:r>
      <w:r>
        <w:rPr>
          <w:b w:val="0"/>
          <w:i w:val="0"/>
        </w:rPr>
        <w:t xml:space="preserve"> The SL does not expressly preserve or waive the § 9.1(b)(i)–(ii) qualified purchaser / accredited investor requirements; the legal opinion requirement partly covers this. Clarity is recommended.</w:t>
      </w:r>
    </w:p>
    <w:p>
      <w:pPr>
        <w:pStyle w:val="ListBullet"/>
        <w:spacing w:after="60"/>
      </w:pPr>
      <w:r>
        <w:rPr>
          <w:b/>
          <w:i w:val="0"/>
        </w:rPr>
        <w:t>Non-existent requirement.</w:t>
      </w:r>
      <w:r>
        <w:rPr>
          <w:b w:val="0"/>
          <w:i w:val="0"/>
        </w:rPr>
        <w:t xml:space="preserve"> SL § 4 waives “the minimum transfer size requirements set forth in Section 9.1” — § 9.1 contains no minimum transfer size. Either a requirement was dropped from the LPA or the SL was drafted from a different precedent; confirm.</w:t>
      </w:r>
    </w:p>
    <w:p>
      <w:pPr>
        <w:pStyle w:val="ListBullet"/>
        <w:spacing w:after="60"/>
      </w:pPr>
      <w:r>
        <w:rPr>
          <w:b/>
          <w:i w:val="0"/>
        </w:rPr>
        <w:t>Costs.</w:t>
      </w:r>
      <w:r>
        <w:rPr>
          <w:b w:val="0"/>
          <w:i w:val="0"/>
        </w:rPr>
        <w:t xml:space="preserve"> SL waives any “transfer fee or administrative charge”; § 9.1(e) separately requires the transferor to bear the Fund’s legal, accounting and administrative costs. The SL’s waiver is broader in wording only as to “fee or charge” — clarify that § 9.1(e) costs are also waived (or capped).</w:t>
      </w:r>
    </w:p>
    <w:p>
      <w:pPr>
        <w:pStyle w:val="ListBullet"/>
        <w:spacing w:after="60"/>
      </w:pPr>
      <w:r>
        <w:rPr>
          <w:b/>
          <w:i w:val="0"/>
        </w:rPr>
        <w:t>IC Memo overstatement.</w:t>
      </w:r>
      <w:r>
        <w:rPr>
          <w:b w:val="0"/>
          <w:i w:val="0"/>
        </w:rPr>
        <w:t xml:space="preserve"> The IC Memo’s reference to “co-investing sister funds” is not supported; only governmental pension plans organised under US state law qualify. Non-governmental affiliates must use § 9.1(f), which requires PBPEPS to remain jointly and severally liable.</w:t>
      </w:r>
    </w:p>
    <w:p>
      <w:pPr>
        <w:pStyle w:val="ListBullet"/>
        <w:spacing w:after="60"/>
      </w:pPr>
      <w:r>
        <w:rPr>
          <w:b/>
          <w:i w:val="0"/>
        </w:rPr>
        <w:t>Positive:</w:t>
      </w:r>
      <w:r>
        <w:rPr>
          <w:b w:val="0"/>
          <w:i w:val="0"/>
        </w:rPr>
        <w:t xml:space="preserve"> transferees inherit SL rights (§ 4 and § 11(b)), including the negligence standard (SL § 8(a)), and PBPEPS is not made jointly and severally liable post-transfer (contrast § 9.1(f)(iv)).</w:t>
      </w:r>
    </w:p>
    <w:p>
      <w:pPr>
        <w:pStyle w:val="Heading2"/>
      </w:pPr>
      <w:r>
        <w:t>5. LPAC Seat (SL § 5(a); LPA § 8.1)</w:t>
      </w:r>
    </w:p>
    <w:p>
      <w:pPr>
        <w:spacing w:after="100"/>
      </w:pPr>
      <w:r>
        <w:rPr>
          <w:b w:val="0"/>
          <w:i w:val="0"/>
        </w:rPr>
        <w:t>LPA § 8.1(c) states that “No Limited Partner shall have the right to demand appointment to the LPAC … This Agreement does not provide for any automatic appointment, guaranteed seat, or other mandatory LPAC membership right for any Limited Partner,” and § 8.1(b) permits the GP to “remove and replace LPAC members at any time in its sole discretion.” SL § 5(a) is expressed to be “In addition to the provisions of Section 8.1” and expressly acknowledges that the LPAC operates “in accordance with Section 8.1.” Under § 13.5(b), absent a “notwithstanding” override, the LPA governs and the SL is “not in derogation of” it. Although the SL calls the seat a “binding obligation” and “material inducement,” the GP has a credible argument that it may remove PBPEPS under § 8.1(b). PBPEPS would at most have a contract claim against the GP (not a right to sit). Additional points: the seat would be lost under § 8.1(b) if PBPEPS’s commitment is reduced below $100 million (e.g., through excuse reductions under SL § 5(b)/LPA § 9.2(d) or partial transfers); and the seat is personal to PBPEPS (it is not MFN-able by others under § 10.2(d)(iv)).</w:t>
      </w:r>
    </w:p>
    <w:p>
      <w:pPr>
        <w:spacing w:after="100"/>
      </w:pPr>
      <w:r>
        <w:rPr>
          <w:b w:val="0"/>
          <w:i w:val="0"/>
        </w:rPr>
        <w:t>Fix: “Notwithstanding Sections 8.1(a), 8.1(b) and 8.1(c) of the Partnership Agreement, the Investor shall be entitled to appoint one member of the LPAC for the term of the Fund, and the General Partner shall not remove the Investor’s representative without the Investor’s consent, provided the Investor’s Capital Commitment is not less than $100,000,000 (disregarding reductions resulting from excused investments).”</w:t>
      </w:r>
    </w:p>
    <w:p>
      <w:pPr>
        <w:pStyle w:val="Heading2"/>
      </w:pPr>
      <w:r>
        <w:t>6. Excuse Rights (SL § 5(b); LPA § 9.2)</w:t>
      </w:r>
    </w:p>
    <w:p>
      <w:pPr>
        <w:spacing w:after="100"/>
      </w:pPr>
      <w:r>
        <w:rPr>
          <w:b w:val="0"/>
          <w:i w:val="0"/>
        </w:rPr>
        <w:t xml:space="preserve">SL § 5(b) validly overrides § 9.2 (express “notwithstanding”) and is a genuine expansion: § 9.2(a) and (f) expressly prohibit excuse based on “board-adopted investment parameters, social responsibility policies [or] environmental policies,” whereas SL § 5(b)(ii) allows excuse on an objective 15% revenue test irrespective of statutory compulsion. Issues: (a) </w:t>
      </w:r>
      <w:r>
        <w:rPr>
          <w:b/>
          <w:i w:val="0"/>
        </w:rPr>
        <w:t>Timing</w:t>
      </w:r>
      <w:r>
        <w:rPr>
          <w:b w:val="0"/>
          <w:i w:val="0"/>
        </w:rPr>
        <w:t xml:space="preserve"> — the 15-business-day notice period runs from receipt of the capital call notice, and § 3.2(a)(iv) permits a funding date only 15 business days after notice; PBPEPS should require advance notice of prospective investments (not merely the call) and confirm that a timely excuse notice suspends the funding obligation; (b) </w:t>
      </w:r>
      <w:r>
        <w:rPr>
          <w:b/>
          <w:i w:val="0"/>
        </w:rPr>
        <w:t>Determination</w:t>
      </w:r>
      <w:r>
        <w:rPr>
          <w:b w:val="0"/>
          <w:i w:val="0"/>
        </w:rPr>
        <w:t xml:space="preserve"> — because SL § 5(b) is stated to be “in addition to” § 9.2, the GP could argue the § 9.2(c) GP good-faith determination applies; the SL should make PBPEPS’s determination conclusive for § 5(b)(ii); (c) </w:t>
      </w:r>
      <w:r>
        <w:rPr>
          <w:b/>
          <w:i w:val="0"/>
        </w:rPr>
        <w:t>Statutory basis</w:t>
      </w:r>
      <w:r>
        <w:rPr>
          <w:b w:val="0"/>
          <w:i w:val="0"/>
        </w:rPr>
        <w:t xml:space="preserve"> — the IC Memo characterises California Government Code §§ 7500–7914 as imposing “divestment mandates related to tobacco, firearms, and thermal coal.” Several California divestment statutes apply by their terms only to specified systems (e.g., CalPERS/CalSTRS); PBPEPS’s regulatory counsel should confirm which mandates actually bind PBPEPS. To the extent they do not, SL § 5(b)(ii) (the revenue test) remains the operative protection; (d) </w:t>
      </w:r>
      <w:r>
        <w:rPr>
          <w:b/>
          <w:i w:val="0"/>
        </w:rPr>
        <w:t>Overlap</w:t>
      </w:r>
      <w:r>
        <w:rPr>
          <w:b w:val="0"/>
          <w:i w:val="0"/>
        </w:rPr>
        <w:t xml:space="preserve"> — LPA § 6.2(c)(ii) already prohibits natural resources, mining or extractive investments, so thermal coal producers are largely excluded at Fund level; (e) the forfeiture language (“share of any distributions attributable to such excused investment shall be forfeited”) is consistent with § 9.2(e) but should be clarified to confirm no penalty on PBPEPS’s other investments and that Management Fees are not charged on the reduced commitment.</w:t>
      </w:r>
    </w:p>
    <w:p>
      <w:pPr>
        <w:pStyle w:val="Heading2"/>
      </w:pPr>
      <w:r>
        <w:t>7. Key Person (SL § 6; LPA § 6.3)</w:t>
      </w:r>
    </w:p>
    <w:p>
      <w:pPr>
        <w:spacing w:after="100"/>
      </w:pPr>
      <w:r>
        <w:rPr>
          <w:b w:val="0"/>
          <w:i w:val="0"/>
        </w:rPr>
        <w:t>The IC Memo presents automatic suspension as “materially stronger protection.” Our analysis is that the protection is largely illusory as drafted:</w:t>
      </w:r>
    </w:p>
    <w:p>
      <w:pPr>
        <w:pStyle w:val="ListBullet"/>
        <w:spacing w:after="60"/>
      </w:pPr>
      <w:r>
        <w:rPr>
          <w:b/>
          <w:i w:val="0"/>
        </w:rPr>
        <w:t>No override.</w:t>
      </w:r>
      <w:r>
        <w:rPr>
          <w:b w:val="0"/>
          <w:i w:val="0"/>
        </w:rPr>
        <w:t xml:space="preserve"> SL § 6 is “In addition to” § 6.3. LPA § 6.3(c) states the Investment Period “shall be suspended </w:t>
      </w:r>
      <w:r>
        <w:rPr>
          <w:b/>
          <w:i w:val="0"/>
        </w:rPr>
        <w:t>only</w:t>
      </w:r>
      <w:r>
        <w:rPr>
          <w:b w:val="0"/>
          <w:i w:val="0"/>
        </w:rPr>
        <w:t xml:space="preserve"> upon the affirmative vote or written consent of Limited Partners holding at least sixty percent (60%)” — a direct conflict. Under § 13.5(b), the LPA governs.</w:t>
      </w:r>
    </w:p>
    <w:p>
      <w:pPr>
        <w:pStyle w:val="ListBullet"/>
        <w:spacing w:after="60"/>
      </w:pPr>
      <w:r>
        <w:rPr>
          <w:b/>
          <w:i w:val="0"/>
        </w:rPr>
        <w:t>Fund-wide effect.</w:t>
      </w:r>
      <w:r>
        <w:rPr>
          <w:b w:val="0"/>
          <w:i w:val="0"/>
        </w:rPr>
        <w:t xml:space="preserve"> The Investment Period is a single fund-wide period. An automatic suspension for all LPs triggered by one LP’s side letter would “directly or indirectly alter” other LPs’ rights (§ 14.1(d); § 13.5(c)). A PBPEPS-only suspension (i.e., excuse from new-investment capital calls during a KPE) is the enforceable alternative and should be drafted as such.</w:t>
      </w:r>
    </w:p>
    <w:p>
      <w:pPr>
        <w:pStyle w:val="ListBullet"/>
        <w:spacing w:after="60"/>
      </w:pPr>
      <w:r>
        <w:rPr>
          <w:b/>
          <w:i w:val="0"/>
        </w:rPr>
        <w:t>Trigger unchanged.</w:t>
      </w:r>
      <w:r>
        <w:rPr>
          <w:b w:val="0"/>
          <w:i w:val="0"/>
        </w:rPr>
        <w:t xml:space="preserve"> Both documents require that Marcus Ridgeline </w:t>
      </w:r>
      <w:r>
        <w:rPr>
          <w:b/>
          <w:i w:val="0"/>
        </w:rPr>
        <w:t>and</w:t>
      </w:r>
      <w:r>
        <w:rPr>
          <w:b w:val="0"/>
          <w:i w:val="0"/>
        </w:rPr>
        <w:t xml:space="preserve"> at least two of three SMDs cease to devote ≥75% of their time (§ 6.3(b)). Three of four Key Persons must depart before anything happens. A market-standard investor ask would be “Marcus Ridgeline </w:t>
      </w:r>
      <w:r>
        <w:rPr>
          <w:b/>
          <w:i w:val="0"/>
        </w:rPr>
        <w:t>or</w:t>
      </w:r>
      <w:r>
        <w:rPr>
          <w:b w:val="0"/>
          <w:i w:val="0"/>
        </w:rPr>
        <w:t xml:space="preserve"> any two SMDs.” The final sentence of § 6.3(b) is also internally garbled and should be clarified.</w:t>
      </w:r>
    </w:p>
    <w:p>
      <w:pPr>
        <w:pStyle w:val="ListBullet"/>
        <w:spacing w:after="60"/>
      </w:pPr>
      <w:r>
        <w:rPr>
          <w:b/>
          <w:i w:val="0"/>
        </w:rPr>
        <w:t>Weaker resumption.</w:t>
      </w:r>
      <w:r>
        <w:rPr>
          <w:b w:val="0"/>
          <w:i w:val="0"/>
        </w:rPr>
        <w:t xml:space="preserve"> SL § 6 resumes the Investment Period on the earlier of (a) replacements “reasonably acceptable to the Investor” or (b) a 60% LP vote. LPA § 6.3(d) requires LPAC majority approval of replacements with comparable qualifications, and § 6.3(e) requires a 75% vote to reinstate after an uncured KPE. If SL § 6 were effective, it would allow resumption on a lower threshold than the LPA.</w:t>
      </w:r>
    </w:p>
    <w:p>
      <w:pPr>
        <w:pStyle w:val="ListBullet"/>
        <w:spacing w:after="60"/>
      </w:pPr>
      <w:r>
        <w:rPr>
          <w:b/>
          <w:i w:val="0"/>
        </w:rPr>
        <w:t>Follow-on cap.</w:t>
      </w:r>
      <w:r>
        <w:rPr>
          <w:b w:val="0"/>
          <w:i w:val="0"/>
        </w:rPr>
        <w:t xml:space="preserve"> SL § 6 caps follow-ons during suspension at 15% of Commitments (consistent with § 6.1(b)); LPA § 6.3(c) contains no cap during suspension — a modest improvement.</w:t>
      </w:r>
    </w:p>
    <w:p>
      <w:pPr>
        <w:pStyle w:val="Heading2"/>
      </w:pPr>
      <w:r>
        <w:t>8. Clawback Enhancement (SL § 7; LPA § 5.3)</w:t>
      </w:r>
    </w:p>
    <w:p>
      <w:pPr>
        <w:spacing w:after="100"/>
      </w:pPr>
      <w:r>
        <w:rPr>
          <w:b w:val="0"/>
          <w:i w:val="0"/>
        </w:rPr>
        <w:t>LPA § 5.3(b) provides that the Clawback Amount “shall be calculated net of taxes … at an assumed combined federal and state tax rate of forty-five percent (45%)” and that the “maximum Clawback Amount” is the excess reduced by 45%. SL § 7 is “In addition to” § 5.3 and directly contradicts § 5.3(b). Under § 13.5(b), the LPA formula governs. The IC Memo states the enhancement applies “notwithstanding the LPA” (Table row 10; § 4) — that is not what the SL says.</w:t>
      </w:r>
    </w:p>
    <w:p>
      <w:pPr>
        <w:spacing w:after="100"/>
      </w:pPr>
      <w:r>
        <w:rPr>
          <w:b w:val="0"/>
          <w:i w:val="0"/>
        </w:rPr>
        <w:t xml:space="preserve">Even if enforceable, the economics are overstated. The clawback is paid “to the Fund, for distribution to the Limited Partners” (§ 5.3(a)), so PBPEPS’s benefit is its pro rata share. On the IC Memo’s own illustration ($10M excess carry): LPA net clawback = $5.5M; gross = $10M; incremental Fund-level recovery = $4.5M; PBPEPS share ≈ 6.295% × $4.5M ≈ </w:t>
      </w:r>
      <w:r>
        <w:rPr>
          <w:b/>
          <w:i w:val="0"/>
        </w:rPr>
        <w:t>$283,000</w:t>
      </w:r>
      <w:r>
        <w:rPr>
          <w:b w:val="0"/>
          <w:i w:val="0"/>
        </w:rPr>
        <w:t>, not $4.5M. SL § 7’s phrasing that “the full amount of any excess carried interest distributions … shall be returned to the Investor” is ambiguous and should be clarified to refer to the Investor’s attributable share.</w:t>
      </w:r>
    </w:p>
    <w:p>
      <w:pPr>
        <w:spacing w:after="100"/>
      </w:pPr>
      <w:r>
        <w:rPr>
          <w:b w:val="0"/>
          <w:i w:val="0"/>
        </w:rPr>
        <w:t>Security mismatch: § 5.3(e) escrow is only 30% of cumulative carry and the § 5.3(c) personal guaranties cover only the net-of-tax amount. SL § 7 refers to the escrow as “Section 5.3(c)” (wrong; it is § 5.3(e)) and requires the GP to “ensure” escrow sufficiency without specifying a top-up mechanism. The SL should expressly override §§ 5.3(b) and 5.3(c), require guaranties of the gross amount, and specify a PBPEPS-specific escrow reserve or top-up.</w:t>
      </w:r>
    </w:p>
    <w:p>
      <w:pPr>
        <w:pStyle w:val="Heading2"/>
      </w:pPr>
      <w:r>
        <w:t>9. Exculpation and Indemnification (SL § 8; LPA Article XII)</w:t>
      </w:r>
    </w:p>
    <w:p>
      <w:pPr>
        <w:spacing w:after="100"/>
      </w:pPr>
      <w:r>
        <w:rPr>
          <w:b w:val="0"/>
          <w:i w:val="0"/>
        </w:rPr>
        <w:t xml:space="preserve">SL § 8 properly overrides §§ 12.1 and 12.2 and is contemplated by § 12.2(d). However: (a) </w:t>
      </w:r>
      <w:r>
        <w:rPr>
          <w:b/>
          <w:i w:val="0"/>
        </w:rPr>
        <w:t>§ 12.3(a) cap</w:t>
      </w:r>
      <w:r>
        <w:rPr>
          <w:b w:val="0"/>
          <w:i w:val="0"/>
        </w:rPr>
        <w:t xml:space="preserve"> — GP aggregate liability to the Fund and LPs is capped at the GP’s $55.6M Capital Commitment (clawback excepted) and SL § 8 does not override § 12.3; (b) </w:t>
      </w:r>
      <w:r>
        <w:rPr>
          <w:b/>
          <w:i w:val="0"/>
        </w:rPr>
        <w:t>scope</w:t>
      </w:r>
      <w:r>
        <w:rPr>
          <w:b w:val="0"/>
          <w:i w:val="0"/>
        </w:rPr>
        <w:t xml:space="preserve"> — SL § 8(c) defines “investment decisions in which the Investor’s capital is deployed” to cover virtually every Fund investment, which is favorable but heightens the GP’s argument that the provision affects the Fund as a whole; (c) </w:t>
      </w:r>
      <w:r>
        <w:rPr>
          <w:b/>
          <w:i w:val="0"/>
        </w:rPr>
        <w:t>Fund indemnity</w:t>
      </w:r>
      <w:r>
        <w:rPr>
          <w:b w:val="0"/>
          <w:i w:val="0"/>
        </w:rPr>
        <w:t xml:space="preserve"> — SL § 8(b) limits the Fund’s duty to indemnify the GP/Manager for negligence; because indemnity is paid from pooled Fund assets, this indirectly benefits all LPs, but if the GP contends it alters the indemnification relationship with other LPs (§ 14.1(d)) enforceability may be contested; (d) </w:t>
      </w:r>
      <w:r>
        <w:rPr>
          <w:b/>
          <w:i w:val="0"/>
        </w:rPr>
        <w:t>Manager</w:t>
      </w:r>
      <w:r>
        <w:rPr>
          <w:b w:val="0"/>
          <w:i w:val="0"/>
        </w:rPr>
        <w:t xml:space="preserve"> — the Manager signs only an acknowledgement “solely with respect to Section 8”; the Investment Management Agreement (not reviewed) should be checked for inconsistent exculpation; (e) </w:t>
      </w:r>
      <w:r>
        <w:rPr>
          <w:b/>
          <w:i w:val="0"/>
        </w:rPr>
        <w:t>forum</w:t>
      </w:r>
      <w:r>
        <w:rPr>
          <w:b w:val="0"/>
          <w:i w:val="0"/>
        </w:rPr>
        <w:t xml:space="preserve"> — claims proceed by AAA arbitration in Wilmington (§ 13.2), with each side bearing its own costs (§ 13.2(d)); (f) the IC Memo omits the § 8(b) indemnity change altogether.</w:t>
      </w:r>
    </w:p>
    <w:p>
      <w:pPr>
        <w:pStyle w:val="Heading2"/>
      </w:pPr>
      <w:r>
        <w:t>10. Withdrawal Right (SL § 9; LPA §§ 3.1(b), 11.2(b))</w:t>
      </w:r>
    </w:p>
    <w:p>
      <w:pPr>
        <w:spacing w:after="100"/>
      </w:pPr>
      <w:r>
        <w:rPr>
          <w:b w:val="0"/>
          <w:i w:val="0"/>
        </w:rPr>
        <w:t xml:space="preserve">The IC Memo states the Deployment Threshold as 40%; SL § 9 states </w:t>
      </w:r>
      <w:r>
        <w:rPr>
          <w:b/>
          <w:i w:val="0"/>
        </w:rPr>
        <w:t>50%</w:t>
      </w:r>
      <w:r>
        <w:rPr>
          <w:b w:val="0"/>
          <w:i w:val="0"/>
        </w:rPr>
        <w:t xml:space="preserve"> ($1,390,000,000 of $2,780,000,000), measured on “funded investments and binding commitments” as of June 15, 2025. LPA § 3.1(b) makes commitments irrevocable “except as expressly provided in this Agreement,” and § 11.2(b) states that no LP may withdraw “except as set forth in this Section 11.2 and Section 9.1” and that the Fund has “no right of redemption or withdrawal.” SL § 9 contains no override language and therefore, under § 13.5(b), is at material risk of being unenforceable. In addition, payment of PBPEPS’s share of NAV in cash within 180 days would require liquidation or borrowing at Fund level, diluting or burdening other LPs (§§ 13.5(c), 14.1(d)) — notwithstanding SL § 9’s statement that other LPs need not increase commitments.</w:t>
      </w:r>
    </w:p>
    <w:p>
      <w:pPr>
        <w:spacing w:after="100"/>
      </w:pPr>
      <w:r>
        <w:rPr>
          <w:b w:val="0"/>
          <w:i w:val="0"/>
        </w:rPr>
        <w:t xml:space="preserve">Mechanical issues: (a) the valuation cross-reference to “Section 7.2” is to the Fiscal Year provision — valuation is § 7.3; (b) the sequence of a 60-day Election Period followed by a 90-day Withdrawal Notice and a 180-day valuation/payment window leaves PBPEPS exposed to capital calls during the notice period (SL § 9(d) only preserves calls “issued prior to the date of the Withdrawal Notice,” which is favorable, but the “effective date” of withdrawal is not defined); (c) “binding commitments” counting toward deployment is GP-favorable and undefined; (d) the GP’s reserve right for contingent liabilities is uncapped; (e) </w:t>
      </w:r>
      <w:r>
        <w:rPr>
          <w:b/>
          <w:i w:val="0"/>
        </w:rPr>
        <w:t>timing</w:t>
      </w:r>
      <w:r>
        <w:rPr>
          <w:b w:val="0"/>
          <w:i w:val="0"/>
        </w:rPr>
        <w:t xml:space="preserve"> — the Election Period ran from June 15 to August 14, 2025. If the SL was executed, PBPEPS should confirm whether the Deployment Threshold was tested and whether the right lapsed.</w:t>
      </w:r>
    </w:p>
    <w:p>
      <w:pPr>
        <w:pStyle w:val="Heading2"/>
      </w:pPr>
      <w:r>
        <w:t>11. Reporting and CPRA (SL § 10; LPA §§ 7.1, 10.1)</w:t>
      </w:r>
    </w:p>
    <w:p>
      <w:pPr>
        <w:spacing w:after="100"/>
      </w:pPr>
      <w:r>
        <w:rPr>
          <w:b w:val="0"/>
          <w:i w:val="0"/>
        </w:rPr>
        <w:t>SL § 10(a) properly overrides § 7.1 and shortens deadlines (60/90 days) and adds monthly portfolio summaries. However, the closing paragraph converts these into “commercially reasonable efforts” obligations with a no-breach carve-out for circumstances beyond the GP’s control; the IC Memo does not mention this. The 90-day audited deadline may be impracticable if the auditor’s timetable is driven by the LPA’s 120-day standard; PBPEPS should confirm with the GP that Haverford Accounting Group has been engaged on that basis.</w:t>
      </w:r>
    </w:p>
    <w:p>
      <w:pPr>
        <w:spacing w:after="100"/>
      </w:pPr>
      <w:r>
        <w:rPr>
          <w:b w:val="0"/>
          <w:i w:val="0"/>
        </w:rPr>
        <w:t>SL § 10(b) properly overrides § 10.1 as to GP designation practice, but it does not expressly amend PBPEPS’s own confidentiality covenant in § 10.1(a), whose exceptions (§ 10.1(b)) do not mention public records laws. SL § 11(f)(ii) covers disclosure of the SL itself “as may be required by applicable law … including … the CPRA,” but not Fund information generally. Recommended: add an express carve-out permitting PBPEPS to make any disclosure it reasonably determines is required under the CPRA (now Gov. Code § 7920.000 et seq.) or other public records law, including disclosures mandated for alternative investment vehicles. Also: the ≥10-business-day prior notice to the GP “where practicable” can conflict with the CPRA’s 10-day initial response period; the “designated as confidential by such portfolio company” exception lets portfolio companies self-designate; and the statutory citation (§ 6250 et seq.) should be updated.</w:t>
      </w:r>
    </w:p>
    <w:p>
      <w:pPr>
        <w:pStyle w:val="Heading2"/>
      </w:pPr>
      <w:r>
        <w:t>12. General Provisions (SL § 11)</w:t>
      </w:r>
    </w:p>
    <w:p>
      <w:pPr>
        <w:pStyle w:val="ListBullet"/>
        <w:spacing w:after="60"/>
      </w:pPr>
      <w:r>
        <w:rPr>
          <w:b/>
          <w:i w:val="0"/>
        </w:rPr>
        <w:t>No governing law or dispute resolution clause.</w:t>
      </w:r>
      <w:r>
        <w:rPr>
          <w:b w:val="0"/>
          <w:i w:val="0"/>
        </w:rPr>
        <w:t xml:space="preserve"> The IC Memo’s LPA baseline cites Delaware law (§ 13.1) and AAA arbitration (§ 13.2), but the SL itself is silent. Because the SL “forms a part of” the LPA, LPA §§ 13.1–13.2 likely apply; this should be stated expressly. PBPEPS should also confirm whether, as a California public entity, it requires a California-venue or sovereign-immunity reservation.</w:t>
      </w:r>
    </w:p>
    <w:p>
      <w:pPr>
        <w:pStyle w:val="ListBullet"/>
        <w:spacing w:after="60"/>
      </w:pPr>
      <w:r>
        <w:rPr>
          <w:b/>
          <w:i w:val="0"/>
        </w:rPr>
        <w:t>Notices.</w:t>
      </w:r>
      <w:r>
        <w:rPr>
          <w:b w:val="0"/>
          <w:i w:val="0"/>
        </w:rPr>
        <w:t xml:space="preserve"> SL § 11(e) refers to “Section 13.4” for notice mechanics (§ 13.4 is Successors and Assigns; notices are § 13.3) and to addresses “set forth in the preamble,” which include only PBPEPS’s address.</w:t>
      </w:r>
    </w:p>
    <w:p>
      <w:pPr>
        <w:pStyle w:val="ListBullet"/>
        <w:spacing w:after="60"/>
      </w:pPr>
      <w:r>
        <w:rPr>
          <w:b/>
          <w:i w:val="0"/>
        </w:rPr>
        <w:t>Amendment and binding effect.</w:t>
      </w:r>
      <w:r>
        <w:rPr>
          <w:b w:val="0"/>
          <w:i w:val="0"/>
        </w:rPr>
        <w:t xml:space="preserve"> SL § 11(a) requires a writing signed by both Parties; the Manager is a signatory only for § 8 — any amendment of § 8 should also require the Manager’s signature.</w:t>
      </w:r>
    </w:p>
    <w:p>
      <w:pPr>
        <w:pStyle w:val="ListBullet"/>
        <w:spacing w:after="60"/>
      </w:pPr>
      <w:r>
        <w:rPr>
          <w:b/>
          <w:i w:val="0"/>
        </w:rPr>
        <w:t>Fund counsel identity.</w:t>
      </w:r>
      <w:r>
        <w:rPr>
          <w:b w:val="0"/>
          <w:i w:val="0"/>
        </w:rPr>
        <w:t xml:space="preserve"> The SL letterhead reads “Graystone Kirkland LLP”; the LPA, the LPA Organizational Expense provision and the IC Memo identify fund counsel as “Graystone Hargrove LLP” (the LPA notice email domain is “graystonekirkland.com”). Confirm the correct entity and that the SL is the GP’s authorised form.</w:t>
      </w:r>
    </w:p>
    <w:p>
      <w:pPr>
        <w:pStyle w:val="ListBullet"/>
        <w:spacing w:after="60"/>
      </w:pPr>
      <w:r>
        <w:rPr>
          <w:b/>
          <w:i w:val="0"/>
        </w:rPr>
        <w:t>Signatory title.</w:t>
      </w:r>
      <w:r>
        <w:rPr>
          <w:b w:val="0"/>
          <w:i w:val="0"/>
        </w:rPr>
        <w:t xml:space="preserve"> Marcus Ridgeline signs the SL as “Managing Partner” of the GP; the LPA signature block and § 13.3(b) describe him as “Managing Member” of the GP (an LLC). Conform the title and obtain evidence of authority.</w:t>
      </w:r>
    </w:p>
    <w:p>
      <w:pPr>
        <w:pStyle w:val="Heading1"/>
      </w:pPr>
      <w:r>
        <w:t>VI. Summary of IC Memo Inaccuracies and Omissions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
            <w:shd w:val="clear" w:color="auto" w:fill="1F3A5F"/>
          </w:tcPr>
          <w:p>
            <w:r/>
            <w:r>
              <w:rPr>
                <w:b/>
                <w:color w:val="FFFFFF"/>
                <w:sz w:val="17"/>
              </w:rPr>
              <w:t>#</w:t>
            </w:r>
          </w:p>
        </w:tc>
        <w:tc>
          <w:tcPr>
            <w:tcW w:type="dxa" w:w="3168"/>
            <w:shd w:val="clear" w:color="auto" w:fill="1F3A5F"/>
          </w:tcPr>
          <w:p>
            <w:r/>
            <w:r>
              <w:rPr>
                <w:b/>
                <w:color w:val="FFFFFF"/>
                <w:sz w:val="17"/>
              </w:rPr>
              <w:t>IC Memo Statement</w:t>
            </w:r>
          </w:p>
        </w:tc>
        <w:tc>
          <w:tcPr>
            <w:tcW w:type="dxa" w:w="4320"/>
            <w:shd w:val="clear" w:color="auto" w:fill="1F3A5F"/>
          </w:tcPr>
          <w:p>
            <w:r/>
            <w:r>
              <w:rPr>
                <w:b/>
                <w:color w:val="FFFFFF"/>
                <w:sz w:val="17"/>
              </w:rPr>
              <w:t>What the Documents Actually Provide</w:t>
            </w:r>
          </w:p>
        </w:tc>
        <w:tc>
          <w:tcPr>
            <w:tcW w:type="dxa" w:w="1440"/>
            <w:shd w:val="clear" w:color="auto" w:fill="1F3A5F"/>
          </w:tcPr>
          <w:p>
            <w:r/>
            <w:r>
              <w:rPr>
                <w:b/>
                <w:color w:val="FFFFFF"/>
                <w:sz w:val="17"/>
              </w:rPr>
              <w:t>Severity</w:t>
            </w:r>
          </w:p>
        </w:tc>
      </w:tr>
      <w:tr>
        <w:tc>
          <w:tcPr>
            <w:tcW w:type="dxa" w:w="432"/>
          </w:tcPr>
          <w:p>
            <w:r/>
            <w:r>
              <w:rPr>
                <w:b w:val="0"/>
                <w:i w:val="0"/>
                <w:sz w:val="17"/>
              </w:rPr>
              <w:t>1</w:t>
            </w:r>
          </w:p>
        </w:tc>
        <w:tc>
          <w:tcPr>
            <w:tcW w:type="dxa" w:w="3168"/>
          </w:tcPr>
          <w:p>
            <w:r/>
            <w:r>
              <w:rPr>
                <w:b w:val="0"/>
                <w:i w:val="0"/>
                <w:sz w:val="17"/>
              </w:rPr>
              <w:t>Co-investment threshold $100 million (Table row 2; § 4)</w:t>
            </w:r>
          </w:p>
        </w:tc>
        <w:tc>
          <w:tcPr>
            <w:tcW w:type="dxa" w:w="4320"/>
          </w:tcPr>
          <w:p>
            <w:r/>
            <w:r>
              <w:rPr>
                <w:b w:val="0"/>
                <w:i w:val="0"/>
                <w:sz w:val="17"/>
              </w:rPr>
              <w:t>SL § 3: $125,000,000</w:t>
            </w:r>
          </w:p>
        </w:tc>
        <w:tc>
          <w:tcPr>
            <w:tcW w:type="dxa" w:w="1440"/>
            <w:shd w:val="clear" w:color="auto" w:fill="F4CCCC"/>
          </w:tcPr>
          <w:p>
            <w:r/>
            <w:r>
              <w:rPr>
                <w:b w:val="0"/>
                <w:i w:val="0"/>
                <w:sz w:val="17"/>
              </w:rPr>
              <w:t>HIGH</w:t>
            </w:r>
          </w:p>
        </w:tc>
      </w:tr>
      <w:tr>
        <w:tc>
          <w:tcPr>
            <w:tcW w:type="dxa" w:w="432"/>
          </w:tcPr>
          <w:p>
            <w:r/>
            <w:r>
              <w:rPr>
                <w:b w:val="0"/>
                <w:i w:val="0"/>
                <w:sz w:val="17"/>
              </w:rPr>
              <w:t>2</w:t>
            </w:r>
          </w:p>
        </w:tc>
        <w:tc>
          <w:tcPr>
            <w:tcW w:type="dxa" w:w="3168"/>
          </w:tcPr>
          <w:p>
            <w:r/>
            <w:r>
              <w:rPr>
                <w:b w:val="0"/>
                <w:i w:val="0"/>
                <w:sz w:val="17"/>
              </w:rPr>
              <w:t>Withdrawal if &lt;40% deployed (Table row 11)</w:t>
            </w:r>
          </w:p>
        </w:tc>
        <w:tc>
          <w:tcPr>
            <w:tcW w:type="dxa" w:w="4320"/>
          </w:tcPr>
          <w:p>
            <w:r/>
            <w:r>
              <w:rPr>
                <w:b w:val="0"/>
                <w:i w:val="0"/>
                <w:sz w:val="17"/>
              </w:rPr>
              <w:t>SL § 9: &lt;50% ($1.39B) deployed by 6/15/2025</w:t>
            </w:r>
          </w:p>
        </w:tc>
        <w:tc>
          <w:tcPr>
            <w:tcW w:type="dxa" w:w="1440"/>
            <w:shd w:val="clear" w:color="auto" w:fill="F4CCCC"/>
          </w:tcPr>
          <w:p>
            <w:r/>
            <w:r>
              <w:rPr>
                <w:b w:val="0"/>
                <w:i w:val="0"/>
                <w:sz w:val="17"/>
              </w:rPr>
              <w:t>HIGH</w:t>
            </w:r>
          </w:p>
        </w:tc>
      </w:tr>
      <w:tr>
        <w:tc>
          <w:tcPr>
            <w:tcW w:type="dxa" w:w="432"/>
          </w:tcPr>
          <w:p>
            <w:r/>
            <w:r>
              <w:rPr>
                <w:b w:val="0"/>
                <w:i w:val="0"/>
                <w:sz w:val="17"/>
              </w:rPr>
              <w:t>3</w:t>
            </w:r>
          </w:p>
        </w:tc>
        <w:tc>
          <w:tcPr>
            <w:tcW w:type="dxa" w:w="3168"/>
          </w:tcPr>
          <w:p>
            <w:r/>
            <w:r>
              <w:rPr>
                <w:b w:val="0"/>
                <w:i w:val="0"/>
                <w:sz w:val="17"/>
              </w:rPr>
              <w:t>Gross clawback “notwithstanding the LPA” (Table row 10; § 4)</w:t>
            </w:r>
          </w:p>
        </w:tc>
        <w:tc>
          <w:tcPr>
            <w:tcW w:type="dxa" w:w="4320"/>
          </w:tcPr>
          <w:p>
            <w:r/>
            <w:r>
              <w:rPr>
                <w:b w:val="0"/>
                <w:i w:val="0"/>
                <w:sz w:val="17"/>
              </w:rPr>
              <w:t>SL § 7 is “In addition to” § 5.3; no override; LPA § 13.5(b) means net-of-tax formula governs</w:t>
            </w:r>
          </w:p>
        </w:tc>
        <w:tc>
          <w:tcPr>
            <w:tcW w:type="dxa" w:w="1440"/>
            <w:shd w:val="clear" w:color="auto" w:fill="F4CCCC"/>
          </w:tcPr>
          <w:p>
            <w:r/>
            <w:r>
              <w:rPr>
                <w:b w:val="0"/>
                <w:i w:val="0"/>
                <w:sz w:val="17"/>
              </w:rPr>
              <w:t>HIGH</w:t>
            </w:r>
          </w:p>
        </w:tc>
      </w:tr>
      <w:tr>
        <w:tc>
          <w:tcPr>
            <w:tcW w:type="dxa" w:w="432"/>
          </w:tcPr>
          <w:p>
            <w:r/>
            <w:r>
              <w:rPr>
                <w:b w:val="0"/>
                <w:i w:val="0"/>
                <w:sz w:val="17"/>
              </w:rPr>
              <w:t>4</w:t>
            </w:r>
          </w:p>
        </w:tc>
        <w:tc>
          <w:tcPr>
            <w:tcW w:type="dxa" w:w="3168"/>
          </w:tcPr>
          <w:p>
            <w:r/>
            <w:r>
              <w:rPr>
                <w:b w:val="0"/>
                <w:i w:val="0"/>
                <w:sz w:val="17"/>
              </w:rPr>
              <w:t>Clawback example — “additional recovery of $4.5 million”</w:t>
            </w:r>
          </w:p>
        </w:tc>
        <w:tc>
          <w:tcPr>
            <w:tcW w:type="dxa" w:w="4320"/>
          </w:tcPr>
          <w:p>
            <w:r/>
            <w:r>
              <w:rPr>
                <w:b w:val="0"/>
                <w:i w:val="0"/>
                <w:sz w:val="17"/>
              </w:rPr>
              <w:t>Recovery is to the Fund for all LPs; PBPEPS share ≈ $283,000</w:t>
            </w:r>
          </w:p>
        </w:tc>
        <w:tc>
          <w:tcPr>
            <w:tcW w:type="dxa" w:w="1440"/>
            <w:shd w:val="clear" w:color="auto" w:fill="F4CCCC"/>
          </w:tcPr>
          <w:p>
            <w:r/>
            <w:r>
              <w:rPr>
                <w:b w:val="0"/>
                <w:i w:val="0"/>
                <w:sz w:val="17"/>
              </w:rPr>
              <w:t>HIGH</w:t>
            </w:r>
          </w:p>
        </w:tc>
      </w:tr>
      <w:tr>
        <w:tc>
          <w:tcPr>
            <w:tcW w:type="dxa" w:w="432"/>
          </w:tcPr>
          <w:p>
            <w:r/>
            <w:r>
              <w:rPr>
                <w:b w:val="0"/>
                <w:i w:val="0"/>
                <w:sz w:val="17"/>
              </w:rPr>
              <w:t>5</w:t>
            </w:r>
          </w:p>
        </w:tc>
        <w:tc>
          <w:tcPr>
            <w:tcW w:type="dxa" w:w="3168"/>
          </w:tcPr>
          <w:p>
            <w:r/>
            <w:r>
              <w:rPr>
                <w:b w:val="0"/>
                <w:i w:val="0"/>
                <w:sz w:val="17"/>
              </w:rPr>
              <w:t>SL “provisions control in the event of any inconsistency with the LPA” (§ 5)</w:t>
            </w:r>
          </w:p>
        </w:tc>
        <w:tc>
          <w:tcPr>
            <w:tcW w:type="dxa" w:w="4320"/>
          </w:tcPr>
          <w:p>
            <w:r/>
            <w:r>
              <w:rPr>
                <w:b w:val="0"/>
                <w:i w:val="0"/>
                <w:sz w:val="17"/>
              </w:rPr>
              <w:t>LPA § 13.5(b) requires express, provision-specific “notwithstanding” language; §§ 13.5(c), 14.1(d) bar effects on other LPs</w:t>
            </w:r>
          </w:p>
        </w:tc>
        <w:tc>
          <w:tcPr>
            <w:tcW w:type="dxa" w:w="1440"/>
            <w:shd w:val="clear" w:color="auto" w:fill="F4CCCC"/>
          </w:tcPr>
          <w:p>
            <w:r/>
            <w:r>
              <w:rPr>
                <w:b w:val="0"/>
                <w:i w:val="0"/>
                <w:sz w:val="17"/>
              </w:rPr>
              <w:t>HIGH</w:t>
            </w:r>
          </w:p>
        </w:tc>
      </w:tr>
      <w:tr>
        <w:tc>
          <w:tcPr>
            <w:tcW w:type="dxa" w:w="432"/>
          </w:tcPr>
          <w:p>
            <w:r/>
            <w:r>
              <w:rPr>
                <w:b w:val="0"/>
                <w:i w:val="0"/>
                <w:sz w:val="17"/>
              </w:rPr>
              <w:t>6</w:t>
            </w:r>
          </w:p>
        </w:tc>
        <w:tc>
          <w:tcPr>
            <w:tcW w:type="dxa" w:w="3168"/>
          </w:tcPr>
          <w:p>
            <w:r/>
            <w:r>
              <w:rPr>
                <w:b w:val="0"/>
                <w:i w:val="0"/>
                <w:sz w:val="17"/>
              </w:rPr>
              <w:t>MFN “ensures PBPEPS receives best available terms” (Table row 3)</w:t>
            </w:r>
          </w:p>
        </w:tc>
        <w:tc>
          <w:tcPr>
            <w:tcW w:type="dxa" w:w="4320"/>
          </w:tcPr>
          <w:p>
            <w:r/>
            <w:r>
              <w:rPr>
                <w:b w:val="0"/>
                <w:i w:val="0"/>
                <w:sz w:val="17"/>
              </w:rPr>
              <w:t>SL § 2 limited to LPs with commitments ≤ $175M; LPA § 10.2 has no such limit</w:t>
            </w:r>
          </w:p>
        </w:tc>
        <w:tc>
          <w:tcPr>
            <w:tcW w:type="dxa" w:w="1440"/>
            <w:shd w:val="clear" w:color="auto" w:fill="F4CCCC"/>
          </w:tcPr>
          <w:p>
            <w:r/>
            <w:r>
              <w:rPr>
                <w:b w:val="0"/>
                <w:i w:val="0"/>
                <w:sz w:val="17"/>
              </w:rPr>
              <w:t>HIGH</w:t>
            </w:r>
          </w:p>
        </w:tc>
      </w:tr>
      <w:tr>
        <w:tc>
          <w:tcPr>
            <w:tcW w:type="dxa" w:w="432"/>
          </w:tcPr>
          <w:p>
            <w:r/>
            <w:r>
              <w:rPr>
                <w:b w:val="0"/>
                <w:i w:val="0"/>
                <w:sz w:val="17"/>
              </w:rPr>
              <w:t>7</w:t>
            </w:r>
          </w:p>
        </w:tc>
        <w:tc>
          <w:tcPr>
            <w:tcW w:type="dxa" w:w="3168"/>
          </w:tcPr>
          <w:p>
            <w:r/>
            <w:r>
              <w:rPr>
                <w:b w:val="0"/>
                <w:i w:val="0"/>
                <w:sz w:val="17"/>
              </w:rPr>
              <w:t>Key Person automatic suspension is “materially stronger” (§ 5)</w:t>
            </w:r>
          </w:p>
        </w:tc>
        <w:tc>
          <w:tcPr>
            <w:tcW w:type="dxa" w:w="4320"/>
          </w:tcPr>
          <w:p>
            <w:r/>
            <w:r>
              <w:rPr>
                <w:b w:val="0"/>
                <w:i w:val="0"/>
                <w:sz w:val="17"/>
              </w:rPr>
              <w:t>No override of § 6.3(c); trigger unchanged; resumption weaker than LPA §§ 6.3(d)–(e)</w:t>
            </w:r>
          </w:p>
        </w:tc>
        <w:tc>
          <w:tcPr>
            <w:tcW w:type="dxa" w:w="1440"/>
            <w:shd w:val="clear" w:color="auto" w:fill="F4CCCC"/>
          </w:tcPr>
          <w:p>
            <w:r/>
            <w:r>
              <w:rPr>
                <w:b w:val="0"/>
                <w:i w:val="0"/>
                <w:sz w:val="17"/>
              </w:rPr>
              <w:t>HIGH</w:t>
            </w:r>
          </w:p>
        </w:tc>
      </w:tr>
      <w:tr>
        <w:tc>
          <w:tcPr>
            <w:tcW w:type="dxa" w:w="432"/>
          </w:tcPr>
          <w:p>
            <w:r/>
            <w:r>
              <w:rPr>
                <w:b w:val="0"/>
                <w:i w:val="0"/>
                <w:sz w:val="17"/>
              </w:rPr>
              <w:t>8</w:t>
            </w:r>
          </w:p>
        </w:tc>
        <w:tc>
          <w:tcPr>
            <w:tcW w:type="dxa" w:w="3168"/>
          </w:tcPr>
          <w:p>
            <w:r/>
            <w:r>
              <w:rPr>
                <w:b w:val="0"/>
                <w:i w:val="0"/>
                <w:sz w:val="17"/>
              </w:rPr>
              <w:t>“Guaranteed seat on LPAC” (Table row 5)</w:t>
            </w:r>
          </w:p>
        </w:tc>
        <w:tc>
          <w:tcPr>
            <w:tcW w:type="dxa" w:w="4320"/>
          </w:tcPr>
          <w:p>
            <w:r/>
            <w:r>
              <w:rPr>
                <w:b w:val="0"/>
                <w:i w:val="0"/>
                <w:sz w:val="17"/>
              </w:rPr>
              <w:t>No override of § 8.1(b)–(c); GP removal right arguably survives</w:t>
            </w:r>
          </w:p>
        </w:tc>
        <w:tc>
          <w:tcPr>
            <w:tcW w:type="dxa" w:w="1440"/>
            <w:shd w:val="clear" w:color="auto" w:fill="FCE5CD"/>
          </w:tcPr>
          <w:p>
            <w:r/>
            <w:r>
              <w:rPr>
                <w:b w:val="0"/>
                <w:i w:val="0"/>
                <w:sz w:val="17"/>
              </w:rPr>
              <w:t>MEDIUM</w:t>
            </w:r>
          </w:p>
        </w:tc>
      </w:tr>
      <w:tr>
        <w:tc>
          <w:tcPr>
            <w:tcW w:type="dxa" w:w="432"/>
          </w:tcPr>
          <w:p>
            <w:r/>
            <w:r>
              <w:rPr>
                <w:b w:val="0"/>
                <w:i w:val="0"/>
                <w:sz w:val="17"/>
              </w:rPr>
              <w:t>9</w:t>
            </w:r>
          </w:p>
        </w:tc>
        <w:tc>
          <w:tcPr>
            <w:tcW w:type="dxa" w:w="3168"/>
          </w:tcPr>
          <w:p>
            <w:r/>
            <w:r>
              <w:rPr>
                <w:b w:val="0"/>
                <w:i w:val="0"/>
                <w:sz w:val="17"/>
              </w:rPr>
              <w:t>Transfer flexibility for “co-investing sister funds” (Table row 6)</w:t>
            </w:r>
          </w:p>
        </w:tc>
        <w:tc>
          <w:tcPr>
            <w:tcW w:type="dxa" w:w="4320"/>
          </w:tcPr>
          <w:p>
            <w:r/>
            <w:r>
              <w:rPr>
                <w:b w:val="0"/>
                <w:i w:val="0"/>
                <w:sz w:val="17"/>
              </w:rPr>
              <w:t>SL § 4 limited to US state governmental pension plans; Competitor bar risk</w:t>
            </w:r>
          </w:p>
        </w:tc>
        <w:tc>
          <w:tcPr>
            <w:tcW w:type="dxa" w:w="1440"/>
            <w:shd w:val="clear" w:color="auto" w:fill="FCE5CD"/>
          </w:tcPr>
          <w:p>
            <w:r/>
            <w:r>
              <w:rPr>
                <w:b w:val="0"/>
                <w:i w:val="0"/>
                <w:sz w:val="17"/>
              </w:rPr>
              <w:t>MEDIUM</w:t>
            </w:r>
          </w:p>
        </w:tc>
      </w:tr>
      <w:tr>
        <w:tc>
          <w:tcPr>
            <w:tcW w:type="dxa" w:w="432"/>
          </w:tcPr>
          <w:p>
            <w:r/>
            <w:r>
              <w:rPr>
                <w:b w:val="0"/>
                <w:i w:val="0"/>
                <w:sz w:val="17"/>
              </w:rPr>
              <w:t>10</w:t>
            </w:r>
          </w:p>
        </w:tc>
        <w:tc>
          <w:tcPr>
            <w:tcW w:type="dxa" w:w="3168"/>
          </w:tcPr>
          <w:p>
            <w:r/>
            <w:r>
              <w:rPr>
                <w:b w:val="0"/>
                <w:i w:val="0"/>
                <w:sz w:val="17"/>
              </w:rPr>
              <w:t>Fee savings “$4,375,000 over Fund life” (Table row 1; § 7)</w:t>
            </w:r>
          </w:p>
        </w:tc>
        <w:tc>
          <w:tcPr>
            <w:tcW w:type="dxa" w:w="4320"/>
          </w:tcPr>
          <w:p>
            <w:r/>
            <w:r>
              <w:rPr>
                <w:b w:val="0"/>
                <w:i w:val="0"/>
                <w:sz w:val="17"/>
              </w:rPr>
              <w:t>Maximum only; post-IP saving depends on invested capital net of realizations/write-downs</w:t>
            </w:r>
          </w:p>
        </w:tc>
        <w:tc>
          <w:tcPr>
            <w:tcW w:type="dxa" w:w="1440"/>
            <w:shd w:val="clear" w:color="auto" w:fill="D9EAD3"/>
          </w:tcPr>
          <w:p>
            <w:r/>
            <w:r>
              <w:rPr>
                <w:b w:val="0"/>
                <w:i w:val="0"/>
                <w:sz w:val="17"/>
              </w:rPr>
              <w:t>LOW</w:t>
            </w:r>
          </w:p>
        </w:tc>
      </w:tr>
      <w:tr>
        <w:tc>
          <w:tcPr>
            <w:tcW w:type="dxa" w:w="432"/>
          </w:tcPr>
          <w:p>
            <w:r/>
            <w:r>
              <w:rPr>
                <w:b w:val="0"/>
                <w:i w:val="0"/>
                <w:sz w:val="17"/>
              </w:rPr>
              <w:t>11</w:t>
            </w:r>
          </w:p>
        </w:tc>
        <w:tc>
          <w:tcPr>
            <w:tcW w:type="dxa" w:w="3168"/>
          </w:tcPr>
          <w:p>
            <w:r/>
            <w:r>
              <w:rPr>
                <w:b w:val="0"/>
                <w:i w:val="0"/>
                <w:sz w:val="17"/>
              </w:rPr>
              <w:t>Reporting “within 60/90 days” (Table row 4)</w:t>
            </w:r>
          </w:p>
        </w:tc>
        <w:tc>
          <w:tcPr>
            <w:tcW w:type="dxa" w:w="4320"/>
          </w:tcPr>
          <w:p>
            <w:r/>
            <w:r>
              <w:rPr>
                <w:b w:val="0"/>
                <w:i w:val="0"/>
                <w:sz w:val="17"/>
              </w:rPr>
              <w:t>Commercially reasonable efforts; force-majeure no-breach carve-out</w:t>
            </w:r>
          </w:p>
        </w:tc>
        <w:tc>
          <w:tcPr>
            <w:tcW w:type="dxa" w:w="1440"/>
            <w:shd w:val="clear" w:color="auto" w:fill="D9EAD3"/>
          </w:tcPr>
          <w:p>
            <w:r/>
            <w:r>
              <w:rPr>
                <w:b w:val="0"/>
                <w:i w:val="0"/>
                <w:sz w:val="17"/>
              </w:rPr>
              <w:t>LOW</w:t>
            </w:r>
          </w:p>
        </w:tc>
      </w:tr>
      <w:tr>
        <w:tc>
          <w:tcPr>
            <w:tcW w:type="dxa" w:w="432"/>
          </w:tcPr>
          <w:p>
            <w:r/>
            <w:r>
              <w:rPr>
                <w:b w:val="0"/>
                <w:i w:val="0"/>
                <w:sz w:val="17"/>
              </w:rPr>
              <w:t>12</w:t>
            </w:r>
          </w:p>
        </w:tc>
        <w:tc>
          <w:tcPr>
            <w:tcW w:type="dxa" w:w="3168"/>
          </w:tcPr>
          <w:p>
            <w:r/>
            <w:r>
              <w:rPr>
                <w:b w:val="0"/>
                <w:i w:val="0"/>
                <w:sz w:val="17"/>
              </w:rPr>
              <w:t>Omitted: SL § 8(b) Fund indemnification change; § 12.3(a) liability cap; reporting efforts qualifier; MFN size cap; drafting errors</w:t>
            </w:r>
          </w:p>
        </w:tc>
        <w:tc>
          <w:tcPr>
            <w:tcW w:type="dxa" w:w="4320"/>
          </w:tcPr>
          <w:p>
            <w:r/>
            <w:r>
              <w:rPr>
                <w:b w:val="0"/>
                <w:i w:val="0"/>
                <w:sz w:val="17"/>
              </w:rPr>
              <w:t>See Parts V and VII</w:t>
            </w:r>
          </w:p>
        </w:tc>
        <w:tc>
          <w:tcPr>
            <w:tcW w:type="dxa" w:w="1440"/>
            <w:shd w:val="clear" w:color="auto" w:fill="FCE5CD"/>
          </w:tcPr>
          <w:p>
            <w:r/>
            <w:r>
              <w:rPr>
                <w:b w:val="0"/>
                <w:i w:val="0"/>
                <w:sz w:val="17"/>
              </w:rPr>
              <w:t>MEDIUM</w:t>
            </w:r>
          </w:p>
        </w:tc>
      </w:tr>
      <w:tr>
        <w:tc>
          <w:tcPr>
            <w:tcW w:type="dxa" w:w="432"/>
          </w:tcPr>
          <w:p>
            <w:r/>
            <w:r>
              <w:rPr>
                <w:b w:val="0"/>
                <w:i w:val="0"/>
                <w:sz w:val="17"/>
              </w:rPr>
              <w:t>13</w:t>
            </w:r>
          </w:p>
        </w:tc>
        <w:tc>
          <w:tcPr>
            <w:tcW w:type="dxa" w:w="3168"/>
          </w:tcPr>
          <w:p>
            <w:r/>
            <w:r>
              <w:rPr>
                <w:b w:val="0"/>
                <w:i w:val="0"/>
                <w:sz w:val="17"/>
              </w:rPr>
              <w:t>Excuse rights tied to “divestment mandates” under Cal. Gov. Code §§ 7500–7914</w:t>
            </w:r>
          </w:p>
        </w:tc>
        <w:tc>
          <w:tcPr>
            <w:tcW w:type="dxa" w:w="4320"/>
          </w:tcPr>
          <w:p>
            <w:r/>
            <w:r>
              <w:rPr>
                <w:b w:val="0"/>
                <w:i w:val="0"/>
                <w:sz w:val="17"/>
              </w:rPr>
              <w:t>Confirm which statutory mandates bind PBPEPS; SL § 5(b)(ii) revenue test operates regardless</w:t>
            </w:r>
          </w:p>
        </w:tc>
        <w:tc>
          <w:tcPr>
            <w:tcW w:type="dxa" w:w="1440"/>
            <w:shd w:val="clear" w:color="auto" w:fill="D9EAD3"/>
          </w:tcPr>
          <w:p>
            <w:r/>
            <w:r>
              <w:rPr>
                <w:b w:val="0"/>
                <w:i w:val="0"/>
                <w:sz w:val="17"/>
              </w:rPr>
              <w:t>LOW</w:t>
            </w:r>
          </w:p>
        </w:tc>
      </w:tr>
      <w:tr>
        <w:tc>
          <w:tcPr>
            <w:tcW w:type="dxa" w:w="432"/>
          </w:tcPr>
          <w:p>
            <w:r/>
            <w:r>
              <w:rPr>
                <w:b w:val="0"/>
                <w:i w:val="0"/>
                <w:sz w:val="17"/>
              </w:rPr>
              <w:t>14</w:t>
            </w:r>
          </w:p>
        </w:tc>
        <w:tc>
          <w:tcPr>
            <w:tcW w:type="dxa" w:w="3168"/>
          </w:tcPr>
          <w:p>
            <w:r/>
            <w:r>
              <w:rPr>
                <w:b w:val="0"/>
                <w:i w:val="0"/>
                <w:sz w:val="17"/>
              </w:rPr>
              <w:t>Withdrawal is a “notable concession” offering “meaningful downside protection”</w:t>
            </w:r>
          </w:p>
        </w:tc>
        <w:tc>
          <w:tcPr>
            <w:tcW w:type="dxa" w:w="4320"/>
          </w:tcPr>
          <w:p>
            <w:r/>
            <w:r>
              <w:rPr>
                <w:b w:val="0"/>
                <w:i w:val="0"/>
                <w:sz w:val="17"/>
              </w:rPr>
              <w:t>Doubtful enforceability (LPA §§ 3.1(b), 11.2(b)); Election Period has now lapsed</w:t>
            </w:r>
          </w:p>
        </w:tc>
        <w:tc>
          <w:tcPr>
            <w:tcW w:type="dxa" w:w="1440"/>
            <w:shd w:val="clear" w:color="auto" w:fill="F4CCCC"/>
          </w:tcPr>
          <w:p>
            <w:r/>
            <w:r>
              <w:rPr>
                <w:b w:val="0"/>
                <w:i w:val="0"/>
                <w:sz w:val="17"/>
              </w:rPr>
              <w:t>HIGH</w:t>
            </w:r>
          </w:p>
        </w:tc>
      </w:tr>
    </w:tbl>
    <w:p>
      <w:pPr>
        <w:spacing w:after="40"/>
      </w:pPr>
    </w:p>
    <w:p>
      <w:pPr>
        <w:spacing w:after="100"/>
      </w:pPr>
      <w:r>
        <w:rPr>
          <w:b w:val="0"/>
          <w:i w:val="0"/>
        </w:rPr>
        <w:t>Points the IC Memo states accurately: the management fee rates and Investment Period savings; PBPEPS’s eligibility for MFN (≥$150M) and LPAC (≥$100M); the 15-day/90-day MFN timing; the reporting deadlines; the excuse-right revenue test; the transfer legal-opinion condition; the negligence exculpation standard; and the LPA baseline terms in IC Memo § 2 (which we have verified against the LPA).</w:t>
      </w:r>
    </w:p>
    <w:p>
      <w:pPr>
        <w:pStyle w:val="Heading1"/>
      </w:pPr>
      <w:r>
        <w:t>VII. Drafting Errors and Cross-Reference Defects in the Side Letter</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F3A5F"/>
          </w:tcPr>
          <w:p>
            <w:r/>
            <w:r>
              <w:rPr>
                <w:b/>
                <w:color w:val="FFFFFF"/>
                <w:sz w:val="17"/>
              </w:rPr>
              <w:t>SL Provision</w:t>
            </w:r>
          </w:p>
        </w:tc>
        <w:tc>
          <w:tcPr>
            <w:tcW w:type="dxa" w:w="3888"/>
            <w:shd w:val="clear" w:color="auto" w:fill="1F3A5F"/>
          </w:tcPr>
          <w:p>
            <w:r/>
            <w:r>
              <w:rPr>
                <w:b/>
                <w:color w:val="FFFFFF"/>
                <w:sz w:val="17"/>
              </w:rPr>
              <w:t>Issue</w:t>
            </w:r>
          </w:p>
        </w:tc>
        <w:tc>
          <w:tcPr>
            <w:tcW w:type="dxa" w:w="3888"/>
            <w:shd w:val="clear" w:color="auto" w:fill="1F3A5F"/>
          </w:tcPr>
          <w:p>
            <w:r/>
            <w:r>
              <w:rPr>
                <w:b/>
                <w:color w:val="FFFFFF"/>
                <w:sz w:val="17"/>
              </w:rPr>
              <w:t>Correction</w:t>
            </w:r>
          </w:p>
        </w:tc>
      </w:tr>
      <w:tr>
        <w:tc>
          <w:tcPr>
            <w:tcW w:type="dxa" w:w="1872"/>
          </w:tcPr>
          <w:p>
            <w:r/>
            <w:r>
              <w:rPr>
                <w:b w:val="0"/>
                <w:i w:val="0"/>
                <w:sz w:val="17"/>
              </w:rPr>
              <w:t>§ 7 (Clawback)</w:t>
            </w:r>
          </w:p>
        </w:tc>
        <w:tc>
          <w:tcPr>
            <w:tcW w:type="dxa" w:w="3888"/>
          </w:tcPr>
          <w:p>
            <w:r/>
            <w:r>
              <w:rPr>
                <w:b w:val="0"/>
                <w:i w:val="0"/>
                <w:sz w:val="17"/>
              </w:rPr>
              <w:t>Refers to “escrow mechanism set forth in Section 5.3(c)”; § 5.3(c) is personal guaranties</w:t>
            </w:r>
          </w:p>
        </w:tc>
        <w:tc>
          <w:tcPr>
            <w:tcW w:type="dxa" w:w="3888"/>
          </w:tcPr>
          <w:p>
            <w:r/>
            <w:r>
              <w:rPr>
                <w:b w:val="0"/>
                <w:i w:val="0"/>
                <w:sz w:val="17"/>
              </w:rPr>
              <w:t>Refer to § 5.3(e) (Clawback Escrow); also address § 5.3(c) guaranties</w:t>
            </w:r>
          </w:p>
        </w:tc>
      </w:tr>
      <w:tr>
        <w:tc>
          <w:tcPr>
            <w:tcW w:type="dxa" w:w="1872"/>
          </w:tcPr>
          <w:p>
            <w:r/>
            <w:r>
              <w:rPr>
                <w:b w:val="0"/>
                <w:i w:val="0"/>
                <w:sz w:val="17"/>
              </w:rPr>
              <w:t>§ 9(b) (Withdrawal)</w:t>
            </w:r>
          </w:p>
        </w:tc>
        <w:tc>
          <w:tcPr>
            <w:tcW w:type="dxa" w:w="3888"/>
          </w:tcPr>
          <w:p>
            <w:r/>
            <w:r>
              <w:rPr>
                <w:b w:val="0"/>
                <w:i w:val="0"/>
                <w:sz w:val="17"/>
              </w:rPr>
              <w:t>Valuation “using the valuation methodology set forth in Section 7.2”; § 7.2 is Fiscal Year</w:t>
            </w:r>
          </w:p>
        </w:tc>
        <w:tc>
          <w:tcPr>
            <w:tcW w:type="dxa" w:w="3888"/>
          </w:tcPr>
          <w:p>
            <w:r/>
            <w:r>
              <w:rPr>
                <w:b w:val="0"/>
                <w:i w:val="0"/>
                <w:sz w:val="17"/>
              </w:rPr>
              <w:t>Refer to § 7.3 (Valuation)</w:t>
            </w:r>
          </w:p>
        </w:tc>
      </w:tr>
      <w:tr>
        <w:tc>
          <w:tcPr>
            <w:tcW w:type="dxa" w:w="1872"/>
          </w:tcPr>
          <w:p>
            <w:r/>
            <w:r>
              <w:rPr>
                <w:b w:val="0"/>
                <w:i w:val="0"/>
                <w:sz w:val="17"/>
              </w:rPr>
              <w:t>§ 11(e) (Notices)</w:t>
            </w:r>
          </w:p>
        </w:tc>
        <w:tc>
          <w:tcPr>
            <w:tcW w:type="dxa" w:w="3888"/>
          </w:tcPr>
          <w:p>
            <w:r/>
            <w:r>
              <w:rPr>
                <w:b w:val="0"/>
                <w:i w:val="0"/>
                <w:sz w:val="17"/>
              </w:rPr>
              <w:t>Notice mechanics “specified in Section 13.4”; § 13.4 is Successors and Assigns</w:t>
            </w:r>
          </w:p>
        </w:tc>
        <w:tc>
          <w:tcPr>
            <w:tcW w:type="dxa" w:w="3888"/>
          </w:tcPr>
          <w:p>
            <w:r/>
            <w:r>
              <w:rPr>
                <w:b w:val="0"/>
                <w:i w:val="0"/>
                <w:sz w:val="17"/>
              </w:rPr>
              <w:t>Refer to § 13.3 (Notices); add GP address</w:t>
            </w:r>
          </w:p>
        </w:tc>
      </w:tr>
      <w:tr>
        <w:tc>
          <w:tcPr>
            <w:tcW w:type="dxa" w:w="1872"/>
          </w:tcPr>
          <w:p>
            <w:r/>
            <w:r>
              <w:rPr>
                <w:b w:val="0"/>
                <w:i w:val="0"/>
                <w:sz w:val="17"/>
              </w:rPr>
              <w:t>§ 11(e)</w:t>
            </w:r>
          </w:p>
        </w:tc>
        <w:tc>
          <w:tcPr>
            <w:tcW w:type="dxa" w:w="3888"/>
          </w:tcPr>
          <w:p>
            <w:r/>
            <w:r>
              <w:rPr>
                <w:b w:val="0"/>
                <w:i w:val="0"/>
                <w:sz w:val="17"/>
              </w:rPr>
              <w:t>Addresses “set forth in the preamble” — GP address not in preamble</w:t>
            </w:r>
          </w:p>
        </w:tc>
        <w:tc>
          <w:tcPr>
            <w:tcW w:type="dxa" w:w="3888"/>
          </w:tcPr>
          <w:p>
            <w:r/>
            <w:r>
              <w:rPr>
                <w:b w:val="0"/>
                <w:i w:val="0"/>
                <w:sz w:val="17"/>
              </w:rPr>
              <w:t>Insert GP and Manager addresses (400 Hamilton Ave., Suite 3100, Palo Alto, CA 94301)</w:t>
            </w:r>
          </w:p>
        </w:tc>
      </w:tr>
      <w:tr>
        <w:tc>
          <w:tcPr>
            <w:tcW w:type="dxa" w:w="1872"/>
          </w:tcPr>
          <w:p>
            <w:r/>
            <w:r>
              <w:rPr>
                <w:b w:val="0"/>
                <w:i w:val="0"/>
                <w:sz w:val="17"/>
              </w:rPr>
              <w:t>§ 4 (Transfers)</w:t>
            </w:r>
          </w:p>
        </w:tc>
        <w:tc>
          <w:tcPr>
            <w:tcW w:type="dxa" w:w="3888"/>
          </w:tcPr>
          <w:p>
            <w:r/>
            <w:r>
              <w:rPr>
                <w:b w:val="0"/>
                <w:i w:val="0"/>
                <w:sz w:val="17"/>
              </w:rPr>
              <w:t>Waives “minimum transfer size requirements set forth in Section 9.1” — none exist</w:t>
            </w:r>
          </w:p>
        </w:tc>
        <w:tc>
          <w:tcPr>
            <w:tcW w:type="dxa" w:w="3888"/>
          </w:tcPr>
          <w:p>
            <w:r/>
            <w:r>
              <w:rPr>
                <w:b w:val="0"/>
                <w:i w:val="0"/>
                <w:sz w:val="17"/>
              </w:rPr>
              <w:t>Delete or identify the requirement; expressly waive § 9.1(e) costs and Competitor bar</w:t>
            </w:r>
          </w:p>
        </w:tc>
      </w:tr>
      <w:tr>
        <w:tc>
          <w:tcPr>
            <w:tcW w:type="dxa" w:w="1872"/>
          </w:tcPr>
          <w:p>
            <w:r/>
            <w:r>
              <w:rPr>
                <w:b w:val="0"/>
                <w:i w:val="0"/>
                <w:sz w:val="17"/>
              </w:rPr>
              <w:t>Recital C; § 10(b)</w:t>
            </w:r>
          </w:p>
        </w:tc>
        <w:tc>
          <w:tcPr>
            <w:tcW w:type="dxa" w:w="3888"/>
          </w:tcPr>
          <w:p>
            <w:r/>
            <w:r>
              <w:rPr>
                <w:b w:val="0"/>
                <w:i w:val="0"/>
                <w:sz w:val="17"/>
              </w:rPr>
              <w:t>CPRA cited as Gov. Code § 6250 et seq.</w:t>
            </w:r>
          </w:p>
        </w:tc>
        <w:tc>
          <w:tcPr>
            <w:tcW w:type="dxa" w:w="3888"/>
          </w:tcPr>
          <w:p>
            <w:r/>
            <w:r>
              <w:rPr>
                <w:b w:val="0"/>
                <w:i w:val="0"/>
                <w:sz w:val="17"/>
              </w:rPr>
              <w:t>Update to Gov. Code § 7920.000 et seq. (recodified effective January 1, 2023)</w:t>
            </w:r>
          </w:p>
        </w:tc>
      </w:tr>
      <w:tr>
        <w:tc>
          <w:tcPr>
            <w:tcW w:type="dxa" w:w="1872"/>
          </w:tcPr>
          <w:p>
            <w:r/>
            <w:r>
              <w:rPr>
                <w:b w:val="0"/>
                <w:i w:val="0"/>
                <w:sz w:val="17"/>
              </w:rPr>
              <w:t>Letterhead</w:t>
            </w:r>
          </w:p>
        </w:tc>
        <w:tc>
          <w:tcPr>
            <w:tcW w:type="dxa" w:w="3888"/>
          </w:tcPr>
          <w:p>
            <w:r/>
            <w:r>
              <w:rPr>
                <w:b w:val="0"/>
                <w:i w:val="0"/>
                <w:sz w:val="17"/>
              </w:rPr>
              <w:t>“Graystone Kirkland LLP” vs. LPA “Graystone Hargrove LLP”</w:t>
            </w:r>
          </w:p>
        </w:tc>
        <w:tc>
          <w:tcPr>
            <w:tcW w:type="dxa" w:w="3888"/>
          </w:tcPr>
          <w:p>
            <w:r/>
            <w:r>
              <w:rPr>
                <w:b w:val="0"/>
                <w:i w:val="0"/>
                <w:sz w:val="17"/>
              </w:rPr>
              <w:t>Confirm correct counsel/entity</w:t>
            </w:r>
          </w:p>
        </w:tc>
      </w:tr>
      <w:tr>
        <w:tc>
          <w:tcPr>
            <w:tcW w:type="dxa" w:w="1872"/>
          </w:tcPr>
          <w:p>
            <w:r/>
            <w:r>
              <w:rPr>
                <w:b w:val="0"/>
                <w:i w:val="0"/>
                <w:sz w:val="17"/>
              </w:rPr>
              <w:t>Signature block</w:t>
            </w:r>
          </w:p>
        </w:tc>
        <w:tc>
          <w:tcPr>
            <w:tcW w:type="dxa" w:w="3888"/>
          </w:tcPr>
          <w:p>
            <w:r/>
            <w:r>
              <w:rPr>
                <w:b w:val="0"/>
                <w:i w:val="0"/>
                <w:sz w:val="17"/>
              </w:rPr>
              <w:t>Marcus Ridgeline as “Managing Partner” of GP LLC; LPA uses “Managing Member”</w:t>
            </w:r>
          </w:p>
        </w:tc>
        <w:tc>
          <w:tcPr>
            <w:tcW w:type="dxa" w:w="3888"/>
          </w:tcPr>
          <w:p>
            <w:r/>
            <w:r>
              <w:rPr>
                <w:b w:val="0"/>
                <w:i w:val="0"/>
                <w:sz w:val="17"/>
              </w:rPr>
              <w:t>Conform title</w:t>
            </w:r>
          </w:p>
        </w:tc>
      </w:tr>
      <w:tr>
        <w:tc>
          <w:tcPr>
            <w:tcW w:type="dxa" w:w="1872"/>
          </w:tcPr>
          <w:p>
            <w:r/>
            <w:r>
              <w:rPr>
                <w:b w:val="0"/>
                <w:i w:val="0"/>
                <w:sz w:val="17"/>
              </w:rPr>
              <w:t>§ 3(b)</w:t>
            </w:r>
          </w:p>
        </w:tc>
        <w:tc>
          <w:tcPr>
            <w:tcW w:type="dxa" w:w="3888"/>
          </w:tcPr>
          <w:p>
            <w:r/>
            <w:r>
              <w:rPr>
                <w:b w:val="0"/>
                <w:i w:val="0"/>
                <w:sz w:val="17"/>
              </w:rPr>
              <w:t>Pro rata stated as ~6.29% based on $2.78B (unknown at Initial Close)</w:t>
            </w:r>
          </w:p>
        </w:tc>
        <w:tc>
          <w:tcPr>
            <w:tcW w:type="dxa" w:w="3888"/>
          </w:tcPr>
          <w:p>
            <w:r/>
            <w:r>
              <w:rPr>
                <w:b w:val="0"/>
                <w:i w:val="0"/>
                <w:sz w:val="17"/>
              </w:rPr>
              <w:t>Define by reference to Commitment Percentage under Schedule A (6.2950%) as adjusted from time to time</w:t>
            </w:r>
          </w:p>
        </w:tc>
      </w:tr>
      <w:tr>
        <w:tc>
          <w:tcPr>
            <w:tcW w:type="dxa" w:w="1872"/>
          </w:tcPr>
          <w:p>
            <w:r/>
            <w:r>
              <w:rPr>
                <w:b w:val="0"/>
                <w:i w:val="0"/>
                <w:sz w:val="17"/>
              </w:rPr>
              <w:t>§ 6</w:t>
            </w:r>
          </w:p>
        </w:tc>
        <w:tc>
          <w:tcPr>
            <w:tcW w:type="dxa" w:w="3888"/>
          </w:tcPr>
          <w:p>
            <w:r/>
            <w:r>
              <w:rPr>
                <w:b w:val="0"/>
                <w:i w:val="0"/>
                <w:sz w:val="17"/>
              </w:rPr>
              <w:t>Defines “Key Person Event” separately from LPA § 6.3(b), creating two definitions</w:t>
            </w:r>
          </w:p>
        </w:tc>
        <w:tc>
          <w:tcPr>
            <w:tcW w:type="dxa" w:w="3888"/>
          </w:tcPr>
          <w:p>
            <w:r/>
            <w:r>
              <w:rPr>
                <w:b w:val="0"/>
                <w:i w:val="0"/>
                <w:sz w:val="17"/>
              </w:rPr>
              <w:t>Cross-refer to LPA definition or override it expressly</w:t>
            </w:r>
          </w:p>
        </w:tc>
      </w:tr>
      <w:tr>
        <w:tc>
          <w:tcPr>
            <w:tcW w:type="dxa" w:w="1872"/>
          </w:tcPr>
          <w:p>
            <w:r/>
            <w:r>
              <w:rPr>
                <w:b w:val="0"/>
                <w:i w:val="0"/>
                <w:sz w:val="17"/>
              </w:rPr>
              <w:t>Preamble/definitions</w:t>
            </w:r>
          </w:p>
        </w:tc>
        <w:tc>
          <w:tcPr>
            <w:tcW w:type="dxa" w:w="3888"/>
          </w:tcPr>
          <w:p>
            <w:r/>
            <w:r>
              <w:rPr>
                <w:b w:val="0"/>
                <w:i w:val="0"/>
                <w:sz w:val="17"/>
              </w:rPr>
              <w:t>“Partnership Agreement” defined as amended “through the Final Close”</w:t>
            </w:r>
          </w:p>
        </w:tc>
        <w:tc>
          <w:tcPr>
            <w:tcW w:type="dxa" w:w="3888"/>
          </w:tcPr>
          <w:p>
            <w:r/>
            <w:r>
              <w:rPr>
                <w:b w:val="0"/>
                <w:i w:val="0"/>
                <w:sz w:val="17"/>
              </w:rPr>
              <w:t>Clarify that later amendments cannot diminish SL rights without PBPEPS consent</w:t>
            </w:r>
          </w:p>
        </w:tc>
      </w:tr>
      <w:tr>
        <w:tc>
          <w:tcPr>
            <w:tcW w:type="dxa" w:w="1872"/>
          </w:tcPr>
          <w:p>
            <w:r/>
            <w:r>
              <w:rPr>
                <w:b w:val="0"/>
                <w:i w:val="0"/>
                <w:sz w:val="17"/>
              </w:rPr>
              <w:t>General</w:t>
            </w:r>
          </w:p>
        </w:tc>
        <w:tc>
          <w:tcPr>
            <w:tcW w:type="dxa" w:w="3888"/>
          </w:tcPr>
          <w:p>
            <w:r/>
            <w:r>
              <w:rPr>
                <w:b w:val="0"/>
                <w:i w:val="0"/>
                <w:sz w:val="17"/>
              </w:rPr>
              <w:t>No governing law / dispute resolution clause</w:t>
            </w:r>
          </w:p>
        </w:tc>
        <w:tc>
          <w:tcPr>
            <w:tcW w:type="dxa" w:w="3888"/>
          </w:tcPr>
          <w:p>
            <w:r/>
            <w:r>
              <w:rPr>
                <w:b w:val="0"/>
                <w:i w:val="0"/>
                <w:sz w:val="17"/>
              </w:rPr>
              <w:t>Add Delaware law and LPA § 13.2 arbitration (or as PBPEPS policy requires)</w:t>
            </w:r>
          </w:p>
        </w:tc>
      </w:tr>
    </w:tbl>
    <w:p>
      <w:pPr>
        <w:spacing w:after="40"/>
      </w:pPr>
    </w:p>
    <w:p>
      <w:pPr>
        <w:pStyle w:val="Heading1"/>
      </w:pPr>
      <w:r>
        <w:t>VIII. Recommendations and Action Items</w:t>
      </w:r>
    </w:p>
    <w:p>
      <w:pPr>
        <w:spacing w:after="100"/>
      </w:pPr>
      <w:r>
        <w:rPr>
          <w:b/>
          <w:i w:val="0"/>
        </w:rPr>
        <w:t>A. Before IC approval / execution (or by confirmatory amendment if already executed):</w:t>
      </w:r>
    </w:p>
    <w:p>
      <w:pPr>
        <w:pStyle w:val="ListNumber"/>
        <w:spacing w:after="60"/>
      </w:pPr>
      <w:r>
        <w:rPr>
          <w:b/>
          <w:i w:val="0"/>
        </w:rPr>
        <w:t>Correct the IC Memo</w:t>
      </w:r>
      <w:r>
        <w:rPr>
          <w:b w:val="0"/>
          <w:i w:val="0"/>
        </w:rPr>
        <w:t xml:space="preserve"> (co-investment threshold $125M; withdrawal 50%; clawback language and PBPEPS-share economics; MFN size cap; enforceability caveats) and re-circulate to the Investment Committee before any reliance.</w:t>
      </w:r>
    </w:p>
    <w:p>
      <w:pPr>
        <w:pStyle w:val="ListNumber"/>
        <w:spacing w:after="60"/>
      </w:pPr>
      <w:r>
        <w:rPr>
          <w:b/>
          <w:i w:val="0"/>
        </w:rPr>
        <w:t>Add express, provision-specific override language</w:t>
      </w:r>
      <w:r>
        <w:rPr>
          <w:b w:val="0"/>
          <w:i w:val="0"/>
        </w:rPr>
        <w:t xml:space="preserve"> to: SL § 5(a) (“Notwithstanding Sections 8.1(a), (b) and (c)”); SL § 6 (“Notwithstanding Sections 6.3(c), (d) and (e)”); SL § 7 (“Notwithstanding Sections 5.3(b) and 5.3(c)”); SL § 9 (“Notwithstanding Sections 3.1(b) and 11.2(b)”). Also add a general statement that the GP represents and warrants that each SL provision has been drafted to satisfy LPA § 13.5(b).</w:t>
      </w:r>
    </w:p>
    <w:p>
      <w:pPr>
        <w:pStyle w:val="ListNumber"/>
        <w:spacing w:after="60"/>
      </w:pPr>
      <w:r>
        <w:rPr>
          <w:b/>
          <w:i w:val="0"/>
        </w:rPr>
        <w:t>Restructure fund-wide provisions as PBPEPS-specific rights</w:t>
      </w:r>
      <w:r>
        <w:rPr>
          <w:b w:val="0"/>
          <w:i w:val="0"/>
        </w:rPr>
        <w:t>: for Key Person, an automatic PBPEPS excuse from new-investment capital calls (and fee step-down) during a KPE, rather than suspension of the fund-wide Investment Period; for withdrawal, a GP obligation to facilitate a transfer or a PBPEPS commitment-reduction right for undrawn commitments (which does not require NAV liquidation).</w:t>
      </w:r>
    </w:p>
    <w:p>
      <w:pPr>
        <w:pStyle w:val="ListNumber"/>
        <w:spacing w:after="60"/>
      </w:pPr>
      <w:r>
        <w:rPr>
          <w:b/>
          <w:i w:val="0"/>
        </w:rPr>
        <w:t>Fix the MFN</w:t>
      </w:r>
      <w:r>
        <w:rPr>
          <w:b w:val="0"/>
          <w:i w:val="0"/>
        </w:rPr>
        <w:t>: remove the ≤$175M size limit or preserve LPA § 10.2 in addition; extend to governance terms and to side letters entered into after the Final Close.</w:t>
      </w:r>
    </w:p>
    <w:p>
      <w:pPr>
        <w:pStyle w:val="ListNumber"/>
        <w:spacing w:after="60"/>
      </w:pPr>
      <w:r>
        <w:rPr>
          <w:b/>
          <w:i w:val="0"/>
        </w:rPr>
        <w:t>Strengthen the Key Person trigger</w:t>
      </w:r>
      <w:r>
        <w:rPr>
          <w:b w:val="0"/>
          <w:i w:val="0"/>
        </w:rPr>
        <w:t xml:space="preserve"> to “Marcus Ridgeline or any two Senior Managing Directors,” and require LPAC approval (not merely PBPEPS acceptance) plus 75% for reinstatement consistent with § 6.3(e) — or retain the stricter of the LPA and SL resumption standards.</w:t>
      </w:r>
    </w:p>
    <w:p>
      <w:pPr>
        <w:pStyle w:val="ListNumber"/>
        <w:spacing w:after="60"/>
      </w:pPr>
      <w:r>
        <w:rPr>
          <w:b/>
          <w:i w:val="0"/>
        </w:rPr>
        <w:t>Clawback security</w:t>
      </w:r>
      <w:r>
        <w:rPr>
          <w:b w:val="0"/>
          <w:i w:val="0"/>
        </w:rPr>
        <w:t>: require personal guaranties on the gross amount and a top-up escrow; clarify that PBPEPS receives its attributable share.</w:t>
      </w:r>
    </w:p>
    <w:p>
      <w:pPr>
        <w:pStyle w:val="ListNumber"/>
        <w:spacing w:after="60"/>
      </w:pPr>
      <w:r>
        <w:rPr>
          <w:b/>
          <w:i w:val="0"/>
        </w:rPr>
        <w:t>Exculpation</w:t>
      </w:r>
      <w:r>
        <w:rPr>
          <w:b w:val="0"/>
          <w:i w:val="0"/>
        </w:rPr>
        <w:t>: override § 12.3(a) for PBPEPS claims under SL § 8, and obtain the Manager’s full joinder to SL § 8 (and confirm the IMA is consistent).</w:t>
      </w:r>
    </w:p>
    <w:p>
      <w:pPr>
        <w:pStyle w:val="ListNumber"/>
        <w:spacing w:after="60"/>
      </w:pPr>
      <w:r>
        <w:rPr>
          <w:b/>
          <w:i w:val="0"/>
        </w:rPr>
        <w:t>Transfers</w:t>
      </w:r>
      <w:r>
        <w:rPr>
          <w:b w:val="0"/>
          <w:i w:val="0"/>
        </w:rPr>
        <w:t>: expressly provide that a governmental pension plan is not a “Competitor” and waive § 9.1(e) costs.</w:t>
      </w:r>
    </w:p>
    <w:p>
      <w:pPr>
        <w:pStyle w:val="ListNumber"/>
        <w:spacing w:after="60"/>
      </w:pPr>
      <w:r>
        <w:rPr>
          <w:b/>
          <w:i w:val="0"/>
        </w:rPr>
        <w:t>CPRA</w:t>
      </w:r>
      <w:r>
        <w:rPr>
          <w:b w:val="0"/>
          <w:i w:val="0"/>
        </w:rPr>
        <w:t>: add an express carve-out from PBPEPS’s § 10.1(a) covenant for disclosures required by public records law; align the notice period with CPRA response deadlines; update citations.</w:t>
      </w:r>
    </w:p>
    <w:p>
      <w:pPr>
        <w:pStyle w:val="ListNumber"/>
        <w:spacing w:after="60"/>
      </w:pPr>
      <w:r>
        <w:rPr>
          <w:b/>
          <w:i w:val="0"/>
        </w:rPr>
        <w:t>Reporting</w:t>
      </w:r>
      <w:r>
        <w:rPr>
          <w:b w:val="0"/>
          <w:i w:val="0"/>
        </w:rPr>
        <w:t>: delete or narrow the commercially-reasonable-efforts qualifier so that the 60/90/30-day deadlines are firm obligations.</w:t>
      </w:r>
    </w:p>
    <w:p>
      <w:pPr>
        <w:pStyle w:val="ListNumber"/>
        <w:spacing w:after="60"/>
      </w:pPr>
      <w:r>
        <w:rPr>
          <w:b/>
          <w:i w:val="0"/>
        </w:rPr>
        <w:t>Clean-up</w:t>
      </w:r>
      <w:r>
        <w:rPr>
          <w:b w:val="0"/>
          <w:i w:val="0"/>
        </w:rPr>
        <w:t>: correct all cross-references and drafting errors in Part VII; add governing law/dispute resolution; confirm counsel name, signatory title and authority.</w:t>
      </w:r>
    </w:p>
    <w:p>
      <w:pPr>
        <w:spacing w:after="100"/>
      </w:pPr>
      <w:r>
        <w:rPr>
          <w:b/>
          <w:i w:val="0"/>
        </w:rPr>
        <w:t>B. If the Side Letter has already been executed:</w:t>
      </w:r>
    </w:p>
    <w:p>
      <w:pPr>
        <w:pStyle w:val="ListNumber"/>
        <w:spacing w:after="60"/>
      </w:pPr>
      <w:r>
        <w:rPr>
          <w:b w:val="0"/>
          <w:i w:val="0"/>
        </w:rPr>
        <w:t>Confirm whether the MFN Notice was delivered by October 15, 2022 and whether PBPEPS made elections within 90 days; request the notice and redacted side letters if not received; review whether any larger LP’s terms were excluded by the ≤$175M limit and whether the LPA § 10.2 MFN (notice due October 30, 2022; 60-day election) was separately complied with.</w:t>
      </w:r>
    </w:p>
    <w:p>
      <w:pPr>
        <w:pStyle w:val="ListNumber"/>
        <w:spacing w:after="60"/>
      </w:pPr>
      <w:r>
        <w:rPr>
          <w:b w:val="0"/>
          <w:i w:val="0"/>
        </w:rPr>
        <w:t>Confirm the deployment level as of June 15, 2025 and whether PBPEPS considered exercising the withdrawal right during the June 15 – August 14, 2025 Election Period; document the outcome.</w:t>
      </w:r>
    </w:p>
    <w:p>
      <w:pPr>
        <w:pStyle w:val="ListNumber"/>
        <w:spacing w:after="60"/>
      </w:pPr>
      <w:r>
        <w:rPr>
          <w:b w:val="0"/>
          <w:i w:val="0"/>
        </w:rPr>
        <w:t>Confirm PBPEPS’s current LPAC membership and whether the GP has acknowledged the SL § 5(a) seat in LPAC minutes.</w:t>
      </w:r>
    </w:p>
    <w:p>
      <w:pPr>
        <w:pStyle w:val="ListNumber"/>
        <w:spacing w:after="60"/>
      </w:pPr>
      <w:r>
        <w:rPr>
          <w:b w:val="0"/>
          <w:i w:val="0"/>
        </w:rPr>
        <w:t>Seek a confirmatory amendment under SL § 11(a) addressing items A.2–A.11, prioritising the clawback (still prospective until final liquidation) and Key Person provisions (relevant through June 14, 2027).</w:t>
      </w:r>
    </w:p>
    <w:p>
      <w:pPr>
        <w:pStyle w:val="ListNumber"/>
        <w:spacing w:after="60"/>
      </w:pPr>
      <w:r>
        <w:rPr>
          <w:b w:val="0"/>
          <w:i w:val="0"/>
        </w:rPr>
        <w:t>Diarise: Investment Period end June 14, 2027 (fee step-down to 1.25% of Invested Capital); Fund Term end June 14, 2032 (extensions to June 14, 2034 with LPAC approval); clawback payment within 90 days of final liquidating distribution, survival 3 years (§ 5.3(d), (f)); quarterly 60-day / annual 90-day / monthly 30-day reporting deadlines; 15-business-day excuse notice on each capital call.</w:t>
      </w:r>
    </w:p>
    <w:p>
      <w:pPr>
        <w:pStyle w:val="Heading1"/>
      </w:pPr>
      <w:r>
        <w:t>IX. Key Dates Table</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1F3A5F"/>
          </w:tcPr>
          <w:p>
            <w:r/>
            <w:r>
              <w:rPr>
                <w:b/>
                <w:color w:val="FFFFFF"/>
                <w:sz w:val="17"/>
              </w:rPr>
              <w:t>Date</w:t>
            </w:r>
          </w:p>
        </w:tc>
        <w:tc>
          <w:tcPr>
            <w:tcW w:type="dxa" w:w="5184"/>
            <w:shd w:val="clear" w:color="auto" w:fill="1F3A5F"/>
          </w:tcPr>
          <w:p>
            <w:r/>
            <w:r>
              <w:rPr>
                <w:b/>
                <w:color w:val="FFFFFF"/>
                <w:sz w:val="17"/>
              </w:rPr>
              <w:t>Event</w:t>
            </w:r>
          </w:p>
        </w:tc>
        <w:tc>
          <w:tcPr>
            <w:tcW w:type="dxa" w:w="2448"/>
            <w:shd w:val="clear" w:color="auto" w:fill="1F3A5F"/>
          </w:tcPr>
          <w:p>
            <w:r/>
            <w:r>
              <w:rPr>
                <w:b/>
                <w:color w:val="FFFFFF"/>
                <w:sz w:val="17"/>
              </w:rPr>
              <w:t>Source</w:t>
            </w:r>
          </w:p>
        </w:tc>
      </w:tr>
      <w:tr>
        <w:tc>
          <w:tcPr>
            <w:tcW w:type="dxa" w:w="2016"/>
          </w:tcPr>
          <w:p>
            <w:r/>
            <w:r>
              <w:rPr>
                <w:b w:val="0"/>
                <w:i w:val="0"/>
                <w:sz w:val="17"/>
              </w:rPr>
              <w:t>June 15, 2022</w:t>
            </w:r>
          </w:p>
        </w:tc>
        <w:tc>
          <w:tcPr>
            <w:tcW w:type="dxa" w:w="5184"/>
          </w:tcPr>
          <w:p>
            <w:r/>
            <w:r>
              <w:rPr>
                <w:b w:val="0"/>
                <w:i w:val="0"/>
                <w:sz w:val="17"/>
              </w:rPr>
              <w:t>Initial Close; LPA and Side Letter date; PBPEPS admitted</w:t>
            </w:r>
          </w:p>
        </w:tc>
        <w:tc>
          <w:tcPr>
            <w:tcW w:type="dxa" w:w="2448"/>
          </w:tcPr>
          <w:p>
            <w:r/>
            <w:r>
              <w:rPr>
                <w:b w:val="0"/>
                <w:i w:val="0"/>
                <w:sz w:val="17"/>
              </w:rPr>
              <w:t>LPA § 1.1; SL preamble</w:t>
            </w:r>
          </w:p>
        </w:tc>
      </w:tr>
      <w:tr>
        <w:tc>
          <w:tcPr>
            <w:tcW w:type="dxa" w:w="2016"/>
          </w:tcPr>
          <w:p>
            <w:r/>
            <w:r>
              <w:rPr>
                <w:b w:val="0"/>
                <w:i w:val="0"/>
                <w:sz w:val="17"/>
              </w:rPr>
              <w:t>September 30, 2022</w:t>
            </w:r>
          </w:p>
        </w:tc>
        <w:tc>
          <w:tcPr>
            <w:tcW w:type="dxa" w:w="5184"/>
          </w:tcPr>
          <w:p>
            <w:r/>
            <w:r>
              <w:rPr>
                <w:b w:val="0"/>
                <w:i w:val="0"/>
                <w:sz w:val="17"/>
              </w:rPr>
              <w:t>Final Close; total commitments $2.78B</w:t>
            </w:r>
          </w:p>
        </w:tc>
        <w:tc>
          <w:tcPr>
            <w:tcW w:type="dxa" w:w="2448"/>
          </w:tcPr>
          <w:p>
            <w:r/>
            <w:r>
              <w:rPr>
                <w:b w:val="0"/>
                <w:i w:val="0"/>
                <w:sz w:val="17"/>
              </w:rPr>
              <w:t>LPA Recital E; § 3.1(a)</w:t>
            </w:r>
          </w:p>
        </w:tc>
      </w:tr>
      <w:tr>
        <w:tc>
          <w:tcPr>
            <w:tcW w:type="dxa" w:w="2016"/>
          </w:tcPr>
          <w:p>
            <w:r/>
            <w:r>
              <w:rPr>
                <w:b w:val="0"/>
                <w:i w:val="0"/>
                <w:sz w:val="17"/>
              </w:rPr>
              <w:t>October 15, 2022</w:t>
            </w:r>
          </w:p>
        </w:tc>
        <w:tc>
          <w:tcPr>
            <w:tcW w:type="dxa" w:w="5184"/>
          </w:tcPr>
          <w:p>
            <w:r/>
            <w:r>
              <w:rPr>
                <w:b w:val="0"/>
                <w:i w:val="0"/>
                <w:sz w:val="17"/>
              </w:rPr>
              <w:t>SL MFN notice due (15 days after Final Close)</w:t>
            </w:r>
          </w:p>
        </w:tc>
        <w:tc>
          <w:tcPr>
            <w:tcW w:type="dxa" w:w="2448"/>
          </w:tcPr>
          <w:p>
            <w:r/>
            <w:r>
              <w:rPr>
                <w:b w:val="0"/>
                <w:i w:val="0"/>
                <w:sz w:val="17"/>
              </w:rPr>
              <w:t>SL § 2</w:t>
            </w:r>
          </w:p>
        </w:tc>
      </w:tr>
      <w:tr>
        <w:tc>
          <w:tcPr>
            <w:tcW w:type="dxa" w:w="2016"/>
          </w:tcPr>
          <w:p>
            <w:r/>
            <w:r>
              <w:rPr>
                <w:b w:val="0"/>
                <w:i w:val="0"/>
                <w:sz w:val="17"/>
              </w:rPr>
              <w:t>October 30, 2022</w:t>
            </w:r>
          </w:p>
        </w:tc>
        <w:tc>
          <w:tcPr>
            <w:tcW w:type="dxa" w:w="5184"/>
          </w:tcPr>
          <w:p>
            <w:r/>
            <w:r>
              <w:rPr>
                <w:b w:val="0"/>
                <w:i w:val="0"/>
                <w:sz w:val="17"/>
              </w:rPr>
              <w:t>LPA MFN Notice due (30 days after Final Close)</w:t>
            </w:r>
          </w:p>
        </w:tc>
        <w:tc>
          <w:tcPr>
            <w:tcW w:type="dxa" w:w="2448"/>
          </w:tcPr>
          <w:p>
            <w:r/>
            <w:r>
              <w:rPr>
                <w:b w:val="0"/>
                <w:i w:val="0"/>
                <w:sz w:val="17"/>
              </w:rPr>
              <w:t>LPA § 10.2(b)</w:t>
            </w:r>
          </w:p>
        </w:tc>
      </w:tr>
      <w:tr>
        <w:tc>
          <w:tcPr>
            <w:tcW w:type="dxa" w:w="2016"/>
          </w:tcPr>
          <w:p>
            <w:r/>
            <w:r>
              <w:rPr>
                <w:b w:val="0"/>
                <w:i w:val="0"/>
                <w:sz w:val="17"/>
              </w:rPr>
              <w:t>~January 13, 2023</w:t>
            </w:r>
          </w:p>
        </w:tc>
        <w:tc>
          <w:tcPr>
            <w:tcW w:type="dxa" w:w="5184"/>
          </w:tcPr>
          <w:p>
            <w:r/>
            <w:r>
              <w:rPr>
                <w:b w:val="0"/>
                <w:i w:val="0"/>
                <w:sz w:val="17"/>
              </w:rPr>
              <w:t>SL 90-day MFN election period ends (if notice received October 15, 2022)</w:t>
            </w:r>
          </w:p>
        </w:tc>
        <w:tc>
          <w:tcPr>
            <w:tcW w:type="dxa" w:w="2448"/>
          </w:tcPr>
          <w:p>
            <w:r/>
            <w:r>
              <w:rPr>
                <w:b w:val="0"/>
                <w:i w:val="0"/>
                <w:sz w:val="17"/>
              </w:rPr>
              <w:t>SL § 2</w:t>
            </w:r>
          </w:p>
        </w:tc>
      </w:tr>
      <w:tr>
        <w:tc>
          <w:tcPr>
            <w:tcW w:type="dxa" w:w="2016"/>
          </w:tcPr>
          <w:p>
            <w:r/>
            <w:r>
              <w:rPr>
                <w:b w:val="0"/>
                <w:i w:val="0"/>
                <w:sz w:val="17"/>
              </w:rPr>
              <w:t>June 15, 2025</w:t>
            </w:r>
          </w:p>
        </w:tc>
        <w:tc>
          <w:tcPr>
            <w:tcW w:type="dxa" w:w="5184"/>
          </w:tcPr>
          <w:p>
            <w:r/>
            <w:r>
              <w:rPr>
                <w:b w:val="0"/>
                <w:i w:val="0"/>
                <w:sz w:val="17"/>
              </w:rPr>
              <w:t>Withdrawal Measurement Date (50% deployment test)</w:t>
            </w:r>
          </w:p>
        </w:tc>
        <w:tc>
          <w:tcPr>
            <w:tcW w:type="dxa" w:w="2448"/>
          </w:tcPr>
          <w:p>
            <w:r/>
            <w:r>
              <w:rPr>
                <w:b w:val="0"/>
                <w:i w:val="0"/>
                <w:sz w:val="17"/>
              </w:rPr>
              <w:t>SL § 9</w:t>
            </w:r>
          </w:p>
        </w:tc>
      </w:tr>
      <w:tr>
        <w:tc>
          <w:tcPr>
            <w:tcW w:type="dxa" w:w="2016"/>
          </w:tcPr>
          <w:p>
            <w:r/>
            <w:r>
              <w:rPr>
                <w:b w:val="0"/>
                <w:i w:val="0"/>
                <w:sz w:val="17"/>
              </w:rPr>
              <w:t>June 15 – August 14, 2025</w:t>
            </w:r>
          </w:p>
        </w:tc>
        <w:tc>
          <w:tcPr>
            <w:tcW w:type="dxa" w:w="5184"/>
          </w:tcPr>
          <w:p>
            <w:r/>
            <w:r>
              <w:rPr>
                <w:b w:val="0"/>
                <w:i w:val="0"/>
                <w:sz w:val="17"/>
              </w:rPr>
              <w:t>Withdrawal Election Period</w:t>
            </w:r>
          </w:p>
        </w:tc>
        <w:tc>
          <w:tcPr>
            <w:tcW w:type="dxa" w:w="2448"/>
          </w:tcPr>
          <w:p>
            <w:r/>
            <w:r>
              <w:rPr>
                <w:b w:val="0"/>
                <w:i w:val="0"/>
                <w:sz w:val="17"/>
              </w:rPr>
              <w:t>SL § 9</w:t>
            </w:r>
          </w:p>
        </w:tc>
      </w:tr>
      <w:tr>
        <w:tc>
          <w:tcPr>
            <w:tcW w:type="dxa" w:w="2016"/>
          </w:tcPr>
          <w:p>
            <w:r/>
            <w:r>
              <w:rPr>
                <w:b w:val="0"/>
                <w:i w:val="0"/>
                <w:sz w:val="17"/>
              </w:rPr>
              <w:t>June 14, 2027</w:t>
            </w:r>
          </w:p>
        </w:tc>
        <w:tc>
          <w:tcPr>
            <w:tcW w:type="dxa" w:w="5184"/>
          </w:tcPr>
          <w:p>
            <w:r/>
            <w:r>
              <w:rPr>
                <w:b w:val="0"/>
                <w:i w:val="0"/>
                <w:sz w:val="17"/>
              </w:rPr>
              <w:t>End of Investment Period; fee step-down</w:t>
            </w:r>
          </w:p>
        </w:tc>
        <w:tc>
          <w:tcPr>
            <w:tcW w:type="dxa" w:w="2448"/>
          </w:tcPr>
          <w:p>
            <w:r/>
            <w:r>
              <w:rPr>
                <w:b w:val="0"/>
                <w:i w:val="0"/>
                <w:sz w:val="17"/>
              </w:rPr>
              <w:t>LPA §§ 4.1, 6.1; SL § 1</w:t>
            </w:r>
          </w:p>
        </w:tc>
      </w:tr>
      <w:tr>
        <w:tc>
          <w:tcPr>
            <w:tcW w:type="dxa" w:w="2016"/>
          </w:tcPr>
          <w:p>
            <w:r/>
            <w:r>
              <w:rPr>
                <w:b w:val="0"/>
                <w:i w:val="0"/>
                <w:sz w:val="17"/>
              </w:rPr>
              <w:t>June 14, 2032</w:t>
            </w:r>
          </w:p>
        </w:tc>
        <w:tc>
          <w:tcPr>
            <w:tcW w:type="dxa" w:w="5184"/>
          </w:tcPr>
          <w:p>
            <w:r/>
            <w:r>
              <w:rPr>
                <w:b w:val="0"/>
                <w:i w:val="0"/>
                <w:sz w:val="17"/>
              </w:rPr>
              <w:t>End of Fund Term (extendable to June 14, 2034 with LPAC approval)</w:t>
            </w:r>
          </w:p>
        </w:tc>
        <w:tc>
          <w:tcPr>
            <w:tcW w:type="dxa" w:w="2448"/>
          </w:tcPr>
          <w:p>
            <w:r/>
            <w:r>
              <w:rPr>
                <w:b w:val="0"/>
                <w:i w:val="0"/>
                <w:sz w:val="17"/>
              </w:rPr>
              <w:t>LPA § 11.1</w:t>
            </w:r>
          </w:p>
        </w:tc>
      </w:tr>
    </w:tbl>
    <w:p>
      <w:pPr>
        <w:spacing w:after="40"/>
      </w:pPr>
    </w:p>
    <w:p>
      <w:pPr>
        <w:spacing w:after="100"/>
      </w:pPr>
      <w:r>
        <w:rPr>
          <w:b w:val="0"/>
          <w:i/>
          <w:sz w:val="18"/>
        </w:rPr>
        <w:t>This memorandum is based solely on the three documents identified in Part II and is intended for the internal use of PBPEPS and its counsel. It should be updated upon receipt of the Subscription Agreement, Investment Management Agreement, any MFN Notice, and confirmation of the Side Letter’s execution status.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