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6"/>
        </w:rPr>
        <w:t>HARGROVE, SIMMONS &amp; LOCKE LLP</w:t>
      </w:r>
    </w:p>
    <w:p>
      <w:pPr>
        <w:spacing w:after="160"/>
        <w:jc w:val="center"/>
      </w:pPr>
      <w:r>
        <w:rPr>
          <w:sz w:val="18"/>
        </w:rPr>
        <w:t>One Federal Street, 30th Floor, Boston, MA 02110</w:t>
      </w:r>
    </w:p>
    <w:p>
      <w:pPr>
        <w:spacing w:after="200"/>
        <w:jc w:val="center"/>
      </w:pPr>
      <w:r>
        <w:rPr>
          <w:b/>
          <w:sz w:val="19"/>
        </w:rPr>
        <w:t>PRIVILEGED &amp; CONFIDENTIAL — ATTORNEY-CLIENT COMMUNICATION / ATTORNEY WORK PRODUCT</w:t>
      </w:r>
    </w:p>
    <w:p>
      <w:pPr>
        <w:spacing w:after="160"/>
        <w:jc w:val="center"/>
      </w:pPr>
      <w:r>
        <w:rPr>
          <w:b/>
          <w:sz w:val="28"/>
        </w:rPr>
        <w:t>MEMORANDUM</w:t>
      </w:r>
    </w:p>
    <w:tbl>
      <w:tblPr>
        <w:tblStyle w:val="TableGrid"/>
        <w:tblW w:type="auto" w:w="0"/>
        <w:jc w:val="center"/>
        <w:tblLayout w:type="fixed"/>
        <w:tblLook w:firstColumn="1" w:firstRow="1" w:lastColumn="0" w:lastRow="0" w:noHBand="0" w:noVBand="1" w:val="04A0"/>
      </w:tblPr>
      <w:tblGrid>
        <w:gridCol w:w="1296"/>
        <w:gridCol w:w="8063"/>
      </w:tblGrid>
      <w:tr>
        <w:tc>
          <w:tcPr>
            <w:tcW w:type="dxa" w:w="1296"/>
          </w:tcPr>
          <w:p>
            <w:pPr>
              <w:spacing w:after="0"/>
            </w:pPr>
            <w:r/>
            <w:r>
              <w:rPr>
                <w:sz w:val="19"/>
              </w:rPr>
              <w:t>TO:</w:t>
            </w:r>
          </w:p>
        </w:tc>
        <w:tc>
          <w:tcPr>
            <w:tcW w:type="dxa" w:w="8064"/>
          </w:tcPr>
          <w:p>
            <w:pPr>
              <w:spacing w:after="0"/>
            </w:pPr>
            <w:r/>
            <w:r>
              <w:rPr>
                <w:sz w:val="19"/>
              </w:rPr>
              <w:t>Sarah Kowalski, Vice President, Regulatory Affairs, Pinnacle Therapeutics, Inc.</w:t>
            </w:r>
          </w:p>
        </w:tc>
      </w:tr>
      <w:tr>
        <w:tc>
          <w:tcPr>
            <w:tcW w:type="dxa" w:w="1296"/>
          </w:tcPr>
          <w:p>
            <w:pPr>
              <w:spacing w:after="0"/>
            </w:pPr>
            <w:r/>
            <w:r>
              <w:rPr>
                <w:sz w:val="19"/>
              </w:rPr>
              <w:t>CC:</w:t>
            </w:r>
          </w:p>
        </w:tc>
        <w:tc>
          <w:tcPr>
            <w:tcW w:type="dxa" w:w="8064"/>
          </w:tcPr>
          <w:p>
            <w:pPr>
              <w:spacing w:after="0"/>
            </w:pPr>
            <w:r/>
            <w:r>
              <w:rPr>
                <w:sz w:val="19"/>
              </w:rPr>
              <w:t>Dr. Margaret Yuen, Chief Executive Officer; Dr. Rajiv Anand, Chief Medical Officer (Pinnacle Therapeutics, Inc.); Diana Forsythe, Partner (HSL)</w:t>
            </w:r>
          </w:p>
        </w:tc>
      </w:tr>
      <w:tr>
        <w:tc>
          <w:tcPr>
            <w:tcW w:type="dxa" w:w="1296"/>
          </w:tcPr>
          <w:p>
            <w:pPr>
              <w:spacing w:after="0"/>
            </w:pPr>
            <w:r/>
            <w:r>
              <w:rPr>
                <w:sz w:val="19"/>
              </w:rPr>
              <w:t>FROM:</w:t>
            </w:r>
          </w:p>
        </w:tc>
        <w:tc>
          <w:tcPr>
            <w:tcW w:type="dxa" w:w="8064"/>
          </w:tcPr>
          <w:p>
            <w:pPr>
              <w:spacing w:after="0"/>
            </w:pPr>
            <w:r/>
            <w:r>
              <w:rPr>
                <w:sz w:val="19"/>
              </w:rPr>
              <w:t>Thomas Kelling, Partner; Priya Mehta, Associate — Hargrove, Simmons &amp; Locke LLP</w:t>
            </w:r>
          </w:p>
        </w:tc>
      </w:tr>
      <w:tr>
        <w:tc>
          <w:tcPr>
            <w:tcW w:type="dxa" w:w="1296"/>
          </w:tcPr>
          <w:p>
            <w:pPr>
              <w:spacing w:after="0"/>
            </w:pPr>
            <w:r/>
            <w:r>
              <w:rPr>
                <w:sz w:val="19"/>
              </w:rPr>
              <w:t>DATE:</w:t>
            </w:r>
          </w:p>
        </w:tc>
        <w:tc>
          <w:tcPr>
            <w:tcW w:type="dxa" w:w="8064"/>
          </w:tcPr>
          <w:p>
            <w:pPr>
              <w:spacing w:after="0"/>
            </w:pPr>
            <w:r/>
            <w:r>
              <w:rPr>
                <w:sz w:val="19"/>
              </w:rPr>
              <w:t>July 9, 2025</w:t>
            </w:r>
          </w:p>
        </w:tc>
      </w:tr>
      <w:tr>
        <w:tc>
          <w:tcPr>
            <w:tcW w:type="dxa" w:w="1296"/>
          </w:tcPr>
          <w:p>
            <w:pPr>
              <w:spacing w:after="0"/>
            </w:pPr>
            <w:r/>
            <w:r>
              <w:rPr>
                <w:sz w:val="19"/>
              </w:rPr>
              <w:t>RE:</w:t>
            </w:r>
          </w:p>
        </w:tc>
        <w:tc>
          <w:tcPr>
            <w:tcW w:type="dxa" w:w="8064"/>
          </w:tcPr>
          <w:p>
            <w:pPr>
              <w:spacing w:after="0"/>
            </w:pPr>
            <w:r/>
            <w:r>
              <w:rPr>
                <w:sz w:val="19"/>
              </w:rPr>
              <w:t>Regulatory Gap Analysis — Clinical Trial Protocol PTX-4820-201, Version 3.0 (May 18, 2025), including Appendix A Informed Consent Form Template, measured against 21 CFR Parts 11, 50, 56 and 312, applicable ICH and FDA guidance, the April 2, 2025 FDA Pre-IND Meeting Minutes (MR-2025-0312-NASH-001), and Health Canada requirements</w:t>
            </w:r>
          </w:p>
        </w:tc>
      </w:tr>
    </w:tbl>
    <w:p>
      <w:pPr>
        <w:spacing w:after="40"/>
      </w:pPr>
    </w:p>
    <w:p>
      <w:pPr>
        <w:pStyle w:val="Heading1"/>
      </w:pPr>
      <w:r>
        <w:t>I. Executive Summary</w:t>
      </w:r>
    </w:p>
    <w:p>
      <w:pPr>
        <w:spacing w:after="120"/>
        <w:jc w:val="both"/>
      </w:pPr>
      <w:r>
        <w:t xml:space="preserve">Pinnacle asked us to determine whether Protocol PTX-4820-201 v3.0 (the “Protocol”) and its Appendix A ICF template (the “ICF”) are ready to be filed in the PTX-4820 IND targeted for </w:t>
      </w:r>
      <w:r>
        <w:rPr>
          <w:b/>
        </w:rPr>
        <w:t>September 15, 2025</w:t>
      </w:r>
      <w:r>
        <w:t xml:space="preserve">. </w:t>
      </w:r>
      <w:r>
        <w:rPr>
          <w:b/>
        </w:rPr>
        <w:t>They are not.</w:t>
      </w:r>
      <w:r>
        <w:t xml:space="preserve"> The Protocol does not yet carry out any of the six protocol revisions Pinnacle agreed to make in Section 6, Item 1(a)–(f) of the April 2, 2025 Pre-IND Meeting Minutes (the “Minutes”). It also does not carry out the biopsy-adequacy commitment in Item 4. Yet Section 2.1 tells FDA that the Division’s recommendations “have been incorporated into the study design where appropriate.” As drafted, the Division would see on its first comparison of the Protocol against its own Minutes that the agreed changes were not made. The Division stated expressly that the absence of a DSMB commitment alone “could contribute to a clinical hold determination under 21 CFR § 312.42.”</w:t>
      </w:r>
    </w:p>
    <w:p>
      <w:pPr>
        <w:spacing w:after="120"/>
        <w:jc w:val="both"/>
      </w:pPr>
      <w:r>
        <w:t xml:space="preserve">We identified </w:t>
      </w:r>
      <w:r>
        <w:rPr>
          <w:b/>
        </w:rPr>
        <w:t>33 findings: 10 Critical, 13 Major and 10 Minor</w:t>
      </w:r>
      <w:r>
        <w:t>, plus one observation outside the engagement scope. Every Critical finding can be fixed with protocol and ICF text before the September 15 target, provided Trident begins the amendment (Version 4.0) the week of July 14. The one item that may change the trial’s size and budget is the sample-size calculation (Finding M-7). It needs a decision from Pinnacle Biostatistics and the CMO now.</w:t>
      </w:r>
    </w:p>
    <w:p>
      <w:pPr>
        <w:spacing w:after="40"/>
      </w:pPr>
      <w:r>
        <w:rPr>
          <w:b/>
        </w:rPr>
        <w:t>Critical findings (must be corrected before IND submission):</w:t>
      </w:r>
    </w:p>
    <w:p>
      <w:pPr>
        <w:pStyle w:val="ListBullet"/>
        <w:spacing w:after="40"/>
      </w:pPr>
      <w:r>
        <w:rPr>
          <w:b/>
        </w:rPr>
        <w:t>C-1 DSMB is discretionary.</w:t>
      </w:r>
      <w:r>
        <w:t xml:space="preserve"> Section 9.4 says a DSMB “may be convened at the Sponsor’s discretion.” FDA said a DSMB is “not optional” and that the protocol language must make it mandatory (Minutes §4.4; Action Item 1(d)).</w:t>
      </w:r>
    </w:p>
    <w:p>
      <w:pPr>
        <w:pStyle w:val="ListBullet"/>
        <w:spacing w:after="40"/>
      </w:pPr>
      <w:r>
        <w:rPr>
          <w:b/>
        </w:rPr>
        <w:t>C-2 Single-reader central pathology.</w:t>
      </w:r>
      <w:r>
        <w:t xml:space="preserve"> Section 8.1 uses one central pathologist, calibrated against the Sponsor’s own medical team. FDA “strongly recommends” two independent hepatopathologists with third-reader adjudication (Minutes §4.1; AI 1(a)).</w:t>
      </w:r>
    </w:p>
    <w:p>
      <w:pPr>
        <w:pStyle w:val="ListBullet"/>
        <w:spacing w:after="40"/>
      </w:pPr>
      <w:r>
        <w:rPr>
          <w:b/>
        </w:rPr>
        <w:t>C-3 No study-level stopping criteria.</w:t>
      </w:r>
      <w:r>
        <w:t xml:space="preserve"> There are no aggregate criteria for hepatic decompensation (variceal bleeding, ascites, hepatic encephalopathy, hepatorenal syndrome) to trigger expedited DSMB review (Minutes §4.5; AI 1(e)).</w:t>
      </w:r>
    </w:p>
    <w:p>
      <w:pPr>
        <w:pStyle w:val="ListBullet"/>
        <w:spacing w:after="40"/>
      </w:pPr>
      <w:r>
        <w:rPr>
          <w:b/>
        </w:rPr>
        <w:t>C-4 Interim analysis.</w:t>
      </w:r>
      <w:r>
        <w:t xml:space="preserve"> The interim is still timed at Week 26 of the last enrolled subject (about April 2027), not at the 50% enrollment mark. There is no futility analysis at a 20% conditional-power threshold, and the Sponsor can see interim results (Minutes §4.6; AI 1(f)).</w:t>
      </w:r>
    </w:p>
    <w:p>
      <w:pPr>
        <w:pStyle w:val="ListBullet"/>
        <w:spacing w:after="40"/>
      </w:pPr>
      <w:r>
        <w:rPr>
          <w:b/>
        </w:rPr>
        <w:t>C-5 No MELD ≥15 exclusion.</w:t>
      </w:r>
      <w:r>
        <w:t xml:space="preserve"> Exclusion criterion 2 still relies on the undefined term “hepatic decompensation” (Minutes §4.3; AI 1(c)).</w:t>
      </w:r>
    </w:p>
    <w:p>
      <w:pPr>
        <w:pStyle w:val="ListBullet"/>
        <w:spacing w:after="40"/>
      </w:pPr>
      <w:r>
        <w:rPr>
          <w:b/>
        </w:rPr>
        <w:t>C-6 30 mg titration is still two weeks</w:t>
      </w:r>
      <w:r>
        <w:t xml:space="preserve"> (5 → 15 → 30 mg from Week 3). FDA found this “insufficient” and asked for at least four weeks (Minutes §4.2; AI 1(b)).</w:t>
      </w:r>
    </w:p>
    <w:p>
      <w:pPr>
        <w:pStyle w:val="ListBullet"/>
        <w:spacing w:after="40"/>
      </w:pPr>
      <w:r>
        <w:rPr>
          <w:b/>
        </w:rPr>
        <w:t>C-7 No reproductive-safety provisions.</w:t>
      </w:r>
      <w:r>
        <w:t xml:space="preserve"> For a 52-week study of a novel peptide with no reported reproductive toxicology, there are no contraception requirements, no pregnancy testing and no pregnancy or lactation exclusion. The ICF does not disclose risk to an embryo or fetus (ICH M3(R2) §11.3; 21 CFR 50.25(b)(1)).</w:t>
      </w:r>
    </w:p>
    <w:p>
      <w:pPr>
        <w:pStyle w:val="ListBullet"/>
        <w:spacing w:after="40"/>
      </w:pPr>
      <w:r>
        <w:rPr>
          <w:b/>
        </w:rPr>
        <w:t>C-8 / C-9 / C-10 The ICF omits three mandatory elements:</w:t>
      </w:r>
      <w:r>
        <w:t xml:space="preserve"> the confidentiality and FDA-inspection statement (21 CFR 50.25(a)(5)); the explanation of compensation and medical treatment for research-related injury (§50.25(a)(6)); and the verbatim ClinicalTrials.gov statement (§50.25(c)). Missing basic elements of this kind are the ICF deficiencies most often cited in clinical hold letters, which is the situation your colleague’s company faced.</w:t>
      </w:r>
    </w:p>
    <w:p>
      <w:pPr>
        <w:spacing w:after="40"/>
      </w:pPr>
      <w:r>
        <w:rPr>
          <w:b/>
        </w:rPr>
        <w:t>Your three specific questions</w:t>
      </w:r>
      <w:r>
        <w:t xml:space="preserve"> (June 18 email):</w:t>
      </w:r>
    </w:p>
    <w:p>
      <w:pPr>
        <w:pStyle w:val="ListBullet"/>
        <w:spacing w:after="40"/>
      </w:pPr>
      <w:r>
        <w:rPr>
          <w:b/>
        </w:rPr>
        <w:t>The ICF duration statement is wrong and must be corrected</w:t>
      </w:r>
      <w:r>
        <w:t xml:space="preserve"> (Finding M-9). One refinement to our June 18 reply: 64 weeks is about </w:t>
      </w:r>
      <w:r>
        <w:rPr>
          <w:b/>
        </w:rPr>
        <w:t>15 months</w:t>
      </w:r>
      <w:r>
        <w:t xml:space="preserve">, not 16. A subject’s total participation including the up-to-8-week screening period is up to </w:t>
      </w:r>
      <w:r>
        <w:rPr>
          <w:b/>
        </w:rPr>
        <w:t>72 weeks, about 16.5 months</w:t>
      </w:r>
      <w:r>
        <w:t xml:space="preserve"> (Protocol Table 1; §5.1). The ICF should give both figures in plain language.</w:t>
      </w:r>
    </w:p>
    <w:p>
      <w:pPr>
        <w:pStyle w:val="ListBullet"/>
        <w:spacing w:after="40"/>
      </w:pPr>
      <w:r>
        <w:rPr>
          <w:b/>
        </w:rPr>
        <w:t>The ICF line-by-line 21 CFR 50.25 crosswalk</w:t>
      </w:r>
      <w:r>
        <w:t xml:space="preserve"> is in Part VI. Of the eight basic elements in §50.25(a), two are absent (a)(5)–(6). Four are present but deficient: (a)(1) duration and procedures, (a)(2) risks, (a)(4) alternatives and (a)(7) injury contact. The §50.25(c) statement is also absent. The ICF’s alternatives section also says “there is no FDA-approved drug treatment specifically for NASH with liver fibrosis.” That is no longer accurate: FDA granted accelerated approval to resmetirom (Rezdiffra) on March 14, 2024 for noncirrhotic NASH with F2–F3 fibrosis, the very population in this study (Finding M-11).</w:t>
      </w:r>
    </w:p>
    <w:p>
      <w:pPr>
        <w:pStyle w:val="ListBullet"/>
        <w:spacing w:after="40"/>
      </w:pPr>
      <w:r>
        <w:rPr>
          <w:b/>
        </w:rPr>
        <w:t>Health Canada must be addressed in the Protocol itself</w:t>
      </w:r>
      <w:r>
        <w:t xml:space="preserve"> (Finding M-2). Proposed text for Sections 2.2 and 13 (new §13.7) is in Part IV.G, ready to hand to Trident. One correction to our June 18 reply: Section 13 does not currently mention the Canadian sites at all. Canada appears only in Table 1, §5.1, §11.2 (one sentence on REBs) and Appendix F. That is why a new §13.7 is needed.</w:t>
      </w:r>
    </w:p>
    <w:p>
      <w:pPr>
        <w:spacing w:after="40"/>
      </w:pPr>
      <w:r>
        <w:rPr>
          <w:b/>
        </w:rPr>
        <w:t>Two process points need leadership attention:</w:t>
      </w:r>
    </w:p>
    <w:p>
      <w:pPr>
        <w:pStyle w:val="ListBullet"/>
        <w:spacing w:after="40"/>
      </w:pPr>
      <w:r>
        <w:rPr>
          <w:b/>
        </w:rPr>
        <w:t>The working Regulatory Requirements Checklist cannot be relied on in its current form</w:t>
      </w:r>
      <w:r>
        <w:t xml:space="preserve"> (Finding M-13). Many of its “Y” (compliant) entries describe a different protocol: Version 2.0 dated 22-Apr-2024, doses of 50/150/300 mg, an Ishak primary endpoint, toxicology in dogs, 15-year record retention, a DSMB reviewing at 90/180/270 subjects, and a Medical Monitor named “Dr. Sarah Reinholt.” None of these match v3.0. We are re-performing every “Y” item against v3.0 before the completed checklist is delivered on July 11.</w:t>
      </w:r>
    </w:p>
    <w:p>
      <w:pPr>
        <w:pStyle w:val="ListBullet"/>
        <w:spacing w:after="40"/>
      </w:pPr>
      <w:r>
        <w:rPr>
          <w:b/>
        </w:rPr>
        <w:t>Privilege.</w:t>
      </w:r>
      <w:r>
        <w:t xml:space="preserve"> Ms. Kowalski asked for language Pinnacle can hand to Trident. The engagement letter (§VIII) cautions against sharing HSL work product with Trident. We therefore recommend that Pinnacle send Trident a separate, non-privileged “Protocol v4.0 Amendment Instructions” document taken from the proposed-language blocks in this memorandum, rather than the memorandum itself. We can prepare that document on request.</w:t>
      </w:r>
    </w:p>
    <w:p>
      <w:pPr>
        <w:spacing w:after="120"/>
        <w:jc w:val="both"/>
      </w:pPr>
      <w:r>
        <w:rPr>
          <w:b/>
        </w:rPr>
        <w:t>Bottom line on timing.</w:t>
      </w:r>
      <w:r>
        <w:t xml:space="preserve"> If Version 4.0 and the revised ICF are finalized by </w:t>
      </w:r>
      <w:r>
        <w:rPr>
          <w:b/>
        </w:rPr>
        <w:t>August 8, 2025</w:t>
      </w:r>
      <w:r>
        <w:t xml:space="preserve">, Pinnacle can meet the September 15 IND date. The DSMB charter, SAP (including interim and futility rules), pathology charter and Part 11 documentation must be final </w:t>
      </w:r>
      <w:r>
        <w:rPr>
          <w:b/>
        </w:rPr>
        <w:t>before first subject enrolled</w:t>
      </w:r>
      <w:r>
        <w:t xml:space="preserve"> (FDA expectation; Minutes §4.4, §4.6). IRB approval is </w:t>
      </w:r>
      <w:r>
        <w:rPr>
          <w:b/>
        </w:rPr>
        <w:t>not</w:t>
      </w:r>
      <w:r>
        <w:t xml:space="preserve"> a prerequisite to filing the IND under 21 CFR 312.23. It is a prerequisite to enrolling at each site (21 CFR 312.66; 56.103). Ridgeway review can therefore run in parallel with FDA’s 30-day review, but it should be scheduled now. The Health Canada CTA (30-day default review, C.05.006) should be filed in parallel so the Canadian sites can open with the U.S. sites.</w:t>
      </w:r>
    </w:p>
    <w:p>
      <w:pPr>
        <w:pStyle w:val="Heading1"/>
      </w:pPr>
      <w:r>
        <w:t>II. Scope, Materials Reviewed and Methodology</w:t>
      </w:r>
    </w:p>
    <w:p>
      <w:pPr>
        <w:spacing w:after="120"/>
        <w:jc w:val="both"/>
      </w:pPr>
      <w:r>
        <w:t>This memorandum is the Regulatory Gap Analysis Memorandum contemplated by Section III.1 of our June 27, 2025 engagement letter. We reviewed: (1) Protocol PTX-4820-201 v3.0 (May 18, 2025), including Appendices A–F; (2) the FDA Type B Pre-IND Meeting Minutes dated April 2, 2025 (meeting of March 12, 2025, DHN/CDER); (3) the HSL working Regulatory Requirements Checklist (three tabs: 21 CFR Part 312; 21 CFR Part 50; ICH E6(R2)); (4) the engagement letter; and (5) the June 18–19, 2025 email exchange between Ms. Kowalski and Mr. Kelling.</w:t>
      </w:r>
    </w:p>
    <w:p>
      <w:pPr>
        <w:spacing w:after="120"/>
        <w:jc w:val="both"/>
      </w:pPr>
      <w:r>
        <w:t>Benchmarks applied (engagement letter §II.B): 21 CFR Parts 312 (including §§312.23(a)(6), 312.30, 312.32, 312.42, 312.50–312.70), 50, 56 and 11; ICH E6(R2), M3(R2) and E9(R1); FDA guidance on Noncirrhotic NASH with Liver Fibrosis (Dec. 2018), Adaptive Designs (Nov. 2019), Safety Reporting Requirements for INDs and BA/BE Studies (Dec. 2012) and Drug-Induced Liver Injury: Premarketing Clinical Evaluation (July 2009); each recommendation and action item in the Minutes; and Health Canada’s Food and Drug Regulations, Part C, Division 5. We compared each Minutes recommendation against the Protocol text one by one (Part VII). We reviewed the ICF line by line against §50.25(a), (b) and (c) and against the Protocol’s own facts (Part VI).</w:t>
      </w:r>
    </w:p>
    <w:p>
      <w:pPr>
        <w:spacing w:after="40"/>
      </w:pPr>
      <w:r>
        <w:rPr>
          <w:b/>
        </w:rPr>
        <w:t>Severity scale</w:t>
      </w:r>
      <w:r>
        <w:t xml:space="preserve"> (engagement letter §III.1):</w:t>
      </w:r>
    </w:p>
    <w:tbl>
      <w:tblPr>
        <w:tblStyle w:val="TableGrid"/>
        <w:tblW w:type="auto" w:w="0"/>
        <w:jc w:val="center"/>
        <w:tblLayout w:type="fixed"/>
        <w:tblLook w:firstColumn="1" w:firstRow="1" w:lastColumn="0" w:lastRow="0" w:noHBand="0" w:noVBand="1" w:val="04A0"/>
      </w:tblPr>
      <w:tblGrid>
        <w:gridCol w:w="1440"/>
        <w:gridCol w:w="7920"/>
      </w:tblGrid>
      <w:tr>
        <w:tc>
          <w:tcPr>
            <w:tcW w:type="dxa" w:w="1440"/>
            <w:shd w:val="clear" w:color="auto" w:fill="1F3A5F"/>
          </w:tcPr>
          <w:p>
            <w:pPr>
              <w:spacing w:after="0"/>
            </w:pPr>
            <w:r>
              <w:rPr>
                <w:b/>
                <w:color w:val="FFFFFF"/>
              </w:rPr>
            </w:r>
            <w:r>
              <w:rPr>
                <w:b/>
                <w:color w:val="FFFFFF"/>
                <w:sz w:val="18"/>
              </w:rPr>
              <w:t>Severity</w:t>
            </w:r>
          </w:p>
        </w:tc>
        <w:tc>
          <w:tcPr>
            <w:tcW w:type="dxa" w:w="7920"/>
            <w:shd w:val="clear" w:color="auto" w:fill="1F3A5F"/>
          </w:tcPr>
          <w:p>
            <w:pPr>
              <w:spacing w:after="0"/>
            </w:pPr>
            <w:r>
              <w:rPr>
                <w:b/>
                <w:color w:val="FFFFFF"/>
              </w:rPr>
            </w:r>
            <w:r>
              <w:rPr>
                <w:b/>
                <w:color w:val="FFFFFF"/>
                <w:sz w:val="18"/>
              </w:rPr>
              <w:t>Definition used in this memorandum</w:t>
            </w:r>
          </w:p>
        </w:tc>
      </w:tr>
      <w:tr>
        <w:tc>
          <w:tcPr>
            <w:tcW w:type="dxa" w:w="1440"/>
            <w:shd w:val="clear" w:color="auto" w:fill="F4CCCC"/>
          </w:tcPr>
          <w:p>
            <w:pPr>
              <w:spacing w:after="0"/>
            </w:pPr>
            <w:r/>
            <w:r>
              <w:rPr>
                <w:sz w:val="18"/>
              </w:rPr>
              <w:t>Critical</w:t>
            </w:r>
          </w:p>
        </w:tc>
        <w:tc>
          <w:tcPr>
            <w:tcW w:type="dxa" w:w="7920"/>
          </w:tcPr>
          <w:p>
            <w:pPr>
              <w:spacing w:after="0"/>
            </w:pPr>
            <w:r/>
            <w:r>
              <w:rPr>
                <w:sz w:val="18"/>
              </w:rPr>
              <w:t>A missing mandatory regulatory element, or a departure from an agreed FDA Pre-IND action item, that is reasonably likely to support a clinical hold under 21 CFR 312.42(b) or to put subject safety at material risk. Must be corrected before IND submission.</w:t>
            </w:r>
          </w:p>
        </w:tc>
      </w:tr>
      <w:tr>
        <w:tc>
          <w:tcPr>
            <w:tcW w:type="dxa" w:w="1440"/>
            <w:shd w:val="clear" w:color="auto" w:fill="FCE5CD"/>
          </w:tcPr>
          <w:p>
            <w:pPr>
              <w:spacing w:after="0"/>
            </w:pPr>
            <w:r/>
            <w:r>
              <w:rPr>
                <w:sz w:val="18"/>
              </w:rPr>
              <w:t>Major</w:t>
            </w:r>
          </w:p>
        </w:tc>
        <w:tc>
          <w:tcPr>
            <w:tcW w:type="dxa" w:w="7920"/>
          </w:tcPr>
          <w:p>
            <w:pPr>
              <w:spacing w:after="0"/>
            </w:pPr>
            <w:r/>
            <w:r>
              <w:rPr>
                <w:sz w:val="18"/>
              </w:rPr>
              <w:t>A material gap or inaccuracy likely to produce an FDA information request, an IRB/REB or Health Canada deficiency, an inspection finding, or harm to data integrity or interpretability. Should be corrected in Version 4.0 before submission.</w:t>
            </w:r>
          </w:p>
        </w:tc>
      </w:tr>
      <w:tr>
        <w:tc>
          <w:tcPr>
            <w:tcW w:type="dxa" w:w="1440"/>
            <w:shd w:val="clear" w:color="auto" w:fill="FFF2CC"/>
          </w:tcPr>
          <w:p>
            <w:pPr>
              <w:spacing w:after="0"/>
            </w:pPr>
            <w:r/>
            <w:r>
              <w:rPr>
                <w:sz w:val="18"/>
              </w:rPr>
              <w:t>Minor</w:t>
            </w:r>
          </w:p>
        </w:tc>
        <w:tc>
          <w:tcPr>
            <w:tcW w:type="dxa" w:w="7920"/>
          </w:tcPr>
          <w:p>
            <w:pPr>
              <w:spacing w:after="0"/>
            </w:pPr>
            <w:r/>
            <w:r>
              <w:rPr>
                <w:sz w:val="18"/>
              </w:rPr>
              <w:t>A clarity, consistency or best-practice issue with limited regulatory exposure. Correct in the same amendment where practical.</w:t>
            </w:r>
          </w:p>
        </w:tc>
      </w:tr>
    </w:tbl>
    <w:p>
      <w:pPr>
        <w:spacing w:after="40"/>
      </w:pPr>
    </w:p>
    <w:p>
      <w:pPr>
        <w:spacing w:after="120"/>
        <w:jc w:val="both"/>
      </w:pPr>
      <w:r>
        <w:rPr>
          <w:i/>
          <w:sz w:val="19"/>
        </w:rPr>
        <w:t>Limitations: Consistent with engagement letter §VII, we have not independently verified nonclinical, clinical or CMC data, and this memorandum is not medical or statistical advice. Where we flag a statistical or clinical issue (e.g., Findings M-7, C-6), we identify the regulatory consequence and recommend confirmation by Pinnacle’s biostatistics and clinical functions. Statements about Canadian law are preliminary and should be confirmed by Canadian regulatory counsel (see Finding M-2).</w:t>
      </w:r>
    </w:p>
    <w:p>
      <w:pPr>
        <w:pStyle w:val="Heading1"/>
      </w:pPr>
      <w:r>
        <w:t>III. Summary Table of Findings</w:t>
      </w:r>
    </w:p>
    <w:tbl>
      <w:tblPr>
        <w:tblStyle w:val="TableGrid"/>
        <w:tblW w:type="auto" w:w="0"/>
        <w:jc w:val="center"/>
        <w:tblLayout w:type="fixed"/>
        <w:tblLook w:firstColumn="1" w:firstRow="1" w:lastColumn="0" w:lastRow="0" w:noHBand="0" w:noVBand="1" w:val="04A0"/>
      </w:tblPr>
      <w:tblGrid>
        <w:gridCol w:w="648"/>
        <w:gridCol w:w="3744"/>
        <w:gridCol w:w="1080"/>
        <w:gridCol w:w="1728"/>
        <w:gridCol w:w="2160"/>
      </w:tblGrid>
      <w:tr>
        <w:tc>
          <w:tcPr>
            <w:tcW w:type="dxa" w:w="648"/>
            <w:shd w:val="clear" w:color="auto" w:fill="1F3A5F"/>
          </w:tcPr>
          <w:p>
            <w:pPr>
              <w:spacing w:after="0"/>
            </w:pPr>
            <w:r>
              <w:rPr>
                <w:b/>
                <w:color w:val="FFFFFF"/>
              </w:rPr>
            </w:r>
            <w:r>
              <w:rPr>
                <w:b/>
                <w:color w:val="FFFFFF"/>
                <w:sz w:val="17"/>
              </w:rPr>
              <w:t>No.</w:t>
            </w:r>
          </w:p>
        </w:tc>
        <w:tc>
          <w:tcPr>
            <w:tcW w:type="dxa" w:w="3744"/>
            <w:shd w:val="clear" w:color="auto" w:fill="1F3A5F"/>
          </w:tcPr>
          <w:p>
            <w:pPr>
              <w:spacing w:after="0"/>
            </w:pPr>
            <w:r>
              <w:rPr>
                <w:b/>
                <w:color w:val="FFFFFF"/>
              </w:rPr>
            </w:r>
            <w:r>
              <w:rPr>
                <w:b/>
                <w:color w:val="FFFFFF"/>
                <w:sz w:val="17"/>
              </w:rPr>
              <w:t>Finding</w:t>
            </w:r>
          </w:p>
        </w:tc>
        <w:tc>
          <w:tcPr>
            <w:tcW w:type="dxa" w:w="1080"/>
            <w:shd w:val="clear" w:color="auto" w:fill="1F3A5F"/>
          </w:tcPr>
          <w:p>
            <w:pPr>
              <w:spacing w:after="0"/>
            </w:pPr>
            <w:r>
              <w:rPr>
                <w:b/>
                <w:color w:val="FFFFFF"/>
              </w:rPr>
            </w:r>
            <w:r>
              <w:rPr>
                <w:b/>
                <w:color w:val="FFFFFF"/>
                <w:sz w:val="17"/>
              </w:rPr>
              <w:t>Severity</w:t>
            </w:r>
          </w:p>
        </w:tc>
        <w:tc>
          <w:tcPr>
            <w:tcW w:type="dxa" w:w="1728"/>
            <w:shd w:val="clear" w:color="auto" w:fill="1F3A5F"/>
          </w:tcPr>
          <w:p>
            <w:pPr>
              <w:spacing w:after="0"/>
            </w:pPr>
            <w:r>
              <w:rPr>
                <w:b/>
                <w:color w:val="FFFFFF"/>
              </w:rPr>
            </w:r>
            <w:r>
              <w:rPr>
                <w:b/>
                <w:color w:val="FFFFFF"/>
                <w:sz w:val="17"/>
              </w:rPr>
              <w:t>Protocol / ICF</w:t>
            </w:r>
          </w:p>
        </w:tc>
        <w:tc>
          <w:tcPr>
            <w:tcW w:type="dxa" w:w="2160"/>
            <w:shd w:val="clear" w:color="auto" w:fill="1F3A5F"/>
          </w:tcPr>
          <w:p>
            <w:pPr>
              <w:spacing w:after="0"/>
            </w:pPr>
            <w:r>
              <w:rPr>
                <w:b/>
                <w:color w:val="FFFFFF"/>
              </w:rPr>
            </w:r>
            <w:r>
              <w:rPr>
                <w:b/>
                <w:color w:val="FFFFFF"/>
                <w:sz w:val="17"/>
              </w:rPr>
              <w:t>Principal authority</w:t>
            </w:r>
          </w:p>
        </w:tc>
      </w:tr>
      <w:tr>
        <w:tc>
          <w:tcPr>
            <w:tcW w:type="dxa" w:w="648"/>
          </w:tcPr>
          <w:p>
            <w:pPr>
              <w:spacing w:after="0"/>
            </w:pPr>
            <w:r/>
            <w:r>
              <w:rPr>
                <w:sz w:val="17"/>
              </w:rPr>
              <w:t>C-1</w:t>
            </w:r>
          </w:p>
        </w:tc>
        <w:tc>
          <w:tcPr>
            <w:tcW w:type="dxa" w:w="3744"/>
          </w:tcPr>
          <w:p>
            <w:pPr>
              <w:spacing w:after="0"/>
            </w:pPr>
            <w:r/>
            <w:r>
              <w:rPr>
                <w:sz w:val="17"/>
              </w:rPr>
              <w:t>DSMB discretionary; no composition, charter timing, review schedule or authority</w:t>
            </w:r>
          </w:p>
        </w:tc>
        <w:tc>
          <w:tcPr>
            <w:tcW w:type="dxa" w:w="1080"/>
            <w:shd w:val="clear" w:color="auto" w:fill="F4CCCC"/>
          </w:tcPr>
          <w:p>
            <w:pPr>
              <w:spacing w:after="0"/>
            </w:pPr>
            <w:r/>
            <w:r>
              <w:rPr>
                <w:sz w:val="17"/>
              </w:rPr>
              <w:t>Critical</w:t>
            </w:r>
          </w:p>
        </w:tc>
        <w:tc>
          <w:tcPr>
            <w:tcW w:type="dxa" w:w="1728"/>
          </w:tcPr>
          <w:p>
            <w:pPr>
              <w:spacing w:after="0"/>
            </w:pPr>
            <w:r/>
            <w:r>
              <w:rPr>
                <w:sz w:val="17"/>
              </w:rPr>
              <w:t>§9.4; §13.3; §10.3</w:t>
            </w:r>
          </w:p>
        </w:tc>
        <w:tc>
          <w:tcPr>
            <w:tcW w:type="dxa" w:w="2160"/>
          </w:tcPr>
          <w:p>
            <w:pPr>
              <w:spacing w:after="0"/>
            </w:pPr>
            <w:r/>
            <w:r>
              <w:rPr>
                <w:sz w:val="17"/>
              </w:rPr>
              <w:t>Minutes §4.4, AI 1(d); 21 CFR 312.42</w:t>
            </w:r>
          </w:p>
        </w:tc>
      </w:tr>
      <w:tr>
        <w:tc>
          <w:tcPr>
            <w:tcW w:type="dxa" w:w="648"/>
          </w:tcPr>
          <w:p>
            <w:pPr>
              <w:spacing w:after="0"/>
            </w:pPr>
            <w:r/>
            <w:r>
              <w:rPr>
                <w:sz w:val="17"/>
              </w:rPr>
              <w:t>C-2</w:t>
            </w:r>
          </w:p>
        </w:tc>
        <w:tc>
          <w:tcPr>
            <w:tcW w:type="dxa" w:w="3744"/>
          </w:tcPr>
          <w:p>
            <w:pPr>
              <w:spacing w:after="0"/>
            </w:pPr>
            <w:r/>
            <w:r>
              <w:rPr>
                <w:sz w:val="17"/>
              </w:rPr>
              <w:t>Single central pathologist; calibration with Sponsor medical team; no adjudication</w:t>
            </w:r>
          </w:p>
        </w:tc>
        <w:tc>
          <w:tcPr>
            <w:tcW w:type="dxa" w:w="1080"/>
            <w:shd w:val="clear" w:color="auto" w:fill="F4CCCC"/>
          </w:tcPr>
          <w:p>
            <w:pPr>
              <w:spacing w:after="0"/>
            </w:pPr>
            <w:r/>
            <w:r>
              <w:rPr>
                <w:sz w:val="17"/>
              </w:rPr>
              <w:t>Critical</w:t>
            </w:r>
          </w:p>
        </w:tc>
        <w:tc>
          <w:tcPr>
            <w:tcW w:type="dxa" w:w="1728"/>
          </w:tcPr>
          <w:p>
            <w:pPr>
              <w:spacing w:after="0"/>
            </w:pPr>
            <w:r/>
            <w:r>
              <w:rPr>
                <w:sz w:val="17"/>
              </w:rPr>
              <w:t>§8.1; §3.1</w:t>
            </w:r>
          </w:p>
        </w:tc>
        <w:tc>
          <w:tcPr>
            <w:tcW w:type="dxa" w:w="2160"/>
          </w:tcPr>
          <w:p>
            <w:pPr>
              <w:spacing w:after="0"/>
            </w:pPr>
            <w:r/>
            <w:r>
              <w:rPr>
                <w:sz w:val="17"/>
              </w:rPr>
              <w:t>Minutes §4.1, AI 1(a); 312.42(b)(2)(ii)</w:t>
            </w:r>
          </w:p>
        </w:tc>
      </w:tr>
      <w:tr>
        <w:tc>
          <w:tcPr>
            <w:tcW w:type="dxa" w:w="648"/>
          </w:tcPr>
          <w:p>
            <w:pPr>
              <w:spacing w:after="0"/>
            </w:pPr>
            <w:r/>
            <w:r>
              <w:rPr>
                <w:sz w:val="17"/>
              </w:rPr>
              <w:t>C-3</w:t>
            </w:r>
          </w:p>
        </w:tc>
        <w:tc>
          <w:tcPr>
            <w:tcW w:type="dxa" w:w="3744"/>
          </w:tcPr>
          <w:p>
            <w:pPr>
              <w:spacing w:after="0"/>
            </w:pPr>
            <w:r/>
            <w:r>
              <w:rPr>
                <w:sz w:val="17"/>
              </w:rPr>
              <w:t>No study-level stopping criteria for hepatic decompensation</w:t>
            </w:r>
          </w:p>
        </w:tc>
        <w:tc>
          <w:tcPr>
            <w:tcW w:type="dxa" w:w="1080"/>
            <w:shd w:val="clear" w:color="auto" w:fill="F4CCCC"/>
          </w:tcPr>
          <w:p>
            <w:pPr>
              <w:spacing w:after="0"/>
            </w:pPr>
            <w:r/>
            <w:r>
              <w:rPr>
                <w:sz w:val="17"/>
              </w:rPr>
              <w:t>Critical</w:t>
            </w:r>
          </w:p>
        </w:tc>
        <w:tc>
          <w:tcPr>
            <w:tcW w:type="dxa" w:w="1728"/>
          </w:tcPr>
          <w:p>
            <w:pPr>
              <w:spacing w:after="0"/>
            </w:pPr>
            <w:r/>
            <w:r>
              <w:rPr>
                <w:sz w:val="17"/>
              </w:rPr>
              <w:t>§9.5</w:t>
            </w:r>
          </w:p>
        </w:tc>
        <w:tc>
          <w:tcPr>
            <w:tcW w:type="dxa" w:w="2160"/>
          </w:tcPr>
          <w:p>
            <w:pPr>
              <w:spacing w:after="0"/>
            </w:pPr>
            <w:r/>
            <w:r>
              <w:rPr>
                <w:sz w:val="17"/>
              </w:rPr>
              <w:t>Minutes §4.5, AI 1(e); 312.23(a)(6)(iii)(g)</w:t>
            </w:r>
          </w:p>
        </w:tc>
      </w:tr>
      <w:tr>
        <w:tc>
          <w:tcPr>
            <w:tcW w:type="dxa" w:w="648"/>
          </w:tcPr>
          <w:p>
            <w:pPr>
              <w:spacing w:after="0"/>
            </w:pPr>
            <w:r/>
            <w:r>
              <w:rPr>
                <w:sz w:val="17"/>
              </w:rPr>
              <w:t>C-4</w:t>
            </w:r>
          </w:p>
        </w:tc>
        <w:tc>
          <w:tcPr>
            <w:tcW w:type="dxa" w:w="3744"/>
          </w:tcPr>
          <w:p>
            <w:pPr>
              <w:spacing w:after="0"/>
            </w:pPr>
            <w:r/>
            <w:r>
              <w:rPr>
                <w:sz w:val="17"/>
              </w:rPr>
              <w:t>Interim at LPI+26 wks; no futility analysis; Sponsor access to interim results; SAP timing</w:t>
            </w:r>
          </w:p>
        </w:tc>
        <w:tc>
          <w:tcPr>
            <w:tcW w:type="dxa" w:w="1080"/>
            <w:shd w:val="clear" w:color="auto" w:fill="F4CCCC"/>
          </w:tcPr>
          <w:p>
            <w:pPr>
              <w:spacing w:after="0"/>
            </w:pPr>
            <w:r/>
            <w:r>
              <w:rPr>
                <w:sz w:val="17"/>
              </w:rPr>
              <w:t>Critical</w:t>
            </w:r>
          </w:p>
        </w:tc>
        <w:tc>
          <w:tcPr>
            <w:tcW w:type="dxa" w:w="1728"/>
          </w:tcPr>
          <w:p>
            <w:pPr>
              <w:spacing w:after="0"/>
            </w:pPr>
            <w:r/>
            <w:r>
              <w:rPr>
                <w:sz w:val="17"/>
              </w:rPr>
              <w:t>§10.3; §12.3</w:t>
            </w:r>
          </w:p>
        </w:tc>
        <w:tc>
          <w:tcPr>
            <w:tcW w:type="dxa" w:w="2160"/>
          </w:tcPr>
          <w:p>
            <w:pPr>
              <w:spacing w:after="0"/>
            </w:pPr>
            <w:r/>
            <w:r>
              <w:rPr>
                <w:sz w:val="17"/>
              </w:rPr>
              <w:t>Minutes §4.6, AI 1(f); FDA Adaptive Designs Guidance (2019)</w:t>
            </w:r>
          </w:p>
        </w:tc>
      </w:tr>
      <w:tr>
        <w:tc>
          <w:tcPr>
            <w:tcW w:type="dxa" w:w="648"/>
          </w:tcPr>
          <w:p>
            <w:pPr>
              <w:spacing w:after="0"/>
            </w:pPr>
            <w:r/>
            <w:r>
              <w:rPr>
                <w:sz w:val="17"/>
              </w:rPr>
              <w:t>C-5</w:t>
            </w:r>
          </w:p>
        </w:tc>
        <w:tc>
          <w:tcPr>
            <w:tcW w:type="dxa" w:w="3744"/>
          </w:tcPr>
          <w:p>
            <w:pPr>
              <w:spacing w:after="0"/>
            </w:pPr>
            <w:r/>
            <w:r>
              <w:rPr>
                <w:sz w:val="17"/>
              </w:rPr>
              <w:t>No MELD ≥15 exclusion criterion</w:t>
            </w:r>
          </w:p>
        </w:tc>
        <w:tc>
          <w:tcPr>
            <w:tcW w:type="dxa" w:w="1080"/>
            <w:shd w:val="clear" w:color="auto" w:fill="F4CCCC"/>
          </w:tcPr>
          <w:p>
            <w:pPr>
              <w:spacing w:after="0"/>
            </w:pPr>
            <w:r/>
            <w:r>
              <w:rPr>
                <w:sz w:val="17"/>
              </w:rPr>
              <w:t>Critical</w:t>
            </w:r>
          </w:p>
        </w:tc>
        <w:tc>
          <w:tcPr>
            <w:tcW w:type="dxa" w:w="1728"/>
          </w:tcPr>
          <w:p>
            <w:pPr>
              <w:spacing w:after="0"/>
            </w:pPr>
            <w:r/>
            <w:r>
              <w:rPr>
                <w:sz w:val="17"/>
              </w:rPr>
              <w:t>§4.2(2)</w:t>
            </w:r>
          </w:p>
        </w:tc>
        <w:tc>
          <w:tcPr>
            <w:tcW w:type="dxa" w:w="2160"/>
          </w:tcPr>
          <w:p>
            <w:pPr>
              <w:spacing w:after="0"/>
            </w:pPr>
            <w:r/>
            <w:r>
              <w:rPr>
                <w:sz w:val="17"/>
              </w:rPr>
              <w:t>Minutes §4.3, AI 1(c)</w:t>
            </w:r>
          </w:p>
        </w:tc>
      </w:tr>
      <w:tr>
        <w:tc>
          <w:tcPr>
            <w:tcW w:type="dxa" w:w="648"/>
          </w:tcPr>
          <w:p>
            <w:pPr>
              <w:spacing w:after="0"/>
            </w:pPr>
            <w:r/>
            <w:r>
              <w:rPr>
                <w:sz w:val="17"/>
              </w:rPr>
              <w:t>C-6</w:t>
            </w:r>
          </w:p>
        </w:tc>
        <w:tc>
          <w:tcPr>
            <w:tcW w:type="dxa" w:w="3744"/>
          </w:tcPr>
          <w:p>
            <w:pPr>
              <w:spacing w:after="0"/>
            </w:pPr>
            <w:r/>
            <w:r>
              <w:rPr>
                <w:sz w:val="17"/>
              </w:rPr>
              <w:t>30 mg titration only 2 weeks</w:t>
            </w:r>
          </w:p>
        </w:tc>
        <w:tc>
          <w:tcPr>
            <w:tcW w:type="dxa" w:w="1080"/>
            <w:shd w:val="clear" w:color="auto" w:fill="F4CCCC"/>
          </w:tcPr>
          <w:p>
            <w:pPr>
              <w:spacing w:after="0"/>
            </w:pPr>
            <w:r/>
            <w:r>
              <w:rPr>
                <w:sz w:val="17"/>
              </w:rPr>
              <w:t>Critical</w:t>
            </w:r>
          </w:p>
        </w:tc>
        <w:tc>
          <w:tcPr>
            <w:tcW w:type="dxa" w:w="1728"/>
          </w:tcPr>
          <w:p>
            <w:pPr>
              <w:spacing w:after="0"/>
            </w:pPr>
            <w:r/>
            <w:r>
              <w:rPr>
                <w:sz w:val="17"/>
              </w:rPr>
              <w:t>§5.2, Table 3; §7</w:t>
            </w:r>
          </w:p>
        </w:tc>
        <w:tc>
          <w:tcPr>
            <w:tcW w:type="dxa" w:w="2160"/>
          </w:tcPr>
          <w:p>
            <w:pPr>
              <w:spacing w:after="0"/>
            </w:pPr>
            <w:r/>
            <w:r>
              <w:rPr>
                <w:sz w:val="17"/>
              </w:rPr>
              <w:t>Minutes §4.2, AI 1(b)</w:t>
            </w:r>
          </w:p>
        </w:tc>
      </w:tr>
      <w:tr>
        <w:tc>
          <w:tcPr>
            <w:tcW w:type="dxa" w:w="648"/>
          </w:tcPr>
          <w:p>
            <w:pPr>
              <w:spacing w:after="0"/>
            </w:pPr>
            <w:r/>
            <w:r>
              <w:rPr>
                <w:sz w:val="17"/>
              </w:rPr>
              <w:t>C-7</w:t>
            </w:r>
          </w:p>
        </w:tc>
        <w:tc>
          <w:tcPr>
            <w:tcW w:type="dxa" w:w="3744"/>
          </w:tcPr>
          <w:p>
            <w:pPr>
              <w:spacing w:after="0"/>
            </w:pPr>
            <w:r/>
            <w:r>
              <w:rPr>
                <w:sz w:val="17"/>
              </w:rPr>
              <w:t>No contraception, pregnancy testing, pregnancy/lactation exclusion or fetal-risk disclosure</w:t>
            </w:r>
          </w:p>
        </w:tc>
        <w:tc>
          <w:tcPr>
            <w:tcW w:type="dxa" w:w="1080"/>
            <w:shd w:val="clear" w:color="auto" w:fill="F4CCCC"/>
          </w:tcPr>
          <w:p>
            <w:pPr>
              <w:spacing w:after="0"/>
            </w:pPr>
            <w:r/>
            <w:r>
              <w:rPr>
                <w:sz w:val="17"/>
              </w:rPr>
              <w:t>Critical</w:t>
            </w:r>
          </w:p>
        </w:tc>
        <w:tc>
          <w:tcPr>
            <w:tcW w:type="dxa" w:w="1728"/>
          </w:tcPr>
          <w:p>
            <w:pPr>
              <w:spacing w:after="0"/>
            </w:pPr>
            <w:r/>
            <w:r>
              <w:rPr>
                <w:sz w:val="17"/>
              </w:rPr>
              <w:t>§4.1–4.2; Table 4; App. A</w:t>
            </w:r>
          </w:p>
        </w:tc>
        <w:tc>
          <w:tcPr>
            <w:tcW w:type="dxa" w:w="2160"/>
          </w:tcPr>
          <w:p>
            <w:pPr>
              <w:spacing w:after="0"/>
            </w:pPr>
            <w:r/>
            <w:r>
              <w:rPr>
                <w:sz w:val="17"/>
              </w:rPr>
              <w:t>ICH M3(R2) §11.3; 21 CFR 50.25(b)(1); 312.23(a)(6)(iii)(g)</w:t>
            </w:r>
          </w:p>
        </w:tc>
      </w:tr>
      <w:tr>
        <w:tc>
          <w:tcPr>
            <w:tcW w:type="dxa" w:w="648"/>
          </w:tcPr>
          <w:p>
            <w:pPr>
              <w:spacing w:after="0"/>
            </w:pPr>
            <w:r/>
            <w:r>
              <w:rPr>
                <w:sz w:val="17"/>
              </w:rPr>
              <w:t>C-8</w:t>
            </w:r>
          </w:p>
        </w:tc>
        <w:tc>
          <w:tcPr>
            <w:tcW w:type="dxa" w:w="3744"/>
          </w:tcPr>
          <w:p>
            <w:pPr>
              <w:spacing w:after="0"/>
            </w:pPr>
            <w:r/>
            <w:r>
              <w:rPr>
                <w:sz w:val="17"/>
              </w:rPr>
              <w:t>ICF omits confidentiality / FDA inspection statement</w:t>
            </w:r>
          </w:p>
        </w:tc>
        <w:tc>
          <w:tcPr>
            <w:tcW w:type="dxa" w:w="1080"/>
            <w:shd w:val="clear" w:color="auto" w:fill="F4CCCC"/>
          </w:tcPr>
          <w:p>
            <w:pPr>
              <w:spacing w:after="0"/>
            </w:pPr>
            <w:r/>
            <w:r>
              <w:rPr>
                <w:sz w:val="17"/>
              </w:rPr>
              <w:t>Critical</w:t>
            </w:r>
          </w:p>
        </w:tc>
        <w:tc>
          <w:tcPr>
            <w:tcW w:type="dxa" w:w="1728"/>
          </w:tcPr>
          <w:p>
            <w:pPr>
              <w:spacing w:after="0"/>
            </w:pPr>
            <w:r/>
            <w:r>
              <w:rPr>
                <w:sz w:val="17"/>
              </w:rPr>
              <w:t>App. A</w:t>
            </w:r>
          </w:p>
        </w:tc>
        <w:tc>
          <w:tcPr>
            <w:tcW w:type="dxa" w:w="2160"/>
          </w:tcPr>
          <w:p>
            <w:pPr>
              <w:spacing w:after="0"/>
            </w:pPr>
            <w:r/>
            <w:r>
              <w:rPr>
                <w:sz w:val="17"/>
              </w:rPr>
              <w:t>21 CFR 50.25(a)(5)</w:t>
            </w:r>
          </w:p>
        </w:tc>
      </w:tr>
      <w:tr>
        <w:tc>
          <w:tcPr>
            <w:tcW w:type="dxa" w:w="648"/>
          </w:tcPr>
          <w:p>
            <w:pPr>
              <w:spacing w:after="0"/>
            </w:pPr>
            <w:r/>
            <w:r>
              <w:rPr>
                <w:sz w:val="17"/>
              </w:rPr>
              <w:t>C-9</w:t>
            </w:r>
          </w:p>
        </w:tc>
        <w:tc>
          <w:tcPr>
            <w:tcW w:type="dxa" w:w="3744"/>
          </w:tcPr>
          <w:p>
            <w:pPr>
              <w:spacing w:after="0"/>
            </w:pPr>
            <w:r/>
            <w:r>
              <w:rPr>
                <w:sz w:val="17"/>
              </w:rPr>
              <w:t>ICF omits research-injury compensation / treatment explanation</w:t>
            </w:r>
          </w:p>
        </w:tc>
        <w:tc>
          <w:tcPr>
            <w:tcW w:type="dxa" w:w="1080"/>
            <w:shd w:val="clear" w:color="auto" w:fill="F4CCCC"/>
          </w:tcPr>
          <w:p>
            <w:pPr>
              <w:spacing w:after="0"/>
            </w:pPr>
            <w:r/>
            <w:r>
              <w:rPr>
                <w:sz w:val="17"/>
              </w:rPr>
              <w:t>Critical</w:t>
            </w:r>
          </w:p>
        </w:tc>
        <w:tc>
          <w:tcPr>
            <w:tcW w:type="dxa" w:w="1728"/>
          </w:tcPr>
          <w:p>
            <w:pPr>
              <w:spacing w:after="0"/>
            </w:pPr>
            <w:r/>
            <w:r>
              <w:rPr>
                <w:sz w:val="17"/>
              </w:rPr>
              <w:t>App. A; §13.4</w:t>
            </w:r>
          </w:p>
        </w:tc>
        <w:tc>
          <w:tcPr>
            <w:tcW w:type="dxa" w:w="2160"/>
          </w:tcPr>
          <w:p>
            <w:pPr>
              <w:spacing w:after="0"/>
            </w:pPr>
            <w:r/>
            <w:r>
              <w:rPr>
                <w:sz w:val="17"/>
              </w:rPr>
              <w:t>21 CFR 50.25(a)(6)</w:t>
            </w:r>
          </w:p>
        </w:tc>
      </w:tr>
      <w:tr>
        <w:tc>
          <w:tcPr>
            <w:tcW w:type="dxa" w:w="648"/>
          </w:tcPr>
          <w:p>
            <w:pPr>
              <w:spacing w:after="0"/>
            </w:pPr>
            <w:r/>
            <w:r>
              <w:rPr>
                <w:sz w:val="17"/>
              </w:rPr>
              <w:t>C-10</w:t>
            </w:r>
          </w:p>
        </w:tc>
        <w:tc>
          <w:tcPr>
            <w:tcW w:type="dxa" w:w="3744"/>
          </w:tcPr>
          <w:p>
            <w:pPr>
              <w:spacing w:after="0"/>
            </w:pPr>
            <w:r/>
            <w:r>
              <w:rPr>
                <w:sz w:val="17"/>
              </w:rPr>
              <w:t>ICF omits ClinicalTrials.gov statement</w:t>
            </w:r>
          </w:p>
        </w:tc>
        <w:tc>
          <w:tcPr>
            <w:tcW w:type="dxa" w:w="1080"/>
            <w:shd w:val="clear" w:color="auto" w:fill="F4CCCC"/>
          </w:tcPr>
          <w:p>
            <w:pPr>
              <w:spacing w:after="0"/>
            </w:pPr>
            <w:r/>
            <w:r>
              <w:rPr>
                <w:sz w:val="17"/>
              </w:rPr>
              <w:t>Critical</w:t>
            </w:r>
          </w:p>
        </w:tc>
        <w:tc>
          <w:tcPr>
            <w:tcW w:type="dxa" w:w="1728"/>
          </w:tcPr>
          <w:p>
            <w:pPr>
              <w:spacing w:after="0"/>
            </w:pPr>
            <w:r/>
            <w:r>
              <w:rPr>
                <w:sz w:val="17"/>
              </w:rPr>
              <w:t>App. A; §13.6</w:t>
            </w:r>
          </w:p>
        </w:tc>
        <w:tc>
          <w:tcPr>
            <w:tcW w:type="dxa" w:w="2160"/>
          </w:tcPr>
          <w:p>
            <w:pPr>
              <w:spacing w:after="0"/>
            </w:pPr>
            <w:r/>
            <w:r>
              <w:rPr>
                <w:sz w:val="17"/>
              </w:rPr>
              <w:t>21 CFR 50.25(c)</w:t>
            </w:r>
          </w:p>
        </w:tc>
      </w:tr>
      <w:tr>
        <w:tc>
          <w:tcPr>
            <w:tcW w:type="dxa" w:w="648"/>
          </w:tcPr>
          <w:p>
            <w:pPr>
              <w:spacing w:after="0"/>
            </w:pPr>
            <w:r/>
            <w:r>
              <w:rPr>
                <w:sz w:val="17"/>
              </w:rPr>
              <w:t>M-1</w:t>
            </w:r>
          </w:p>
        </w:tc>
        <w:tc>
          <w:tcPr>
            <w:tcW w:type="dxa" w:w="3744"/>
          </w:tcPr>
          <w:p>
            <w:pPr>
              <w:spacing w:after="0"/>
            </w:pPr>
            <w:r/>
            <w:r>
              <w:rPr>
                <w:sz w:val="17"/>
              </w:rPr>
              <w:t>Safety reporting: no 7-/15-day IND safety report timelines, no SUSAR/suspected adverse reaction definitions, 48-hour investigator SAE window, screening-period SAEs not captured</w:t>
            </w:r>
          </w:p>
        </w:tc>
        <w:tc>
          <w:tcPr>
            <w:tcW w:type="dxa" w:w="1080"/>
            <w:shd w:val="clear" w:color="auto" w:fill="FCE5CD"/>
          </w:tcPr>
          <w:p>
            <w:pPr>
              <w:spacing w:after="0"/>
            </w:pPr>
            <w:r/>
            <w:r>
              <w:rPr>
                <w:sz w:val="17"/>
              </w:rPr>
              <w:t>Major</w:t>
            </w:r>
          </w:p>
        </w:tc>
        <w:tc>
          <w:tcPr>
            <w:tcW w:type="dxa" w:w="1728"/>
          </w:tcPr>
          <w:p>
            <w:pPr>
              <w:spacing w:after="0"/>
            </w:pPr>
            <w:r/>
            <w:r>
              <w:rPr>
                <w:sz w:val="17"/>
              </w:rPr>
              <w:t>§9.1–9.2</w:t>
            </w:r>
          </w:p>
        </w:tc>
        <w:tc>
          <w:tcPr>
            <w:tcW w:type="dxa" w:w="2160"/>
          </w:tcPr>
          <w:p>
            <w:pPr>
              <w:spacing w:after="0"/>
            </w:pPr>
            <w:r/>
            <w:r>
              <w:rPr>
                <w:sz w:val="17"/>
              </w:rPr>
              <w:t>21 CFR 312.32; 312.64(b); FDA Safety Reporting Guidance (2012)</w:t>
            </w:r>
          </w:p>
        </w:tc>
      </w:tr>
      <w:tr>
        <w:tc>
          <w:tcPr>
            <w:tcW w:type="dxa" w:w="648"/>
          </w:tcPr>
          <w:p>
            <w:pPr>
              <w:spacing w:after="0"/>
            </w:pPr>
            <w:r/>
            <w:r>
              <w:rPr>
                <w:sz w:val="17"/>
              </w:rPr>
              <w:t>M-2</w:t>
            </w:r>
          </w:p>
        </w:tc>
        <w:tc>
          <w:tcPr>
            <w:tcW w:type="dxa" w:w="3744"/>
          </w:tcPr>
          <w:p>
            <w:pPr>
              <w:spacing w:after="0"/>
            </w:pPr>
            <w:r/>
            <w:r>
              <w:rPr>
                <w:sz w:val="17"/>
              </w:rPr>
              <w:t>No Health Canada / Division 5 framework for 6 Canadian sites</w:t>
            </w:r>
          </w:p>
        </w:tc>
        <w:tc>
          <w:tcPr>
            <w:tcW w:type="dxa" w:w="1080"/>
            <w:shd w:val="clear" w:color="auto" w:fill="FCE5CD"/>
          </w:tcPr>
          <w:p>
            <w:pPr>
              <w:spacing w:after="0"/>
            </w:pPr>
            <w:r/>
            <w:r>
              <w:rPr>
                <w:sz w:val="17"/>
              </w:rPr>
              <w:t>Major</w:t>
            </w:r>
          </w:p>
        </w:tc>
        <w:tc>
          <w:tcPr>
            <w:tcW w:type="dxa" w:w="1728"/>
          </w:tcPr>
          <w:p>
            <w:pPr>
              <w:spacing w:after="0"/>
            </w:pPr>
            <w:r/>
            <w:r>
              <w:rPr>
                <w:sz w:val="17"/>
              </w:rPr>
              <w:t>§2.2; §11.2; §12.3; §13; App. A</w:t>
            </w:r>
          </w:p>
        </w:tc>
        <w:tc>
          <w:tcPr>
            <w:tcW w:type="dxa" w:w="2160"/>
          </w:tcPr>
          <w:p>
            <w:pPr>
              <w:spacing w:after="0"/>
            </w:pPr>
            <w:r/>
            <w:r>
              <w:rPr>
                <w:sz w:val="17"/>
              </w:rPr>
              <w:t>Food and Drug Regulations C.05.001–C.05.017; ICH E6(R2)</w:t>
            </w:r>
          </w:p>
        </w:tc>
      </w:tr>
      <w:tr>
        <w:tc>
          <w:tcPr>
            <w:tcW w:type="dxa" w:w="648"/>
          </w:tcPr>
          <w:p>
            <w:pPr>
              <w:spacing w:after="0"/>
            </w:pPr>
            <w:r/>
            <w:r>
              <w:rPr>
                <w:sz w:val="17"/>
              </w:rPr>
              <w:t>M-3</w:t>
            </w:r>
          </w:p>
        </w:tc>
        <w:tc>
          <w:tcPr>
            <w:tcW w:type="dxa" w:w="3744"/>
          </w:tcPr>
          <w:p>
            <w:pPr>
              <w:spacing w:after="0"/>
            </w:pPr>
            <w:r/>
            <w:r>
              <w:rPr>
                <w:sz w:val="17"/>
              </w:rPr>
              <w:t>No 21 CFR Part 11 provisions for TrialVault EDC</w:t>
            </w:r>
          </w:p>
        </w:tc>
        <w:tc>
          <w:tcPr>
            <w:tcW w:type="dxa" w:w="1080"/>
            <w:shd w:val="clear" w:color="auto" w:fill="FCE5CD"/>
          </w:tcPr>
          <w:p>
            <w:pPr>
              <w:spacing w:after="0"/>
            </w:pPr>
            <w:r/>
            <w:r>
              <w:rPr>
                <w:sz w:val="17"/>
              </w:rPr>
              <w:t>Major</w:t>
            </w:r>
          </w:p>
        </w:tc>
        <w:tc>
          <w:tcPr>
            <w:tcW w:type="dxa" w:w="1728"/>
          </w:tcPr>
          <w:p>
            <w:pPr>
              <w:spacing w:after="0"/>
            </w:pPr>
            <w:r/>
            <w:r>
              <w:rPr>
                <w:sz w:val="17"/>
              </w:rPr>
              <w:t>§12.1</w:t>
            </w:r>
          </w:p>
        </w:tc>
        <w:tc>
          <w:tcPr>
            <w:tcW w:type="dxa" w:w="2160"/>
          </w:tcPr>
          <w:p>
            <w:pPr>
              <w:spacing w:after="0"/>
            </w:pPr>
            <w:r/>
            <w:r>
              <w:rPr>
                <w:sz w:val="17"/>
              </w:rPr>
              <w:t>21 CFR Part 11; ICH E6(R2) 5.5.3; Minutes §5</w:t>
            </w:r>
          </w:p>
        </w:tc>
      </w:tr>
      <w:tr>
        <w:tc>
          <w:tcPr>
            <w:tcW w:type="dxa" w:w="648"/>
          </w:tcPr>
          <w:p>
            <w:pPr>
              <w:spacing w:after="0"/>
            </w:pPr>
            <w:r/>
            <w:r>
              <w:rPr>
                <w:sz w:val="17"/>
              </w:rPr>
              <w:t>M-4</w:t>
            </w:r>
          </w:p>
        </w:tc>
        <w:tc>
          <w:tcPr>
            <w:tcW w:type="dxa" w:w="3744"/>
          </w:tcPr>
          <w:p>
            <w:pPr>
              <w:spacing w:after="0"/>
            </w:pPr>
            <w:r/>
            <w:r>
              <w:rPr>
                <w:sz w:val="17"/>
              </w:rPr>
              <w:t>No gating of dosing beyond Week 26 on 39-week chronic toxicology</w:t>
            </w:r>
          </w:p>
        </w:tc>
        <w:tc>
          <w:tcPr>
            <w:tcW w:type="dxa" w:w="1080"/>
            <w:shd w:val="clear" w:color="auto" w:fill="FCE5CD"/>
          </w:tcPr>
          <w:p>
            <w:pPr>
              <w:spacing w:after="0"/>
            </w:pPr>
            <w:r/>
            <w:r>
              <w:rPr>
                <w:sz w:val="17"/>
              </w:rPr>
              <w:t>Major</w:t>
            </w:r>
          </w:p>
        </w:tc>
        <w:tc>
          <w:tcPr>
            <w:tcW w:type="dxa" w:w="1728"/>
          </w:tcPr>
          <w:p>
            <w:pPr>
              <w:spacing w:after="0"/>
            </w:pPr>
            <w:r/>
            <w:r>
              <w:rPr>
                <w:sz w:val="17"/>
              </w:rPr>
              <w:t>§2.1; §5.2; §13.1</w:t>
            </w:r>
          </w:p>
        </w:tc>
        <w:tc>
          <w:tcPr>
            <w:tcW w:type="dxa" w:w="2160"/>
          </w:tcPr>
          <w:p>
            <w:pPr>
              <w:spacing w:after="0"/>
            </w:pPr>
            <w:r/>
            <w:r>
              <w:rPr>
                <w:sz w:val="17"/>
              </w:rPr>
              <w:t>Minutes §4.7, AI 3; ICH M3(R2) §5</w:t>
            </w:r>
          </w:p>
        </w:tc>
      </w:tr>
      <w:tr>
        <w:tc>
          <w:tcPr>
            <w:tcW w:type="dxa" w:w="648"/>
          </w:tcPr>
          <w:p>
            <w:pPr>
              <w:spacing w:after="0"/>
            </w:pPr>
            <w:r/>
            <w:r>
              <w:rPr>
                <w:sz w:val="17"/>
              </w:rPr>
              <w:t>M-5</w:t>
            </w:r>
          </w:p>
        </w:tc>
        <w:tc>
          <w:tcPr>
            <w:tcW w:type="dxa" w:w="3744"/>
          </w:tcPr>
          <w:p>
            <w:pPr>
              <w:spacing w:after="0"/>
            </w:pPr>
            <w:r/>
            <w:r>
              <w:rPr>
                <w:sz w:val="17"/>
              </w:rPr>
              <w:t>Hepatic laboratory monitoring less frequent than FDA recommended; incomplete interruption / re-challenge rules</w:t>
            </w:r>
          </w:p>
        </w:tc>
        <w:tc>
          <w:tcPr>
            <w:tcW w:type="dxa" w:w="1080"/>
            <w:shd w:val="clear" w:color="auto" w:fill="FCE5CD"/>
          </w:tcPr>
          <w:p>
            <w:pPr>
              <w:spacing w:after="0"/>
            </w:pPr>
            <w:r/>
            <w:r>
              <w:rPr>
                <w:sz w:val="17"/>
              </w:rPr>
              <w:t>Major</w:t>
            </w:r>
          </w:p>
        </w:tc>
        <w:tc>
          <w:tcPr>
            <w:tcW w:type="dxa" w:w="1728"/>
          </w:tcPr>
          <w:p>
            <w:pPr>
              <w:spacing w:after="0"/>
            </w:pPr>
            <w:r/>
            <w:r>
              <w:rPr>
                <w:sz w:val="17"/>
              </w:rPr>
              <w:t>Table 4; §9.5</w:t>
            </w:r>
          </w:p>
        </w:tc>
        <w:tc>
          <w:tcPr>
            <w:tcW w:type="dxa" w:w="2160"/>
          </w:tcPr>
          <w:p>
            <w:pPr>
              <w:spacing w:after="0"/>
            </w:pPr>
            <w:r/>
            <w:r>
              <w:rPr>
                <w:sz w:val="17"/>
              </w:rPr>
              <w:t>Minutes §4.5; FDA DILI Guidance (2009)</w:t>
            </w:r>
          </w:p>
        </w:tc>
      </w:tr>
      <w:tr>
        <w:tc>
          <w:tcPr>
            <w:tcW w:type="dxa" w:w="648"/>
          </w:tcPr>
          <w:p>
            <w:pPr>
              <w:spacing w:after="0"/>
            </w:pPr>
            <w:r/>
            <w:r>
              <w:rPr>
                <w:sz w:val="17"/>
              </w:rPr>
              <w:t>M-6</w:t>
            </w:r>
          </w:p>
        </w:tc>
        <w:tc>
          <w:tcPr>
            <w:tcW w:type="dxa" w:w="3744"/>
          </w:tcPr>
          <w:p>
            <w:pPr>
              <w:spacing w:after="0"/>
            </w:pPr>
            <w:r/>
            <w:r>
              <w:rPr>
                <w:sz w:val="17"/>
              </w:rPr>
              <w:t>Biopsy adequacy criteria differ from FDA’s; no repeat-biopsy procedure or window</w:t>
            </w:r>
          </w:p>
        </w:tc>
        <w:tc>
          <w:tcPr>
            <w:tcW w:type="dxa" w:w="1080"/>
            <w:shd w:val="clear" w:color="auto" w:fill="FCE5CD"/>
          </w:tcPr>
          <w:p>
            <w:pPr>
              <w:spacing w:after="0"/>
            </w:pPr>
            <w:r/>
            <w:r>
              <w:rPr>
                <w:sz w:val="17"/>
              </w:rPr>
              <w:t>Major</w:t>
            </w:r>
          </w:p>
        </w:tc>
        <w:tc>
          <w:tcPr>
            <w:tcW w:type="dxa" w:w="1728"/>
          </w:tcPr>
          <w:p>
            <w:pPr>
              <w:spacing w:after="0"/>
            </w:pPr>
            <w:r/>
            <w:r>
              <w:rPr>
                <w:sz w:val="17"/>
              </w:rPr>
              <w:t>§8.1; §6.3; Incl. 2, 6</w:t>
            </w:r>
          </w:p>
        </w:tc>
        <w:tc>
          <w:tcPr>
            <w:tcW w:type="dxa" w:w="2160"/>
          </w:tcPr>
          <w:p>
            <w:pPr>
              <w:spacing w:after="0"/>
            </w:pPr>
            <w:r/>
            <w:r>
              <w:rPr>
                <w:sz w:val="17"/>
              </w:rPr>
              <w:t>Minutes §4.1, AI 4</w:t>
            </w:r>
          </w:p>
        </w:tc>
      </w:tr>
      <w:tr>
        <w:tc>
          <w:tcPr>
            <w:tcW w:type="dxa" w:w="648"/>
          </w:tcPr>
          <w:p>
            <w:pPr>
              <w:spacing w:after="0"/>
            </w:pPr>
            <w:r/>
            <w:r>
              <w:rPr>
                <w:sz w:val="17"/>
              </w:rPr>
              <w:t>M-7</w:t>
            </w:r>
          </w:p>
        </w:tc>
        <w:tc>
          <w:tcPr>
            <w:tcW w:type="dxa" w:w="3744"/>
          </w:tcPr>
          <w:p>
            <w:pPr>
              <w:spacing w:after="0"/>
            </w:pPr>
            <w:r/>
            <w:r>
              <w:rPr>
                <w:sz w:val="17"/>
              </w:rPr>
              <w:t>Sample-size calculation does not support stated power; no multiplicity or interim alpha adjustment</w:t>
            </w:r>
          </w:p>
        </w:tc>
        <w:tc>
          <w:tcPr>
            <w:tcW w:type="dxa" w:w="1080"/>
            <w:shd w:val="clear" w:color="auto" w:fill="FCE5CD"/>
          </w:tcPr>
          <w:p>
            <w:pPr>
              <w:spacing w:after="0"/>
            </w:pPr>
            <w:r/>
            <w:r>
              <w:rPr>
                <w:sz w:val="17"/>
              </w:rPr>
              <w:t>Major</w:t>
            </w:r>
          </w:p>
        </w:tc>
        <w:tc>
          <w:tcPr>
            <w:tcW w:type="dxa" w:w="1728"/>
          </w:tcPr>
          <w:p>
            <w:pPr>
              <w:spacing w:after="0"/>
            </w:pPr>
            <w:r/>
            <w:r>
              <w:rPr>
                <w:sz w:val="17"/>
              </w:rPr>
              <w:t>§10.1; Table 1; Table 5</w:t>
            </w:r>
          </w:p>
        </w:tc>
        <w:tc>
          <w:tcPr>
            <w:tcW w:type="dxa" w:w="2160"/>
          </w:tcPr>
          <w:p>
            <w:pPr>
              <w:spacing w:after="0"/>
            </w:pPr>
            <w:r/>
            <w:r>
              <w:rPr>
                <w:sz w:val="17"/>
              </w:rPr>
              <w:t>ICH E9; 312.23(a)(6)(iii); Minutes §5</w:t>
            </w:r>
          </w:p>
        </w:tc>
      </w:tr>
      <w:tr>
        <w:tc>
          <w:tcPr>
            <w:tcW w:type="dxa" w:w="648"/>
          </w:tcPr>
          <w:p>
            <w:pPr>
              <w:spacing w:after="0"/>
            </w:pPr>
            <w:r/>
            <w:r>
              <w:rPr>
                <w:sz w:val="17"/>
              </w:rPr>
              <w:t>M-8</w:t>
            </w:r>
          </w:p>
        </w:tc>
        <w:tc>
          <w:tcPr>
            <w:tcW w:type="dxa" w:w="3744"/>
          </w:tcPr>
          <w:p>
            <w:pPr>
              <w:spacing w:after="0"/>
            </w:pPr>
            <w:r/>
            <w:r>
              <w:rPr>
                <w:sz w:val="17"/>
              </w:rPr>
              <w:t>No estimand framework; ITT/mITT definitions are completer-based</w:t>
            </w:r>
          </w:p>
        </w:tc>
        <w:tc>
          <w:tcPr>
            <w:tcW w:type="dxa" w:w="1080"/>
            <w:shd w:val="clear" w:color="auto" w:fill="FCE5CD"/>
          </w:tcPr>
          <w:p>
            <w:pPr>
              <w:spacing w:after="0"/>
            </w:pPr>
            <w:r/>
            <w:r>
              <w:rPr>
                <w:sz w:val="17"/>
              </w:rPr>
              <w:t>Major</w:t>
            </w:r>
          </w:p>
        </w:tc>
        <w:tc>
          <w:tcPr>
            <w:tcW w:type="dxa" w:w="1728"/>
          </w:tcPr>
          <w:p>
            <w:pPr>
              <w:spacing w:after="0"/>
            </w:pPr>
            <w:r/>
            <w:r>
              <w:rPr>
                <w:sz w:val="17"/>
              </w:rPr>
              <w:t>§10.2; §10.4</w:t>
            </w:r>
          </w:p>
        </w:tc>
        <w:tc>
          <w:tcPr>
            <w:tcW w:type="dxa" w:w="2160"/>
          </w:tcPr>
          <w:p>
            <w:pPr>
              <w:spacing w:after="0"/>
            </w:pPr>
            <w:r/>
            <w:r>
              <w:rPr>
                <w:sz w:val="17"/>
              </w:rPr>
              <w:t>ICH E9(R1); Minutes §5</w:t>
            </w:r>
          </w:p>
        </w:tc>
      </w:tr>
      <w:tr>
        <w:tc>
          <w:tcPr>
            <w:tcW w:type="dxa" w:w="648"/>
          </w:tcPr>
          <w:p>
            <w:pPr>
              <w:spacing w:after="0"/>
            </w:pPr>
            <w:r/>
            <w:r>
              <w:rPr>
                <w:sz w:val="17"/>
              </w:rPr>
              <w:t>M-9</w:t>
            </w:r>
          </w:p>
        </w:tc>
        <w:tc>
          <w:tcPr>
            <w:tcW w:type="dxa" w:w="3744"/>
          </w:tcPr>
          <w:p>
            <w:pPr>
              <w:spacing w:after="0"/>
            </w:pPr>
            <w:r/>
            <w:r>
              <w:rPr>
                <w:sz w:val="17"/>
              </w:rPr>
              <w:t>ICF duration (“12 months”) and procedure descriptions inaccurate or incomplete</w:t>
            </w:r>
          </w:p>
        </w:tc>
        <w:tc>
          <w:tcPr>
            <w:tcW w:type="dxa" w:w="1080"/>
            <w:shd w:val="clear" w:color="auto" w:fill="FCE5CD"/>
          </w:tcPr>
          <w:p>
            <w:pPr>
              <w:spacing w:after="0"/>
            </w:pPr>
            <w:r/>
            <w:r>
              <w:rPr>
                <w:sz w:val="17"/>
              </w:rPr>
              <w:t>Major</w:t>
            </w:r>
          </w:p>
        </w:tc>
        <w:tc>
          <w:tcPr>
            <w:tcW w:type="dxa" w:w="1728"/>
          </w:tcPr>
          <w:p>
            <w:pPr>
              <w:spacing w:after="0"/>
            </w:pPr>
            <w:r/>
            <w:r>
              <w:rPr>
                <w:sz w:val="17"/>
              </w:rPr>
              <w:t>App. A §A2</w:t>
            </w:r>
          </w:p>
        </w:tc>
        <w:tc>
          <w:tcPr>
            <w:tcW w:type="dxa" w:w="2160"/>
          </w:tcPr>
          <w:p>
            <w:pPr>
              <w:spacing w:after="0"/>
            </w:pPr>
            <w:r/>
            <w:r>
              <w:rPr>
                <w:sz w:val="17"/>
              </w:rPr>
              <w:t>21 CFR 50.25(a)(1)</w:t>
            </w:r>
          </w:p>
        </w:tc>
      </w:tr>
      <w:tr>
        <w:tc>
          <w:tcPr>
            <w:tcW w:type="dxa" w:w="648"/>
          </w:tcPr>
          <w:p>
            <w:pPr>
              <w:spacing w:after="0"/>
            </w:pPr>
            <w:r/>
            <w:r>
              <w:rPr>
                <w:sz w:val="17"/>
              </w:rPr>
              <w:t>M-10</w:t>
            </w:r>
          </w:p>
        </w:tc>
        <w:tc>
          <w:tcPr>
            <w:tcW w:type="dxa" w:w="3744"/>
          </w:tcPr>
          <w:p>
            <w:pPr>
              <w:spacing w:after="0"/>
            </w:pPr>
            <w:r/>
            <w:r>
              <w:rPr>
                <w:sz w:val="17"/>
              </w:rPr>
              <w:t>ICF risk disclosure incomplete</w:t>
            </w:r>
          </w:p>
        </w:tc>
        <w:tc>
          <w:tcPr>
            <w:tcW w:type="dxa" w:w="1080"/>
            <w:shd w:val="clear" w:color="auto" w:fill="FCE5CD"/>
          </w:tcPr>
          <w:p>
            <w:pPr>
              <w:spacing w:after="0"/>
            </w:pPr>
            <w:r/>
            <w:r>
              <w:rPr>
                <w:sz w:val="17"/>
              </w:rPr>
              <w:t>Major</w:t>
            </w:r>
          </w:p>
        </w:tc>
        <w:tc>
          <w:tcPr>
            <w:tcW w:type="dxa" w:w="1728"/>
          </w:tcPr>
          <w:p>
            <w:pPr>
              <w:spacing w:after="0"/>
            </w:pPr>
            <w:r/>
            <w:r>
              <w:rPr>
                <w:sz w:val="17"/>
              </w:rPr>
              <w:t>App. A §A3</w:t>
            </w:r>
          </w:p>
        </w:tc>
        <w:tc>
          <w:tcPr>
            <w:tcW w:type="dxa" w:w="2160"/>
          </w:tcPr>
          <w:p>
            <w:pPr>
              <w:spacing w:after="0"/>
            </w:pPr>
            <w:r/>
            <w:r>
              <w:rPr>
                <w:sz w:val="17"/>
              </w:rPr>
              <w:t>21 CFR 50.25(a)(2); ICH E6(R2) 4.8.10</w:t>
            </w:r>
          </w:p>
        </w:tc>
      </w:tr>
      <w:tr>
        <w:tc>
          <w:tcPr>
            <w:tcW w:type="dxa" w:w="648"/>
          </w:tcPr>
          <w:p>
            <w:pPr>
              <w:spacing w:after="0"/>
            </w:pPr>
            <w:r/>
            <w:r>
              <w:rPr>
                <w:sz w:val="17"/>
              </w:rPr>
              <w:t>M-11</w:t>
            </w:r>
          </w:p>
        </w:tc>
        <w:tc>
          <w:tcPr>
            <w:tcW w:type="dxa" w:w="3744"/>
          </w:tcPr>
          <w:p>
            <w:pPr>
              <w:spacing w:after="0"/>
            </w:pPr>
            <w:r/>
            <w:r>
              <w:rPr>
                <w:sz w:val="17"/>
              </w:rPr>
              <w:t>Protocol and ICF state there is no approved NASH therapy (resmetirom approved 3/14/2024); prohibited-medication list silent</w:t>
            </w:r>
          </w:p>
        </w:tc>
        <w:tc>
          <w:tcPr>
            <w:tcW w:type="dxa" w:w="1080"/>
            <w:shd w:val="clear" w:color="auto" w:fill="FCE5CD"/>
          </w:tcPr>
          <w:p>
            <w:pPr>
              <w:spacing w:after="0"/>
            </w:pPr>
            <w:r/>
            <w:r>
              <w:rPr>
                <w:sz w:val="17"/>
              </w:rPr>
              <w:t>Major</w:t>
            </w:r>
          </w:p>
        </w:tc>
        <w:tc>
          <w:tcPr>
            <w:tcW w:type="dxa" w:w="1728"/>
          </w:tcPr>
          <w:p>
            <w:pPr>
              <w:spacing w:after="0"/>
            </w:pPr>
            <w:r/>
            <w:r>
              <w:rPr>
                <w:sz w:val="17"/>
              </w:rPr>
              <w:t>§2.1; §5.4; App. A §A5</w:t>
            </w:r>
          </w:p>
        </w:tc>
        <w:tc>
          <w:tcPr>
            <w:tcW w:type="dxa" w:w="2160"/>
          </w:tcPr>
          <w:p>
            <w:pPr>
              <w:spacing w:after="0"/>
            </w:pPr>
            <w:r/>
            <w:r>
              <w:rPr>
                <w:sz w:val="17"/>
              </w:rPr>
              <w:t>21 CFR 50.25(a)(4); 312.23(a)(6)</w:t>
            </w:r>
          </w:p>
        </w:tc>
      </w:tr>
      <w:tr>
        <w:tc>
          <w:tcPr>
            <w:tcW w:type="dxa" w:w="648"/>
          </w:tcPr>
          <w:p>
            <w:pPr>
              <w:spacing w:after="0"/>
            </w:pPr>
            <w:r/>
            <w:r>
              <w:rPr>
                <w:sz w:val="17"/>
              </w:rPr>
              <w:t>M-12</w:t>
            </w:r>
          </w:p>
        </w:tc>
        <w:tc>
          <w:tcPr>
            <w:tcW w:type="dxa" w:w="3744"/>
          </w:tcPr>
          <w:p>
            <w:pPr>
              <w:spacing w:after="0"/>
            </w:pPr>
            <w:r/>
            <w:r>
              <w:rPr>
                <w:sz w:val="17"/>
              </w:rPr>
              <w:t>ICF additional elements and ancillary disclosures (new findings, injury contact, genetic testing and sample storage, HIPAA, withdrawal)</w:t>
            </w:r>
          </w:p>
        </w:tc>
        <w:tc>
          <w:tcPr>
            <w:tcW w:type="dxa" w:w="1080"/>
            <w:shd w:val="clear" w:color="auto" w:fill="FCE5CD"/>
          </w:tcPr>
          <w:p>
            <w:pPr>
              <w:spacing w:after="0"/>
            </w:pPr>
            <w:r/>
            <w:r>
              <w:rPr>
                <w:sz w:val="17"/>
              </w:rPr>
              <w:t>Major</w:t>
            </w:r>
          </w:p>
        </w:tc>
        <w:tc>
          <w:tcPr>
            <w:tcW w:type="dxa" w:w="1728"/>
          </w:tcPr>
          <w:p>
            <w:pPr>
              <w:spacing w:after="0"/>
            </w:pPr>
            <w:r/>
            <w:r>
              <w:rPr>
                <w:sz w:val="17"/>
              </w:rPr>
              <w:t>App. A; §3.3; §8.1; §11.4</w:t>
            </w:r>
          </w:p>
        </w:tc>
        <w:tc>
          <w:tcPr>
            <w:tcW w:type="dxa" w:w="2160"/>
          </w:tcPr>
          <w:p>
            <w:pPr>
              <w:spacing w:after="0"/>
            </w:pPr>
            <w:r/>
            <w:r>
              <w:rPr>
                <w:sz w:val="17"/>
              </w:rPr>
              <w:t>21 CFR 50.25(a)(7), (b)(3)–(5); 45 CFR 164.508</w:t>
            </w:r>
          </w:p>
        </w:tc>
      </w:tr>
      <w:tr>
        <w:tc>
          <w:tcPr>
            <w:tcW w:type="dxa" w:w="648"/>
          </w:tcPr>
          <w:p>
            <w:pPr>
              <w:spacing w:after="0"/>
            </w:pPr>
            <w:r/>
            <w:r>
              <w:rPr>
                <w:sz w:val="17"/>
              </w:rPr>
              <w:t>M-13</w:t>
            </w:r>
          </w:p>
        </w:tc>
        <w:tc>
          <w:tcPr>
            <w:tcW w:type="dxa" w:w="3744"/>
          </w:tcPr>
          <w:p>
            <w:pPr>
              <w:spacing w:after="0"/>
            </w:pPr>
            <w:r/>
            <w:r>
              <w:rPr>
                <w:sz w:val="17"/>
              </w:rPr>
              <w:t>Working Regulatory Requirements Checklist populated against wrong protocol version</w:t>
            </w:r>
          </w:p>
        </w:tc>
        <w:tc>
          <w:tcPr>
            <w:tcW w:type="dxa" w:w="1080"/>
            <w:shd w:val="clear" w:color="auto" w:fill="FCE5CD"/>
          </w:tcPr>
          <w:p>
            <w:pPr>
              <w:spacing w:after="0"/>
            </w:pPr>
            <w:r/>
            <w:r>
              <w:rPr>
                <w:sz w:val="17"/>
              </w:rPr>
              <w:t>Major</w:t>
            </w:r>
          </w:p>
        </w:tc>
        <w:tc>
          <w:tcPr>
            <w:tcW w:type="dxa" w:w="1728"/>
          </w:tcPr>
          <w:p>
            <w:pPr>
              <w:spacing w:after="0"/>
            </w:pPr>
            <w:r/>
            <w:r>
              <w:rPr>
                <w:sz w:val="17"/>
              </w:rPr>
              <w:t>Checklist (all tabs)</w:t>
            </w:r>
          </w:p>
        </w:tc>
        <w:tc>
          <w:tcPr>
            <w:tcW w:type="dxa" w:w="2160"/>
          </w:tcPr>
          <w:p>
            <w:pPr>
              <w:spacing w:after="0"/>
            </w:pPr>
            <w:r/>
            <w:r>
              <w:rPr>
                <w:sz w:val="17"/>
              </w:rPr>
              <w:t>Engagement letter §III.2</w:t>
            </w:r>
          </w:p>
        </w:tc>
      </w:tr>
      <w:tr>
        <w:tc>
          <w:tcPr>
            <w:tcW w:type="dxa" w:w="648"/>
          </w:tcPr>
          <w:p>
            <w:pPr>
              <w:spacing w:after="0"/>
            </w:pPr>
            <w:r/>
            <w:r>
              <w:rPr>
                <w:sz w:val="17"/>
              </w:rPr>
              <w:t>m-1</w:t>
            </w:r>
          </w:p>
        </w:tc>
        <w:tc>
          <w:tcPr>
            <w:tcW w:type="dxa" w:w="3744"/>
          </w:tcPr>
          <w:p>
            <w:pPr>
              <w:spacing w:after="0"/>
            </w:pPr>
            <w:r/>
            <w:r>
              <w:rPr>
                <w:sz w:val="17"/>
              </w:rPr>
              <w:t>Concomitant medications: pioglitazone, acetaminophen, washouts, stability windows</w:t>
            </w:r>
          </w:p>
        </w:tc>
        <w:tc>
          <w:tcPr>
            <w:tcW w:type="dxa" w:w="1080"/>
            <w:shd w:val="clear" w:color="auto" w:fill="FFF2CC"/>
          </w:tcPr>
          <w:p>
            <w:pPr>
              <w:spacing w:after="0"/>
            </w:pPr>
            <w:r/>
            <w:r>
              <w:rPr>
                <w:sz w:val="17"/>
              </w:rPr>
              <w:t>Minor</w:t>
            </w:r>
          </w:p>
        </w:tc>
        <w:tc>
          <w:tcPr>
            <w:tcW w:type="dxa" w:w="1728"/>
          </w:tcPr>
          <w:p>
            <w:pPr>
              <w:spacing w:after="0"/>
            </w:pPr>
            <w:r/>
            <w:r>
              <w:rPr>
                <w:sz w:val="17"/>
              </w:rPr>
              <w:t>§4.2(6); §5.4</w:t>
            </w:r>
          </w:p>
        </w:tc>
        <w:tc>
          <w:tcPr>
            <w:tcW w:type="dxa" w:w="2160"/>
          </w:tcPr>
          <w:p>
            <w:pPr>
              <w:spacing w:after="0"/>
            </w:pPr>
            <w:r/>
            <w:r>
              <w:rPr>
                <w:sz w:val="17"/>
              </w:rPr>
              <w:t>Minutes §4.3</w:t>
            </w:r>
          </w:p>
        </w:tc>
      </w:tr>
      <w:tr>
        <w:tc>
          <w:tcPr>
            <w:tcW w:type="dxa" w:w="648"/>
          </w:tcPr>
          <w:p>
            <w:pPr>
              <w:spacing w:after="0"/>
            </w:pPr>
            <w:r/>
            <w:r>
              <w:rPr>
                <w:sz w:val="17"/>
              </w:rPr>
              <w:t>m-2</w:t>
            </w:r>
          </w:p>
        </w:tc>
        <w:tc>
          <w:tcPr>
            <w:tcW w:type="dxa" w:w="3744"/>
          </w:tcPr>
          <w:p>
            <w:pPr>
              <w:spacing w:after="0"/>
            </w:pPr>
            <w:r/>
            <w:r>
              <w:rPr>
                <w:sz w:val="17"/>
              </w:rPr>
              <w:t>Secondary endpoint timepoints (Wk 24 vs. 26) and exploratory biomarkers</w:t>
            </w:r>
          </w:p>
        </w:tc>
        <w:tc>
          <w:tcPr>
            <w:tcW w:type="dxa" w:w="1080"/>
            <w:shd w:val="clear" w:color="auto" w:fill="FFF2CC"/>
          </w:tcPr>
          <w:p>
            <w:pPr>
              <w:spacing w:after="0"/>
            </w:pPr>
            <w:r/>
            <w:r>
              <w:rPr>
                <w:sz w:val="17"/>
              </w:rPr>
              <w:t>Minor</w:t>
            </w:r>
          </w:p>
        </w:tc>
        <w:tc>
          <w:tcPr>
            <w:tcW w:type="dxa" w:w="1728"/>
          </w:tcPr>
          <w:p>
            <w:pPr>
              <w:spacing w:after="0"/>
            </w:pPr>
            <w:r/>
            <w:r>
              <w:rPr>
                <w:sz w:val="17"/>
              </w:rPr>
              <w:t>§3.4.2; §8.2</w:t>
            </w:r>
          </w:p>
        </w:tc>
        <w:tc>
          <w:tcPr>
            <w:tcW w:type="dxa" w:w="2160"/>
          </w:tcPr>
          <w:p>
            <w:pPr>
              <w:spacing w:after="0"/>
            </w:pPr>
            <w:r/>
            <w:r>
              <w:rPr>
                <w:sz w:val="17"/>
              </w:rPr>
              <w:t>Minutes §5</w:t>
            </w:r>
          </w:p>
        </w:tc>
      </w:tr>
      <w:tr>
        <w:tc>
          <w:tcPr>
            <w:tcW w:type="dxa" w:w="648"/>
          </w:tcPr>
          <w:p>
            <w:pPr>
              <w:spacing w:after="0"/>
            </w:pPr>
            <w:r/>
            <w:r>
              <w:rPr>
                <w:sz w:val="17"/>
              </w:rPr>
              <w:t>m-3</w:t>
            </w:r>
          </w:p>
        </w:tc>
        <w:tc>
          <w:tcPr>
            <w:tcW w:type="dxa" w:w="3744"/>
          </w:tcPr>
          <w:p>
            <w:pPr>
              <w:spacing w:after="0"/>
            </w:pPr>
            <w:r/>
            <w:r>
              <w:rPr>
                <w:sz w:val="17"/>
              </w:rPr>
              <w:t>Class-effect monitoring (calcitonin, gallbladder, heart rate) and FDA nonclinical topics</w:t>
            </w:r>
          </w:p>
        </w:tc>
        <w:tc>
          <w:tcPr>
            <w:tcW w:type="dxa" w:w="1080"/>
            <w:shd w:val="clear" w:color="auto" w:fill="FFF2CC"/>
          </w:tcPr>
          <w:p>
            <w:pPr>
              <w:spacing w:after="0"/>
            </w:pPr>
            <w:r/>
            <w:r>
              <w:rPr>
                <w:sz w:val="17"/>
              </w:rPr>
              <w:t>Minor</w:t>
            </w:r>
          </w:p>
        </w:tc>
        <w:tc>
          <w:tcPr>
            <w:tcW w:type="dxa" w:w="1728"/>
          </w:tcPr>
          <w:p>
            <w:pPr>
              <w:spacing w:after="0"/>
            </w:pPr>
            <w:r/>
            <w:r>
              <w:rPr>
                <w:sz w:val="17"/>
              </w:rPr>
              <w:t>§9.2–9.3; Table 4</w:t>
            </w:r>
          </w:p>
        </w:tc>
        <w:tc>
          <w:tcPr>
            <w:tcW w:type="dxa" w:w="2160"/>
          </w:tcPr>
          <w:p>
            <w:pPr>
              <w:spacing w:after="0"/>
            </w:pPr>
            <w:r/>
            <w:r>
              <w:rPr>
                <w:sz w:val="17"/>
              </w:rPr>
              <w:t>Minutes §4.7</w:t>
            </w:r>
          </w:p>
        </w:tc>
      </w:tr>
      <w:tr>
        <w:tc>
          <w:tcPr>
            <w:tcW w:type="dxa" w:w="648"/>
          </w:tcPr>
          <w:p>
            <w:pPr>
              <w:spacing w:after="0"/>
            </w:pPr>
            <w:r/>
            <w:r>
              <w:rPr>
                <w:sz w:val="17"/>
              </w:rPr>
              <w:t>m-4</w:t>
            </w:r>
          </w:p>
        </w:tc>
        <w:tc>
          <w:tcPr>
            <w:tcW w:type="dxa" w:w="3744"/>
          </w:tcPr>
          <w:p>
            <w:pPr>
              <w:spacing w:after="0"/>
            </w:pPr>
            <w:r/>
            <w:r>
              <w:rPr>
                <w:sz w:val="17"/>
              </w:rPr>
              <w:t>Amendment process permits non-substantial changes without IRB approval</w:t>
            </w:r>
          </w:p>
        </w:tc>
        <w:tc>
          <w:tcPr>
            <w:tcW w:type="dxa" w:w="1080"/>
            <w:shd w:val="clear" w:color="auto" w:fill="FFF2CC"/>
          </w:tcPr>
          <w:p>
            <w:pPr>
              <w:spacing w:after="0"/>
            </w:pPr>
            <w:r/>
            <w:r>
              <w:rPr>
                <w:sz w:val="17"/>
              </w:rPr>
              <w:t>Minor</w:t>
            </w:r>
          </w:p>
        </w:tc>
        <w:tc>
          <w:tcPr>
            <w:tcW w:type="dxa" w:w="1728"/>
          </w:tcPr>
          <w:p>
            <w:pPr>
              <w:spacing w:after="0"/>
            </w:pPr>
            <w:r/>
            <w:r>
              <w:rPr>
                <w:sz w:val="17"/>
              </w:rPr>
              <w:t>§13.1–13.2</w:t>
            </w:r>
          </w:p>
        </w:tc>
        <w:tc>
          <w:tcPr>
            <w:tcW w:type="dxa" w:w="2160"/>
          </w:tcPr>
          <w:p>
            <w:pPr>
              <w:spacing w:after="0"/>
            </w:pPr>
            <w:r/>
            <w:r>
              <w:rPr>
                <w:sz w:val="17"/>
              </w:rPr>
              <w:t>21 CFR 56.108(a)(4); 312.30; 312.66</w:t>
            </w:r>
          </w:p>
        </w:tc>
      </w:tr>
      <w:tr>
        <w:tc>
          <w:tcPr>
            <w:tcW w:type="dxa" w:w="648"/>
          </w:tcPr>
          <w:p>
            <w:pPr>
              <w:spacing w:after="0"/>
            </w:pPr>
            <w:r/>
            <w:r>
              <w:rPr>
                <w:sz w:val="17"/>
              </w:rPr>
              <w:t>m-5</w:t>
            </w:r>
          </w:p>
        </w:tc>
        <w:tc>
          <w:tcPr>
            <w:tcW w:type="dxa" w:w="3744"/>
          </w:tcPr>
          <w:p>
            <w:pPr>
              <w:spacing w:after="0"/>
            </w:pPr>
            <w:r/>
            <w:r>
              <w:rPr>
                <w:sz w:val="17"/>
              </w:rPr>
              <w:t>Single-IRB citation to 45 CFR 46.114(b)</w:t>
            </w:r>
          </w:p>
        </w:tc>
        <w:tc>
          <w:tcPr>
            <w:tcW w:type="dxa" w:w="1080"/>
            <w:shd w:val="clear" w:color="auto" w:fill="FFF2CC"/>
          </w:tcPr>
          <w:p>
            <w:pPr>
              <w:spacing w:after="0"/>
            </w:pPr>
            <w:r/>
            <w:r>
              <w:rPr>
                <w:sz w:val="17"/>
              </w:rPr>
              <w:t>Minor</w:t>
            </w:r>
          </w:p>
        </w:tc>
        <w:tc>
          <w:tcPr>
            <w:tcW w:type="dxa" w:w="1728"/>
          </w:tcPr>
          <w:p>
            <w:pPr>
              <w:spacing w:after="0"/>
            </w:pPr>
            <w:r/>
            <w:r>
              <w:rPr>
                <w:sz w:val="17"/>
              </w:rPr>
              <w:t>§11.2</w:t>
            </w:r>
          </w:p>
        </w:tc>
        <w:tc>
          <w:tcPr>
            <w:tcW w:type="dxa" w:w="2160"/>
          </w:tcPr>
          <w:p>
            <w:pPr>
              <w:spacing w:after="0"/>
            </w:pPr>
            <w:r/>
            <w:r>
              <w:rPr>
                <w:sz w:val="17"/>
              </w:rPr>
              <w:t>21 CFR 56.114; 21 CFR Part 56</w:t>
            </w:r>
          </w:p>
        </w:tc>
      </w:tr>
      <w:tr>
        <w:tc>
          <w:tcPr>
            <w:tcW w:type="dxa" w:w="648"/>
          </w:tcPr>
          <w:p>
            <w:pPr>
              <w:spacing w:after="0"/>
            </w:pPr>
            <w:r/>
            <w:r>
              <w:rPr>
                <w:sz w:val="17"/>
              </w:rPr>
              <w:t>m-6</w:t>
            </w:r>
          </w:p>
        </w:tc>
        <w:tc>
          <w:tcPr>
            <w:tcW w:type="dxa" w:w="3744"/>
          </w:tcPr>
          <w:p>
            <w:pPr>
              <w:spacing w:after="0"/>
            </w:pPr>
            <w:r/>
            <w:r>
              <w:rPr>
                <w:sz w:val="17"/>
              </w:rPr>
              <w:t>Visit count and compensation arithmetic (16 vs. 17 visits)</w:t>
            </w:r>
          </w:p>
        </w:tc>
        <w:tc>
          <w:tcPr>
            <w:tcW w:type="dxa" w:w="1080"/>
            <w:shd w:val="clear" w:color="auto" w:fill="FFF2CC"/>
          </w:tcPr>
          <w:p>
            <w:pPr>
              <w:spacing w:after="0"/>
            </w:pPr>
            <w:r/>
            <w:r>
              <w:rPr>
                <w:sz w:val="17"/>
              </w:rPr>
              <w:t>Minor</w:t>
            </w:r>
          </w:p>
        </w:tc>
        <w:tc>
          <w:tcPr>
            <w:tcW w:type="dxa" w:w="1728"/>
          </w:tcPr>
          <w:p>
            <w:pPr>
              <w:spacing w:after="0"/>
            </w:pPr>
            <w:r/>
            <w:r>
              <w:rPr>
                <w:sz w:val="17"/>
              </w:rPr>
              <w:t>§13.4; App. A §A7</w:t>
            </w:r>
          </w:p>
        </w:tc>
        <w:tc>
          <w:tcPr>
            <w:tcW w:type="dxa" w:w="2160"/>
          </w:tcPr>
          <w:p>
            <w:pPr>
              <w:spacing w:after="0"/>
            </w:pPr>
            <w:r/>
            <w:r>
              <w:rPr>
                <w:sz w:val="17"/>
              </w:rPr>
              <w:t>21 CFR 50.20; 50.25(b)(3)</w:t>
            </w:r>
          </w:p>
        </w:tc>
      </w:tr>
      <w:tr>
        <w:tc>
          <w:tcPr>
            <w:tcW w:type="dxa" w:w="648"/>
          </w:tcPr>
          <w:p>
            <w:pPr>
              <w:spacing w:after="0"/>
            </w:pPr>
            <w:r/>
            <w:r>
              <w:rPr>
                <w:sz w:val="17"/>
              </w:rPr>
              <w:t>m-7</w:t>
            </w:r>
          </w:p>
        </w:tc>
        <w:tc>
          <w:tcPr>
            <w:tcW w:type="dxa" w:w="3744"/>
          </w:tcPr>
          <w:p>
            <w:pPr>
              <w:spacing w:after="0"/>
            </w:pPr>
            <w:r/>
            <w:r>
              <w:rPr>
                <w:sz w:val="17"/>
              </w:rPr>
              <w:t>Vulnerable populations, LAR, non-English speakers, Quebec French ICF</w:t>
            </w:r>
          </w:p>
        </w:tc>
        <w:tc>
          <w:tcPr>
            <w:tcW w:type="dxa" w:w="1080"/>
            <w:shd w:val="clear" w:color="auto" w:fill="FFF2CC"/>
          </w:tcPr>
          <w:p>
            <w:pPr>
              <w:spacing w:after="0"/>
            </w:pPr>
            <w:r/>
            <w:r>
              <w:rPr>
                <w:sz w:val="17"/>
              </w:rPr>
              <w:t>Minor</w:t>
            </w:r>
          </w:p>
        </w:tc>
        <w:tc>
          <w:tcPr>
            <w:tcW w:type="dxa" w:w="1728"/>
          </w:tcPr>
          <w:p>
            <w:pPr>
              <w:spacing w:after="0"/>
            </w:pPr>
            <w:r/>
            <w:r>
              <w:rPr>
                <w:sz w:val="17"/>
              </w:rPr>
              <w:t>§11.1; §11.3</w:t>
            </w:r>
          </w:p>
        </w:tc>
        <w:tc>
          <w:tcPr>
            <w:tcW w:type="dxa" w:w="2160"/>
          </w:tcPr>
          <w:p>
            <w:pPr>
              <w:spacing w:after="0"/>
            </w:pPr>
            <w:r/>
            <w:r>
              <w:rPr>
                <w:sz w:val="17"/>
              </w:rPr>
              <w:t>21 CFR 50.20, 50.27(b)(2); ICH E6(R2) 4.8</w:t>
            </w:r>
          </w:p>
        </w:tc>
      </w:tr>
      <w:tr>
        <w:tc>
          <w:tcPr>
            <w:tcW w:type="dxa" w:w="648"/>
          </w:tcPr>
          <w:p>
            <w:pPr>
              <w:spacing w:after="0"/>
            </w:pPr>
            <w:r/>
            <w:r>
              <w:rPr>
                <w:sz w:val="17"/>
              </w:rPr>
              <w:t>m-8</w:t>
            </w:r>
          </w:p>
        </w:tc>
        <w:tc>
          <w:tcPr>
            <w:tcW w:type="dxa" w:w="3744"/>
          </w:tcPr>
          <w:p>
            <w:pPr>
              <w:spacing w:after="0"/>
            </w:pPr>
            <w:r/>
            <w:r>
              <w:rPr>
                <w:sz w:val="17"/>
              </w:rPr>
              <w:t>Steering Committee review of “emerging data trends”; blinding governance</w:t>
            </w:r>
          </w:p>
        </w:tc>
        <w:tc>
          <w:tcPr>
            <w:tcW w:type="dxa" w:w="1080"/>
            <w:shd w:val="clear" w:color="auto" w:fill="FFF2CC"/>
          </w:tcPr>
          <w:p>
            <w:pPr>
              <w:spacing w:after="0"/>
            </w:pPr>
            <w:r/>
            <w:r>
              <w:rPr>
                <w:sz w:val="17"/>
              </w:rPr>
              <w:t>Minor</w:t>
            </w:r>
          </w:p>
        </w:tc>
        <w:tc>
          <w:tcPr>
            <w:tcW w:type="dxa" w:w="1728"/>
          </w:tcPr>
          <w:p>
            <w:pPr>
              <w:spacing w:after="0"/>
            </w:pPr>
            <w:r/>
            <w:r>
              <w:rPr>
                <w:sz w:val="17"/>
              </w:rPr>
              <w:t>§13.3</w:t>
            </w:r>
          </w:p>
        </w:tc>
        <w:tc>
          <w:tcPr>
            <w:tcW w:type="dxa" w:w="2160"/>
          </w:tcPr>
          <w:p>
            <w:pPr>
              <w:spacing w:after="0"/>
            </w:pPr>
            <w:r/>
            <w:r>
              <w:rPr>
                <w:sz w:val="17"/>
              </w:rPr>
              <w:t>ICH E9 §4.5; FDA DMC Guidance (2006)</w:t>
            </w:r>
          </w:p>
        </w:tc>
      </w:tr>
      <w:tr>
        <w:tc>
          <w:tcPr>
            <w:tcW w:type="dxa" w:w="648"/>
          </w:tcPr>
          <w:p>
            <w:pPr>
              <w:spacing w:after="0"/>
            </w:pPr>
            <w:r/>
            <w:r>
              <w:rPr>
                <w:sz w:val="17"/>
              </w:rPr>
              <w:t>m-9</w:t>
            </w:r>
          </w:p>
        </w:tc>
        <w:tc>
          <w:tcPr>
            <w:tcW w:type="dxa" w:w="3744"/>
          </w:tcPr>
          <w:p>
            <w:pPr>
              <w:spacing w:after="0"/>
            </w:pPr>
            <w:r/>
            <w:r>
              <w:rPr>
                <w:sz w:val="17"/>
              </w:rPr>
              <w:t>No enrollment-diversity strategy</w:t>
            </w:r>
          </w:p>
        </w:tc>
        <w:tc>
          <w:tcPr>
            <w:tcW w:type="dxa" w:w="1080"/>
            <w:shd w:val="clear" w:color="auto" w:fill="FFF2CC"/>
          </w:tcPr>
          <w:p>
            <w:pPr>
              <w:spacing w:after="0"/>
            </w:pPr>
            <w:r/>
            <w:r>
              <w:rPr>
                <w:sz w:val="17"/>
              </w:rPr>
              <w:t>Minor</w:t>
            </w:r>
          </w:p>
        </w:tc>
        <w:tc>
          <w:tcPr>
            <w:tcW w:type="dxa" w:w="1728"/>
          </w:tcPr>
          <w:p>
            <w:pPr>
              <w:spacing w:after="0"/>
            </w:pPr>
            <w:r/>
            <w:r>
              <w:rPr>
                <w:sz w:val="17"/>
              </w:rPr>
              <w:t>§4; §12.2</w:t>
            </w:r>
          </w:p>
        </w:tc>
        <w:tc>
          <w:tcPr>
            <w:tcW w:type="dxa" w:w="2160"/>
          </w:tcPr>
          <w:p>
            <w:pPr>
              <w:spacing w:after="0"/>
            </w:pPr>
            <w:r/>
            <w:r>
              <w:rPr>
                <w:sz w:val="17"/>
              </w:rPr>
              <w:t>Minutes §4.3; FDA Diversity Guidance (Nov. 2020)</w:t>
            </w:r>
          </w:p>
        </w:tc>
      </w:tr>
      <w:tr>
        <w:tc>
          <w:tcPr>
            <w:tcW w:type="dxa" w:w="648"/>
          </w:tcPr>
          <w:p>
            <w:pPr>
              <w:spacing w:after="0"/>
            </w:pPr>
            <w:r/>
            <w:r>
              <w:rPr>
                <w:sz w:val="17"/>
              </w:rPr>
              <w:t>m-10</w:t>
            </w:r>
          </w:p>
        </w:tc>
        <w:tc>
          <w:tcPr>
            <w:tcW w:type="dxa" w:w="3744"/>
          </w:tcPr>
          <w:p>
            <w:pPr>
              <w:spacing w:after="0"/>
            </w:pPr>
            <w:r/>
            <w:r>
              <w:rPr>
                <w:sz w:val="17"/>
              </w:rPr>
              <w:t>Internal inconsistencies (PK steady state; GIP vs. “GVP” in Minutes; “incorporated where appropriate”)</w:t>
            </w:r>
          </w:p>
        </w:tc>
        <w:tc>
          <w:tcPr>
            <w:tcW w:type="dxa" w:w="1080"/>
            <w:shd w:val="clear" w:color="auto" w:fill="FFF2CC"/>
          </w:tcPr>
          <w:p>
            <w:pPr>
              <w:spacing w:after="0"/>
            </w:pPr>
            <w:r/>
            <w:r>
              <w:rPr>
                <w:sz w:val="17"/>
              </w:rPr>
              <w:t>Minor</w:t>
            </w:r>
          </w:p>
        </w:tc>
        <w:tc>
          <w:tcPr>
            <w:tcW w:type="dxa" w:w="1728"/>
          </w:tcPr>
          <w:p>
            <w:pPr>
              <w:spacing w:after="0"/>
            </w:pPr>
            <w:r/>
            <w:r>
              <w:rPr>
                <w:sz w:val="17"/>
              </w:rPr>
              <w:t>§2.1; §7</w:t>
            </w:r>
          </w:p>
        </w:tc>
        <w:tc>
          <w:tcPr>
            <w:tcW w:type="dxa" w:w="2160"/>
          </w:tcPr>
          <w:p>
            <w:pPr>
              <w:spacing w:after="0"/>
            </w:pPr>
            <w:r/>
            <w:r>
              <w:rPr>
                <w:sz w:val="17"/>
              </w:rPr>
              <w:t>312.23(a)(6); Minutes cover / §3.1</w:t>
            </w:r>
          </w:p>
        </w:tc>
      </w:tr>
      <w:tr>
        <w:tc>
          <w:tcPr>
            <w:tcW w:type="dxa" w:w="648"/>
          </w:tcPr>
          <w:p>
            <w:pPr>
              <w:spacing w:after="0"/>
            </w:pPr>
            <w:r/>
            <w:r>
              <w:rPr>
                <w:sz w:val="17"/>
              </w:rPr>
              <w:t>O-1</w:t>
            </w:r>
          </w:p>
        </w:tc>
        <w:tc>
          <w:tcPr>
            <w:tcW w:type="dxa" w:w="3744"/>
          </w:tcPr>
          <w:p>
            <w:pPr>
              <w:spacing w:after="0"/>
            </w:pPr>
            <w:r/>
            <w:r>
              <w:rPr>
                <w:sz w:val="17"/>
              </w:rPr>
              <w:t>Observation (outside scope): Orphan Drug Designation rationale vs. Protocol epidemiology</w:t>
            </w:r>
          </w:p>
        </w:tc>
        <w:tc>
          <w:tcPr>
            <w:tcW w:type="dxa" w:w="1080"/>
          </w:tcPr>
          <w:p>
            <w:pPr>
              <w:spacing w:after="0"/>
            </w:pPr>
            <w:r/>
            <w:r>
              <w:rPr>
                <w:sz w:val="17"/>
              </w:rPr>
              <w:t>Observation</w:t>
            </w:r>
          </w:p>
        </w:tc>
        <w:tc>
          <w:tcPr>
            <w:tcW w:type="dxa" w:w="1728"/>
          </w:tcPr>
          <w:p>
            <w:pPr>
              <w:spacing w:after="0"/>
            </w:pPr>
            <w:r/>
            <w:r>
              <w:rPr>
                <w:sz w:val="17"/>
              </w:rPr>
              <w:t>§2.1</w:t>
            </w:r>
          </w:p>
        </w:tc>
        <w:tc>
          <w:tcPr>
            <w:tcW w:type="dxa" w:w="2160"/>
          </w:tcPr>
          <w:p>
            <w:pPr>
              <w:spacing w:after="0"/>
            </w:pPr>
            <w:r/>
            <w:r>
              <w:rPr>
                <w:sz w:val="17"/>
              </w:rPr>
              <w:t>21 CFR 316.20–316.21</w:t>
            </w:r>
          </w:p>
        </w:tc>
      </w:tr>
    </w:tbl>
    <w:p>
      <w:pPr>
        <w:spacing w:after="40"/>
      </w:pPr>
    </w:p>
    <w:p>
      <w:pPr>
        <w:pStyle w:val="Heading1"/>
      </w:pPr>
      <w:r>
        <w:t>IV. Detailed Findings and Remediation</w:t>
      </w:r>
    </w:p>
    <w:p>
      <w:pPr>
        <w:pStyle w:val="Heading2"/>
      </w:pPr>
      <w:r>
        <w:t>A. Deviations from the FDA Pre-IND Meeting Minutes</w:t>
      </w:r>
    </w:p>
    <w:p>
      <w:pPr>
        <w:spacing w:after="120"/>
        <w:jc w:val="both"/>
      </w:pPr>
      <w:r>
        <w:t>Under Section 6, Item 1 of the Minutes, Pinnacle agreed to revise the Protocol on six points. Under Item 4, it agreed to prespecify biopsy-adequacy criteria. Pinnacle did not dispute the Minutes within the 30-day window (Minutes, Disclaimer and §7), so FDA will treat them as the accurate record. Version 3.0 is dated six weeks after the Minutes but implements none of these items. We recommend that Version 4.0 add a short “Summary of Changes / Response to FDA Pre-IND Recommendations” table, mapping each Minutes item to the revised section, and that the IND cover letter cross-reference it. We also recommend that the sentence in §2.1 stating the recommendations “have been incorporated into the study design where appropriate” be replaced with that cross-reference. If Pinnacle decides to depart from any recommendation, the departure should be justified in writing in the IND, and Pinnacle should consider a Type C meeting or a written-response-only request (Minutes, AI 6).</w:t>
      </w:r>
    </w:p>
    <w:p>
      <w:pPr>
        <w:pStyle w:val="Heading3"/>
      </w:pPr>
      <w:r>
        <w:t>C-1  DSMB establishment is discretionary, not mandatory  [Critical]</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4CCCC"/>
          </w:tcPr>
          <w:p>
            <w:pPr>
              <w:spacing w:after="0"/>
            </w:pPr>
            <w:r/>
            <w:r>
              <w:rPr>
                <w:sz w:val="18"/>
              </w:rPr>
              <w:t>Critical</w:t>
            </w:r>
          </w:p>
        </w:tc>
      </w:tr>
      <w:tr>
        <w:tc>
          <w:tcPr>
            <w:tcW w:type="dxa" w:w="2304"/>
          </w:tcPr>
          <w:p>
            <w:pPr>
              <w:spacing w:after="0"/>
            </w:pPr>
            <w:r/>
            <w:r>
              <w:rPr>
                <w:sz w:val="18"/>
              </w:rPr>
              <w:t>Protocol / ICF reference</w:t>
            </w:r>
          </w:p>
        </w:tc>
        <w:tc>
          <w:tcPr>
            <w:tcW w:type="dxa" w:w="7056"/>
          </w:tcPr>
          <w:p>
            <w:pPr>
              <w:spacing w:after="0"/>
            </w:pPr>
            <w:r/>
            <w:r>
              <w:rPr>
                <w:sz w:val="18"/>
              </w:rPr>
              <w:t>§9.4 (“may be convened at the Sponsor’s discretion”; “If convened…”; charter finalized “prior to the first DSMB meeting”; “The Sponsor will retain ultimate responsibility”); §10.3 (“DSMB (if convened)”); §13.3</w:t>
            </w:r>
          </w:p>
        </w:tc>
      </w:tr>
      <w:tr>
        <w:tc>
          <w:tcPr>
            <w:tcW w:type="dxa" w:w="2304"/>
          </w:tcPr>
          <w:p>
            <w:pPr>
              <w:spacing w:after="0"/>
            </w:pPr>
            <w:r/>
            <w:r>
              <w:rPr>
                <w:sz w:val="18"/>
              </w:rPr>
              <w:t>Governing authority</w:t>
            </w:r>
          </w:p>
        </w:tc>
        <w:tc>
          <w:tcPr>
            <w:tcW w:type="dxa" w:w="7056"/>
          </w:tcPr>
          <w:p>
            <w:pPr>
              <w:spacing w:after="0"/>
            </w:pPr>
            <w:r/>
            <w:r>
              <w:rPr>
                <w:sz w:val="18"/>
              </w:rPr>
              <w:t>Minutes §4.4 and Action Item 1(d); 21 CFR 312.42(b); 21 CFR 312.50, 312.56; ICH E6(R2) 5.5.2; FDA Guidance, Establishment and Operation of Clinical Trial Data Monitoring Committees (2006)</w:t>
            </w:r>
          </w:p>
        </w:tc>
      </w:tr>
    </w:tbl>
    <w:p>
      <w:pPr>
        <w:spacing w:after="40"/>
      </w:pPr>
    </w:p>
    <w:p>
      <w:pPr>
        <w:spacing w:after="120"/>
        <w:jc w:val="both"/>
      </w:pPr>
      <w:r>
        <w:rPr>
          <w:b/>
        </w:rPr>
        <w:t>Deficiency.</w:t>
      </w:r>
      <w:r>
        <w:t xml:space="preserve"> FDA stated it “wishes to be clear and unequivocal” that an independent DSMB “is not optional for this study.” It cited the invasive biopsies, the 52-week duration, an F2–F3 population at risk of decompensation, and a novel dual agonist. FDA asked for: (i) members independent of the Sponsor, including at least a board-certified hepatologist with NASH trial experience, an independent biostatistician experienced in interim and adaptive analyses, and a clinical pharmacologist with GLP-1 or metabolic liver disease expertise; (ii) a written charter finalized before first enrollment; (iii) reviews after the first 90 subjects are dosed, at each interim analysis, whenever predefined safety signals emerge, and at the DSMB’s discretion; and (iv) authority to recommend dose or titration changes, arm termination, enrollment suspension or study discontinuation, with a Sponsor commitment to give recommendations serious and good-faith consideration. Section 9.4 contains none of these elements, and its charter-timing trigger (“prior to the first DSMB meeting”) is inconsistent with FDA’s “prior to the enrollment of the first subject.”</w:t>
      </w:r>
    </w:p>
    <w:p>
      <w:pPr>
        <w:spacing w:after="120"/>
        <w:jc w:val="both"/>
      </w:pPr>
      <w:r>
        <w:rPr>
          <w:b/>
        </w:rPr>
        <w:t>Regulatory risk.</w:t>
      </w:r>
      <w:r>
        <w:t xml:space="preserve"> FDA told Pinnacle in writing that the absence of a DSMB commitment “could contribute to a clinical hold determination under 21 CFR § 312.42.” This is the single most visible deviation from the Minutes and carries the highest hold risk. It also weakens other parts of the Protocol that depend on the DSMB: the interim analysis (§10.3) and the study-level stopping rules recommended by FDA (C-3).</w:t>
      </w:r>
    </w:p>
    <w:p>
      <w:pPr>
        <w:spacing w:after="40"/>
      </w:pPr>
      <w:r>
        <w:rPr>
          <w:b/>
        </w:rPr>
        <w:t>Recommended remediation.</w:t>
      </w:r>
    </w:p>
    <w:p>
      <w:pPr>
        <w:pStyle w:val="ListBullet"/>
        <w:spacing w:after="40"/>
      </w:pPr>
      <w:r>
        <w:t>Replace §9.4 in its entirety with mandatory language (below). Conform §10.3, §12.3 and §13.3 by deleting every “if convened” qualifier.</w:t>
      </w:r>
    </w:p>
    <w:p>
      <w:pPr>
        <w:pStyle w:val="ListBullet"/>
        <w:spacing w:after="40"/>
      </w:pPr>
      <w:r>
        <w:t>Draft the DSMB charter now. FDA asked that it be appended to the IND or submitted as a protocol amendment before study initiation (Minutes §4.4). Include the voting procedures, the unblinded data flows through an independent statistical group, and the communication pathway to the Sponsor.</w:t>
      </w:r>
    </w:p>
    <w:p>
      <w:pPr>
        <w:pStyle w:val="ListBullet"/>
        <w:spacing w:after="40"/>
      </w:pPr>
      <w:r>
        <w:t>Identify candidate members and complete conflict-of-interest screening before IND submission so the IND can state that the DSMB is constituted.</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9.4 Data Safety Monitoring Board. An independent Data Safety Monitoring Board (DSMB) will be established and operational before the first subject is enrolled. The DSMB will include, at a minimum, (a) a board-certified hepatologist with clinical trial experience in NASH, (b) an independent biostatistician with experience in interim data analysis and adaptive designs, and (c) a clinical pharmacologist with expertise in GLP-1-based therapeutics or metabolic liver disease. No member may have a financial, employment, consultancy or significant academic-collaboration relationship with the Sponsor, Trident CRO or any investigator. The DSMB will operate under a written charter finalized before enrollment of the first subject and submitted to FDA [as an appendix to the IND / as a protocol amendment before study initiation]. The DSMB will review unblinded safety data by treatment arm (i) after the first 90 subjects (approximately 25% of planned enrollment) have been randomized and dosed, (ii) at the interim analysis described in Section 10.3, (iii) on an expedited, unscheduled basis whenever a study-level safety criterion in Section 9.5.2 is met, and (iv) at any other time the DSMB considers warranted, and in any event at least every [6] months. The DSMB may recommend continuation without change, modification of the study (including dose or titration changes), discontinuation of one or more treatment arms, temporary suspension of enrollment or dosing, or termination of the study. The Sponsor will give serious and good-faith consideration to every DSMB recommendation and will document its decision and rationale. Recommendations bearing on subject safety will be implemented as soon as possible, and FDA, investigators and IRBs/REBs will be notified as required by 21 CFR 312.32, 312.55 and C.05.014 / C.05.015 of the Food and Drug Regulations.</w:t>
      </w:r>
    </w:p>
    <w:p>
      <w:pPr>
        <w:pStyle w:val="Heading3"/>
      </w:pPr>
      <w:r>
        <w:t>C-2  Central pathology uses a single reader; no adjudication; calibration not independent  [Critical]</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4CCCC"/>
          </w:tcPr>
          <w:p>
            <w:pPr>
              <w:spacing w:after="0"/>
            </w:pPr>
            <w:r/>
            <w:r>
              <w:rPr>
                <w:sz w:val="18"/>
              </w:rPr>
              <w:t>Critical</w:t>
            </w:r>
          </w:p>
        </w:tc>
      </w:tr>
      <w:tr>
        <w:tc>
          <w:tcPr>
            <w:tcW w:type="dxa" w:w="2304"/>
          </w:tcPr>
          <w:p>
            <w:pPr>
              <w:spacing w:after="0"/>
            </w:pPr>
            <w:r/>
            <w:r>
              <w:rPr>
                <w:sz w:val="18"/>
              </w:rPr>
              <w:t>Protocol / ICF reference</w:t>
            </w:r>
          </w:p>
        </w:tc>
        <w:tc>
          <w:tcPr>
            <w:tcW w:type="dxa" w:w="7056"/>
          </w:tcPr>
          <w:p>
            <w:pPr>
              <w:spacing w:after="0"/>
            </w:pPr>
            <w:r/>
            <w:r>
              <w:rPr>
                <w:sz w:val="18"/>
              </w:rPr>
              <w:t>§8.1 (“scored by a central pathologist”; calibration “between the central pathologist and the Sponsor’s medical team”; 10% re-read for internal QC); §3.1</w:t>
            </w:r>
          </w:p>
        </w:tc>
      </w:tr>
      <w:tr>
        <w:tc>
          <w:tcPr>
            <w:tcW w:type="dxa" w:w="2304"/>
          </w:tcPr>
          <w:p>
            <w:pPr>
              <w:spacing w:after="0"/>
            </w:pPr>
            <w:r/>
            <w:r>
              <w:rPr>
                <w:sz w:val="18"/>
              </w:rPr>
              <w:t>Governing authority</w:t>
            </w:r>
          </w:p>
        </w:tc>
        <w:tc>
          <w:tcPr>
            <w:tcW w:type="dxa" w:w="7056"/>
          </w:tcPr>
          <w:p>
            <w:pPr>
              <w:spacing w:after="0"/>
            </w:pPr>
            <w:r/>
            <w:r>
              <w:rPr>
                <w:sz w:val="18"/>
              </w:rPr>
              <w:t>Minutes §4.1 and Action Item 1(a); FDA NASH Guidance (Dec. 2018); 21 CFR 312.42(b)(2)(ii) (Phase 2 protocol “clearly deficient in design to meet its stated objectives”); 312.23(a)(6)(iii)</w:t>
            </w:r>
          </w:p>
        </w:tc>
      </w:tr>
    </w:tbl>
    <w:p>
      <w:pPr>
        <w:spacing w:after="40"/>
      </w:pPr>
    </w:p>
    <w:p>
      <w:pPr>
        <w:spacing w:after="120"/>
        <w:jc w:val="both"/>
      </w:pPr>
      <w:r>
        <w:rPr>
          <w:b/>
        </w:rPr>
        <w:t>Deficiency.</w:t>
      </w:r>
      <w:r>
        <w:t xml:space="preserve"> FDA “strongly recommends” a central panel of at least two independent hepatopathologists who score every specimen, with a third independent hepatopathologist adjudicating disagreements. FDA warned that single-reader assessment “introduces unacceptable inter-reader variability” (kappa 0.50–0.70). It asked the Protocol and SAP to prespecify (a) reader qualifications; (b) blinding to treatment, visit sequence and the other reader’s scores; (c) the definition of disagreement (e.g., any discordance in fibrosis stage or a difference of ≥2 points in total NAS); (d) the adjudication and consensus process; and (e) training and calibration before scoring. Section 8.1 provides one reader. It addresses blinding only as to treatment, visit sequence and clinical data. And it calibrates that reader “with the Sponsor’s medical team.” That last feature compromises the independence of the primary endpoint read and should be removed whatever FDA’s view.</w:t>
      </w:r>
    </w:p>
    <w:p>
      <w:pPr>
        <w:spacing w:after="120"/>
        <w:jc w:val="both"/>
      </w:pPr>
      <w:r>
        <w:rPr>
          <w:b/>
        </w:rPr>
        <w:t>Regulatory risk.</w:t>
      </w:r>
      <w:r>
        <w:t xml:space="preserve"> The primary endpoint depends entirely on histology. A reading design FDA has called unreliable, especially one calibrated by the Sponsor, puts the interpretability of the primary endpoint at risk. It is a recognized Phase 2 basis for a hold under §312.42(b)(2)(ii). It would also weaken the use of the data for Phase 3 planning and end-of-Phase 2 discussions.</w:t>
      </w:r>
    </w:p>
    <w:p>
      <w:pPr>
        <w:spacing w:after="40"/>
      </w:pPr>
      <w:r>
        <w:rPr>
          <w:b/>
        </w:rPr>
        <w:t>Recommended remediation.</w:t>
      </w:r>
    </w:p>
    <w:p>
      <w:pPr>
        <w:pStyle w:val="ListBullet"/>
        <w:spacing w:after="40"/>
      </w:pPr>
      <w:r>
        <w:t>Revise §8.1 as below. Prespecify the operational details in a Pathology Charter and the SAP before first biopsy scoring.</w:t>
      </w:r>
    </w:p>
    <w:p>
      <w:pPr>
        <w:pStyle w:val="ListBullet"/>
        <w:spacing w:after="40"/>
      </w:pPr>
      <w:r>
        <w:t>Remove all Sponsor involvement in calibration. Calibration should be conducted by the panel, against NASH CRN reference slides, before scoring begins.</w:t>
      </w:r>
    </w:p>
    <w:p>
      <w:pPr>
        <w:pStyle w:val="ListBullet"/>
        <w:spacing w:after="40"/>
      </w:pPr>
      <w:r>
        <w:t>Confirm with the central pathology vendor that two-reader capacity is contracted, and adjust the budget.</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8.1 Centralized Histological Assessment. Each biopsy specimen (screening/baseline and Week 52) will be scored independently by two hepatopathologists from a central reading panel using the NASH CRN scoring system. Each reader will be board-certified in anatomic pathology, have documented experience scoring NASH CRN histology in multicenter clinical trials, and have no financial or other conflict with the Sponsor. Readers will be blinded to treatment assignment, to biopsy timepoint (baseline vs. Week 52; slides will be presented in randomized order with paired slides read together but unlabeled as to sequence), to clinical and laboratory data, and to each other’s scores. A disagreement exists if the two primary readers differ by any stage in fibrosis or by ≥2 points in total NAS, or differ on any component needed to determine the primary or key secondary endpoints. Disagreements will be adjudicated by a third independent hepatopathologist, blinded to the same information, whose score will be final [or: consensus will be reached at a blinded consensus session as specified in the Pathology Charter]. Before scoring begins, readers will complete training and calibration on a standardized NASH CRN reference set, with inter-reader agreement documented. Calibration will not involve Sponsor personnel. Reader qualifications, blinding, disagreement criteria, adjudication and calibration procedures will be detailed in the Pathology Charter and SAP, both finalized before scoring of the first study specimen.</w:t>
      </w:r>
    </w:p>
    <w:p>
      <w:pPr>
        <w:pStyle w:val="Heading3"/>
      </w:pPr>
      <w:r>
        <w:t>C-3  No study-level stopping criteria for hepatic decompensation  [Critical]</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4CCCC"/>
          </w:tcPr>
          <w:p>
            <w:pPr>
              <w:spacing w:after="0"/>
            </w:pPr>
            <w:r/>
            <w:r>
              <w:rPr>
                <w:sz w:val="18"/>
              </w:rPr>
              <w:t>Critical</w:t>
            </w:r>
          </w:p>
        </w:tc>
      </w:tr>
      <w:tr>
        <w:tc>
          <w:tcPr>
            <w:tcW w:type="dxa" w:w="2304"/>
          </w:tcPr>
          <w:p>
            <w:pPr>
              <w:spacing w:after="0"/>
            </w:pPr>
            <w:r/>
            <w:r>
              <w:rPr>
                <w:sz w:val="18"/>
              </w:rPr>
              <w:t>Protocol / ICF reference</w:t>
            </w:r>
          </w:p>
        </w:tc>
        <w:tc>
          <w:tcPr>
            <w:tcW w:type="dxa" w:w="7056"/>
          </w:tcPr>
          <w:p>
            <w:pPr>
              <w:spacing w:after="0"/>
            </w:pPr>
            <w:r/>
            <w:r>
              <w:rPr>
                <w:sz w:val="18"/>
              </w:rPr>
              <w:t>§9.5 (only individual-subject criteria in §9.5.1); §9.2(5) (hepatic decompensation listed as an AESI only); §13.3 (EAC)</w:t>
            </w:r>
          </w:p>
        </w:tc>
      </w:tr>
      <w:tr>
        <w:tc>
          <w:tcPr>
            <w:tcW w:type="dxa" w:w="2304"/>
          </w:tcPr>
          <w:p>
            <w:pPr>
              <w:spacing w:after="0"/>
            </w:pPr>
            <w:r/>
            <w:r>
              <w:rPr>
                <w:sz w:val="18"/>
              </w:rPr>
              <w:t>Governing authority</w:t>
            </w:r>
          </w:p>
        </w:tc>
        <w:tc>
          <w:tcPr>
            <w:tcW w:type="dxa" w:w="7056"/>
          </w:tcPr>
          <w:p>
            <w:pPr>
              <w:spacing w:after="0"/>
            </w:pPr>
            <w:r/>
            <w:r>
              <w:rPr>
                <w:sz w:val="18"/>
              </w:rPr>
              <w:t>Minutes §4.5 and Action Item 1(e); 21 CFR 312.23(a)(6)(iii)(g); 312.56(d); 312.42(b)(1)(i)</w:t>
            </w:r>
          </w:p>
        </w:tc>
      </w:tr>
    </w:tbl>
    <w:p>
      <w:pPr>
        <w:spacing w:after="40"/>
      </w:pPr>
    </w:p>
    <w:p>
      <w:pPr>
        <w:spacing w:after="120"/>
        <w:jc w:val="both"/>
      </w:pPr>
      <w:r>
        <w:rPr>
          <w:b/>
        </w:rPr>
        <w:t>Deficiency.</w:t>
      </w:r>
      <w:r>
        <w:t xml:space="preserve"> FDA asked for study-level stopping criteria that are “conceptually and operationally distinct” from the individual-subject rules. Specifically, it asked that variceal bleeding, new-onset or worsening ascites, hepatic encephalopathy (any grade) and hepatorenal syndrome trigger an expedited DSMB review, with a prespecified count or rate. Its example was ≥2 events in any single arm, or a statistically significant imbalance in any active arm against placebo. Section 9.5 is labelled “Stopping Rules” but contains only §9.5.1 (individual-subject criteria). There is no §9.5.2. The Protocol does create an independent Endpoint Adjudication Committee (§13.3) for hepatic decompensation events. That committee is a useful building block, but nothing links its adjudications to a DSMB review or a stopping decision.</w:t>
      </w:r>
    </w:p>
    <w:p>
      <w:pPr>
        <w:spacing w:after="120"/>
        <w:jc w:val="both"/>
      </w:pPr>
      <w:r>
        <w:rPr>
          <w:b/>
        </w:rPr>
        <w:t>Regulatory risk.</w:t>
      </w:r>
      <w:r>
        <w:t xml:space="preserve"> FDA has called this population “vulnerable,” and the Protocol has no aggregate safety mechanism for the hepatic risk FDA identified. Combined with a discretionary DSMB (C-1), the Protocol has no prespecified process to stop or modify the study for an emerging hepatic signal. That supports a §312.42(b)(1)(i) hold rationale (unreasonable and significant risk).</w:t>
      </w:r>
    </w:p>
    <w:p>
      <w:pPr>
        <w:spacing w:after="40"/>
      </w:pPr>
      <w:r>
        <w:rPr>
          <w:b/>
        </w:rPr>
        <w:t>Recommended remediation.</w:t>
      </w:r>
    </w:p>
    <w:p>
      <w:pPr>
        <w:pStyle w:val="ListBullet"/>
        <w:spacing w:after="40"/>
      </w:pPr>
      <w:r>
        <w:t>Add a new §9.5.2 (below), and conform §9.2(5), §13.3 and the DSMB and EAC charters.</w:t>
      </w:r>
    </w:p>
    <w:p>
      <w:pPr>
        <w:pStyle w:val="ListBullet"/>
        <w:spacing w:after="40"/>
      </w:pPr>
      <w:r>
        <w:t>Final thresholds should be set by Pinnacle with the DSMB and prespecified in both the Protocol and the DSMB charter before first enrollment, as FDA requested.</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9.5.2 Study-Level Stopping Criteria. The following hepatic decompensation events, as confirmed by the Endpoint Adjudication Committee (EAC), are study-level safety events: (a) variceal bleeding; (b) new-onset ascites or clinically significant worsening of pre-existing ascites; (c) hepatic encephalopathy of any grade; and (d) hepatorenal syndrome. The Sponsor’s blinded safety team will notify the DSMB Chair within [2] business days of investigator awareness of any such event, without waiting for EAC adjudication. An expedited, unscheduled DSMB review will be convened within [7] calendar days if (i) two or more study-level safety events occur in any single treatment arm, or (ii) the DSMB’s unblinded review identifies a statistically significant imbalance (as defined in the DSMB charter) in the rate of such events between any PTX-4820 arm and placebo. Pending the DSMB review, the DSMB may recommend immediate suspension of dosing or enrollment in the affected arm(s). After review, the DSMB may recommend continuation, dose or titration modification, discontinuation of one or more arms, or termination of the study. These thresholds are also specified in the DSMB charter and may not be changed after first enrollment without prospective notice to FDA [and Health Canada].</w:t>
      </w:r>
    </w:p>
    <w:p>
      <w:pPr>
        <w:pStyle w:val="Heading3"/>
      </w:pPr>
      <w:r>
        <w:t>C-4  Interim analysis timing, missing futility analysis, and interim-data firewall  [Critical]</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4CCCC"/>
          </w:tcPr>
          <w:p>
            <w:pPr>
              <w:spacing w:after="0"/>
            </w:pPr>
            <w:r/>
            <w:r>
              <w:rPr>
                <w:sz w:val="18"/>
              </w:rPr>
              <w:t>Critical</w:t>
            </w:r>
          </w:p>
        </w:tc>
      </w:tr>
      <w:tr>
        <w:tc>
          <w:tcPr>
            <w:tcW w:type="dxa" w:w="2304"/>
          </w:tcPr>
          <w:p>
            <w:pPr>
              <w:spacing w:after="0"/>
            </w:pPr>
            <w:r/>
            <w:r>
              <w:rPr>
                <w:sz w:val="18"/>
              </w:rPr>
              <w:t>Protocol / ICF reference</w:t>
            </w:r>
          </w:p>
        </w:tc>
        <w:tc>
          <w:tcPr>
            <w:tcW w:type="dxa" w:w="7056"/>
          </w:tcPr>
          <w:p>
            <w:pPr>
              <w:spacing w:after="0"/>
            </w:pPr>
            <w:r/>
            <w:r>
              <w:rPr>
                <w:sz w:val="18"/>
              </w:rPr>
              <w:t>§10.3 (interim “when all enrolled subjects have completed the Week 26 visit”; efficacy only; results shared with “a limited number of authorized Sponsor personnel”; SAP final “prior to database lock for the interim analysis”); §12.3</w:t>
            </w:r>
          </w:p>
        </w:tc>
      </w:tr>
      <w:tr>
        <w:tc>
          <w:tcPr>
            <w:tcW w:type="dxa" w:w="2304"/>
          </w:tcPr>
          <w:p>
            <w:pPr>
              <w:spacing w:after="0"/>
            </w:pPr>
            <w:r/>
            <w:r>
              <w:rPr>
                <w:sz w:val="18"/>
              </w:rPr>
              <w:t>Governing authority</w:t>
            </w:r>
          </w:p>
        </w:tc>
        <w:tc>
          <w:tcPr>
            <w:tcW w:type="dxa" w:w="7056"/>
          </w:tcPr>
          <w:p>
            <w:pPr>
              <w:spacing w:after="0"/>
            </w:pPr>
            <w:r/>
            <w:r>
              <w:rPr>
                <w:sz w:val="18"/>
              </w:rPr>
              <w:t>Minutes §4.6 and Action Item 1(f); FDA Guidance, Adaptive Designs for Clinical Trials of Drugs and Biologics (Nov. 2019); ICH E9 §4.5; ICH E9(R1)</w:t>
            </w:r>
          </w:p>
        </w:tc>
      </w:tr>
    </w:tbl>
    <w:p>
      <w:pPr>
        <w:spacing w:after="40"/>
      </w:pPr>
    </w:p>
    <w:p>
      <w:pPr>
        <w:spacing w:after="120"/>
        <w:jc w:val="both"/>
      </w:pPr>
      <w:r>
        <w:rPr>
          <w:b/>
        </w:rPr>
        <w:t>Deficiency.</w:t>
      </w:r>
      <w:r>
        <w:t xml:space="preserve"> FDA recommended an interim at the </w:t>
      </w:r>
      <w:r>
        <w:rPr>
          <w:b/>
        </w:rPr>
        <w:t>50% enrollment mark</w:t>
      </w:r>
      <w:r>
        <w:t xml:space="preserve"> (about 180 randomized subjects). That point is expected around April 2026, given October 2025–October 2026 enrollment. FDA did not want the Week 26-of-last-subject timing (about April 2027), which it said “would substantially reduce the practical utility of the interim analysis.” FDA also </w:t>
      </w:r>
      <w:r>
        <w:rPr>
          <w:b/>
        </w:rPr>
        <w:t>requested</w:t>
      </w:r>
      <w:r>
        <w:t xml:space="preserve"> a formal futility analysis at that interim, using a </w:t>
      </w:r>
      <w:r>
        <w:rPr>
          <w:b/>
        </w:rPr>
        <w:t>20% conditional-power</w:t>
      </w:r>
      <w:r>
        <w:t xml:space="preserve"> threshold for the primary endpoint. Under that design, the DSMB can recommend stopping the whole study if all active arms fall below the threshold, or dropping individual arms. FDA asked for an independent statistician behind a firewall, with Sponsor study personnel kept blinded. It asked for all interim procedures to be prespecified in the SAP and DSMB charter </w:t>
      </w:r>
      <w:r>
        <w:rPr>
          <w:b/>
        </w:rPr>
        <w:t>before first enrollment</w:t>
      </w:r>
      <w:r>
        <w:t>. Section 10.3 keeps the original timing, has no futility component, allows interim results to reach “authorized Sponsor personnel,” and defers the SAP to the interim database lock. Two further points: (i) at the 50% enrollment mark almost no subject will have a Week 52 biopsy, so the SAP must prespecify the intermediate endpoints (e.g., ALT/AST, FibroScan, ELF) and information fraction to be used, as FDA acknowledged; and (ii) the O’Brien-Fleming boundary (accepted by FDA) must be recalibrated to the new information fraction.</w:t>
      </w:r>
    </w:p>
    <w:p>
      <w:pPr>
        <w:spacing w:after="120"/>
        <w:jc w:val="both"/>
      </w:pPr>
      <w:r>
        <w:rPr>
          <w:b/>
        </w:rPr>
        <w:t>Regulatory risk.</w:t>
      </w:r>
      <w:r>
        <w:t xml:space="preserve"> This is a direct departure from an agreed action item, and FDA tied it to the ethics of continuing to expose subjects to invasive biopsies and a potentially ineffective drug. Sponsor access to unblinded comparative interim data threatens trial integrity under the Adaptive Designs Guidance. It could also undermine the credibility of later dose selection.</w:t>
      </w:r>
    </w:p>
    <w:p>
      <w:pPr>
        <w:spacing w:after="40"/>
      </w:pPr>
      <w:r>
        <w:rPr>
          <w:b/>
        </w:rPr>
        <w:t>Recommended remediation.</w:t>
      </w:r>
    </w:p>
    <w:p>
      <w:pPr>
        <w:pStyle w:val="ListBullet"/>
        <w:spacing w:after="40"/>
      </w:pPr>
      <w:r>
        <w:t>Replace §10.3 (below). Conform §12.3 (interim snapshot) and §13.3.</w:t>
      </w:r>
    </w:p>
    <w:p>
      <w:pPr>
        <w:pStyle w:val="ListBullet"/>
        <w:spacing w:after="40"/>
      </w:pPr>
      <w:r>
        <w:t>Finalize the SAP interim section and the DSMB charter before first enrollment. Any later change requires prospective notice to the Division (Minutes §4.6).</w:t>
      </w:r>
    </w:p>
    <w:p>
      <w:pPr>
        <w:pStyle w:val="ListBullet"/>
        <w:spacing w:after="40"/>
      </w:pPr>
      <w:r>
        <w:t>Pinnacle Biostatistics (Dr. Lattimore) should confirm the intermediate endpoints, the conditional-power calculation (under the observed effect, per FDA) and the alpha spent at the interim.</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10.3 Interim Analysis. One interim analysis, with efficacy and futility components, will be performed when approximately 180 subjects (50% of planned enrollment) have been randomized. The SAP, finalized before enrollment of the first subject, will prespecify the endpoints and data to be analyzed at the interim (including available Week 52 histology and prespecified intermediate measures such as change from baseline in ALT, AST, liver stiffness and ELF score), the information fraction, and the decision rules. Efficacy: the overall two-sided Type I error rate for the primary comparison will be controlled using a Lan-DeMets O’Brien-Fleming alpha-spending function. Futility: conditional power for the primary endpoint (≥1-stage improvement in fibrosis with no worsening of NASH at Week 52), calculated under the treatment effect observed at the interim, will be estimated for each PTX-4820 arm versus placebo. If conditional power is &lt;20% for all PTX-4820 arms, the DSMB may recommend termination of the study for futility. If it is &lt;20% for one or more, but not all, arms, the DSMB may recommend discontinuation of the affected arm(s). Futility boundaries are non-binding. The interim analysis will be performed by an independent statistician who is not otherwise involved in the conduct of the study and who operates under a written firewall agreement. Unblinded interim results will be provided only to the DSMB. Sponsor, Trident CRO and site personnel will remain blinded unless the DSMB recommends otherwise in accordance with the communication pathway in the DSMB charter. Interim procedures will not be modified after enrollment begins without prospective notification to FDA.</w:t>
      </w:r>
    </w:p>
    <w:p>
      <w:pPr>
        <w:pStyle w:val="Heading3"/>
      </w:pPr>
      <w:r>
        <w:t>C-5  No MELD score exclusion criterion  [Critical]</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4CCCC"/>
          </w:tcPr>
          <w:p>
            <w:pPr>
              <w:spacing w:after="0"/>
            </w:pPr>
            <w:r/>
            <w:r>
              <w:rPr>
                <w:sz w:val="18"/>
              </w:rPr>
              <w:t>Critical</w:t>
            </w:r>
          </w:p>
        </w:tc>
      </w:tr>
      <w:tr>
        <w:tc>
          <w:tcPr>
            <w:tcW w:type="dxa" w:w="2304"/>
          </w:tcPr>
          <w:p>
            <w:pPr>
              <w:spacing w:after="0"/>
            </w:pPr>
            <w:r/>
            <w:r>
              <w:rPr>
                <w:sz w:val="18"/>
              </w:rPr>
              <w:t>Protocol / ICF reference</w:t>
            </w:r>
          </w:p>
        </w:tc>
        <w:tc>
          <w:tcPr>
            <w:tcW w:type="dxa" w:w="7056"/>
          </w:tcPr>
          <w:p>
            <w:pPr>
              <w:spacing w:after="0"/>
            </w:pPr>
            <w:r/>
            <w:r>
              <w:rPr>
                <w:sz w:val="18"/>
              </w:rPr>
              <w:t>§4.2, Exclusion 2 (“History of hepatic decompensation…”); Appendix E (Child-Pugh reference only)</w:t>
            </w:r>
          </w:p>
        </w:tc>
      </w:tr>
      <w:tr>
        <w:tc>
          <w:tcPr>
            <w:tcW w:type="dxa" w:w="2304"/>
          </w:tcPr>
          <w:p>
            <w:pPr>
              <w:spacing w:after="0"/>
            </w:pPr>
            <w:r/>
            <w:r>
              <w:rPr>
                <w:sz w:val="18"/>
              </w:rPr>
              <w:t>Governing authority</w:t>
            </w:r>
          </w:p>
        </w:tc>
        <w:tc>
          <w:tcPr>
            <w:tcW w:type="dxa" w:w="7056"/>
          </w:tcPr>
          <w:p>
            <w:pPr>
              <w:spacing w:after="0"/>
            </w:pPr>
            <w:r/>
            <w:r>
              <w:rPr>
                <w:sz w:val="18"/>
              </w:rPr>
              <w:t>Minutes §4.3 and Action Item 1(c); 21 CFR 312.23(a)(6)(iii)(c)</w:t>
            </w:r>
          </w:p>
        </w:tc>
      </w:tr>
    </w:tbl>
    <w:p>
      <w:pPr>
        <w:spacing w:after="40"/>
      </w:pPr>
    </w:p>
    <w:p>
      <w:pPr>
        <w:spacing w:after="120"/>
        <w:jc w:val="both"/>
      </w:pPr>
      <w:r>
        <w:rPr>
          <w:b/>
        </w:rPr>
        <w:t>Deficiency.</w:t>
      </w:r>
      <w:r>
        <w:t xml:space="preserve"> FDA asked for a specific, numeric exclusion for a MELD score of 15 or greater at screening, in addition to any clinical decompensation criteria. Its reasoning was that “hepatic decompensation” without an objective definition will be applied inconsistently across 28 sites. Exclusion 2 lists clinical decompensation events but has no MELD threshold. The Protocol already collects every MELD input at Screening (total bilirubin, INR and creatinine, plus sodium if MELD-Na is used). The fix is therefore purely textual and adds no burden for sites.</w:t>
      </w:r>
    </w:p>
    <w:p>
      <w:pPr>
        <w:spacing w:after="120"/>
        <w:jc w:val="both"/>
      </w:pPr>
      <w:r>
        <w:rPr>
          <w:b/>
        </w:rPr>
        <w:t>Regulatory risk.</w:t>
      </w:r>
      <w:r>
        <w:t xml:space="preserve"> Enrolling subjects at higher short-term mortality risk is a subject-safety issue FDA specifically flagged. Leaving out an agreed, cost-free exclusion is hard to defend.</w:t>
      </w:r>
    </w:p>
    <w:p>
      <w:pPr>
        <w:spacing w:after="40"/>
      </w:pPr>
      <w:r>
        <w:rPr>
          <w:b/>
        </w:rPr>
        <w:t>Recommended remediation.</w:t>
      </w:r>
    </w:p>
    <w:p>
      <w:pPr>
        <w:pStyle w:val="ListBullet"/>
        <w:spacing w:after="40"/>
      </w:pPr>
      <w:r>
        <w:t>Add a new exclusion (below). Specify the MELD formula and the central-laboratory source values. Add to §6.2 that MELD will be calculated from central-laboratory Screening values.</w:t>
      </w:r>
    </w:p>
    <w:p>
      <w:pPr>
        <w:pStyle w:val="ListBullet"/>
        <w:spacing w:after="40"/>
      </w:pPr>
      <w:r>
        <w:t>Consider whether subjects on anticoagulants (INR affected) need a rule. Clinical input from Dr. Anand is recommended.</w:t>
      </w:r>
    </w:p>
    <w:p>
      <w:pPr>
        <w:pStyle w:val="ListBullet"/>
        <w:spacing w:after="40"/>
      </w:pPr>
      <w:r>
        <w:t>Optionally, add a Child-Pugh A requirement to align with the expectation stated in Appendix E.</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Exclusion 2a. Model for End-Stage Liver Disease (MELD) score ≥15 at Screening, calculated [using the original UNOS MELD formula / MELD-Na] from central-laboratory values of total bilirubin, INR and serum creatinine [and sodium]. Subjects receiving anticoagulant therapy that affects INR [are excluded / will have MELD assessed as specified in the Laboratory Manual].</w:t>
      </w:r>
    </w:p>
    <w:p>
      <w:pPr>
        <w:pStyle w:val="Heading3"/>
      </w:pPr>
      <w:r>
        <w:t>C-6  30 mg dose-titration schedule remains two weeks  [Critical]</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4CCCC"/>
          </w:tcPr>
          <w:p>
            <w:pPr>
              <w:spacing w:after="0"/>
            </w:pPr>
            <w:r/>
            <w:r>
              <w:rPr>
                <w:sz w:val="18"/>
              </w:rPr>
              <w:t>Critical</w:t>
            </w:r>
          </w:p>
        </w:tc>
      </w:tr>
      <w:tr>
        <w:tc>
          <w:tcPr>
            <w:tcW w:type="dxa" w:w="2304"/>
          </w:tcPr>
          <w:p>
            <w:pPr>
              <w:spacing w:after="0"/>
            </w:pPr>
            <w:r/>
            <w:r>
              <w:rPr>
                <w:sz w:val="18"/>
              </w:rPr>
              <w:t>Protocol / ICF reference</w:t>
            </w:r>
          </w:p>
        </w:tc>
        <w:tc>
          <w:tcPr>
            <w:tcW w:type="dxa" w:w="7056"/>
          </w:tcPr>
          <w:p>
            <w:pPr>
              <w:spacing w:after="0"/>
            </w:pPr>
            <w:r/>
            <w:r>
              <w:rPr>
                <w:sz w:val="18"/>
              </w:rPr>
              <w:t>§5.2 and Table 3 (Arm C: 5 mg Wk 1, 15 mg Wk 2, 30 mg from Wk 3); §5.5 (only 5, 15 and 30 mg syringes); §7 (“By Week 4, all subjects… will have reached steady-state”)</w:t>
            </w:r>
          </w:p>
        </w:tc>
      </w:tr>
      <w:tr>
        <w:tc>
          <w:tcPr>
            <w:tcW w:type="dxa" w:w="2304"/>
          </w:tcPr>
          <w:p>
            <w:pPr>
              <w:spacing w:after="0"/>
            </w:pPr>
            <w:r/>
            <w:r>
              <w:rPr>
                <w:sz w:val="18"/>
              </w:rPr>
              <w:t>Governing authority</w:t>
            </w:r>
          </w:p>
        </w:tc>
        <w:tc>
          <w:tcPr>
            <w:tcW w:type="dxa" w:w="7056"/>
          </w:tcPr>
          <w:p>
            <w:pPr>
              <w:spacing w:after="0"/>
            </w:pPr>
            <w:r/>
            <w:r>
              <w:rPr>
                <w:sz w:val="18"/>
              </w:rPr>
              <w:t>Minutes §4.2 and Action Item 1(b); 21 CFR 312.23(a)(6)(iii)(e)</w:t>
            </w:r>
          </w:p>
        </w:tc>
      </w:tr>
    </w:tbl>
    <w:p>
      <w:pPr>
        <w:spacing w:after="40"/>
      </w:pPr>
    </w:p>
    <w:p>
      <w:pPr>
        <w:spacing w:after="120"/>
        <w:jc w:val="both"/>
      </w:pPr>
      <w:r>
        <w:rPr>
          <w:b/>
        </w:rPr>
        <w:t>Deficiency.</w:t>
      </w:r>
      <w:r>
        <w:t xml:space="preserve"> The Protocol keeps the exact schedule FDA found “insufficient.” FDA recommended a titration period of </w:t>
      </w:r>
      <w:r>
        <w:rPr>
          <w:b/>
        </w:rPr>
        <w:t>at least four weeks</w:t>
      </w:r>
      <w:r>
        <w:t xml:space="preserve"> for Arm C, with an example of 5 → 10 → 15 → 30 mg. It also asked the Protocol to address managing GI adverse events during titration, including dose reduction and dose delay. Section 9.5.1 addresses only Grade ≥3 GI events lasting more than 7 days. Implementation questions: (i) FDA’s example needs a </w:t>
      </w:r>
      <w:r>
        <w:rPr>
          <w:b/>
        </w:rPr>
        <w:t>10 mg strength</w:t>
      </w:r>
      <w:r>
        <w:t xml:space="preserve"> that §5.5 does not supply (CMC and IRT impact); and (ii) FDA’s example reaches 30 mg in Week 4. That is only three sub-target weeks, which arguably sits uneasily with “at least 4 weeks.” A schedule with </w:t>
      </w:r>
      <w:r>
        <w:rPr>
          <w:b/>
        </w:rPr>
        <w:t>four full titration weeks</w:t>
      </w:r>
      <w:r>
        <w:t xml:space="preserve"> (30 mg from Week 5) satisfies either reading. The §7 statement that all arms reach steady state by Week 4 will be wrong under any compliant schedule.</w:t>
      </w:r>
    </w:p>
    <w:p>
      <w:pPr>
        <w:spacing w:after="120"/>
        <w:jc w:val="both"/>
      </w:pPr>
      <w:r>
        <w:rPr>
          <w:b/>
        </w:rPr>
        <w:t>Regulatory risk.</w:t>
      </w:r>
      <w:r>
        <w:t xml:space="preserve"> FDA tied this to differential attrition in the arm most important for Phase 3 dose selection. Keeping a rejected schedule invites an information request at a minimum. It also undermines the dose-response objective (§3.2(1)).</w:t>
      </w:r>
    </w:p>
    <w:p>
      <w:pPr>
        <w:spacing w:after="40"/>
      </w:pPr>
      <w:r>
        <w:rPr>
          <w:b/>
        </w:rPr>
        <w:t>Recommended remediation.</w:t>
      </w:r>
    </w:p>
    <w:p>
      <w:pPr>
        <w:pStyle w:val="ListBullet"/>
        <w:spacing w:after="40"/>
      </w:pPr>
      <w:r>
        <w:t>Pinnacle Clinical and CMC to choose between (A) FDA’s example schedule, which adds a 10 mg/0.5 mL prefilled syringe, and (B) 5 mg Weeks 1–2, 15 mg Weeks 3–4 and 30 mg from Week 5, using existing strengths. Either option meets the four-week minimum. Option B avoids a new strength. Option A tracks FDA’s example exactly.</w:t>
      </w:r>
    </w:p>
    <w:p>
      <w:pPr>
        <w:pStyle w:val="ListBullet"/>
        <w:spacing w:after="40"/>
      </w:pPr>
      <w:r>
        <w:t>Keep the Arm B titration (5 mg → 15 mg) as FDA invited. Confirm that all arms use visually identical syringes and IRT-driven kits so that differing titration paths do not compromise the blind.</w:t>
      </w:r>
    </w:p>
    <w:p>
      <w:pPr>
        <w:pStyle w:val="ListBullet"/>
        <w:spacing w:after="40"/>
      </w:pPr>
      <w:r>
        <w:t>Add GI-management rules during titration (below). Revise the §7 PK timing and steady-state statement. Update Table 3 and the ICF (“dose increases”).</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5.2 (Arm C). Subjects randomized to Arm C will receive PTX-4820 5 mg SC once weekly in Weeks 1–2, 15 mg in Weeks 3–4, and 30 mg from Week 5 through Week 52 [alternative: 5 mg Week 1, 10 mg Week 2, 15 mg Week 3, 15 mg Week 4, 30 mg from Week 5]. Dose escalation will occur only if the subject has no ongoing study-drug-related gastrointestinal AE of CTCAE Grade ≥2 at the scheduled escalation. If such an event is present, the current dose may be continued for up to [2] additional weeks before escalation. A subject unable to escalate after [2] additional weeks, or who experiences Grade ≥3 GI intolerance, may be maintained at the highest tolerated dose or have dosing interrupted for up to [2] consecutive doses with Medical Monitor approval, as detailed in the Pharmacy Manual. All escalation decisions will be managed through IRT to preserve the blind.</w:t>
      </w:r>
    </w:p>
    <w:p>
      <w:pPr>
        <w:pStyle w:val="Heading3"/>
      </w:pPr>
      <w:r>
        <w:t>C-7  Reproductive safety: no contraception, pregnancy testing, pregnancy/lactation exclusion, or fetal-risk disclosure  [Critical]</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4CCCC"/>
          </w:tcPr>
          <w:p>
            <w:pPr>
              <w:spacing w:after="0"/>
            </w:pPr>
            <w:r/>
            <w:r>
              <w:rPr>
                <w:sz w:val="18"/>
              </w:rPr>
              <w:t>Critical</w:t>
            </w:r>
          </w:p>
        </w:tc>
      </w:tr>
      <w:tr>
        <w:tc>
          <w:tcPr>
            <w:tcW w:type="dxa" w:w="2304"/>
          </w:tcPr>
          <w:p>
            <w:pPr>
              <w:spacing w:after="0"/>
            </w:pPr>
            <w:r/>
            <w:r>
              <w:rPr>
                <w:sz w:val="18"/>
              </w:rPr>
              <w:t>Protocol / ICF reference</w:t>
            </w:r>
          </w:p>
        </w:tc>
        <w:tc>
          <w:tcPr>
            <w:tcW w:type="dxa" w:w="7056"/>
          </w:tcPr>
          <w:p>
            <w:pPr>
              <w:spacing w:after="0"/>
            </w:pPr>
            <w:r/>
            <w:r>
              <w:rPr>
                <w:sz w:val="18"/>
              </w:rPr>
              <w:t>§4.1–4.2 (no criteria); Table 4 / Appendix C (no pregnancy tests); §9.5.1(4) (pregnancy discontinuation only); App. A §A3 (no reproductive risk); abbreviation list defines “WOCBP” but the term is never used</w:t>
            </w:r>
          </w:p>
        </w:tc>
      </w:tr>
      <w:tr>
        <w:tc>
          <w:tcPr>
            <w:tcW w:type="dxa" w:w="2304"/>
          </w:tcPr>
          <w:p>
            <w:pPr>
              <w:spacing w:after="0"/>
            </w:pPr>
            <w:r/>
            <w:r>
              <w:rPr>
                <w:sz w:val="18"/>
              </w:rPr>
              <w:t>Governing authority</w:t>
            </w:r>
          </w:p>
        </w:tc>
        <w:tc>
          <w:tcPr>
            <w:tcW w:type="dxa" w:w="7056"/>
          </w:tcPr>
          <w:p>
            <w:pPr>
              <w:spacing w:after="0"/>
            </w:pPr>
            <w:r/>
            <w:r>
              <w:rPr>
                <w:sz w:val="18"/>
              </w:rPr>
              <w:t>ICH M3(R2) §11.3 (reproductive toxicity studies and WOCBP); 21 CFR 50.25(b)(1); 21 CFR 312.23(a)(6)(iii)(g); ICH E6(R2) 4.8.10(c), (e); Minutes §4.7 (reproductive toxicology to be submitted if completed)</w:t>
            </w:r>
          </w:p>
        </w:tc>
      </w:tr>
    </w:tbl>
    <w:p>
      <w:pPr>
        <w:spacing w:after="40"/>
      </w:pPr>
    </w:p>
    <w:p>
      <w:pPr>
        <w:spacing w:after="120"/>
        <w:jc w:val="both"/>
      </w:pPr>
      <w:r>
        <w:rPr>
          <w:b/>
        </w:rPr>
        <w:t>Deficiency.</w:t>
      </w:r>
      <w:r>
        <w:t xml:space="preserve"> The study will randomize 360 adults aged 18–75 for 52 weeks of a novel GLP-1/GIP peptide. Neither the Protocol nor the Minutes reports completed embryo-fetal development (EFD) or fertility studies; §2.1 describes only 26-week general toxicology. Under ICH M3(R2) §11.3, the United States allows women of childbearing potential (WOCBP) to be included before EFD studies are complete only if “precautions to prevent pregnancy” are in place. Those precautions are highly effective contraception, pregnancy testing and an informed-consent disclosure. The Protocol contains none of them. It has no pregnancy or lactation exclusion, no serum pregnancy test at Screening, no periodic urine tests, no contraception requirement or duration after the last dose, and no guidance for male subjects with partners of childbearing potential. For the Canadian sites the issue is sharper. Outside the United States, ICH M3(R2) generally expects definitive EFD data before WOCBP are enrolled in trials of this size and duration. Pinnacle Nonclinical (Dr. Chen) should confirm the reproductive toxicology status now. Class consideration: tirzepatide, a GLP-1/GIP agonist, carries labeling that delayed gastric emptying may reduce oral hormonal contraceptive exposure, particularly after initiation and each dose escalation. A comparable caution should be built into the contraception requirements here.</w:t>
      </w:r>
    </w:p>
    <w:p>
      <w:pPr>
        <w:spacing w:after="120"/>
        <w:jc w:val="both"/>
      </w:pPr>
      <w:r>
        <w:rPr>
          <w:b/>
        </w:rPr>
        <w:t>Regulatory risk.</w:t>
      </w:r>
      <w:r>
        <w:t xml:space="preserve"> FDA and IRBs routinely cite the absence of pregnancy-prevention measures in a long-duration study of a drug with uncharacterized reproductive risk. The ICF omission of the §50.25(b)(1) embryo/fetus statement is an independent consent deficiency. For Health Canada, enrollment of WOCBP may not be acceptable without completed EFD studies.</w:t>
      </w:r>
    </w:p>
    <w:p>
      <w:pPr>
        <w:spacing w:after="40"/>
      </w:pPr>
      <w:r>
        <w:rPr>
          <w:b/>
        </w:rPr>
        <w:t>Recommended remediation.</w:t>
      </w:r>
    </w:p>
    <w:p>
      <w:pPr>
        <w:pStyle w:val="ListBullet"/>
        <w:spacing w:after="40"/>
      </w:pPr>
      <w:r>
        <w:t>Add inclusion and exclusion criteria, a contraception section (new §4.4), and serum β-hCG at Screening with urine pregnancy tests at Day 1 (pre-dose), every on-site treatment visit and Week 64 (Table 4 and Appendix C). Add pregnancy reporting within 24 hours and follow-up to outcome in §9.1.</w:t>
      </w:r>
    </w:p>
    <w:p>
      <w:pPr>
        <w:pStyle w:val="ListBullet"/>
        <w:spacing w:after="40"/>
      </w:pPr>
      <w:r>
        <w:t>Contraception should continue for [at least 5 half-lives / a period justified from nonclinical data] after the last dose. Require a barrier method in addition to oral hormonal contraception for 4 weeks after initiation and after each dose escalation.</w:t>
      </w:r>
    </w:p>
    <w:p>
      <w:pPr>
        <w:pStyle w:val="ListBullet"/>
        <w:spacing w:after="40"/>
      </w:pPr>
      <w:r>
        <w:t>Add the ICF language below to §A3, and a pregnancy section.</w:t>
      </w:r>
    </w:p>
    <w:p>
      <w:pPr>
        <w:pStyle w:val="ListBullet"/>
        <w:spacing w:after="40"/>
      </w:pPr>
      <w:r>
        <w:t>Confirm the EFD and fertility study status and timeline. Address it in the IND (Minutes §4.7) and the Health Canada CTA. If EFD studies are not complete, consider restricting Canadian enrollment to women not of childbearing potential until they are.</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New Exclusion. Women who are pregnant, breastfeeding, or planning to become pregnant during the study or within [X] weeks after the last dose; and WOCBP who are unwilling to use a highly effective method of contraception (failure rate &lt;1% per year) from Screening through [X] weeks after the last dose of study drug. WOCBP using oral hormonal contraception must also use a barrier method for 4 weeks after starting study drug and for 4 weeks after each dose increase. WOCBP must have a negative serum pregnancy test at Screening and a negative urine pregnancy test before dosing on Day 1.</w:t>
      </w:r>
    </w:p>
    <w:p>
      <w:pPr>
        <w:spacing w:after="120"/>
        <w:ind w:left="576" w:right="432"/>
        <w:shd w:val="clear" w:color="auto" w:fill="EEF3F8"/>
      </w:pPr>
      <w:r>
        <w:rPr>
          <w:sz w:val="20"/>
        </w:rPr>
        <w:t>ICF §A3 (Reproductive risks). The effects of PTX-4820 on an unborn baby or a nursing infant are not known, and there may be risks to an embryo or fetus that are currently unforeseeable. You should not join this study if you are pregnant, breastfeeding, or planning to become pregnant. If you can become pregnant, you will have pregnancy tests during the study and must use an effective method of birth control from screening until [X] weeks after your last dose. Medicines like PTX-4820 may make birth control pills work less well, especially when you start the study drug and when your dose is increased, so you will also need to use a barrier method (such as a condom) at those times. If you become pregnant during the study, tell the study doctor right away. The study drug will be stopped and, with your permission, the study team will follow the pregnancy to its outcome.</w:t>
      </w:r>
    </w:p>
    <w:p>
      <w:pPr>
        <w:pStyle w:val="Heading2"/>
      </w:pPr>
      <w:r>
        <w:t>B. Informed Consent Form — Missing Mandatory Elements</w:t>
      </w:r>
    </w:p>
    <w:p>
      <w:pPr>
        <w:pStyle w:val="Heading3"/>
      </w:pPr>
      <w:r>
        <w:t>C-8  ICF omits the confidentiality / FDA-inspection statement  [Critical]</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4CCCC"/>
          </w:tcPr>
          <w:p>
            <w:pPr>
              <w:spacing w:after="0"/>
            </w:pPr>
            <w:r/>
            <w:r>
              <w:rPr>
                <w:sz w:val="18"/>
              </w:rPr>
              <w:t>Critical</w:t>
            </w:r>
          </w:p>
        </w:tc>
      </w:tr>
      <w:tr>
        <w:tc>
          <w:tcPr>
            <w:tcW w:type="dxa" w:w="2304"/>
          </w:tcPr>
          <w:p>
            <w:pPr>
              <w:spacing w:after="0"/>
            </w:pPr>
            <w:r/>
            <w:r>
              <w:rPr>
                <w:sz w:val="18"/>
              </w:rPr>
              <w:t>Protocol / ICF reference</w:t>
            </w:r>
          </w:p>
        </w:tc>
        <w:tc>
          <w:tcPr>
            <w:tcW w:type="dxa" w:w="7056"/>
          </w:tcPr>
          <w:p>
            <w:pPr>
              <w:spacing w:after="0"/>
            </w:pPr>
            <w:r/>
            <w:r>
              <w:rPr>
                <w:sz w:val="18"/>
              </w:rPr>
              <w:t>Appendix A (no confidentiality section); compare Protocol §11.4 (states consent to record access is “obtained as part of the informed consent process” — it is not)</w:t>
            </w:r>
          </w:p>
        </w:tc>
      </w:tr>
      <w:tr>
        <w:tc>
          <w:tcPr>
            <w:tcW w:type="dxa" w:w="2304"/>
          </w:tcPr>
          <w:p>
            <w:pPr>
              <w:spacing w:after="0"/>
            </w:pPr>
            <w:r/>
            <w:r>
              <w:rPr>
                <w:sz w:val="18"/>
              </w:rPr>
              <w:t>Governing authority</w:t>
            </w:r>
          </w:p>
        </w:tc>
        <w:tc>
          <w:tcPr>
            <w:tcW w:type="dxa" w:w="7056"/>
          </w:tcPr>
          <w:p>
            <w:pPr>
              <w:spacing w:after="0"/>
            </w:pPr>
            <w:r/>
            <w:r>
              <w:rPr>
                <w:sz w:val="18"/>
              </w:rPr>
              <w:t>21 CFR 50.25(a)(5); ICH E6(R2) 4.8.10(n), (o); 21 CFR 312.68</w:t>
            </w:r>
          </w:p>
        </w:tc>
      </w:tr>
    </w:tbl>
    <w:p>
      <w:pPr>
        <w:spacing w:after="40"/>
      </w:pPr>
    </w:p>
    <w:p>
      <w:pPr>
        <w:spacing w:after="120"/>
        <w:jc w:val="both"/>
      </w:pPr>
      <w:r>
        <w:rPr>
          <w:b/>
        </w:rPr>
        <w:t>Deficiency.</w:t>
      </w:r>
      <w:r>
        <w:t xml:space="preserve"> Section 50.25(a)(5) requires “a statement describing the extent, if any, to which confidentiality of records identifying the subject will be maintained and that notes the possibility that the Food and Drug Administration may inspect the records.” The ICF has no confidentiality section. Protocol §11.4 assumes the ICF obtains consent to direct access by monitors, auditors, IRBs and regulators (ICH E6(R2) 4.8.10(n)). It does not. The working checklist left this item “TO BE VERIFIED” (IC-005).</w:t>
      </w:r>
    </w:p>
    <w:p>
      <w:pPr>
        <w:spacing w:after="120"/>
        <w:jc w:val="both"/>
      </w:pPr>
      <w:r>
        <w:rPr>
          <w:b/>
        </w:rPr>
        <w:t>Regulatory risk.</w:t>
      </w:r>
      <w:r>
        <w:t xml:space="preserve"> This is a missing basic element of informed consent, the very deficiency category behind the clinical hold Ms. Kowalski described. A consent obtained on this form would be defective under §50.20, and records access by FDA and Health Canada would lack documented consent.</w:t>
      </w:r>
    </w:p>
    <w:p>
      <w:pPr>
        <w:spacing w:after="120"/>
        <w:jc w:val="both"/>
      </w:pPr>
      <w:r>
        <w:rPr>
          <w:b/>
        </w:rPr>
        <w:t>Recommended remediation.</w:t>
      </w:r>
      <w:r>
        <w:t xml:space="preserve"> Insert a new ICF §A8 “Confidentiality of Your Records” (below). Coordinate with the HIPAA authorization (M-12) and the Canadian ICF version (M-2).</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Confidentiality of Your Records. The study team will take reasonable steps to keep information that identifies you confidential, but total confidentiality cannot be guaranteed. Your study data will be labeled with a code number instead of your name. Information that identifies you may be looked at and copied by the Sponsor (Pinnacle Therapeutics, Inc.) and people working for it, including Trident Clinical Research Organization; by the Institutional Review Board [or Research Ethics Board]; and by government agencies, including the U.S. Food and Drug Administration (FDA) [and Health Canada], which may inspect your study and medical records. By signing this form, you allow these people and agencies to access your medical records directly to check the study information. If the results of this study are published or presented, you will not be identified.</w:t>
      </w:r>
    </w:p>
    <w:p>
      <w:pPr>
        <w:pStyle w:val="Heading3"/>
      </w:pPr>
      <w:r>
        <w:t>C-9  ICF omits compensation and medical treatment for research-related injury  [Critical]</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4CCCC"/>
          </w:tcPr>
          <w:p>
            <w:pPr>
              <w:spacing w:after="0"/>
            </w:pPr>
            <w:r/>
            <w:r>
              <w:rPr>
                <w:sz w:val="18"/>
              </w:rPr>
              <w:t>Critical</w:t>
            </w:r>
          </w:p>
        </w:tc>
      </w:tr>
      <w:tr>
        <w:tc>
          <w:tcPr>
            <w:tcW w:type="dxa" w:w="2304"/>
          </w:tcPr>
          <w:p>
            <w:pPr>
              <w:spacing w:after="0"/>
            </w:pPr>
            <w:r/>
            <w:r>
              <w:rPr>
                <w:sz w:val="18"/>
              </w:rPr>
              <w:t>Protocol / ICF reference</w:t>
            </w:r>
          </w:p>
        </w:tc>
        <w:tc>
          <w:tcPr>
            <w:tcW w:type="dxa" w:w="7056"/>
          </w:tcPr>
          <w:p>
            <w:pPr>
              <w:spacing w:after="0"/>
            </w:pPr>
            <w:r/>
            <w:r>
              <w:rPr>
                <w:sz w:val="18"/>
              </w:rPr>
              <w:t>Appendix A (no injury section); compare Protocol §13.4 (clinical trial insurance through Ashford Re Insurance Ltd.)</w:t>
            </w:r>
          </w:p>
        </w:tc>
      </w:tr>
      <w:tr>
        <w:tc>
          <w:tcPr>
            <w:tcW w:type="dxa" w:w="2304"/>
          </w:tcPr>
          <w:p>
            <w:pPr>
              <w:spacing w:after="0"/>
            </w:pPr>
            <w:r/>
            <w:r>
              <w:rPr>
                <w:sz w:val="18"/>
              </w:rPr>
              <w:t>Governing authority</w:t>
            </w:r>
          </w:p>
        </w:tc>
        <w:tc>
          <w:tcPr>
            <w:tcW w:type="dxa" w:w="7056"/>
          </w:tcPr>
          <w:p>
            <w:pPr>
              <w:spacing w:after="0"/>
            </w:pPr>
            <w:r/>
            <w:r>
              <w:rPr>
                <w:sz w:val="18"/>
              </w:rPr>
              <w:t>21 CFR 50.25(a)(6); 21 CFR 50.20 (no exculpatory language); ICH E6(R2) 4.8.10(j)</w:t>
            </w:r>
          </w:p>
        </w:tc>
      </w:tr>
    </w:tbl>
    <w:p>
      <w:pPr>
        <w:spacing w:after="40"/>
      </w:pPr>
    </w:p>
    <w:p>
      <w:pPr>
        <w:spacing w:after="120"/>
        <w:jc w:val="both"/>
      </w:pPr>
      <w:r>
        <w:rPr>
          <w:b/>
        </w:rPr>
        <w:t>Deficiency.</w:t>
      </w:r>
      <w:r>
        <w:t xml:space="preserve"> For research involving more than minimal risk, which this study plainly is (two or three percutaneous liver biopsies, 52 weeks of a novel injectable), §50.25(a)(6) requires “an explanation as to whether any compensation and an explanation as to whether any medical treatments are available if injury occurs and, if so, what they consist of, or where further information may be obtained.” The ICF is silent. Its §A7 (Costs and Payments) covers only visit stipends. The Protocol confirms that insurance exists (§13.4), so the ICF can and must describe what is available.</w:t>
      </w:r>
    </w:p>
    <w:p>
      <w:pPr>
        <w:spacing w:after="120"/>
        <w:jc w:val="both"/>
      </w:pPr>
      <w:r>
        <w:rPr>
          <w:b/>
        </w:rPr>
        <w:t>Regulatory risk.</w:t>
      </w:r>
      <w:r>
        <w:t xml:space="preserve"> This is a missing basic element and a common clinical hold and IRB deficiency. Our June 18 email flagged it as an element sponsors often overlook.</w:t>
      </w:r>
    </w:p>
    <w:p>
      <w:pPr>
        <w:spacing w:after="40"/>
      </w:pPr>
      <w:r>
        <w:rPr>
          <w:b/>
        </w:rPr>
        <w:t>Recommended remediation.</w:t>
      </w:r>
    </w:p>
    <w:p>
      <w:pPr>
        <w:pStyle w:val="ListBullet"/>
        <w:spacing w:after="40"/>
      </w:pPr>
      <w:r>
        <w:t>Add a new ICF §A9 “Research-Related Injury” (below). Conform it to Pinnacle’s actual injury-coverage policy and to the clinical trial agreements (CTAs), which often contain a subject-injury clause. The two must be consistent.</w:t>
      </w:r>
    </w:p>
    <w:p>
      <w:pPr>
        <w:pStyle w:val="ListBullet"/>
        <w:spacing w:after="40"/>
      </w:pPr>
      <w:r>
        <w:t>Do not include any language that waives or appears to waive the subject’s legal rights (21 CFR 50.20).</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Research-Related Injury. If you are injured or become ill as a direct result of taking the study drug or of a procedure required by this study, the study doctor will provide or arrange medical treatment. [Pinnacle Therapeutics, Inc. will pay the reasonable costs of medical treatment for such injury or illness that are not covered by your health insurance or other third-party coverage, provided the injury was not caused by your failure to follow study instructions or by the negligence of the study site.] No other form of compensation (such as payment for lost wages or discomfort) is routinely available. You do not give up any of your legal rights by signing this form. For more information, or if you believe you have been injured as a result of this study, contact the study doctor at [telephone].</w:t>
      </w:r>
    </w:p>
    <w:p>
      <w:pPr>
        <w:pStyle w:val="Heading3"/>
      </w:pPr>
      <w:r>
        <w:t>C-10  ICF omits the ClinicalTrials.gov statement  [Critical]</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4CCCC"/>
          </w:tcPr>
          <w:p>
            <w:pPr>
              <w:spacing w:after="0"/>
            </w:pPr>
            <w:r/>
            <w:r>
              <w:rPr>
                <w:sz w:val="18"/>
              </w:rPr>
              <w:t>Critical</w:t>
            </w:r>
          </w:p>
        </w:tc>
      </w:tr>
      <w:tr>
        <w:tc>
          <w:tcPr>
            <w:tcW w:type="dxa" w:w="2304"/>
          </w:tcPr>
          <w:p>
            <w:pPr>
              <w:spacing w:after="0"/>
            </w:pPr>
            <w:r/>
            <w:r>
              <w:rPr>
                <w:sz w:val="18"/>
              </w:rPr>
              <w:t>Protocol / ICF reference</w:t>
            </w:r>
          </w:p>
        </w:tc>
        <w:tc>
          <w:tcPr>
            <w:tcW w:type="dxa" w:w="7056"/>
          </w:tcPr>
          <w:p>
            <w:pPr>
              <w:spacing w:after="0"/>
            </w:pPr>
            <w:r/>
            <w:r>
              <w:rPr>
                <w:sz w:val="18"/>
              </w:rPr>
              <w:t>Appendix A; compare Protocol §13.6 (study will be registered under FDAAA 801 / 42 CFR Part 11)</w:t>
            </w:r>
          </w:p>
        </w:tc>
      </w:tr>
      <w:tr>
        <w:tc>
          <w:tcPr>
            <w:tcW w:type="dxa" w:w="2304"/>
          </w:tcPr>
          <w:p>
            <w:pPr>
              <w:spacing w:after="0"/>
            </w:pPr>
            <w:r/>
            <w:r>
              <w:rPr>
                <w:sz w:val="18"/>
              </w:rPr>
              <w:t>Governing authority</w:t>
            </w:r>
          </w:p>
        </w:tc>
        <w:tc>
          <w:tcPr>
            <w:tcW w:type="dxa" w:w="7056"/>
          </w:tcPr>
          <w:p>
            <w:pPr>
              <w:spacing w:after="0"/>
            </w:pPr>
            <w:r/>
            <w:r>
              <w:rPr>
                <w:sz w:val="18"/>
              </w:rPr>
              <w:t>21 CFR 50.25(c)</w:t>
            </w:r>
          </w:p>
        </w:tc>
      </w:tr>
    </w:tbl>
    <w:p>
      <w:pPr>
        <w:spacing w:after="40"/>
      </w:pPr>
    </w:p>
    <w:p>
      <w:pPr>
        <w:spacing w:after="120"/>
        <w:jc w:val="both"/>
      </w:pPr>
      <w:r>
        <w:rPr>
          <w:b/>
        </w:rPr>
        <w:t>Deficiency.</w:t>
      </w:r>
      <w:r>
        <w:t xml:space="preserve"> This study is an “applicable clinical trial” (§13.6). Section 50.25(c) therefore requires the ICF to include the following statement, verbatim. The ICF does not.</w:t>
      </w:r>
    </w:p>
    <w:p>
      <w:pPr>
        <w:spacing w:after="120"/>
        <w:jc w:val="both"/>
      </w:pPr>
      <w:r>
        <w:rPr>
          <w:b/>
        </w:rPr>
        <w:t>Regulatory risk.</w:t>
      </w:r>
      <w:r>
        <w:t xml:space="preserve"> This is a missing mandatory element under §50.25(c). The working checklist does not test for it at all.</w:t>
      </w:r>
    </w:p>
    <w:p>
      <w:pPr>
        <w:spacing w:after="120"/>
        <w:jc w:val="both"/>
      </w:pPr>
      <w:r>
        <w:rPr>
          <w:b/>
        </w:rPr>
        <w:t>Recommended remediation.</w:t>
      </w:r>
      <w:r>
        <w:t xml:space="preserve"> Insert the statement below, verbatim, in ICF §A1 or a new section. FDA does not permit paraphrase.</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“A description of this clinical trial will be available on http://www.ClinicalTrials.gov, as required by U.S. Law. This Web site will not include information that can identify you. At most, the Web site will include a summary of the results. You can search this Web site at any time.”</w:t>
      </w:r>
    </w:p>
    <w:p>
      <w:pPr>
        <w:pStyle w:val="Heading2"/>
      </w:pPr>
      <w:r>
        <w:t>C. Safety Reporting</w:t>
      </w:r>
    </w:p>
    <w:p>
      <w:pPr>
        <w:pStyle w:val="Heading3"/>
      </w:pPr>
      <w:r>
        <w:t>M-1  Safety reporting framework does not track 21 CFR 312.32 or 312.64  [Major]</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CE5CD"/>
          </w:tcPr>
          <w:p>
            <w:pPr>
              <w:spacing w:after="0"/>
            </w:pPr>
            <w:r/>
            <w:r>
              <w:rPr>
                <w:sz w:val="18"/>
              </w:rPr>
              <w:t>Major</w:t>
            </w:r>
          </w:p>
        </w:tc>
      </w:tr>
      <w:tr>
        <w:tc>
          <w:tcPr>
            <w:tcW w:type="dxa" w:w="2304"/>
          </w:tcPr>
          <w:p>
            <w:pPr>
              <w:spacing w:after="0"/>
            </w:pPr>
            <w:r/>
            <w:r>
              <w:rPr>
                <w:sz w:val="18"/>
              </w:rPr>
              <w:t>Protocol / ICF reference</w:t>
            </w:r>
          </w:p>
        </w:tc>
        <w:tc>
          <w:tcPr>
            <w:tcW w:type="dxa" w:w="7056"/>
          </w:tcPr>
          <w:p>
            <w:pPr>
              <w:spacing w:after="0"/>
            </w:pPr>
            <w:r/>
            <w:r>
              <w:rPr>
                <w:sz w:val="18"/>
              </w:rPr>
              <w:t>§9.1 (Sponsor will report “as required by applicable law”; investigator SAE reporting “within 48 hours”; AE collection begins at first dose; pre-dose events recorded as medical history; causality “related / not related”); §9.2 (AESIs within 48 hours)</w:t>
            </w:r>
          </w:p>
        </w:tc>
      </w:tr>
      <w:tr>
        <w:tc>
          <w:tcPr>
            <w:tcW w:type="dxa" w:w="2304"/>
          </w:tcPr>
          <w:p>
            <w:pPr>
              <w:spacing w:after="0"/>
            </w:pPr>
            <w:r/>
            <w:r>
              <w:rPr>
                <w:sz w:val="18"/>
              </w:rPr>
              <w:t>Governing authority</w:t>
            </w:r>
          </w:p>
        </w:tc>
        <w:tc>
          <w:tcPr>
            <w:tcW w:type="dxa" w:w="7056"/>
          </w:tcPr>
          <w:p>
            <w:pPr>
              <w:spacing w:after="0"/>
            </w:pPr>
            <w:r/>
            <w:r>
              <w:rPr>
                <w:sz w:val="18"/>
              </w:rPr>
              <w:t>21 CFR 312.32(a), (c)(1)(i)–(iv), (c)(2), (d); 21 CFR 312.64(b); FDA Guidance, Safety Reporting Requirements for INDs and BA/BE Studies (Dec. 2012); ICH E6(R2) 4.11, 5.16–5.17; ICH E2A</w:t>
            </w:r>
          </w:p>
        </w:tc>
      </w:tr>
    </w:tbl>
    <w:p>
      <w:pPr>
        <w:spacing w:after="40"/>
      </w:pPr>
    </w:p>
    <w:p>
      <w:pPr>
        <w:spacing w:after="120"/>
        <w:jc w:val="both"/>
      </w:pPr>
      <w:r>
        <w:rPr>
          <w:b/>
        </w:rPr>
        <w:t>Deficiency.</w:t>
      </w:r>
      <w:r>
        <w:t xml:space="preserve"> Section 9.1 states only that the Sponsor will report “as required by applicable law.” Specifically, the Protocol: (i) does not define “suspected adverse reaction,” “unexpected,” or “serious and unexpected suspected adverse reaction” (SUSAR) as §312.32(a) does; (ii) does not name the reference safety information against which expectedness is judged (the IB section); (iii) states neither the </w:t>
      </w:r>
      <w:r>
        <w:rPr>
          <w:b/>
        </w:rPr>
        <w:t>15-calendar-day</w:t>
      </w:r>
      <w:r>
        <w:t xml:space="preserve"> IND safety report deadline (§312.32(c)(1)) nor the </w:t>
      </w:r>
      <w:r>
        <w:rPr>
          <w:b/>
        </w:rPr>
        <w:t>7-calendar-day</w:t>
      </w:r>
      <w:r>
        <w:t xml:space="preserve"> deadline for unexpected fatal or life-threatening suspected adverse reactions (§312.32(c)(2)); (iv) omits the other §312.32(c)(1) report triggers, including findings from other studies, animal or in vitro testing, and a clinically important increase in the rate of serious suspected adverse reactions over the protocol or IB; (v) has no plan for aggregate unblinded safety review (2012 Guidance) and no description of how IND safety reports reach investigators and IRBs/REBs; and (vi) gives investigators 48 hours to report SAEs. Section 312.64(b) requires investigators to report any SAE to the sponsor “immediately,” and industry practice and ICH E6(R2) 4.11.1 treat that as within 24 hours. A further gap: AE and SAE collection starts at first dose, and earlier events are recorded as medical history. As a result, </w:t>
      </w:r>
      <w:r>
        <w:rPr>
          <w:b/>
        </w:rPr>
        <w:t>SAEs caused by the protocol-mandated screening liver biopsy would not be captured as SAEs</w:t>
      </w:r>
      <w:r>
        <w:t>. Note also that several items on the working checklist cite the pre-2011 numbering of §312.32 (e.g., placing the 7-day rule in (c)(1)(i) and animal findings in §312.32(d)). They should be corrected to the current rule.</w:t>
      </w:r>
    </w:p>
    <w:p>
      <w:pPr>
        <w:spacing w:after="120"/>
        <w:jc w:val="both"/>
      </w:pPr>
      <w:r>
        <w:rPr>
          <w:b/>
        </w:rPr>
        <w:t>Regulatory risk.</w:t>
      </w:r>
      <w:r>
        <w:t xml:space="preserve"> Safety reporting is a core IND obligation, and a protocol that defers entirely to “applicable law” tends to draw FDA comment. The 48-hour window departs from §312.64(b) for every investigator who signs a Form FDA 1572. Missing biopsy-related SAEs during screening is a subject-safety and data-integrity gap.</w:t>
      </w:r>
    </w:p>
    <w:p>
      <w:pPr>
        <w:spacing w:after="40"/>
      </w:pPr>
      <w:r>
        <w:rPr>
          <w:b/>
        </w:rPr>
        <w:t>Recommended remediation.</w:t>
      </w:r>
    </w:p>
    <w:p>
      <w:pPr>
        <w:pStyle w:val="ListBullet"/>
        <w:spacing w:after="40"/>
      </w:pPr>
      <w:r>
        <w:t>Restate §9.1 to include the definitions, timelines and reporting pathways (below). Name the IB section that serves as reference safety information.</w:t>
      </w:r>
    </w:p>
    <w:p>
      <w:pPr>
        <w:pStyle w:val="ListBullet"/>
        <w:spacing w:after="40"/>
      </w:pPr>
      <w:r>
        <w:t>Change investigator SAE reporting to immediately, and in no event later than 24 hours after awareness. Keep 24 hours for AESIs and for pregnancy.</w:t>
      </w:r>
    </w:p>
    <w:p>
      <w:pPr>
        <w:pStyle w:val="ListBullet"/>
        <w:spacing w:after="40"/>
      </w:pPr>
      <w:r>
        <w:t>Collect SAEs, and all AEs related to study procedures, from signature of the ICF. Collect all other AEs from first dose.</w:t>
      </w:r>
    </w:p>
    <w:p>
      <w:pPr>
        <w:pStyle w:val="ListBullet"/>
        <w:spacing w:after="40"/>
      </w:pPr>
      <w:r>
        <w:t>Add a statement on unblinding for expedited reporting (already in §5.3), on aggregate safety review by a Safety Assessment Committee or the DSMB, and on parallel Health Canada ADR reporting (M-2).</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9.1.x Expedited Reporting to Regulatory Authorities. The Sponsor will evaluate each SAE for causality and expectedness against the Reference Safety Information in Section [X] of the current Investigator’s Brochure. A suspected adverse reaction is any adverse event for which there is a reasonable possibility that the study drug caused the event. The Sponsor will submit an IND safety report to FDA, and notify all participating investigators, of any suspected adverse reaction that is both serious and unexpected, and of any finding described in 21 CFR 312.32(c)(1)(ii)–(iv), as soon as possible and in no event later than 15 calendar days after the Sponsor determines that the information qualifies for reporting. Any unexpected fatal or life-threatening suspected adverse reaction will be reported to FDA as soon as possible and in no event later than 7 calendar days after the Sponsor’s initial receipt of the information. Relevant follow-up information will be submitted as an IND safety report without delay, and no later than 15 calendar days after receipt. Investigators will promptly forward IND safety reports to their IRB/REB as required. For Canadian sites, serious unexpected adverse drug reactions will be reported to Health Canada as described in Section 13.7. Investigator reporting: the investigator must report every SAE to the Sponsor immediately, and in no event later than 24 hours after becoming aware of it. SAEs are collected from the time the subject signs the ICF through the Week 64 visit.</w:t>
      </w:r>
    </w:p>
    <w:p>
      <w:pPr>
        <w:pStyle w:val="Heading2"/>
      </w:pPr>
      <w:r>
        <w:t>D. Subject Protection, Nonclinical Support and Safety Monitoring</w:t>
      </w:r>
    </w:p>
    <w:p>
      <w:pPr>
        <w:pStyle w:val="Heading3"/>
      </w:pPr>
      <w:r>
        <w:t>M-4  No gating of dosing beyond Week 26 on 39-week chronic toxicology  [Major]</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CE5CD"/>
          </w:tcPr>
          <w:p>
            <w:pPr>
              <w:spacing w:after="0"/>
            </w:pPr>
            <w:r/>
            <w:r>
              <w:rPr>
                <w:sz w:val="18"/>
              </w:rPr>
              <w:t>Major</w:t>
            </w:r>
          </w:p>
        </w:tc>
      </w:tr>
      <w:tr>
        <w:tc>
          <w:tcPr>
            <w:tcW w:type="dxa" w:w="2304"/>
          </w:tcPr>
          <w:p>
            <w:pPr>
              <w:spacing w:after="0"/>
            </w:pPr>
            <w:r/>
            <w:r>
              <w:rPr>
                <w:sz w:val="18"/>
              </w:rPr>
              <w:t>Protocol / ICF reference</w:t>
            </w:r>
          </w:p>
        </w:tc>
        <w:tc>
          <w:tcPr>
            <w:tcW w:type="dxa" w:w="7056"/>
          </w:tcPr>
          <w:p>
            <w:pPr>
              <w:spacing w:after="0"/>
            </w:pPr>
            <w:r/>
            <w:r>
              <w:rPr>
                <w:sz w:val="18"/>
              </w:rPr>
              <w:t>§2.1 (26-week rat and monkey studies only); §5.2 (dosing through Week 52); §13.1</w:t>
            </w:r>
          </w:p>
        </w:tc>
      </w:tr>
      <w:tr>
        <w:tc>
          <w:tcPr>
            <w:tcW w:type="dxa" w:w="2304"/>
          </w:tcPr>
          <w:p>
            <w:pPr>
              <w:spacing w:after="0"/>
            </w:pPr>
            <w:r/>
            <w:r>
              <w:rPr>
                <w:sz w:val="18"/>
              </w:rPr>
              <w:t>Governing authority</w:t>
            </w:r>
          </w:p>
        </w:tc>
        <w:tc>
          <w:tcPr>
            <w:tcW w:type="dxa" w:w="7056"/>
          </w:tcPr>
          <w:p>
            <w:pPr>
              <w:spacing w:after="0"/>
            </w:pPr>
            <w:r/>
            <w:r>
              <w:rPr>
                <w:sz w:val="18"/>
              </w:rPr>
              <w:t>Minutes §4.7 and Action Item 3; ICH M3(R2) §5 (duration of repeated-dose toxicity studies); 21 CFR 312.23(a)(8); 312.42(b)(1)(iv)</w:t>
            </w:r>
          </w:p>
        </w:tc>
      </w:tr>
    </w:tbl>
    <w:p>
      <w:pPr>
        <w:spacing w:after="40"/>
      </w:pPr>
    </w:p>
    <w:p>
      <w:pPr>
        <w:spacing w:after="120"/>
        <w:jc w:val="both"/>
      </w:pPr>
      <w:r>
        <w:rPr>
          <w:b/>
        </w:rPr>
        <w:t>Deficiency.</w:t>
      </w:r>
      <w:r>
        <w:t xml:space="preserve"> The 26-week studies support clinical dosing up to 6 months. FDA allowed the 52-week study to start only on three conditions: (1) acceptable 26-week data; (2) the 39-week non-rodent study starting before or with clinical dosing; and (3) </w:t>
      </w:r>
      <w:r>
        <w:rPr>
          <w:b/>
        </w:rPr>
        <w:t>39-week results available before any subject is dosed beyond 26 weeks</w:t>
      </w:r>
      <w:r>
        <w:t>. Pinnacle must commit to this, with a timeline, in the IND cover letter and must submit the data as an IND amendment. The Protocol does not mention the requirement or any operational gate. The first subject to reach Week 26 is expected around April 2026, so the 39-week study must be under way now and reported by then.</w:t>
      </w:r>
    </w:p>
    <w:p>
      <w:pPr>
        <w:spacing w:after="120"/>
        <w:jc w:val="both"/>
      </w:pPr>
      <w:r>
        <w:rPr>
          <w:b/>
        </w:rPr>
        <w:t>Regulatory risk.</w:t>
      </w:r>
      <w:r>
        <w:t xml:space="preserve"> If a subject is dosed past Week 26 without the chronic data, Pinnacle would be in breach of the condition FDA set and would create a hold rationale under §312.42(b)(1)(iv) (insufficient information to assess risk). The Protocol should make the gate visible to investigators and the IRT.</w:t>
      </w:r>
    </w:p>
    <w:p>
      <w:pPr>
        <w:spacing w:after="40"/>
      </w:pPr>
      <w:r>
        <w:rPr>
          <w:b/>
        </w:rPr>
        <w:t>Recommended remediation.</w:t>
      </w:r>
    </w:p>
    <w:p>
      <w:pPr>
        <w:pStyle w:val="ListBullet"/>
        <w:spacing w:after="40"/>
      </w:pPr>
      <w:r>
        <w:t>Add a §5.2 gate (below). Program the IRT to block dispensing of Week 27+ kits until the Sponsor releases the gate.</w:t>
      </w:r>
    </w:p>
    <w:p>
      <w:pPr>
        <w:pStyle w:val="ListBullet"/>
        <w:spacing w:after="40"/>
      </w:pPr>
      <w:r>
        <w:t>Pinnacle Nonclinical to confirm that the 39-week cynomolgus study has started, give its reporting date, and draft the cover-letter commitment. Have a contingency (e.g., treatment interruption or a protocol amendment) if the report will be late.</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5.2.x Dosing Beyond Week 26. Dosing of any subject beyond 26 weeks of treatment is contingent on the Sponsor’s submission to FDA [and Health Canada] of the results of the 39-week repeat-dose toxicology study in cynomolgus monkeys, and on the absence of findings that preclude continued dosing. The Sponsor will notify investigators in writing and release Week 27+ study drug through the IRT only after this condition is met. If the condition is not met by the time a subject reaches Week 26, study drug will be [interrupted] and the subject will continue scheduled assessments pending the Sponsor’s notification.</w:t>
      </w:r>
    </w:p>
    <w:p>
      <w:pPr>
        <w:pStyle w:val="Heading3"/>
      </w:pPr>
      <w:r>
        <w:t>M-5  Hepatic laboratory monitoring less frequent than FDA recommended; incomplete interruption / re-challenge rules  [Major]</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CE5CD"/>
          </w:tcPr>
          <w:p>
            <w:pPr>
              <w:spacing w:after="0"/>
            </w:pPr>
            <w:r/>
            <w:r>
              <w:rPr>
                <w:sz w:val="18"/>
              </w:rPr>
              <w:t>Major</w:t>
            </w:r>
          </w:p>
        </w:tc>
      </w:tr>
      <w:tr>
        <w:tc>
          <w:tcPr>
            <w:tcW w:type="dxa" w:w="2304"/>
          </w:tcPr>
          <w:p>
            <w:pPr>
              <w:spacing w:after="0"/>
            </w:pPr>
            <w:r/>
            <w:r>
              <w:rPr>
                <w:sz w:val="18"/>
              </w:rPr>
              <w:t>Protocol / ICF reference</w:t>
            </w:r>
          </w:p>
        </w:tc>
        <w:tc>
          <w:tcPr>
            <w:tcW w:type="dxa" w:w="7056"/>
          </w:tcPr>
          <w:p>
            <w:pPr>
              <w:spacing w:after="0"/>
            </w:pPr>
            <w:r/>
            <w:r>
              <w:rPr>
                <w:sz w:val="18"/>
              </w:rPr>
              <w:t>Table 4 / Appendix C (CMP at Wks 2, 4, 8, 12, 16, 20, 24, then 30, 36, 42, 48, 52; INR only at Day 1, Wks 12, 24, 52); §9.5.1</w:t>
            </w:r>
          </w:p>
        </w:tc>
      </w:tr>
      <w:tr>
        <w:tc>
          <w:tcPr>
            <w:tcW w:type="dxa" w:w="2304"/>
          </w:tcPr>
          <w:p>
            <w:pPr>
              <w:spacing w:after="0"/>
            </w:pPr>
            <w:r/>
            <w:r>
              <w:rPr>
                <w:sz w:val="18"/>
              </w:rPr>
              <w:t>Governing authority</w:t>
            </w:r>
          </w:p>
        </w:tc>
        <w:tc>
          <w:tcPr>
            <w:tcW w:type="dxa" w:w="7056"/>
          </w:tcPr>
          <w:p>
            <w:pPr>
              <w:spacing w:after="0"/>
            </w:pPr>
            <w:r/>
            <w:r>
              <w:rPr>
                <w:sz w:val="18"/>
              </w:rPr>
              <w:t>Minutes §4.5; FDA Guidance, Drug-Induced Liver Injury: Premarketing Clinical Evaluation (July 2009); 21 CFR 312.23(a)(6)(iii)(g)</w:t>
            </w:r>
          </w:p>
        </w:tc>
      </w:tr>
    </w:tbl>
    <w:p>
      <w:pPr>
        <w:spacing w:after="40"/>
      </w:pPr>
    </w:p>
    <w:p>
      <w:pPr>
        <w:spacing w:after="120"/>
        <w:jc w:val="both"/>
      </w:pPr>
      <w:r>
        <w:rPr>
          <w:b/>
        </w:rPr>
        <w:t>Deficiency.</w:t>
      </w:r>
      <w:r>
        <w:t xml:space="preserve"> FDA recommended hepatic function tests (ALT, AST, ALP, total and direct bilirubin, albumin and INR) </w:t>
      </w:r>
      <w:r>
        <w:rPr>
          <w:b/>
        </w:rPr>
        <w:t>at least every 2 weeks during the first 12 weeks and at least monthly thereafter</w:t>
      </w:r>
      <w:r>
        <w:t>, with more testing during titration. The schedule has no draws at Weeks 6 and 10, spaces draws 6 weeks apart from Week 24 to Week 52, and measures INR only four times. FDA also asked for dose-interruption and re-challenge criteria at lower ALT thresholds (e.g., &gt;5× ULN). Section 9.5.1 provides a 5–10× ULN hold-and-resume rule. But it does not account for elevated baseline transaminases, which are common in NASH; the DILI Guidance supports thresholds relative to baseline for such subjects. It also has no close-observation rule for ALT &gt;3× ULN with symptoms, and no criteria for when a re-challenge is not permitted.</w:t>
      </w:r>
    </w:p>
    <w:p>
      <w:pPr>
        <w:spacing w:after="120"/>
        <w:jc w:val="both"/>
      </w:pPr>
      <w:r>
        <w:rPr>
          <w:b/>
        </w:rPr>
        <w:t>Regulatory risk.</w:t>
      </w:r>
      <w:r>
        <w:t xml:space="preserve"> This is a departure from a specific FDA safety recommendation in a population FDA called vulnerable. It is moderate hold risk but highly likely to draw an information request.</w:t>
      </w:r>
    </w:p>
    <w:p>
      <w:pPr>
        <w:spacing w:after="40"/>
      </w:pPr>
      <w:r>
        <w:rPr>
          <w:b/>
        </w:rPr>
        <w:t>Recommended remediation.</w:t>
      </w:r>
    </w:p>
    <w:p>
      <w:pPr>
        <w:pStyle w:val="ListBullet"/>
        <w:spacing w:after="40"/>
      </w:pPr>
      <w:r>
        <w:t>Add laboratory-only visits (central lab via local draw or mobile phlebotomy) at Weeks 6 and 10. Add monthly hepatic panels and INR at Weeks 28, 32/34, 40 and 44 so that intervals never exceed 4 weeks. Include INR in every hepatic panel.</w:t>
      </w:r>
    </w:p>
    <w:p>
      <w:pPr>
        <w:pStyle w:val="ListBullet"/>
        <w:spacing w:after="40"/>
      </w:pPr>
      <w:r>
        <w:t>Expand §9.5.1 with baseline-adjusted thresholds (e.g., ALT &gt;3× baseline or &gt;5× ULN, whichever is lower, for subjects with elevated baseline), close-observation requirements, a prohibition on re-challenge after Hy’s Law or symptomatic hepatitis, and Medical Monitor and DSMB notification. Align with the Sponsor DILI Assessment Protocol cited in §9.2.</w:t>
      </w:r>
    </w:p>
    <w:p>
      <w:pPr>
        <w:pStyle w:val="Heading3"/>
      </w:pPr>
      <w:r>
        <w:t>M-6  Biopsy adequacy criteria differ from the agreed criteria; no repeat-biopsy procedure  [Major]</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CE5CD"/>
          </w:tcPr>
          <w:p>
            <w:pPr>
              <w:spacing w:after="0"/>
            </w:pPr>
            <w:r/>
            <w:r>
              <w:rPr>
                <w:sz w:val="18"/>
              </w:rPr>
              <w:t>Major</w:t>
            </w:r>
          </w:p>
        </w:tc>
      </w:tr>
      <w:tr>
        <w:tc>
          <w:tcPr>
            <w:tcW w:type="dxa" w:w="2304"/>
          </w:tcPr>
          <w:p>
            <w:pPr>
              <w:spacing w:after="0"/>
            </w:pPr>
            <w:r/>
            <w:r>
              <w:rPr>
                <w:sz w:val="18"/>
              </w:rPr>
              <w:t>Protocol / ICF reference</w:t>
            </w:r>
          </w:p>
        </w:tc>
        <w:tc>
          <w:tcPr>
            <w:tcW w:type="dxa" w:w="7056"/>
          </w:tcPr>
          <w:p>
            <w:pPr>
              <w:spacing w:after="0"/>
            </w:pPr>
            <w:r/>
            <w:r>
              <w:rPr>
                <w:sz w:val="18"/>
              </w:rPr>
              <w:t>§8.1 (minimum 20 mm and 11 portal tracts; investigator “should consider obtaining an additional specimen”); §6.3 and Table 4 footnote b (fresh baseline biopsy if screening biopsy &gt;4 weeks before Day 1); Inclusion 2 and 6</w:t>
            </w:r>
          </w:p>
        </w:tc>
      </w:tr>
      <w:tr>
        <w:tc>
          <w:tcPr>
            <w:tcW w:type="dxa" w:w="2304"/>
          </w:tcPr>
          <w:p>
            <w:pPr>
              <w:spacing w:after="0"/>
            </w:pPr>
            <w:r/>
            <w:r>
              <w:rPr>
                <w:sz w:val="18"/>
              </w:rPr>
              <w:t>Governing authority</w:t>
            </w:r>
          </w:p>
        </w:tc>
        <w:tc>
          <w:tcPr>
            <w:tcW w:type="dxa" w:w="7056"/>
          </w:tcPr>
          <w:p>
            <w:pPr>
              <w:spacing w:after="0"/>
            </w:pPr>
            <w:r/>
            <w:r>
              <w:rPr>
                <w:sz w:val="18"/>
              </w:rPr>
              <w:t>Minutes §4.1 and Action Item 4; FDA NASH Guidance (Dec. 2018)</w:t>
            </w:r>
          </w:p>
        </w:tc>
      </w:tr>
    </w:tbl>
    <w:p>
      <w:pPr>
        <w:spacing w:after="40"/>
      </w:pPr>
    </w:p>
    <w:p>
      <w:pPr>
        <w:spacing w:after="120"/>
        <w:jc w:val="both"/>
      </w:pPr>
      <w:r>
        <w:rPr>
          <w:b/>
        </w:rPr>
        <w:t>Deficiency.</w:t>
      </w:r>
      <w:r>
        <w:t xml:space="preserve"> Pinnacle agreed to prespecify a minimum biopsy length of </w:t>
      </w:r>
      <w:r>
        <w:rPr>
          <w:b/>
        </w:rPr>
        <w:t>1.5 cm</w:t>
      </w:r>
      <w:r>
        <w:t xml:space="preserve"> and </w:t>
      </w:r>
      <w:r>
        <w:rPr>
          <w:b/>
        </w:rPr>
        <w:t>6 portal tracts</w:t>
      </w:r>
      <w:r>
        <w:t xml:space="preserve">, and to describe how inadequate specimens are handled, including whether a repeat biopsy will be offered and </w:t>
      </w:r>
      <w:r>
        <w:rPr>
          <w:b/>
        </w:rPr>
        <w:t>the timeframe</w:t>
      </w:r>
      <w:r>
        <w:t xml:space="preserve"> for obtaining it. Section 8.1 sets stricter thresholds (20 mm and 11 portal tracts) without explanation. That may disqualify specimens FDA would accept, including historical qualifying biopsies, and so increase repeat invasive procedures. The repeat-biopsy provision is discretionary and has no time window. Related inconsistencies: Inclusion 2 accepts a biopsy taken within 6 months, but Table 4 note b requires a fresh baseline biopsy if the qualifying biopsy is more than 4 weeks before Day 1. Some subjects will therefore undergo three biopsies, which the ICF does not disclose (M-9). And the adequacy criteria are not expressly applied to historical biopsies or to the Week 52 specimen.</w:t>
      </w:r>
    </w:p>
    <w:p>
      <w:pPr>
        <w:spacing w:after="120"/>
        <w:jc w:val="both"/>
      </w:pPr>
      <w:r>
        <w:rPr>
          <w:b/>
        </w:rPr>
        <w:t>Regulatory risk.</w:t>
      </w:r>
      <w:r>
        <w:t xml:space="preserve"> This departs from an agreed action item. Stricter-than-agreed thresholds are not unlawful, but they must be justified because they add subject risk (repeat biopsies) and missing primary-endpoint data. FDA will look for the agreed criteria and the repeat-biopsy procedure.</w:t>
      </w:r>
    </w:p>
    <w:p>
      <w:pPr>
        <w:spacing w:after="40"/>
      </w:pPr>
      <w:r>
        <w:rPr>
          <w:b/>
        </w:rPr>
        <w:t>Recommended remediation.</w:t>
      </w:r>
    </w:p>
    <w:p>
      <w:pPr>
        <w:pStyle w:val="ListBullet"/>
        <w:spacing w:after="40"/>
      </w:pPr>
      <w:r>
        <w:t>Adopt the FDA criteria (≥1.5 cm and ≥6 portal tracts) as the adequacy definition. If Pinnacle Clinical prefers a stricter “target” specimen quality, state it as a target and keep the FDA minimum as the adequacy threshold.</w:t>
      </w:r>
    </w:p>
    <w:p>
      <w:pPr>
        <w:pStyle w:val="ListBullet"/>
        <w:spacing w:after="40"/>
      </w:pPr>
      <w:r>
        <w:t>Prespecify (below): who judges adequacy (central pathology), the repeat-biopsy offer, windows for Screening and Week 52, and how inadequate specimens are handled in the analysis (link to the estimand, M-8).</w:t>
      </w:r>
    </w:p>
    <w:p>
      <w:pPr>
        <w:pStyle w:val="ListBullet"/>
        <w:spacing w:after="40"/>
      </w:pPr>
      <w:r>
        <w:t>Reconcile the 6-month and 4-week windows for historical biopsies. FDA did not require a fresh baseline biopsy within 4 weeks. If one is retained, explain the scientific rationale and disclose the possibility in the ICF.</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8.1.x Biopsy Adequacy. A specimen is adequate for NASH CRN scoring if it is at least 1.5 cm in length and contains at least 6 portal tracts, as determined by the central pathology laboratory. This criterion applies to historical qualifying biopsies, screening/baseline biopsies and Week 52 biopsies. If a screening/baseline specimen is inadequate, the subject may be offered one repeat biopsy within the Screening period (no later than [14] days before Day 1). If a Week 52 specimen is inadequate, the subject may be offered one repeat biopsy within [4] weeks after the Week 52 visit, during which study drug [will/will not] continue. Subjects will not be required to undergo more than [one] repeat biopsy per timepoint.</w:t>
      </w:r>
    </w:p>
    <w:p>
      <w:pPr>
        <w:pStyle w:val="Heading2"/>
      </w:pPr>
      <w:r>
        <w:t>E. Statistical Design</w:t>
      </w:r>
    </w:p>
    <w:p>
      <w:pPr>
        <w:pStyle w:val="Heading3"/>
      </w:pPr>
      <w:r>
        <w:t>M-7  Sample-size calculation does not support the stated 80% power  [Major]</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CE5CD"/>
          </w:tcPr>
          <w:p>
            <w:pPr>
              <w:spacing w:after="0"/>
            </w:pPr>
            <w:r/>
            <w:r>
              <w:rPr>
                <w:sz w:val="18"/>
              </w:rPr>
              <w:t>Major</w:t>
            </w:r>
          </w:p>
        </w:tc>
      </w:tr>
      <w:tr>
        <w:tc>
          <w:tcPr>
            <w:tcW w:type="dxa" w:w="2304"/>
          </w:tcPr>
          <w:p>
            <w:pPr>
              <w:spacing w:after="0"/>
            </w:pPr>
            <w:r/>
            <w:r>
              <w:rPr>
                <w:sz w:val="18"/>
              </w:rPr>
              <w:t>Protocol / ICF reference</w:t>
            </w:r>
          </w:p>
        </w:tc>
        <w:tc>
          <w:tcPr>
            <w:tcW w:type="dxa" w:w="7056"/>
          </w:tcPr>
          <w:p>
            <w:pPr>
              <w:spacing w:after="0"/>
            </w:pPr>
            <w:r/>
            <w:r>
              <w:rPr>
                <w:sz w:val="18"/>
              </w:rPr>
              <w:t>§10.1, Table 5 and Table 1 (78 evaluable per arm; “78 / 0.85 ≈ 92, rounded to 90”); §10.4 (Hochberg across three dose comparisons); §10.3 (interim alpha spending)</w:t>
            </w:r>
          </w:p>
        </w:tc>
      </w:tr>
      <w:tr>
        <w:tc>
          <w:tcPr>
            <w:tcW w:type="dxa" w:w="2304"/>
          </w:tcPr>
          <w:p>
            <w:pPr>
              <w:spacing w:after="0"/>
            </w:pPr>
            <w:r/>
            <w:r>
              <w:rPr>
                <w:sz w:val="18"/>
              </w:rPr>
              <w:t>Governing authority</w:t>
            </w:r>
          </w:p>
        </w:tc>
        <w:tc>
          <w:tcPr>
            <w:tcW w:type="dxa" w:w="7056"/>
          </w:tcPr>
          <w:p>
            <w:pPr>
              <w:spacing w:after="0"/>
            </w:pPr>
            <w:r/>
            <w:r>
              <w:rPr>
                <w:sz w:val="18"/>
              </w:rPr>
              <w:t>ICH E9 §3.5 (sample size); 21 CFR 312.23(a)(6)(iii); 312.42(b)(2)(ii); Minutes §5 (assumptions “generally reasonable,” with alpha “adjusted for multiplicity”)</w:t>
            </w:r>
          </w:p>
        </w:tc>
      </w:tr>
    </w:tbl>
    <w:p>
      <w:pPr>
        <w:spacing w:after="40"/>
      </w:pPr>
    </w:p>
    <w:p>
      <w:pPr>
        <w:spacing w:after="120"/>
        <w:jc w:val="both"/>
      </w:pPr>
      <w:r>
        <w:rPr>
          <w:b/>
        </w:rPr>
        <w:t>Deficiency.</w:t>
      </w:r>
      <w:r>
        <w:t xml:space="preserve"> FDA accepted the </w:t>
      </w:r>
      <w:r>
        <w:rPr>
          <w:b/>
        </w:rPr>
        <w:t>assumptions</w:t>
      </w:r>
      <w:r>
        <w:t xml:space="preserve"> (30% placebo vs. 45% at 30 mg, 80% power, two-sided α 0.05 adjusted for multiplicity, 15% dropout). On our arithmetic, the </w:t>
      </w:r>
      <w:r>
        <w:rPr>
          <w:b/>
        </w:rPr>
        <w:t>calculation</w:t>
      </w:r>
      <w:r>
        <w:t xml:space="preserve"> in §10.1 does not follow from them. With the standard normal-approximation formula for two proportions, 30% vs. 45% at two-sided α = 0.05 and 80% power needs about </w:t>
      </w:r>
      <w:r>
        <w:rPr>
          <w:b/>
        </w:rPr>
        <w:t>163 evaluable subjects per arm</w:t>
      </w:r>
      <w:r>
        <w:t xml:space="preserve"> (about 175 with continuity correction), not 78. At 76.5 evaluable per arm (90 × 0.85), the power for the stated difference is about </w:t>
      </w:r>
      <w:r>
        <w:rPr>
          <w:b/>
        </w:rPr>
        <w:t>48%</w:t>
      </w:r>
      <w:r>
        <w:t xml:space="preserve">. In addition: (i) 78/0.85 is 91.8, which the Protocol rounds </w:t>
      </w:r>
      <w:r>
        <w:rPr>
          <w:b/>
        </w:rPr>
        <w:t>down</w:t>
      </w:r>
      <w:r>
        <w:t xml:space="preserve"> to 90, below its own evaluable target; (ii) the calculation makes no allowance for the Hochberg procedure across three dose comparisons (§10.4) or for the alpha spent at the interim analysis (§10.3), although FDA understood the alpha would be “adjusted for multiplicity”; and (iii) §10.4 calls 30 mg vs. placebo “the primary comparison” while applying Hochberg to all three comparisons. Those two statements are inconsistent.</w:t>
      </w:r>
    </w:p>
    <w:p>
      <w:pPr>
        <w:spacing w:after="120"/>
        <w:jc w:val="both"/>
      </w:pPr>
      <w:r>
        <w:rPr>
          <w:b/>
        </w:rPr>
        <w:t>Regulatory risk.</w:t>
      </w:r>
      <w:r>
        <w:t xml:space="preserve"> A dose-ranging Phase 2b study need not be powered for every comparison. But a protocol that states 80% power when the design delivers roughly half that power is an inaccuracy in a required IND element (§312.23(a)(6)(iii)). It risks a “clearly deficient in design” comment under §312.42(b)(2)(ii) and erodes credibility on the statistical matters FDA discussed. Correcting it may change enrollment, the number of sites and the $67.4 million budget, so it needs an early decision.</w:t>
      </w:r>
    </w:p>
    <w:p>
      <w:pPr>
        <w:spacing w:after="40"/>
      </w:pPr>
      <w:r>
        <w:rPr>
          <w:b/>
        </w:rPr>
        <w:t>Recommended remediation.</w:t>
      </w:r>
    </w:p>
    <w:p>
      <w:pPr>
        <w:pStyle w:val="ListBullet"/>
        <w:spacing w:after="40"/>
      </w:pPr>
      <w:r>
        <w:t>Pinnacle Biostatistics (Dr. Lattimore) to re-run and document the calculation, including software, test (CMH vs. chi-square), multiplicity and interim adjustments. Then either (a) increase the sample size, (b) restate the objective and power claim (e.g., as dose-response estimation via MCP-Mod/Emax with an appropriate power statement), or (c) revise the assumptions with a cited justification.</w:t>
      </w:r>
    </w:p>
    <w:p>
      <w:pPr>
        <w:pStyle w:val="ListBullet"/>
        <w:spacing w:after="40"/>
      </w:pPr>
      <w:r>
        <w:t>Reconcile the primary-comparison language with the Hochberg family, and integrate the key secondary hierarchy (§10.5) into one prespecified multiplicity strategy (e.g., a graphical approach), as FDA requested (Minutes §5).</w:t>
      </w:r>
    </w:p>
    <w:p>
      <w:pPr>
        <w:pStyle w:val="ListBullet"/>
        <w:spacing w:after="40"/>
      </w:pPr>
      <w:r>
        <w:t>If the sample size changes materially, consider informing the Division before submission (Type C meeting or written request).</w:t>
      </w:r>
    </w:p>
    <w:p>
      <w:pPr>
        <w:pStyle w:val="Heading3"/>
      </w:pPr>
      <w:r>
        <w:t>M-8  No estimand framework; analysis populations depend on completion  [Major]</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CE5CD"/>
          </w:tcPr>
          <w:p>
            <w:pPr>
              <w:spacing w:after="0"/>
            </w:pPr>
            <w:r/>
            <w:r>
              <w:rPr>
                <w:sz w:val="18"/>
              </w:rPr>
              <w:t>Major</w:t>
            </w:r>
          </w:p>
        </w:tc>
      </w:tr>
      <w:tr>
        <w:tc>
          <w:tcPr>
            <w:tcW w:type="dxa" w:w="2304"/>
          </w:tcPr>
          <w:p>
            <w:pPr>
              <w:spacing w:after="0"/>
            </w:pPr>
            <w:r/>
            <w:r>
              <w:rPr>
                <w:sz w:val="18"/>
              </w:rPr>
              <w:t>Protocol / ICF reference</w:t>
            </w:r>
          </w:p>
        </w:tc>
        <w:tc>
          <w:tcPr>
            <w:tcW w:type="dxa" w:w="7056"/>
          </w:tcPr>
          <w:p>
            <w:pPr>
              <w:spacing w:after="0"/>
            </w:pPr>
            <w:r/>
            <w:r>
              <w:rPr>
                <w:sz w:val="18"/>
              </w:rPr>
              <w:t>§10.2 (ITT = randomized and dosed; mITT, the primary population, requires a Week 52 biopsy); §10.4 (MAR multiple imputation as sensitivity analysis); §2.2 (cites ICH E9(R1))</w:t>
            </w:r>
          </w:p>
        </w:tc>
      </w:tr>
      <w:tr>
        <w:tc>
          <w:tcPr>
            <w:tcW w:type="dxa" w:w="2304"/>
          </w:tcPr>
          <w:p>
            <w:pPr>
              <w:spacing w:after="0"/>
            </w:pPr>
            <w:r/>
            <w:r>
              <w:rPr>
                <w:sz w:val="18"/>
              </w:rPr>
              <w:t>Governing authority</w:t>
            </w:r>
          </w:p>
        </w:tc>
        <w:tc>
          <w:tcPr>
            <w:tcW w:type="dxa" w:w="7056"/>
          </w:tcPr>
          <w:p>
            <w:pPr>
              <w:spacing w:after="0"/>
            </w:pPr>
            <w:r/>
            <w:r>
              <w:rPr>
                <w:sz w:val="18"/>
              </w:rPr>
              <w:t>ICH E9(R1) Addendum (Estimands and Sensitivity Analysis), as adopted by FDA (May 2021); Minutes §5; FDA NASH Guidance (Dec. 2018)</w:t>
            </w:r>
          </w:p>
        </w:tc>
      </w:tr>
    </w:tbl>
    <w:p>
      <w:pPr>
        <w:spacing w:after="40"/>
      </w:pPr>
    </w:p>
    <w:p>
      <w:pPr>
        <w:spacing w:after="120"/>
        <w:jc w:val="both"/>
      </w:pPr>
      <w:r>
        <w:rPr>
          <w:b/>
        </w:rPr>
        <w:t>Deficiency.</w:t>
      </w:r>
      <w:r>
        <w:t xml:space="preserve"> FDA recommended an estimand framework defining the treatment, population, variable, population-level summary and the strategies for intercurrent events (treatment discontinuation, rescue medication, starting other NASH therapy). The Protocol cites E9(R1) in §2.2 but has no estimand. The primary analysis population (mITT) includes only subjects with a Week 52 biopsy. It is therefore effectively a completers analysis, which can be biased if dropout differs between arms. FDA warned about exactly that differential dropout in the 30 mg arm (Minutes §4.2). The “ITT” label applies to dosed subjects only, not all randomized subjects. Handling missing biopsies under a missing-at-random assumption is not the conservative approach often used for NASH histology responder endpoints, where subjects without a biopsy are typically counted as non-responders.</w:t>
      </w:r>
    </w:p>
    <w:p>
      <w:pPr>
        <w:spacing w:after="120"/>
        <w:jc w:val="both"/>
      </w:pPr>
      <w:r>
        <w:rPr>
          <w:b/>
        </w:rPr>
        <w:t>Regulatory risk.</w:t>
      </w:r>
      <w:r>
        <w:t xml:space="preserve"> FDA can be expected to raise this at IND review and again at end-of-Phase 2. Phase 3 planning will rest on these estimates.</w:t>
      </w:r>
    </w:p>
    <w:p>
      <w:pPr>
        <w:spacing w:after="40"/>
      </w:pPr>
      <w:r>
        <w:rPr>
          <w:b/>
        </w:rPr>
        <w:t>Recommended remediation.</w:t>
      </w:r>
    </w:p>
    <w:p>
      <w:pPr>
        <w:pStyle w:val="ListBullet"/>
        <w:spacing w:after="40"/>
      </w:pPr>
      <w:r>
        <w:t>Add a §10.x Estimands section defining the primary estimand and its intercurrent-event strategies (e.g., composite strategy: discontinuation for lack of efficacy or AE, or missing Week 52 biopsy, counted as non-response; treatment-policy strategy for permitted background-medication changes). Define ITT as all randomized subjects. Align sensitivity analyses (tipping point and MNAR) with the estimand.</w:t>
      </w:r>
    </w:p>
    <w:p>
      <w:pPr>
        <w:pStyle w:val="ListBullet"/>
        <w:spacing w:after="40"/>
      </w:pPr>
      <w:r>
        <w:t>Prespecify how inadequate biopsies (M-6) and initiation of prohibited NASH therapies such as resmetirom (M-11) are handled.</w:t>
      </w:r>
    </w:p>
    <w:p>
      <w:pPr>
        <w:pStyle w:val="Heading2"/>
      </w:pPr>
      <w:r>
        <w:t>F. Data Integrity and Electronic Systems</w:t>
      </w:r>
    </w:p>
    <w:p>
      <w:pPr>
        <w:pStyle w:val="Heading3"/>
      </w:pPr>
      <w:r>
        <w:t>M-3  No 21 CFR Part 11 provisions for the TrialVault EDC system  [Major]</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CE5CD"/>
          </w:tcPr>
          <w:p>
            <w:pPr>
              <w:spacing w:after="0"/>
            </w:pPr>
            <w:r/>
            <w:r>
              <w:rPr>
                <w:sz w:val="18"/>
              </w:rPr>
              <w:t>Major</w:t>
            </w:r>
          </w:p>
        </w:tc>
      </w:tr>
      <w:tr>
        <w:tc>
          <w:tcPr>
            <w:tcW w:type="dxa" w:w="2304"/>
          </w:tcPr>
          <w:p>
            <w:pPr>
              <w:spacing w:after="0"/>
            </w:pPr>
            <w:r/>
            <w:r>
              <w:rPr>
                <w:sz w:val="18"/>
              </w:rPr>
              <w:t>Protocol / ICF reference</w:t>
            </w:r>
          </w:p>
        </w:tc>
        <w:tc>
          <w:tcPr>
            <w:tcW w:type="dxa" w:w="7056"/>
          </w:tcPr>
          <w:p>
            <w:pPr>
              <w:spacing w:after="0"/>
            </w:pPr>
            <w:r/>
            <w:r>
              <w:rPr>
                <w:sz w:val="18"/>
              </w:rPr>
              <w:t>§12.1 (TrialVault described; role-based access, unique login and password, edit checks; no reference to Part 11, validation, audit trail, electronic signatures, backup/recovery)</w:t>
            </w:r>
          </w:p>
        </w:tc>
      </w:tr>
      <w:tr>
        <w:tc>
          <w:tcPr>
            <w:tcW w:type="dxa" w:w="2304"/>
          </w:tcPr>
          <w:p>
            <w:pPr>
              <w:spacing w:after="0"/>
            </w:pPr>
            <w:r/>
            <w:r>
              <w:rPr>
                <w:sz w:val="18"/>
              </w:rPr>
              <w:t>Governing authority</w:t>
            </w:r>
          </w:p>
        </w:tc>
        <w:tc>
          <w:tcPr>
            <w:tcW w:type="dxa" w:w="7056"/>
          </w:tcPr>
          <w:p>
            <w:pPr>
              <w:spacing w:after="0"/>
            </w:pPr>
            <w:r/>
            <w:r>
              <w:rPr>
                <w:sz w:val="18"/>
              </w:rPr>
              <w:t>21 CFR Part 11 (§§11.10(a), (b), (c), (d), (e), (g), (k); 11.50; 11.70; 11.100–11.300); ICH E6(R2) 5.5.3; FDA Guidance, Electronic Systems, Electronic Records, and Electronic Signatures in Clinical Investigations: Questions and Answers (Oct. 2024); Minutes §5 (“Electronic Data Capture”)</w:t>
            </w:r>
          </w:p>
        </w:tc>
      </w:tr>
    </w:tbl>
    <w:p>
      <w:pPr>
        <w:spacing w:after="40"/>
      </w:pPr>
    </w:p>
    <w:p>
      <w:pPr>
        <w:spacing w:after="120"/>
        <w:jc w:val="both"/>
      </w:pPr>
      <w:r>
        <w:rPr>
          <w:b/>
        </w:rPr>
        <w:t>Deficiency.</w:t>
      </w:r>
      <w:r>
        <w:t xml:space="preserve"> FDA reminded Pinnacle that EDC systems must comply with Part 11, be validated, and keep audit trails. Section 12.1 does not mention Part 11. It says nothing about system validation (§11.10(a)), computer-generated time-stamped audit trails (§11.10(e)), operational and authority checks (§11.10(f)–(g)), electronic signature controls and the signature/record linkage (§§11.50, 11.70, 11.100–11.300, including the certification to FDA under §11.100(c)), backup and recovery, or blinding safeguards in the EDC. It also does not address other computerized systems that generate trial records: the IRT (Meridian), central laboratory (Greystone), central pathology, ePRO/injection diaries if electronic, and FibroScan data transfer. The working checklist items 312-035 and GCP-012 remain unassessed.</w:t>
      </w:r>
    </w:p>
    <w:p>
      <w:pPr>
        <w:spacing w:after="120"/>
        <w:jc w:val="both"/>
      </w:pPr>
      <w:r>
        <w:rPr>
          <w:b/>
        </w:rPr>
        <w:t>Regulatory risk.</w:t>
      </w:r>
      <w:r>
        <w:t xml:space="preserve"> Part 11 gaps are a frequent BIMO inspection finding. They can render electronic records unreliable for submission. They are unlikely to cause a hold, but they are a material data-integrity risk.</w:t>
      </w:r>
    </w:p>
    <w:p>
      <w:pPr>
        <w:spacing w:after="40"/>
      </w:pPr>
      <w:r>
        <w:rPr>
          <w:b/>
        </w:rPr>
        <w:t>Recommended remediation.</w:t>
      </w:r>
    </w:p>
    <w:p>
      <w:pPr>
        <w:pStyle w:val="ListBullet"/>
        <w:spacing w:after="40"/>
      </w:pPr>
      <w:r>
        <w:t>Add Part 11 language to §12.1 (below). Obtain from Trident the TrialVault validation summary, audit-trail specification and Part 11 assessment before first enrollment. Confirm Pinnacle’s §11.100(c) e-signature certification letter is on file with FDA.</w:t>
      </w:r>
    </w:p>
    <w:p>
      <w:pPr>
        <w:pStyle w:val="ListBullet"/>
        <w:spacing w:after="40"/>
      </w:pPr>
      <w:r>
        <w:t>Extend vendor qualification and Part 11 assessments to the IRT, central lab and pathology systems.</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12.1.x Electronic Records and Signatures. TrialVault and all other computerized systems used to create, modify, maintain, archive, retrieve or transmit study records (including the IRT, central laboratory and central pathology systems) will comply with 21 CFR Part 11 and ICH E6(R2) Section 5.5.3. Before first data entry, Trident CRO will document validation of TrialVault for its intended use. TrialVault maintains secure, computer-generated, time-stamped audit trails recording the date, time, user and reason for every creation, modification or deletion of data. Audit trails cannot be altered by users and will be retained for the record retention period. Previously recorded information is never obscured. Access is restricted to authorized individuals through unique credentials and role-based permissions, with a current list of individuals authorized to make data changes. Electronic signatures are unique to each individual, linked to their records, and executed in accordance with 21 CFR 11.50, 11.70 and 11.100–11.300. Data will be backed up at least [daily] with documented, tested recovery procedures. EDC configuration will preserve the blind.</w:t>
      </w:r>
    </w:p>
    <w:p>
      <w:pPr>
        <w:pStyle w:val="Heading2"/>
      </w:pPr>
      <w:r>
        <w:t>G. Multinational Compliance — Health Canada</w:t>
      </w:r>
    </w:p>
    <w:p>
      <w:pPr>
        <w:pStyle w:val="Heading3"/>
      </w:pPr>
      <w:r>
        <w:t>M-2  Protocol does not address the Canadian regulatory framework for the six Canadian sites  [Major]</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CE5CD"/>
          </w:tcPr>
          <w:p>
            <w:pPr>
              <w:spacing w:after="0"/>
            </w:pPr>
            <w:r/>
            <w:r>
              <w:rPr>
                <w:sz w:val="18"/>
              </w:rPr>
              <w:t>Major</w:t>
            </w:r>
          </w:p>
        </w:tc>
      </w:tr>
      <w:tr>
        <w:tc>
          <w:tcPr>
            <w:tcW w:type="dxa" w:w="2304"/>
          </w:tcPr>
          <w:p>
            <w:pPr>
              <w:spacing w:after="0"/>
            </w:pPr>
            <w:r/>
            <w:r>
              <w:rPr>
                <w:sz w:val="18"/>
              </w:rPr>
              <w:t>Protocol / ICF reference</w:t>
            </w:r>
          </w:p>
        </w:tc>
        <w:tc>
          <w:tcPr>
            <w:tcW w:type="dxa" w:w="7056"/>
          </w:tcPr>
          <w:p>
            <w:pPr>
              <w:spacing w:after="0"/>
            </w:pPr>
            <w:r/>
            <w:r>
              <w:rPr>
                <w:sz w:val="18"/>
              </w:rPr>
              <w:t>§2.2 (lists U.S. regulations only); §11.2 (one sentence on REBs); §12.3 (2-year retention); §13.1 (IND only; 30-day wait for U.S. sites only); §13 (no Canadian content); App. A (U.S.-only ICF: Ridgeway IRB contact, FDA only, English only); App. F (Sites 023–028: Toronto, Vancouver, Montreal, Calgary, Ottawa, Edmonton)</w:t>
            </w:r>
          </w:p>
        </w:tc>
      </w:tr>
      <w:tr>
        <w:tc>
          <w:tcPr>
            <w:tcW w:type="dxa" w:w="2304"/>
          </w:tcPr>
          <w:p>
            <w:pPr>
              <w:spacing w:after="0"/>
            </w:pPr>
            <w:r/>
            <w:r>
              <w:rPr>
                <w:sz w:val="18"/>
              </w:rPr>
              <w:t>Governing authority</w:t>
            </w:r>
          </w:p>
        </w:tc>
        <w:tc>
          <w:tcPr>
            <w:tcW w:type="dxa" w:w="7056"/>
          </w:tcPr>
          <w:p>
            <w:pPr>
              <w:spacing w:after="0"/>
            </w:pPr>
            <w:r/>
            <w:r>
              <w:rPr>
                <w:sz w:val="18"/>
              </w:rPr>
              <w:t>Food and Drugs Act; Food and Drug Regulations, Part C, Division 5 (C.05.001–C.05.017), including C.05.005 (CTA), C.05.006 (30-day review and No Objection Letter), C.05.008 (amendments), C.05.010 (sponsor obligations: GCP, REB approval, informed consent, Qualified Investigator), C.05.011 (labelling), C.05.012 (records), C.05.014 (ADR reporting), C.05.015 (discontinuation); ICH E6(R2) as adopted by Health Canada; TCPS 2 (where applicable); Civil Code of Québec arts. 20–24 and Charter of the French Language; provincial health-privacy statutes</w:t>
            </w:r>
          </w:p>
        </w:tc>
      </w:tr>
    </w:tbl>
    <w:p>
      <w:pPr>
        <w:spacing w:after="40"/>
      </w:pPr>
    </w:p>
    <w:p>
      <w:pPr>
        <w:spacing w:after="120"/>
        <w:jc w:val="both"/>
      </w:pPr>
      <w:r>
        <w:rPr>
          <w:b/>
        </w:rPr>
        <w:t>Deficiency.</w:t>
      </w:r>
      <w:r>
        <w:t xml:space="preserve"> The engagement letter (§II.B.12, §II.C.6) asks whether the Protocol can support a CTA for the six Canadian sites. In its current form it cannot. The Protocol names only U.S. law. It does not describe the CTA or No Objection Letter (NOL) prerequisite to Canadian site activation; the Qualified Investigator Undertaking, REB Attestation and Clinical Trial Site Information forms; Health Canada ADR reporting (C.05.014: serious unexpected ADRs within 15 days, fatal or life-threatening within 7 days with a complete report within a further 8 days); bilingual labelling (C.05.011); or Health Canada inspection. Its record-retention period (2 years, §12.3) falls far short of C.05.012(4). We understand that period to be 15 years following the 2022 amendments, which Canadian counsel should confirm. The ICF has no Canadian version: no REB contact, no reference to Health Canada record access, no Canadian privacy-law disclosures, and no French version for Site 025 (Montréal), where Québec law makes French-language consent documentation a practical necessity. There is also a threshold structural decision the Protocol does not make. Canadian sites can be run </w:t>
      </w:r>
      <w:r>
        <w:rPr>
          <w:b/>
        </w:rPr>
        <w:t>under the U.S. IND</w:t>
      </w:r>
      <w:r>
        <w:t xml:space="preserve">, with each Canadian investigator signing Form FDA 1572 and committing to Parts 50, 56 and 312, and each REB having to satisfy Part 56. Or they can be run </w:t>
      </w:r>
      <w:r>
        <w:rPr>
          <w:b/>
        </w:rPr>
        <w:t>outside the IND</w:t>
      </w:r>
      <w:r>
        <w:t>, with the data submitted under 21 CFR 312.120 (GCP and independent ethics committee review). The choice affects the 1572s, the REB arrangements, the ICF and the safety reporting.</w:t>
      </w:r>
    </w:p>
    <w:p>
      <w:pPr>
        <w:spacing w:after="120"/>
        <w:jc w:val="both"/>
      </w:pPr>
      <w:r>
        <w:rPr>
          <w:b/>
        </w:rPr>
        <w:t>Regulatory risk.</w:t>
      </w:r>
      <w:r>
        <w:t xml:space="preserve"> Health Canada reviews the protocol in the CTA. A protocol that does not acknowledge Division 5 invites a deficiency or a request for a country-specific amendment, and could delay Canadian activation beyond the U.S. start. The 2-year retention clause is incorrect for Canada as written.</w:t>
      </w:r>
    </w:p>
    <w:p>
      <w:pPr>
        <w:spacing w:after="40"/>
      </w:pPr>
      <w:r>
        <w:rPr>
          <w:b/>
        </w:rPr>
        <w:t>Recommended remediation.</w:t>
      </w:r>
    </w:p>
    <w:p>
      <w:pPr>
        <w:pStyle w:val="ListBullet"/>
        <w:spacing w:after="40"/>
      </w:pPr>
      <w:r>
        <w:t>Add the §2.2 and new §13.7 language below. Conform §11.2 (REB), §12.3 (retention: the longer of U.S. and Canadian requirements), §13.1 and §9.1 (Health Canada reporting).</w:t>
      </w:r>
    </w:p>
    <w:p>
      <w:pPr>
        <w:pStyle w:val="ListBullet"/>
        <w:spacing w:after="40"/>
      </w:pPr>
      <w:r>
        <w:t>Decide on IND vs. §312.120 status for the Canadian sites, and document the decision in the IND and in §13.7.</w:t>
      </w:r>
    </w:p>
    <w:p>
      <w:pPr>
        <w:pStyle w:val="ListBullet"/>
        <w:spacing w:after="40"/>
      </w:pPr>
      <w:r>
        <w:t>Prepare a Canadian ICF version (English and French) with REB contacts, Health Canada access, provincial privacy and injury-coverage language, and Canadian clinical trial insurance confirmation.</w:t>
      </w:r>
    </w:p>
    <w:p>
      <w:pPr>
        <w:pStyle w:val="ListBullet"/>
        <w:spacing w:after="40"/>
      </w:pPr>
      <w:r>
        <w:t>Engage Canadian regulatory counsel, as discussed with Dr. Yuen and Dr. Anand. We can make the referral. Under engagement letter §VI, substantial Canadian work beyond this gap analysis may need a scope discussion.</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2.2 (insert after the U.S. regulations list). Canadian Regulatory Framework. At investigational sites in Canada, this study will be conducted in accordance with the Food and Drugs Act and Part C, Division 5 (“Drugs for Clinical Trials Involving Human Subjects”) of the Food and Drug Regulations; the ICH E6(R2) Guideline for Good Clinical Practice as adopted by Health Canada; the Tri-Council Policy Statement: Ethical Conduct for Research Involving Humans (TCPS 2), where applicable; and applicable provincial and territorial laws governing consent to research and the protection of personal health information, including, for sites in Québec, the Civil Code of Québec. The Sponsor will file a Clinical Trial Application (CTA) with Health Canada and will not sell or import study drug for, or begin the study at, any Canadian site until Health Canada has issued a No Objection Letter (or the 30-day review period under C.05.006 has expired without objection) and the site’s Research Ethics Board (REB) has approved the protocol and informed consent form. [Canadian sites will be conducted under IND [number] and each Canadian qualified investigator will also execute Form FDA 1572.]</w:t>
      </w:r>
    </w:p>
    <w:p>
      <w:pPr>
        <w:spacing w:after="120"/>
        <w:ind w:left="576" w:right="432"/>
        <w:shd w:val="clear" w:color="auto" w:fill="EEF3F8"/>
      </w:pPr>
      <w:r>
        <w:rPr>
          <w:sz w:val="20"/>
        </w:rPr>
        <w:t>13.7 Canadian Regulatory Requirements. (a) CTA and amendments: The Sponsor will maintain the CTA and will submit CTA amendments (C.05.008) or notifications (C.05.007), as applicable, for protocol or quality changes; amendments will not be implemented at Canadian sites until Health Canada has issued a No Objection Letter (where required) and REB approval is obtained, except where necessary to eliminate an immediate hazard. (b) Qualified Investigators and REBs: Before site activation, the Sponsor will obtain a Qualified Investigator Undertaking, an REB Attestation and a Clinical Trial Site Information form for each Canadian site. (c) Adverse drug reaction reporting: The Sponsor will report to Health Canada each serious unexpected adverse drug reaction that occurs in Canada or elsewhere (i) within 15 days after becoming aware of it, or (ii) if fatal or life-threatening, within 7 days, followed by a complete report within 8 days thereafter (C.05.014). (d) Labelling: Study drug supplied to Canadian sites will be labelled in English and French in accordance with C.05.011. (e) Records: Records required by C.05.012 will be retained for [15] years. (f) Discontinuation: The Sponsor will notify Health Canada of any discontinuation of the study, in whole or at any site, in accordance with C.05.015. (g) Informed consent: Canadian sites will use a Canadian-specific, REB-approved ICF, in French where required, that discloses access to records by Health Canada and complies with applicable provincial law. (h) Inspection: Canadian sites and the Sponsor are subject to inspection by Health Canada.</w:t>
      </w:r>
    </w:p>
    <w:p>
      <w:pPr>
        <w:pStyle w:val="Heading2"/>
      </w:pPr>
      <w:r>
        <w:t>H. Informed Consent Form — Accuracy and Completeness</w:t>
      </w:r>
    </w:p>
    <w:p>
      <w:pPr>
        <w:spacing w:after="120"/>
        <w:jc w:val="both"/>
      </w:pPr>
      <w:r>
        <w:t>Part VI sets out the element-by-element crosswalk. The findings below cover deficiencies in elements that are present (in addition to C-7 through C-10).</w:t>
      </w:r>
    </w:p>
    <w:p>
      <w:pPr>
        <w:pStyle w:val="Heading3"/>
      </w:pPr>
      <w:r>
        <w:t>M-9  ICF duration and procedure descriptions are inaccurate or incomplete  [Major]</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CE5CD"/>
          </w:tcPr>
          <w:p>
            <w:pPr>
              <w:spacing w:after="0"/>
            </w:pPr>
            <w:r/>
            <w:r>
              <w:rPr>
                <w:sz w:val="18"/>
              </w:rPr>
              <w:t>Major</w:t>
            </w:r>
          </w:p>
        </w:tc>
      </w:tr>
      <w:tr>
        <w:tc>
          <w:tcPr>
            <w:tcW w:type="dxa" w:w="2304"/>
          </w:tcPr>
          <w:p>
            <w:pPr>
              <w:spacing w:after="0"/>
            </w:pPr>
            <w:r/>
            <w:r>
              <w:rPr>
                <w:sz w:val="18"/>
              </w:rPr>
              <w:t>Protocol / ICF reference</w:t>
            </w:r>
          </w:p>
        </w:tc>
        <w:tc>
          <w:tcPr>
            <w:tcW w:type="dxa" w:w="7056"/>
          </w:tcPr>
          <w:p>
            <w:pPr>
              <w:spacing w:after="0"/>
            </w:pPr>
            <w:r/>
            <w:r>
              <w:rPr>
                <w:sz w:val="18"/>
              </w:rPr>
              <w:t>App. A §A2 (“Your participation in this study will last approximately 12 months”; follow-up visits not counted; one baseline biopsy); compare Table 1 and §5.1 (64 weeks from randomization; 72 weeks including screening), §6.3 (possible fresh baseline biopsy), §3.3 (MRI-PDFF subset; PROs)</w:t>
            </w:r>
          </w:p>
        </w:tc>
      </w:tr>
      <w:tr>
        <w:tc>
          <w:tcPr>
            <w:tcW w:type="dxa" w:w="2304"/>
          </w:tcPr>
          <w:p>
            <w:pPr>
              <w:spacing w:after="0"/>
            </w:pPr>
            <w:r/>
            <w:r>
              <w:rPr>
                <w:sz w:val="18"/>
              </w:rPr>
              <w:t>Governing authority</w:t>
            </w:r>
          </w:p>
        </w:tc>
        <w:tc>
          <w:tcPr>
            <w:tcW w:type="dxa" w:w="7056"/>
          </w:tcPr>
          <w:p>
            <w:pPr>
              <w:spacing w:after="0"/>
            </w:pPr>
            <w:r/>
            <w:r>
              <w:rPr>
                <w:sz w:val="18"/>
              </w:rPr>
              <w:t>21 CFR 50.25(a)(1); ICH E6(R2) 4.8.10(d), (f), (s)</w:t>
            </w:r>
          </w:p>
        </w:tc>
      </w:tr>
    </w:tbl>
    <w:p>
      <w:pPr>
        <w:spacing w:after="40"/>
      </w:pPr>
    </w:p>
    <w:p>
      <w:pPr>
        <w:spacing w:after="120"/>
        <w:jc w:val="both"/>
      </w:pPr>
      <w:r>
        <w:rPr>
          <w:b/>
        </w:rPr>
        <w:t>Deficiency.</w:t>
      </w:r>
      <w:r>
        <w:t xml:space="preserve"> The statement that participation lasts “approximately 12 months” describes only the 52-week treatment period, which is about 12 months. Participation actually runs about </w:t>
      </w:r>
      <w:r>
        <w:rPr>
          <w:b/>
        </w:rPr>
        <w:t>64 weeks (about 15 months) after randomization and up to 72 weeks (about 16.5 months) including screening</w:t>
      </w:r>
      <w:r>
        <w:t xml:space="preserve">. The ICF should not say “16 months” for 64 weeks; that conversion is inaccurate. The ICF also (i) does not say how many follow-up visits there are (three, at Weeks 56, 60 and 64) or that they are about 4 weeks apart; (ii) does not disclose that a subject may need a </w:t>
      </w:r>
      <w:r>
        <w:rPr>
          <w:b/>
        </w:rPr>
        <w:t>second pre-treatment biopsy</w:t>
      </w:r>
      <w:r>
        <w:t xml:space="preserve"> if the qualifying biopsy is more than 4 weeks old (§6.3), or a repeat biopsy if a specimen is inadequate (M-6); (iii) does not identify which procedures are experimental or done only for research, as §50.25(a)(1) requires (for example, the Week 52 biopsy is done for research); (iv) does not mention the MRI-PDFF sub-study, the patient-reported outcome questionnaires, the injection diary, or the PK sampling with timed post-dose draws (and the longer visits at PK-intensive sites); and (v) does not mention the Week 52 visit window or what happens if study drug is stopped early (subjects are asked to stay in the study and still have the Week 52 biopsy, §4.3).</w:t>
      </w:r>
    </w:p>
    <w:p>
      <w:pPr>
        <w:spacing w:after="120"/>
        <w:jc w:val="both"/>
      </w:pPr>
      <w:r>
        <w:rPr>
          <w:b/>
        </w:rPr>
        <w:t>Regulatory risk.</w:t>
      </w:r>
      <w:r>
        <w:t xml:space="preserve"> An inaccurate duration is a misstatement of a basic element. IRBs and FDA treat it as such, and it was the specific issue Ms. Kowalski raised.</w:t>
      </w:r>
    </w:p>
    <w:p>
      <w:pPr>
        <w:spacing w:after="40"/>
      </w:pPr>
      <w:r>
        <w:rPr>
          <w:b/>
        </w:rPr>
        <w:t>Recommended remediation.</w:t>
      </w:r>
    </w:p>
    <w:p>
      <w:pPr>
        <w:pStyle w:val="ListBullet"/>
        <w:spacing w:after="40"/>
      </w:pPr>
      <w:r>
        <w:t>Replace the duration sentence (below). Add a visit-by-visit summary table in lay terms. Identify research-only procedures. Describe the possible additional biopsies, MRI-PDFF (optional or site-specific), PROs, PK sampling and the injection diary.</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“If you join the study, you will be in it for up to about 16½ months (up to 72 weeks). This includes up to 8 weeks of screening tests, 52 weeks (about 1 year) of study drug or placebo injections, and 12 weeks of follow-up visits after your last injection. You will have about 17 study visits, including the screening visit.”</w:t>
      </w:r>
    </w:p>
    <w:p>
      <w:pPr>
        <w:pStyle w:val="Heading3"/>
      </w:pPr>
      <w:r>
        <w:t>M-10  ICF risk disclosure is incomplete  [Major]</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CE5CD"/>
          </w:tcPr>
          <w:p>
            <w:pPr>
              <w:spacing w:after="0"/>
            </w:pPr>
            <w:r/>
            <w:r>
              <w:rPr>
                <w:sz w:val="18"/>
              </w:rPr>
              <w:t>Major</w:t>
            </w:r>
          </w:p>
        </w:tc>
      </w:tr>
      <w:tr>
        <w:tc>
          <w:tcPr>
            <w:tcW w:type="dxa" w:w="2304"/>
          </w:tcPr>
          <w:p>
            <w:pPr>
              <w:spacing w:after="0"/>
            </w:pPr>
            <w:r/>
            <w:r>
              <w:rPr>
                <w:sz w:val="18"/>
              </w:rPr>
              <w:t>Protocol / ICF reference</w:t>
            </w:r>
          </w:p>
        </w:tc>
        <w:tc>
          <w:tcPr>
            <w:tcW w:type="dxa" w:w="7056"/>
          </w:tcPr>
          <w:p>
            <w:pPr>
              <w:spacing w:after="0"/>
            </w:pPr>
            <w:r/>
            <w:r>
              <w:rPr>
                <w:sz w:val="18"/>
              </w:rPr>
              <w:t>App. A §A3 (biopsy: bleeding, infection, pain, organ puncture; drug: GI, injection site, pancreatitis, thyroid tumors, hypoglycemia, unknown risks; blood draws)</w:t>
            </w:r>
          </w:p>
        </w:tc>
      </w:tr>
      <w:tr>
        <w:tc>
          <w:tcPr>
            <w:tcW w:type="dxa" w:w="2304"/>
          </w:tcPr>
          <w:p>
            <w:pPr>
              <w:spacing w:after="0"/>
            </w:pPr>
            <w:r/>
            <w:r>
              <w:rPr>
                <w:sz w:val="18"/>
              </w:rPr>
              <w:t>Governing authority</w:t>
            </w:r>
          </w:p>
        </w:tc>
        <w:tc>
          <w:tcPr>
            <w:tcW w:type="dxa" w:w="7056"/>
          </w:tcPr>
          <w:p>
            <w:pPr>
              <w:spacing w:after="0"/>
            </w:pPr>
            <w:r/>
            <w:r>
              <w:rPr>
                <w:sz w:val="18"/>
              </w:rPr>
              <w:t>21 CFR 50.25(a)(2), (b)(1); ICH E6(R2) 4.8.10(g); Protocol §9.2 (AESIs), §9.5.1 (stopping criteria)</w:t>
            </w:r>
          </w:p>
        </w:tc>
      </w:tr>
    </w:tbl>
    <w:p>
      <w:pPr>
        <w:spacing w:after="40"/>
      </w:pPr>
    </w:p>
    <w:p>
      <w:pPr>
        <w:spacing w:after="120"/>
        <w:jc w:val="both"/>
      </w:pPr>
      <w:r>
        <w:rPr>
          <w:b/>
        </w:rPr>
        <w:t>Deficiency.</w:t>
      </w:r>
      <w:r>
        <w:t xml:space="preserve"> The ICF leaves out reasonably foreseeable risks that the Protocol itself identifies or monitors: (i) </w:t>
      </w:r>
      <w:r>
        <w:rPr>
          <w:b/>
        </w:rPr>
        <w:t>liver injury and worsening liver disease</w:t>
      </w:r>
      <w:r>
        <w:t xml:space="preserve">, including the hepatic decompensation events that are AESIs and the focus of FDA’s stopping criteria (§9.2(1), (5); §9.5); (ii) </w:t>
      </w:r>
      <w:r>
        <w:rPr>
          <w:b/>
        </w:rPr>
        <w:t>serious allergic reactions and anaphylaxis</w:t>
      </w:r>
      <w:r>
        <w:t>, which are a stopping criterion (§9.5.1(3)); (iii) dehydration and kidney injury from GI fluid loss; (iv) gallbladder disease (cholelithiasis and cholecystitis), a recognized incretin class effect, and increased heart rate; (v) pneumothorax and the rare risk of death from liver biopsy, plus aspiration risk if sedation is used, given delayed gastric emptying with this drug class; (vi) reproductive risks (C-7); (vii) the risk of the liver disease progressing while on placebo or an ineffective dose, and of temporarily stopping prohibited medicines; (viii) minor risks of ECG, FibroScan and MRI; and (ix) loss of confidentiality, including genetic information (M-12). The working checklist marked §50.25(a)(2) “Y” (IC-002) and recorded “Phase 1 findings” and “theoretical hepatotoxicity risk noted” (IC-025). Neither appears in this ICF, and PTX-4820 has no Phase 1 data of its own.</w:t>
      </w:r>
    </w:p>
    <w:p>
      <w:pPr>
        <w:spacing w:after="120"/>
        <w:jc w:val="both"/>
      </w:pPr>
      <w:r>
        <w:rPr>
          <w:b/>
        </w:rPr>
        <w:t>Regulatory risk.</w:t>
      </w:r>
      <w:r>
        <w:t xml:space="preserve"> An incomplete risk disclosure is a substantive defect in a basic element. Both IRBs and FDA review the ICF risk section against the IB and the protocol’s own safety monitoring.</w:t>
      </w:r>
    </w:p>
    <w:p>
      <w:pPr>
        <w:spacing w:after="120"/>
        <w:jc w:val="both"/>
      </w:pPr>
      <w:r>
        <w:rPr>
          <w:b/>
        </w:rPr>
        <w:t>Recommended remediation.</w:t>
      </w:r>
      <w:r>
        <w:t xml:space="preserve"> Revise §A3 against the current IB Reference Safety Information and Protocol §9.2/§9.5, with input from Dr. Anand. Add the risks listed above in lay terms, and keep the risk section consistent with future IB updates.</w:t>
      </w:r>
    </w:p>
    <w:p>
      <w:pPr>
        <w:pStyle w:val="Heading3"/>
      </w:pPr>
      <w:r>
        <w:t>M-11  Protocol and ICF misstate that no therapy is approved for NASH with F2–F3 fibrosis  [Major]</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CE5CD"/>
          </w:tcPr>
          <w:p>
            <w:pPr>
              <w:spacing w:after="0"/>
            </w:pPr>
            <w:r/>
            <w:r>
              <w:rPr>
                <w:sz w:val="18"/>
              </w:rPr>
              <w:t>Major</w:t>
            </w:r>
          </w:p>
        </w:tc>
      </w:tr>
      <w:tr>
        <w:tc>
          <w:tcPr>
            <w:tcW w:type="dxa" w:w="2304"/>
          </w:tcPr>
          <w:p>
            <w:pPr>
              <w:spacing w:after="0"/>
            </w:pPr>
            <w:r/>
            <w:r>
              <w:rPr>
                <w:sz w:val="18"/>
              </w:rPr>
              <w:t>Protocol / ICF reference</w:t>
            </w:r>
          </w:p>
        </w:tc>
        <w:tc>
          <w:tcPr>
            <w:tcW w:type="dxa" w:w="7056"/>
          </w:tcPr>
          <w:p>
            <w:pPr>
              <w:spacing w:after="0"/>
            </w:pPr>
            <w:r/>
            <w:r>
              <w:rPr>
                <w:sz w:val="18"/>
              </w:rPr>
              <w:t>§2.1 (“there are currently no pharmacotherapies approved by the U.S. FDA specifically for the treatment of NASH with liver fibrosis, as of the date of this protocol”); §2.1 Orphan Drug paragraph (“absence of approved therapies”); App. A §A5 (“Currently, there is no FDA-approved drug treatment specifically for NASH with liver fibrosis”); §5.4 (prohibited medications)</w:t>
            </w:r>
          </w:p>
        </w:tc>
      </w:tr>
      <w:tr>
        <w:tc>
          <w:tcPr>
            <w:tcW w:type="dxa" w:w="2304"/>
          </w:tcPr>
          <w:p>
            <w:pPr>
              <w:spacing w:after="0"/>
            </w:pPr>
            <w:r/>
            <w:r>
              <w:rPr>
                <w:sz w:val="18"/>
              </w:rPr>
              <w:t>Governing authority</w:t>
            </w:r>
          </w:p>
        </w:tc>
        <w:tc>
          <w:tcPr>
            <w:tcW w:type="dxa" w:w="7056"/>
          </w:tcPr>
          <w:p>
            <w:pPr>
              <w:spacing w:after="0"/>
            </w:pPr>
            <w:r/>
            <w:r>
              <w:rPr>
                <w:sz w:val="18"/>
              </w:rPr>
              <w:t>21 CFR 50.25(a)(4); 21 CFR 312.23(a)(6); ICH E6(R2) 4.8.10(i); ICH E10 (choice of control group)</w:t>
            </w:r>
          </w:p>
        </w:tc>
      </w:tr>
    </w:tbl>
    <w:p>
      <w:pPr>
        <w:spacing w:after="40"/>
      </w:pPr>
    </w:p>
    <w:p>
      <w:pPr>
        <w:spacing w:after="120"/>
        <w:jc w:val="both"/>
      </w:pPr>
      <w:r>
        <w:rPr>
          <w:b/>
        </w:rPr>
        <w:t>Deficiency.</w:t>
      </w:r>
      <w:r>
        <w:t xml:space="preserve"> On March 14, 2024, more than a year before the Protocol date, FDA granted accelerated approval to </w:t>
      </w:r>
      <w:r>
        <w:rPr>
          <w:b/>
        </w:rPr>
        <w:t>resmetirom (Rezdiffra)</w:t>
      </w:r>
      <w:r>
        <w:t xml:space="preserve"> for adults with noncirrhotic NASH with moderate to advanced fibrosis (consistent with F2–F3), used with diet and exercise. That is the population of this study. Other agents, including semaglutide, are under FDA review for this use; their status should be confirmed when the Protocol is finalized. As a result: (i) the background and Orphan Drug statements in §2.1 are inaccurate; (ii) the ICF’s alternatives disclosure (§50.25(a)(4)) is inaccurate, because a subject must be told an approved drug treatment exists that may be advantageous; (iii) the placebo-control rationale should acknowledge an approved therapy and explain why 52 weeks on placebo remains acceptable (e.g., background standard of care, access after the study, rescue criteria); and (iv) §5.4 prohibits “investigational agents being developed for NASH” but does not address resmetirom, an approved product that would confound the histologic endpoint if started during the study. The working checklist (IC-004, 312-015) accepted the “no approved therapy” statement.</w:t>
      </w:r>
    </w:p>
    <w:p>
      <w:pPr>
        <w:spacing w:after="120"/>
        <w:jc w:val="both"/>
      </w:pPr>
      <w:r>
        <w:rPr>
          <w:b/>
        </w:rPr>
        <w:t>Regulatory risk.</w:t>
      </w:r>
      <w:r>
        <w:t xml:space="preserve"> An inaccurate alternatives disclosure is a substantive consent defect. A factual misstatement in the IND’s clinical protocol also undermines credibility with the Division, which approved resmetirom.</w:t>
      </w:r>
    </w:p>
    <w:p>
      <w:pPr>
        <w:spacing w:after="40"/>
      </w:pPr>
      <w:r>
        <w:rPr>
          <w:b/>
        </w:rPr>
        <w:t>Recommended remediation.</w:t>
      </w:r>
    </w:p>
    <w:p>
      <w:pPr>
        <w:pStyle w:val="ListBullet"/>
        <w:spacing w:after="40"/>
      </w:pPr>
      <w:r>
        <w:t>Correct §2.1 and the Orphan Drug paragraph (see also O-1). Revise ICF §A5 (below). Add resmetirom (and any other approved NASH/MASH therapy) to §5.4 prohibited medications. Decide whether prior resmetirom use needs a washout or is exclusionary, and define the handling of on-study initiation as an intercurrent event (M-8).</w:t>
      </w:r>
    </w:p>
    <w:p>
      <w:pPr>
        <w:pStyle w:val="ListBullet"/>
        <w:spacing w:after="40"/>
      </w:pPr>
      <w:r>
        <w:t>Consider updating terminology to “MASH” (metabolic dysfunction-associated steatohepatitis), which FDA increasingly uses, while cross-referencing “NASH” as used in the 2018 Guidance and the Orphan Drug Designation.</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ICF §A5 (Alternatives). You do not have to join this study to receive care for your liver disease. Other options include lifestyle changes such as diet, exercise and weight loss; treatment of related conditions such as diabetes, high cholesterol and high blood pressure; and resmetirom (Rezdiffra), a medicine approved by the FDA for adults with NASH and moderate to advanced liver scarring [and any other approved therapy]. You may also be able to join a different research study. Talk with the study doctor and your own doctor about the risks and benefits of these options. If you join this study, you will not be able to take resmetirom [or other NASH medicines] while you are receiving study drug.</w:t>
      </w:r>
    </w:p>
    <w:p>
      <w:pPr>
        <w:pStyle w:val="Heading3"/>
      </w:pPr>
      <w:r>
        <w:t>M-12  ICF additional elements and ancillary disclosures  [Major]</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CE5CD"/>
          </w:tcPr>
          <w:p>
            <w:pPr>
              <w:spacing w:after="0"/>
            </w:pPr>
            <w:r/>
            <w:r>
              <w:rPr>
                <w:sz w:val="18"/>
              </w:rPr>
              <w:t>Major</w:t>
            </w:r>
          </w:p>
        </w:tc>
      </w:tr>
      <w:tr>
        <w:tc>
          <w:tcPr>
            <w:tcW w:type="dxa" w:w="2304"/>
          </w:tcPr>
          <w:p>
            <w:pPr>
              <w:spacing w:after="0"/>
            </w:pPr>
            <w:r/>
            <w:r>
              <w:rPr>
                <w:sz w:val="18"/>
              </w:rPr>
              <w:t>Protocol / ICF reference</w:t>
            </w:r>
          </w:p>
        </w:tc>
        <w:tc>
          <w:tcPr>
            <w:tcW w:type="dxa" w:w="7056"/>
          </w:tcPr>
          <w:p>
            <w:pPr>
              <w:spacing w:after="0"/>
            </w:pPr>
            <w:r/>
            <w:r>
              <w:rPr>
                <w:sz w:val="18"/>
              </w:rPr>
              <w:t>App. A §A6–A8; Protocol §3.3(2) (PNPLA3 genotyping), §8.1 (archived unstained slides), Table 4 (biomarker samples), §11.4 (HIPAA authorization “will be included”)</w:t>
            </w:r>
          </w:p>
        </w:tc>
      </w:tr>
      <w:tr>
        <w:tc>
          <w:tcPr>
            <w:tcW w:type="dxa" w:w="2304"/>
          </w:tcPr>
          <w:p>
            <w:pPr>
              <w:spacing w:after="0"/>
            </w:pPr>
            <w:r/>
            <w:r>
              <w:rPr>
                <w:sz w:val="18"/>
              </w:rPr>
              <w:t>Governing authority</w:t>
            </w:r>
          </w:p>
        </w:tc>
        <w:tc>
          <w:tcPr>
            <w:tcW w:type="dxa" w:w="7056"/>
          </w:tcPr>
          <w:p>
            <w:pPr>
              <w:spacing w:after="0"/>
            </w:pPr>
            <w:r/>
            <w:r>
              <w:rPr>
                <w:sz w:val="18"/>
              </w:rPr>
              <w:t>21 CFR 50.25(a)(7), (b)(3), (b)(4), (b)(5); 45 CFR 164.508 (HIPAA authorization); ICH E6(R2) 4.8.10; FDA Guidance, Data Retention When Subjects Withdraw from FDA-Regulated Clinical Trials (Oct. 2008)</w:t>
            </w:r>
          </w:p>
        </w:tc>
      </w:tr>
    </w:tbl>
    <w:p>
      <w:pPr>
        <w:spacing w:after="40"/>
      </w:pPr>
    </w:p>
    <w:p>
      <w:pPr>
        <w:spacing w:after="120"/>
        <w:jc w:val="both"/>
      </w:pPr>
      <w:r>
        <w:rPr>
          <w:b/>
        </w:rPr>
        <w:t>Deficiency.</w:t>
      </w:r>
      <w:r>
        <w:t xml:space="preserve"> (i) </w:t>
      </w:r>
      <w:r>
        <w:rPr>
          <w:b/>
        </w:rPr>
        <w:t>New findings (§50.25(b)(5))</w:t>
      </w:r>
      <w:r>
        <w:t xml:space="preserve">: the ICF has no statement that significant new findings will be provided. For a 52-week first-in-indication study, this element is plainly “appropriate.” The checklist (IC-013) wrongly marks it present. (ii) </w:t>
      </w:r>
      <w:r>
        <w:rPr>
          <w:b/>
        </w:rPr>
        <w:t>Injury contact (§50.25(a)(7))</w:t>
      </w:r>
      <w:r>
        <w:t xml:space="preserve">: §A8 lists the PI and the IRB but does not say whom to contact if a research-related injury occurs. (iii) </w:t>
      </w:r>
      <w:r>
        <w:rPr>
          <w:b/>
        </w:rPr>
        <w:t>Genetic testing and sample storage</w:t>
      </w:r>
      <w:r>
        <w:t xml:space="preserve">: the Protocol includes PNPLA3 genotyping (§3.3(2)), biomarker samples and archived slides for “potential future analyses” (§8.1). The ICF discloses none of these: the genetic test, storage location and duration, future use, whether it is optional, or the right to withdraw samples. A GINA statement is also advisable. The checklist (IC-028) cites a non-existent “Protocol Section 7.6” and “ICF Section 12.” (iv) </w:t>
      </w:r>
      <w:r>
        <w:rPr>
          <w:b/>
        </w:rPr>
        <w:t>Withdrawal consequences (§50.25(b)(4))</w:t>
      </w:r>
      <w:r>
        <w:t xml:space="preserve">: the ICF does not explain the request for safety follow-up and the Week 52 biopsy after early discontinuation (§4.3), or that data collected before withdrawal will be kept (FDA 2008 guidance). (v) </w:t>
      </w:r>
      <w:r>
        <w:rPr>
          <w:b/>
        </w:rPr>
        <w:t>Costs (§50.25(b)(3))</w:t>
      </w:r>
      <w:r>
        <w:t xml:space="preserve">: the ICF does not address care that is not study-related or billing of insurers. (vi) </w:t>
      </w:r>
      <w:r>
        <w:rPr>
          <w:b/>
        </w:rPr>
        <w:t>HIPAA</w:t>
      </w:r>
      <w:r>
        <w:t>: no authorization is appended for U.S. sites, although checklist item IC-027 states one is.</w:t>
      </w:r>
    </w:p>
    <w:p>
      <w:pPr>
        <w:spacing w:after="120"/>
        <w:jc w:val="both"/>
      </w:pPr>
      <w:r>
        <w:rPr>
          <w:b/>
        </w:rPr>
        <w:t>Regulatory risk.</w:t>
      </w:r>
      <w:r>
        <w:t xml:space="preserve"> These are deficiencies in required or “when appropriate” elements that IRBs routinely cite. Undisclosed genetic testing is a significant consent defect for any genotype data used.</w:t>
      </w:r>
    </w:p>
    <w:p>
      <w:pPr>
        <w:spacing w:after="120"/>
        <w:jc w:val="both"/>
      </w:pPr>
      <w:r>
        <w:rPr>
          <w:b/>
        </w:rPr>
        <w:t>Recommended remediation.</w:t>
      </w:r>
      <w:r>
        <w:t xml:space="preserve"> Add an ICF section on new findings; an injury-contact line; an (optional) genetic and future-research section with a separate signature or check-box; a withdrawal section (follow-up requested, data retained, samples can be destroyed on request); and a costs sentence. Append a HIPAA authorization (U.S.) and the provincial privacy equivalent (Canada).</w:t>
      </w:r>
    </w:p>
    <w:p>
      <w:pPr>
        <w:spacing w:after="40"/>
      </w:pPr>
      <w:r>
        <w:rPr>
          <w:b/>
        </w:rPr>
        <w:t>Proposed language</w:t>
      </w:r>
      <w:r>
        <w:t xml:space="preserve"> (for Trident drafting; to be conformed by Pinnacle Clinical/Biostatistics):</w:t>
      </w:r>
    </w:p>
    <w:p>
      <w:pPr>
        <w:spacing w:after="120"/>
        <w:ind w:left="576" w:right="432"/>
        <w:shd w:val="clear" w:color="auto" w:fill="EEF3F8"/>
      </w:pPr>
      <w:r>
        <w:rPr>
          <w:sz w:val="20"/>
        </w:rPr>
        <w:t>New Information. We will tell you promptly about any new information learned during the study that might affect your health or your willingness to continue in the study. You may be asked to sign an updated consent form.</w:t>
      </w:r>
    </w:p>
    <w:p>
      <w:pPr>
        <w:pStyle w:val="Heading2"/>
      </w:pPr>
      <w:r>
        <w:t>I. Process — Working Regulatory Requirements Checklist</w:t>
      </w:r>
    </w:p>
    <w:p>
      <w:pPr>
        <w:pStyle w:val="Heading3"/>
      </w:pPr>
      <w:r>
        <w:t>M-13  The working checklist was populated against a different protocol version and is unreliable  [Major]</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tcPr>
          <w:p>
            <w:pPr>
              <w:spacing w:after="0"/>
            </w:pPr>
            <w:r/>
            <w:r>
              <w:rPr>
                <w:sz w:val="18"/>
              </w:rPr>
              <w:t>Severity</w:t>
            </w:r>
          </w:p>
        </w:tc>
        <w:tc>
          <w:tcPr>
            <w:tcW w:type="dxa" w:w="7056"/>
            <w:shd w:val="clear" w:color="auto" w:fill="FCE5CD"/>
          </w:tcPr>
          <w:p>
            <w:pPr>
              <w:spacing w:after="0"/>
            </w:pPr>
            <w:r/>
            <w:r>
              <w:rPr>
                <w:sz w:val="18"/>
              </w:rPr>
              <w:t>Major</w:t>
            </w:r>
          </w:p>
        </w:tc>
      </w:tr>
      <w:tr>
        <w:tc>
          <w:tcPr>
            <w:tcW w:type="dxa" w:w="2304"/>
          </w:tcPr>
          <w:p>
            <w:pPr>
              <w:spacing w:after="0"/>
            </w:pPr>
            <w:r/>
            <w:r>
              <w:rPr>
                <w:sz w:val="18"/>
              </w:rPr>
              <w:t>Protocol / ICF reference</w:t>
            </w:r>
          </w:p>
        </w:tc>
        <w:tc>
          <w:tcPr>
            <w:tcW w:type="dxa" w:w="7056"/>
          </w:tcPr>
          <w:p>
            <w:pPr>
              <w:spacing w:after="0"/>
            </w:pPr>
            <w:r/>
            <w:r>
              <w:rPr>
                <w:sz w:val="18"/>
              </w:rPr>
              <w:t>HSL working Regulatory Requirements Checklist (Part 312 tab, 55 items; Part 50 tab, 30 items; ICH E6(R2) tab, 65 items)</w:t>
            </w:r>
          </w:p>
        </w:tc>
      </w:tr>
      <w:tr>
        <w:tc>
          <w:tcPr>
            <w:tcW w:type="dxa" w:w="2304"/>
          </w:tcPr>
          <w:p>
            <w:pPr>
              <w:spacing w:after="0"/>
            </w:pPr>
            <w:r/>
            <w:r>
              <w:rPr>
                <w:sz w:val="18"/>
              </w:rPr>
              <w:t>Governing authority</w:t>
            </w:r>
          </w:p>
        </w:tc>
        <w:tc>
          <w:tcPr>
            <w:tcW w:type="dxa" w:w="7056"/>
          </w:tcPr>
          <w:p>
            <w:pPr>
              <w:spacing w:after="0"/>
            </w:pPr>
            <w:r/>
            <w:r>
              <w:rPr>
                <w:sz w:val="18"/>
              </w:rPr>
              <w:t>Engagement letter §II.A and §III.2 (completed checklist is a client deliverable)</w:t>
            </w:r>
          </w:p>
        </w:tc>
      </w:tr>
    </w:tbl>
    <w:p>
      <w:pPr>
        <w:spacing w:after="40"/>
      </w:pPr>
    </w:p>
    <w:p>
      <w:pPr>
        <w:spacing w:after="120"/>
        <w:jc w:val="both"/>
      </w:pPr>
      <w:r>
        <w:rPr>
          <w:b/>
        </w:rPr>
        <w:t>Deficiency.</w:t>
      </w:r>
      <w:r>
        <w:t xml:space="preserve"> Many “Y” entries describe facts that do not appear in v3.0. Examples: Version 2.0 dated 22-Apr-2024 (GCP-024); doses of 50/150/300 mg and “dose-escalation not applicable” (312-005, GCP-036); a primary endpoint of “change in hepatic fibrosis score” or “Ishak” score (312-004, GCP-037); ANCOVA with MMRM for missing data (312-045, GCP-039); 28-day and 26-week toxicology in rats and </w:t>
      </w:r>
      <w:r>
        <w:rPr>
          <w:b/>
        </w:rPr>
        <w:t>dogs</w:t>
      </w:r>
      <w:r>
        <w:t xml:space="preserve"> (GCP-027; v3.0 says monkeys); a Medical Monitor “Dr. Sarah Reinholt” (GCP-026; v3.0 names Dr. Anand); IB v4.0 and Patheon (312-011, GCP-015); 15-year retention (GCP-017/-058; v3.0 says 2 years); SAE reporting within 24 hours (312-040/-052, GCP-061; v3.0 says 48 hours); study drug given at site under supervision (312-036; v3.0 is home self-injection); an independent DSMB with reviews at 90/180/270 subjects and study-level hepatotoxicity stopping rules (312-033, 312-048, GCP-060; neither exists); ~40 sites (IC-014; v3.0 has 28); three biopsies at Weeks 0, 26 and 52 and ~18 visits (IC-022/-023); and HIPAA, new-findings, injury-contact and genetic-consent sections in the ICF (IC-007, IC-013, IC-027, IC-028; none exist). Many section citations (“Section 14,” “Section 9.3,” “Section 6.2”) do not match v3.0. The tabs also do not cover the Minutes, Part 11 or Health Canada as separate benchmarks, or §50.25(c).</w:t>
      </w:r>
    </w:p>
    <w:p>
      <w:pPr>
        <w:spacing w:after="120"/>
        <w:jc w:val="both"/>
      </w:pPr>
      <w:r>
        <w:rPr>
          <w:b/>
        </w:rPr>
        <w:t>Regulatory risk.</w:t>
      </w:r>
      <w:r>
        <w:t xml:space="preserve"> The checklist is a contractual deliverable that Pinnacle may rely on. As populated, it overstates compliance (for example, 42 of 55 Part 312 items marked “Y”) and would mislead the IND team.</w:t>
      </w:r>
    </w:p>
    <w:p>
      <w:pPr>
        <w:spacing w:after="40"/>
      </w:pPr>
      <w:r>
        <w:rPr>
          <w:b/>
        </w:rPr>
        <w:t>Recommended remediation.</w:t>
      </w:r>
    </w:p>
    <w:p>
      <w:pPr>
        <w:pStyle w:val="ListBullet"/>
        <w:spacing w:after="40"/>
      </w:pPr>
      <w:r>
        <w:t>We are re-performing every item against v3.0, correcting citations to the current §312.32 numbering, adding tabs for the Minutes action items, Part 11, Health Canada and §50.25(c), and changing status categories to the engagement-letter scale (Compliant / Non-Compliant / Partially Compliant / Not Addressed). The completed checklist will be delivered by July 11 and will conform to this memorandum.</w:t>
      </w:r>
    </w:p>
    <w:p>
      <w:pPr>
        <w:pStyle w:val="ListBullet"/>
        <w:spacing w:after="40"/>
      </w:pPr>
      <w:r>
        <w:t>We recommend that Pinnacle confirm that no earlier version of the checklist has been circulated internally or to Trident.</w:t>
      </w:r>
    </w:p>
    <w:p>
      <w:pPr>
        <w:pStyle w:val="Heading2"/>
      </w:pPr>
      <w:r>
        <w:t>J. Minor Findings</w:t>
      </w:r>
    </w:p>
    <w:tbl>
      <w:tblPr>
        <w:tblStyle w:val="TableGrid"/>
        <w:tblW w:type="auto" w:w="0"/>
        <w:jc w:val="center"/>
        <w:tblLayout w:type="fixed"/>
        <w:tblLook w:firstColumn="1" w:firstRow="1" w:lastColumn="0" w:lastRow="0" w:noHBand="0" w:noVBand="1" w:val="04A0"/>
      </w:tblPr>
      <w:tblGrid>
        <w:gridCol w:w="648"/>
        <w:gridCol w:w="1800"/>
        <w:gridCol w:w="1296"/>
        <w:gridCol w:w="5616"/>
      </w:tblGrid>
      <w:tr>
        <w:tc>
          <w:tcPr>
            <w:tcW w:type="dxa" w:w="648"/>
            <w:shd w:val="clear" w:color="auto" w:fill="1F3A5F"/>
          </w:tcPr>
          <w:p>
            <w:pPr>
              <w:spacing w:after="0"/>
            </w:pPr>
            <w:r>
              <w:rPr>
                <w:b/>
                <w:color w:val="FFFFFF"/>
              </w:rPr>
            </w:r>
            <w:r>
              <w:rPr>
                <w:b/>
                <w:color w:val="FFFFFF"/>
                <w:sz w:val="17"/>
              </w:rPr>
              <w:t>No.</w:t>
            </w:r>
          </w:p>
        </w:tc>
        <w:tc>
          <w:tcPr>
            <w:tcW w:type="dxa" w:w="1800"/>
            <w:shd w:val="clear" w:color="auto" w:fill="1F3A5F"/>
          </w:tcPr>
          <w:p>
            <w:pPr>
              <w:spacing w:after="0"/>
            </w:pPr>
            <w:r>
              <w:rPr>
                <w:b/>
                <w:color w:val="FFFFFF"/>
              </w:rPr>
            </w:r>
            <w:r>
              <w:rPr>
                <w:b/>
                <w:color w:val="FFFFFF"/>
                <w:sz w:val="17"/>
              </w:rPr>
              <w:t>Issue</w:t>
            </w:r>
          </w:p>
        </w:tc>
        <w:tc>
          <w:tcPr>
            <w:tcW w:type="dxa" w:w="1296"/>
            <w:shd w:val="clear" w:color="auto" w:fill="1F3A5F"/>
          </w:tcPr>
          <w:p>
            <w:pPr>
              <w:spacing w:after="0"/>
            </w:pPr>
            <w:r>
              <w:rPr>
                <w:b/>
                <w:color w:val="FFFFFF"/>
              </w:rPr>
            </w:r>
            <w:r>
              <w:rPr>
                <w:b/>
                <w:color w:val="FFFFFF"/>
                <w:sz w:val="17"/>
              </w:rPr>
              <w:t>Ref.</w:t>
            </w:r>
          </w:p>
        </w:tc>
        <w:tc>
          <w:tcPr>
            <w:tcW w:type="dxa" w:w="5616"/>
            <w:shd w:val="clear" w:color="auto" w:fill="1F3A5F"/>
          </w:tcPr>
          <w:p>
            <w:pPr>
              <w:spacing w:after="0"/>
            </w:pPr>
            <w:r>
              <w:rPr>
                <w:b/>
                <w:color w:val="FFFFFF"/>
              </w:rPr>
            </w:r>
            <w:r>
              <w:rPr>
                <w:b/>
                <w:color w:val="FFFFFF"/>
                <w:sz w:val="17"/>
              </w:rPr>
              <w:t>Finding and recommendation</w:t>
            </w:r>
          </w:p>
        </w:tc>
      </w:tr>
      <w:tr>
        <w:tc>
          <w:tcPr>
            <w:tcW w:type="dxa" w:w="648"/>
          </w:tcPr>
          <w:p>
            <w:pPr>
              <w:spacing w:after="0"/>
            </w:pPr>
            <w:r/>
            <w:r>
              <w:rPr>
                <w:sz w:val="17"/>
              </w:rPr>
              <w:t>m-1</w:t>
            </w:r>
          </w:p>
        </w:tc>
        <w:tc>
          <w:tcPr>
            <w:tcW w:type="dxa" w:w="1800"/>
          </w:tcPr>
          <w:p>
            <w:pPr>
              <w:spacing w:after="0"/>
            </w:pPr>
            <w:r/>
            <w:r>
              <w:rPr>
                <w:sz w:val="17"/>
              </w:rPr>
              <w:t>Concomitant medications and washouts</w:t>
            </w:r>
          </w:p>
        </w:tc>
        <w:tc>
          <w:tcPr>
            <w:tcW w:type="dxa" w:w="1296"/>
          </w:tcPr>
          <w:p>
            <w:pPr>
              <w:spacing w:after="0"/>
            </w:pPr>
            <w:r/>
            <w:r>
              <w:rPr>
                <w:sz w:val="17"/>
              </w:rPr>
              <w:t>§4.2(6); §5.4</w:t>
            </w:r>
          </w:p>
        </w:tc>
        <w:tc>
          <w:tcPr>
            <w:tcW w:type="dxa" w:w="5616"/>
          </w:tcPr>
          <w:p>
            <w:pPr>
              <w:spacing w:after="0"/>
            </w:pPr>
            <w:r/>
            <w:r>
              <w:rPr>
                <w:sz w:val="17"/>
              </w:rPr>
              <w:t xml:space="preserve">Minutes §4.3 asked the Protocol to define washouts for hepatotoxic drugs, expressly including </w:t>
            </w:r>
            <w:r>
              <w:rPr>
                <w:b/>
                <w:sz w:val="17"/>
              </w:rPr>
              <w:t>high-dose acetaminophen</w:t>
            </w:r>
            <w:r>
              <w:rPr>
                <w:sz w:val="17"/>
              </w:rPr>
              <w:t xml:space="preserve">, and to specify stable-dose requirements. Exclusion 6 has a 6-month window for steatogenic drugs but leaves out acetaminophen. “Antihypertensive medications at stable doses” has no duration. </w:t>
            </w:r>
            <w:r>
              <w:rPr>
                <w:b/>
                <w:sz w:val="17"/>
              </w:rPr>
              <w:t>Pioglitazone</w:t>
            </w:r>
            <w:r>
              <w:rPr>
                <w:sz w:val="17"/>
              </w:rPr>
              <w:t>, which has histologic effects in NASH, and changes to vitamin E dosing are not addressed. Recommendation: add acetaminophen limits (e.g., &gt;2 g/day) and a washout; a ≥3-month stability requirement for all permitted metabolic drugs; and pioglitazone as permitted-if-stable or prohibited, as Dr. Anand determines. The AUDIT-C plus interview approach to alcohol is a validated instrument and covers 12 months, consistent with FDA. Consider adding timeline follow-back to quantify grams per day.</w:t>
            </w:r>
          </w:p>
        </w:tc>
      </w:tr>
      <w:tr>
        <w:tc>
          <w:tcPr>
            <w:tcW w:type="dxa" w:w="648"/>
          </w:tcPr>
          <w:p>
            <w:pPr>
              <w:spacing w:after="0"/>
            </w:pPr>
            <w:r/>
            <w:r>
              <w:rPr>
                <w:sz w:val="17"/>
              </w:rPr>
              <w:t>m-2</w:t>
            </w:r>
          </w:p>
        </w:tc>
        <w:tc>
          <w:tcPr>
            <w:tcW w:type="dxa" w:w="1800"/>
          </w:tcPr>
          <w:p>
            <w:pPr>
              <w:spacing w:after="0"/>
            </w:pPr>
            <w:r/>
            <w:r>
              <w:rPr>
                <w:sz w:val="17"/>
              </w:rPr>
              <w:t>Secondary-endpoint timepoints and biomarkers</w:t>
            </w:r>
          </w:p>
        </w:tc>
        <w:tc>
          <w:tcPr>
            <w:tcW w:type="dxa" w:w="1296"/>
          </w:tcPr>
          <w:p>
            <w:pPr>
              <w:spacing w:after="0"/>
            </w:pPr>
            <w:r/>
            <w:r>
              <w:rPr>
                <w:sz w:val="17"/>
              </w:rPr>
              <w:t>§3.4.2; §8.2; Table 4</w:t>
            </w:r>
          </w:p>
        </w:tc>
        <w:tc>
          <w:tcPr>
            <w:tcW w:type="dxa" w:w="5616"/>
          </w:tcPr>
          <w:p>
            <w:pPr>
              <w:spacing w:after="0"/>
            </w:pPr>
            <w:r/>
            <w:r>
              <w:rPr>
                <w:sz w:val="17"/>
              </w:rPr>
              <w:t xml:space="preserve">FDA agreed FibroScan and body-weight endpoints at </w:t>
            </w:r>
            <w:r>
              <w:rPr>
                <w:b/>
                <w:sz w:val="17"/>
              </w:rPr>
              <w:t>Weeks 26 and 52</w:t>
            </w:r>
            <w:r>
              <w:rPr>
                <w:sz w:val="17"/>
              </w:rPr>
              <w:t>. The Protocol schedules FibroScan at Week 24 and defines the weight endpoint at Week 52 only. Either move the assessments to Week 26 or record the deviation and its rationale. FDA also encouraged Pro-C3, CK-18 and FibroTest/FibroSure as exploratory biomarkers. The Protocol includes ELF, FIB-4, APRI and MRI-PDFF (subset) only. Consider adding them (serum can be banked under M-12 consent).</w:t>
            </w:r>
          </w:p>
        </w:tc>
      </w:tr>
      <w:tr>
        <w:tc>
          <w:tcPr>
            <w:tcW w:type="dxa" w:w="648"/>
          </w:tcPr>
          <w:p>
            <w:pPr>
              <w:spacing w:after="0"/>
            </w:pPr>
            <w:r/>
            <w:r>
              <w:rPr>
                <w:sz w:val="17"/>
              </w:rPr>
              <w:t>m-3</w:t>
            </w:r>
          </w:p>
        </w:tc>
        <w:tc>
          <w:tcPr>
            <w:tcW w:type="dxa" w:w="1800"/>
          </w:tcPr>
          <w:p>
            <w:pPr>
              <w:spacing w:after="0"/>
            </w:pPr>
            <w:r/>
            <w:r>
              <w:rPr>
                <w:sz w:val="17"/>
              </w:rPr>
              <w:t>Class-effect safety monitoring and FDA nonclinical topics</w:t>
            </w:r>
          </w:p>
        </w:tc>
        <w:tc>
          <w:tcPr>
            <w:tcW w:type="dxa" w:w="1296"/>
          </w:tcPr>
          <w:p>
            <w:pPr>
              <w:spacing w:after="0"/>
            </w:pPr>
            <w:r/>
            <w:r>
              <w:rPr>
                <w:sz w:val="17"/>
              </w:rPr>
              <w:t>§4.2(10); §9.2–9.3; Table 4</w:t>
            </w:r>
          </w:p>
        </w:tc>
        <w:tc>
          <w:tcPr>
            <w:tcW w:type="dxa" w:w="5616"/>
          </w:tcPr>
          <w:p>
            <w:pPr>
              <w:spacing w:after="0"/>
            </w:pPr>
            <w:r/>
            <w:r>
              <w:rPr>
                <w:sz w:val="17"/>
              </w:rPr>
              <w:t xml:space="preserve">FDA reserved questions on thyroid C-cell effects, pancreatic safety and QT/QTc (Minutes §4.7). The Protocol monitors TSH and free T4 but not </w:t>
            </w:r>
            <w:r>
              <w:rPr>
                <w:b/>
                <w:sz w:val="17"/>
              </w:rPr>
              <w:t>serum calcitonin</w:t>
            </w:r>
            <w:r>
              <w:rPr>
                <w:sz w:val="17"/>
              </w:rPr>
              <w:t>. Consider calcitonin at Screening (with an exclusion threshold) and periodically. Add gallbladder events and heart-rate increases to safety review. Confirm that the IND addresses the core battery (ICH S7A/S7B), genotoxicity and any carcinogenicity plan.</w:t>
            </w:r>
          </w:p>
        </w:tc>
      </w:tr>
      <w:tr>
        <w:tc>
          <w:tcPr>
            <w:tcW w:type="dxa" w:w="648"/>
          </w:tcPr>
          <w:p>
            <w:pPr>
              <w:spacing w:after="0"/>
            </w:pPr>
            <w:r/>
            <w:r>
              <w:rPr>
                <w:sz w:val="17"/>
              </w:rPr>
              <w:t>m-4</w:t>
            </w:r>
          </w:p>
        </w:tc>
        <w:tc>
          <w:tcPr>
            <w:tcW w:type="dxa" w:w="1800"/>
          </w:tcPr>
          <w:p>
            <w:pPr>
              <w:spacing w:after="0"/>
            </w:pPr>
            <w:r/>
            <w:r>
              <w:rPr>
                <w:sz w:val="17"/>
              </w:rPr>
              <w:t>Amendment process inconsistent with IRB rules</w:t>
            </w:r>
          </w:p>
        </w:tc>
        <w:tc>
          <w:tcPr>
            <w:tcW w:type="dxa" w:w="1296"/>
          </w:tcPr>
          <w:p>
            <w:pPr>
              <w:spacing w:after="0"/>
            </w:pPr>
            <w:r/>
            <w:r>
              <w:rPr>
                <w:sz w:val="17"/>
              </w:rPr>
              <w:t>§13.1–13.2</w:t>
            </w:r>
          </w:p>
        </w:tc>
        <w:tc>
          <w:tcPr>
            <w:tcW w:type="dxa" w:w="5616"/>
          </w:tcPr>
          <w:p>
            <w:pPr>
              <w:spacing w:after="0"/>
            </w:pPr>
            <w:r/>
            <w:r>
              <w:rPr>
                <w:sz w:val="17"/>
              </w:rPr>
              <w:t>§13.2 allows “non-substantial” amendments to be implemented on Sponsor approval and filed with the IRB “as required by the IRB’s policies.” Under 21 CFR 56.103, 56.108(a)(4) and 312.66, no change in the research may be implemented without IRB approval except to eliminate an apparent immediate hazard. Minor changes may receive expedited review (56.110(b)(1)(ii)), but they still need approval. §13.1 (all amendments to FDA) and §13.2 are also internally inconsistent. Conform both, and add the immediate-hazard exception with notice to FDA and the IRB.</w:t>
            </w:r>
          </w:p>
        </w:tc>
      </w:tr>
      <w:tr>
        <w:tc>
          <w:tcPr>
            <w:tcW w:type="dxa" w:w="648"/>
          </w:tcPr>
          <w:p>
            <w:pPr>
              <w:spacing w:after="0"/>
            </w:pPr>
            <w:r/>
            <w:r>
              <w:rPr>
                <w:sz w:val="17"/>
              </w:rPr>
              <w:t>m-5</w:t>
            </w:r>
          </w:p>
        </w:tc>
        <w:tc>
          <w:tcPr>
            <w:tcW w:type="dxa" w:w="1800"/>
          </w:tcPr>
          <w:p>
            <w:pPr>
              <w:spacing w:after="0"/>
            </w:pPr>
            <w:r/>
            <w:r>
              <w:rPr>
                <w:sz w:val="17"/>
              </w:rPr>
              <w:t>Single-IRB citation</w:t>
            </w:r>
          </w:p>
        </w:tc>
        <w:tc>
          <w:tcPr>
            <w:tcW w:type="dxa" w:w="1296"/>
          </w:tcPr>
          <w:p>
            <w:pPr>
              <w:spacing w:after="0"/>
            </w:pPr>
            <w:r/>
            <w:r>
              <w:rPr>
                <w:sz w:val="17"/>
              </w:rPr>
              <w:t>§11.2</w:t>
            </w:r>
          </w:p>
        </w:tc>
        <w:tc>
          <w:tcPr>
            <w:tcW w:type="dxa" w:w="5616"/>
          </w:tcPr>
          <w:p>
            <w:pPr>
              <w:spacing w:after="0"/>
            </w:pPr>
            <w:r/>
            <w:r>
              <w:rPr>
                <w:sz w:val="17"/>
              </w:rPr>
              <w:t>Ridgeway’s designation as the single IRB of record is cited to 45 CFR 46.114(b), the Common Rule provision for federally funded cooperative research. This privately funded, FDA-regulated study is governed by 21 CFR Part 56, which permits cooperative review arrangements (§56.114). Re-cite to §56.114 and the Ridgeway reliance agreements, and confirm Ridgeway’s FDA/OHRP IRB registration.</w:t>
            </w:r>
          </w:p>
        </w:tc>
      </w:tr>
      <w:tr>
        <w:tc>
          <w:tcPr>
            <w:tcW w:type="dxa" w:w="648"/>
          </w:tcPr>
          <w:p>
            <w:pPr>
              <w:spacing w:after="0"/>
            </w:pPr>
            <w:r/>
            <w:r>
              <w:rPr>
                <w:sz w:val="17"/>
              </w:rPr>
              <w:t>m-6</w:t>
            </w:r>
          </w:p>
        </w:tc>
        <w:tc>
          <w:tcPr>
            <w:tcW w:type="dxa" w:w="1800"/>
          </w:tcPr>
          <w:p>
            <w:pPr>
              <w:spacing w:after="0"/>
            </w:pPr>
            <w:r/>
            <w:r>
              <w:rPr>
                <w:sz w:val="17"/>
              </w:rPr>
              <w:t>Visit count and compensation arithmetic</w:t>
            </w:r>
          </w:p>
        </w:tc>
        <w:tc>
          <w:tcPr>
            <w:tcW w:type="dxa" w:w="1296"/>
          </w:tcPr>
          <w:p>
            <w:pPr>
              <w:spacing w:after="0"/>
            </w:pPr>
            <w:r/>
            <w:r>
              <w:rPr>
                <w:sz w:val="17"/>
              </w:rPr>
              <w:t>§13.4; App. A §A7</w:t>
            </w:r>
          </w:p>
        </w:tc>
        <w:tc>
          <w:tcPr>
            <w:tcW w:type="dxa" w:w="5616"/>
          </w:tcPr>
          <w:p>
            <w:pPr>
              <w:spacing w:after="0"/>
            </w:pPr>
            <w:r/>
            <w:r>
              <w:rPr>
                <w:sz w:val="17"/>
              </w:rPr>
              <w:t xml:space="preserve">§13.4 counts “17 scheduled study visits (from Day 1 through the Week 64 End of Study visit).” Day 1 through Week 64 is </w:t>
            </w:r>
            <w:r>
              <w:rPr>
                <w:b/>
                <w:sz w:val="17"/>
              </w:rPr>
              <w:t>16</w:t>
            </w:r>
            <w:r>
              <w:rPr>
                <w:sz w:val="17"/>
              </w:rPr>
              <w:t xml:space="preserve"> visits (Day 1; Weeks 2, 4, 8, 12, 16, 20, 24, 30, 36, 42, 48, 52, 56, 60, 64). 17 visits ($2,550) is correct only if Screening is a paid visit. Clarify in both documents, including payment for unscheduled, repeat-biopsy and laboratory-only visits (M-5, M-6), and confirm the schedule with Ridgeway.</w:t>
            </w:r>
          </w:p>
        </w:tc>
      </w:tr>
      <w:tr>
        <w:tc>
          <w:tcPr>
            <w:tcW w:type="dxa" w:w="648"/>
          </w:tcPr>
          <w:p>
            <w:pPr>
              <w:spacing w:after="0"/>
            </w:pPr>
            <w:r/>
            <w:r>
              <w:rPr>
                <w:sz w:val="17"/>
              </w:rPr>
              <w:t>m-7</w:t>
            </w:r>
          </w:p>
        </w:tc>
        <w:tc>
          <w:tcPr>
            <w:tcW w:type="dxa" w:w="1800"/>
          </w:tcPr>
          <w:p>
            <w:pPr>
              <w:spacing w:after="0"/>
            </w:pPr>
            <w:r/>
            <w:r>
              <w:rPr>
                <w:sz w:val="17"/>
              </w:rPr>
              <w:t>Vulnerable populations and consent logistics</w:t>
            </w:r>
          </w:p>
        </w:tc>
        <w:tc>
          <w:tcPr>
            <w:tcW w:type="dxa" w:w="1296"/>
          </w:tcPr>
          <w:p>
            <w:pPr>
              <w:spacing w:after="0"/>
            </w:pPr>
            <w:r/>
            <w:r>
              <w:rPr>
                <w:sz w:val="17"/>
              </w:rPr>
              <w:t>§11.1; §11.3</w:t>
            </w:r>
          </w:p>
        </w:tc>
        <w:tc>
          <w:tcPr>
            <w:tcW w:type="dxa" w:w="5616"/>
          </w:tcPr>
          <w:p>
            <w:pPr>
              <w:spacing w:after="0"/>
            </w:pPr>
            <w:r/>
            <w:r>
              <w:rPr>
                <w:sz w:val="17"/>
              </w:rPr>
              <w:t>FDA characterized the population as vulnerable (Minutes §4.4(c)). §11.3 makes no provisions. Add: no legally authorized representative (LAR) consent (or criteria if LARs are permitted); procedures for non-English-speaking subjects (translated ICFs or the short-form process under 21 CFR 50.27(b)(2)); impartial-witness requirements; the French-language ICF for Québec; and protections for employees or students of sites.</w:t>
            </w:r>
          </w:p>
        </w:tc>
      </w:tr>
      <w:tr>
        <w:tc>
          <w:tcPr>
            <w:tcW w:type="dxa" w:w="648"/>
          </w:tcPr>
          <w:p>
            <w:pPr>
              <w:spacing w:after="0"/>
            </w:pPr>
            <w:r/>
            <w:r>
              <w:rPr>
                <w:sz w:val="17"/>
              </w:rPr>
              <w:t>m-8</w:t>
            </w:r>
          </w:p>
        </w:tc>
        <w:tc>
          <w:tcPr>
            <w:tcW w:type="dxa" w:w="1800"/>
          </w:tcPr>
          <w:p>
            <w:pPr>
              <w:spacing w:after="0"/>
            </w:pPr>
            <w:r/>
            <w:r>
              <w:rPr>
                <w:sz w:val="17"/>
              </w:rPr>
              <w:t>Governance and blinding</w:t>
            </w:r>
          </w:p>
        </w:tc>
        <w:tc>
          <w:tcPr>
            <w:tcW w:type="dxa" w:w="1296"/>
          </w:tcPr>
          <w:p>
            <w:pPr>
              <w:spacing w:after="0"/>
            </w:pPr>
            <w:r/>
            <w:r>
              <w:rPr>
                <w:sz w:val="17"/>
              </w:rPr>
              <w:t>§13.3; §10.3</w:t>
            </w:r>
          </w:p>
        </w:tc>
        <w:tc>
          <w:tcPr>
            <w:tcW w:type="dxa" w:w="5616"/>
          </w:tcPr>
          <w:p>
            <w:pPr>
              <w:spacing w:after="0"/>
            </w:pPr>
            <w:r/>
            <w:r>
              <w:rPr>
                <w:sz w:val="17"/>
              </w:rPr>
              <w:t>The Steering Committee, chaired by the CMO and including Sponsor biostatistics staff, reviews “emerging data trends.” Specify that it reviews only blinded, pooled data and has no access to DSMB or interim outputs. This complements the firewall in C-4.</w:t>
            </w:r>
          </w:p>
        </w:tc>
      </w:tr>
      <w:tr>
        <w:tc>
          <w:tcPr>
            <w:tcW w:type="dxa" w:w="648"/>
          </w:tcPr>
          <w:p>
            <w:pPr>
              <w:spacing w:after="0"/>
            </w:pPr>
            <w:r/>
            <w:r>
              <w:rPr>
                <w:sz w:val="17"/>
              </w:rPr>
              <w:t>m-9</w:t>
            </w:r>
          </w:p>
        </w:tc>
        <w:tc>
          <w:tcPr>
            <w:tcW w:type="dxa" w:w="1800"/>
          </w:tcPr>
          <w:p>
            <w:pPr>
              <w:spacing w:after="0"/>
            </w:pPr>
            <w:r/>
            <w:r>
              <w:rPr>
                <w:sz w:val="17"/>
              </w:rPr>
              <w:t>Enrollment diversity</w:t>
            </w:r>
          </w:p>
        </w:tc>
        <w:tc>
          <w:tcPr>
            <w:tcW w:type="dxa" w:w="1296"/>
          </w:tcPr>
          <w:p>
            <w:pPr>
              <w:spacing w:after="0"/>
            </w:pPr>
            <w:r/>
            <w:r>
              <w:rPr>
                <w:sz w:val="17"/>
              </w:rPr>
              <w:t>§4; §12.2</w:t>
            </w:r>
          </w:p>
        </w:tc>
        <w:tc>
          <w:tcPr>
            <w:tcW w:type="dxa" w:w="5616"/>
          </w:tcPr>
          <w:p>
            <w:pPr>
              <w:spacing w:after="0"/>
            </w:pPr>
            <w:r/>
            <w:r>
              <w:rPr>
                <w:sz w:val="17"/>
              </w:rPr>
              <w:t>FDA asked that enrollment be representative by age, sex, race and ethnicity (Minutes §4.3; FDA Diversity Guidance, Nov. 2020). The Protocol has no enrollment goals or recruitment strategy. A formal Diversity Action Plan under FDORA §3601 is not required for this Phase 2b study, but the IND should describe enrollment goals and site-selection strategy. That work will also prepare the Phase 3 Diversity Action Plan.</w:t>
            </w:r>
          </w:p>
        </w:tc>
      </w:tr>
      <w:tr>
        <w:tc>
          <w:tcPr>
            <w:tcW w:type="dxa" w:w="648"/>
          </w:tcPr>
          <w:p>
            <w:pPr>
              <w:spacing w:after="0"/>
            </w:pPr>
            <w:r/>
            <w:r>
              <w:rPr>
                <w:sz w:val="17"/>
              </w:rPr>
              <w:t>m-10</w:t>
            </w:r>
          </w:p>
        </w:tc>
        <w:tc>
          <w:tcPr>
            <w:tcW w:type="dxa" w:w="1800"/>
          </w:tcPr>
          <w:p>
            <w:pPr>
              <w:spacing w:after="0"/>
            </w:pPr>
            <w:r/>
            <w:r>
              <w:rPr>
                <w:sz w:val="17"/>
              </w:rPr>
              <w:t>Internal inconsistencies</w:t>
            </w:r>
          </w:p>
        </w:tc>
        <w:tc>
          <w:tcPr>
            <w:tcW w:type="dxa" w:w="1296"/>
          </w:tcPr>
          <w:p>
            <w:pPr>
              <w:spacing w:after="0"/>
            </w:pPr>
            <w:r/>
            <w:r>
              <w:rPr>
                <w:sz w:val="17"/>
              </w:rPr>
              <w:t>§2.1; §7; Minutes</w:t>
            </w:r>
          </w:p>
        </w:tc>
        <w:tc>
          <w:tcPr>
            <w:tcW w:type="dxa" w:w="5616"/>
          </w:tcPr>
          <w:p>
            <w:pPr>
              <w:spacing w:after="0"/>
            </w:pPr>
            <w:r/>
            <w:r>
              <w:rPr>
                <w:sz w:val="17"/>
              </w:rPr>
              <w:t>(i) §7 states all active arms reach steady state by Week 4. That is incorrect under any compliant titration (C-6) and doubtful even now for a once-weekly, albumin-bound peptide. (ii) The Minutes describe PTX-4820 as a GLP-1/“GVP” agonist, while the Protocol says GLP-1/GIP. The 30-day window to correct the Minutes has passed, so the IND cover letter should note the correct mechanism. (iii) The §2.1 statement that FDA recommendations were incorporated “where appropriate” should be replaced with the Summary of Changes table (Part IV.A).</w:t>
            </w:r>
          </w:p>
        </w:tc>
      </w:tr>
    </w:tbl>
    <w:p>
      <w:pPr>
        <w:spacing w:after="40"/>
      </w:pPr>
    </w:p>
    <w:p>
      <w:pPr>
        <w:spacing w:after="120"/>
        <w:jc w:val="both"/>
      </w:pPr>
      <w:r>
        <w:rPr>
          <w:b/>
          <w:sz w:val="19"/>
        </w:rPr>
        <w:t>O-1 Observation (outside engagement scope): Orphan Drug Designation rationale.</w:t>
      </w:r>
      <w:r>
        <w:rPr>
          <w:sz w:val="19"/>
        </w:rPr>
        <w:t xml:space="preserve"> §2.1 states that ODD 24-5773 “was based on the prevalence of the target population and the absence of approved therapies.” The same section estimates NASH prevalence at 3–5% of adults, which is far above the 200,000-person U.S. threshold in 21 CFR 316.20(b)(8) and 316.21. Approved therapy now exists (M-11). We have not reviewed the designation request, and under engagement letter §VII we assume it is accurate. We nevertheless recommend that Pinnacle (a) confirm the precise designated condition and its prevalence basis, and (b) revise the §2.1 sentence so it does not characterize the basis for designation, because inaccurate descriptions can draw questions from the Office of Orphan Products Development. We would be glad to review this separately.</w:t>
      </w:r>
    </w:p>
    <w:p>
      <w:pPr>
        <w:pStyle w:val="Heading1"/>
      </w:pPr>
      <w:r>
        <w:t>V. Remediation Roadmap to the September 15, 2025 IND Target</w:t>
      </w:r>
    </w:p>
    <w:tbl>
      <w:tblPr>
        <w:tblStyle w:val="TableGrid"/>
        <w:tblW w:type="auto" w:w="0"/>
        <w:jc w:val="center"/>
        <w:tblLayout w:type="fixed"/>
        <w:tblLook w:firstColumn="1" w:firstRow="1" w:lastColumn="0" w:lastRow="0" w:noHBand="0" w:noVBand="1" w:val="04A0"/>
      </w:tblPr>
      <w:tblGrid>
        <w:gridCol w:w="432"/>
        <w:gridCol w:w="5328"/>
        <w:gridCol w:w="2160"/>
        <w:gridCol w:w="1440"/>
      </w:tblGrid>
      <w:tr>
        <w:tc>
          <w:tcPr>
            <w:tcW w:type="dxa" w:w="432"/>
            <w:shd w:val="clear" w:color="auto" w:fill="1F3A5F"/>
          </w:tcPr>
          <w:p>
            <w:pPr>
              <w:spacing w:after="0"/>
            </w:pPr>
            <w:r>
              <w:rPr>
                <w:b/>
                <w:color w:val="FFFFFF"/>
              </w:rPr>
            </w:r>
            <w:r>
              <w:rPr>
                <w:b/>
                <w:color w:val="FFFFFF"/>
                <w:sz w:val="17"/>
              </w:rPr>
              <w:t>#</w:t>
            </w:r>
          </w:p>
        </w:tc>
        <w:tc>
          <w:tcPr>
            <w:tcW w:type="dxa" w:w="5328"/>
            <w:shd w:val="clear" w:color="auto" w:fill="1F3A5F"/>
          </w:tcPr>
          <w:p>
            <w:pPr>
              <w:spacing w:after="0"/>
            </w:pPr>
            <w:r>
              <w:rPr>
                <w:b/>
                <w:color w:val="FFFFFF"/>
              </w:rPr>
            </w:r>
            <w:r>
              <w:rPr>
                <w:b/>
                <w:color w:val="FFFFFF"/>
                <w:sz w:val="17"/>
              </w:rPr>
              <w:t>Action</w:t>
            </w:r>
          </w:p>
        </w:tc>
        <w:tc>
          <w:tcPr>
            <w:tcW w:type="dxa" w:w="2160"/>
            <w:shd w:val="clear" w:color="auto" w:fill="1F3A5F"/>
          </w:tcPr>
          <w:p>
            <w:pPr>
              <w:spacing w:after="0"/>
            </w:pPr>
            <w:r>
              <w:rPr>
                <w:b/>
                <w:color w:val="FFFFFF"/>
              </w:rPr>
            </w:r>
            <w:r>
              <w:rPr>
                <w:b/>
                <w:color w:val="FFFFFF"/>
                <w:sz w:val="17"/>
              </w:rPr>
              <w:t>Owner</w:t>
            </w:r>
          </w:p>
        </w:tc>
        <w:tc>
          <w:tcPr>
            <w:tcW w:type="dxa" w:w="1440"/>
            <w:shd w:val="clear" w:color="auto" w:fill="1F3A5F"/>
          </w:tcPr>
          <w:p>
            <w:pPr>
              <w:spacing w:after="0"/>
            </w:pPr>
            <w:r>
              <w:rPr>
                <w:b/>
                <w:color w:val="FFFFFF"/>
              </w:rPr>
            </w:r>
            <w:r>
              <w:rPr>
                <w:b/>
                <w:color w:val="FFFFFF"/>
                <w:sz w:val="17"/>
              </w:rPr>
              <w:t>Target</w:t>
            </w:r>
          </w:p>
        </w:tc>
      </w:tr>
      <w:tr>
        <w:tc>
          <w:tcPr>
            <w:tcW w:type="dxa" w:w="432"/>
          </w:tcPr>
          <w:p>
            <w:pPr>
              <w:spacing w:after="0"/>
            </w:pPr>
            <w:r/>
            <w:r>
              <w:rPr>
                <w:sz w:val="17"/>
              </w:rPr>
              <w:t>1</w:t>
            </w:r>
          </w:p>
        </w:tc>
        <w:tc>
          <w:tcPr>
            <w:tcW w:type="dxa" w:w="5328"/>
          </w:tcPr>
          <w:p>
            <w:pPr>
              <w:spacing w:after="0"/>
            </w:pPr>
            <w:r/>
            <w:r>
              <w:rPr>
                <w:sz w:val="17"/>
              </w:rPr>
              <w:t>Deliver completed Regulatory Requirements Checklist (corrected per M-13). Hold the oral briefing; Dr. Anand to attend for the clinical items (C-5, C-6, M-5, M-10, m-1).</w:t>
            </w:r>
          </w:p>
        </w:tc>
        <w:tc>
          <w:tcPr>
            <w:tcW w:type="dxa" w:w="2160"/>
          </w:tcPr>
          <w:p>
            <w:pPr>
              <w:spacing w:after="0"/>
            </w:pPr>
            <w:r/>
            <w:r>
              <w:rPr>
                <w:sz w:val="17"/>
              </w:rPr>
              <w:t>HSL</w:t>
            </w:r>
          </w:p>
        </w:tc>
        <w:tc>
          <w:tcPr>
            <w:tcW w:type="dxa" w:w="1440"/>
          </w:tcPr>
          <w:p>
            <w:pPr>
              <w:spacing w:after="0"/>
            </w:pPr>
            <w:r/>
            <w:r>
              <w:rPr>
                <w:sz w:val="17"/>
              </w:rPr>
              <w:t>July 11</w:t>
            </w:r>
          </w:p>
        </w:tc>
      </w:tr>
      <w:tr>
        <w:tc>
          <w:tcPr>
            <w:tcW w:type="dxa" w:w="432"/>
          </w:tcPr>
          <w:p>
            <w:pPr>
              <w:spacing w:after="0"/>
            </w:pPr>
            <w:r/>
            <w:r>
              <w:rPr>
                <w:sz w:val="17"/>
              </w:rPr>
              <w:t>2</w:t>
            </w:r>
          </w:p>
        </w:tc>
        <w:tc>
          <w:tcPr>
            <w:tcW w:type="dxa" w:w="5328"/>
          </w:tcPr>
          <w:p>
            <w:pPr>
              <w:spacing w:after="0"/>
            </w:pPr>
            <w:r/>
            <w:r>
              <w:rPr>
                <w:sz w:val="17"/>
              </w:rPr>
              <w:t>Leadership decisions: sample size and power (M-7); titration option and any 10 mg strength (C-6); biopsy thresholds (M-6); IND vs. §312.120 status for Canadian sites (M-2); reproductive-toxicology status and WOCBP strategy (C-7); 39-week toxicology timing (M-4).</w:t>
            </w:r>
          </w:p>
        </w:tc>
        <w:tc>
          <w:tcPr>
            <w:tcW w:type="dxa" w:w="2160"/>
          </w:tcPr>
          <w:p>
            <w:pPr>
              <w:spacing w:after="0"/>
            </w:pPr>
            <w:r/>
            <w:r>
              <w:rPr>
                <w:sz w:val="17"/>
              </w:rPr>
              <w:t>Dr. Anand, Dr. Lattimore, Dr. Chen, Ms. Kowalski</w:t>
            </w:r>
          </w:p>
        </w:tc>
        <w:tc>
          <w:tcPr>
            <w:tcW w:type="dxa" w:w="1440"/>
          </w:tcPr>
          <w:p>
            <w:pPr>
              <w:spacing w:after="0"/>
            </w:pPr>
            <w:r/>
            <w:r>
              <w:rPr>
                <w:sz w:val="17"/>
              </w:rPr>
              <w:t>July 18</w:t>
            </w:r>
          </w:p>
        </w:tc>
      </w:tr>
      <w:tr>
        <w:tc>
          <w:tcPr>
            <w:tcW w:type="dxa" w:w="432"/>
          </w:tcPr>
          <w:p>
            <w:pPr>
              <w:spacing w:after="0"/>
            </w:pPr>
            <w:r/>
            <w:r>
              <w:rPr>
                <w:sz w:val="17"/>
              </w:rPr>
              <w:t>3</w:t>
            </w:r>
          </w:p>
        </w:tc>
        <w:tc>
          <w:tcPr>
            <w:tcW w:type="dxa" w:w="5328"/>
          </w:tcPr>
          <w:p>
            <w:pPr>
              <w:spacing w:after="0"/>
            </w:pPr>
            <w:r/>
            <w:r>
              <w:rPr>
                <w:sz w:val="17"/>
              </w:rPr>
              <w:t>Issue non-privileged “Protocol v4.0 Amendment Instructions” (taken from the proposed-language blocks) to Trident. Do not forward this memorandum (engagement letter §VIII).</w:t>
            </w:r>
          </w:p>
        </w:tc>
        <w:tc>
          <w:tcPr>
            <w:tcW w:type="dxa" w:w="2160"/>
          </w:tcPr>
          <w:p>
            <w:pPr>
              <w:spacing w:after="0"/>
            </w:pPr>
            <w:r/>
            <w:r>
              <w:rPr>
                <w:sz w:val="17"/>
              </w:rPr>
              <w:t>HSL / Pinnacle Regulatory</w:t>
            </w:r>
          </w:p>
        </w:tc>
        <w:tc>
          <w:tcPr>
            <w:tcW w:type="dxa" w:w="1440"/>
          </w:tcPr>
          <w:p>
            <w:pPr>
              <w:spacing w:after="0"/>
            </w:pPr>
            <w:r/>
            <w:r>
              <w:rPr>
                <w:sz w:val="17"/>
              </w:rPr>
              <w:t>July 15</w:t>
            </w:r>
          </w:p>
        </w:tc>
      </w:tr>
      <w:tr>
        <w:tc>
          <w:tcPr>
            <w:tcW w:type="dxa" w:w="432"/>
          </w:tcPr>
          <w:p>
            <w:pPr>
              <w:spacing w:after="0"/>
            </w:pPr>
            <w:r/>
            <w:r>
              <w:rPr>
                <w:sz w:val="17"/>
              </w:rPr>
              <w:t>4</w:t>
            </w:r>
          </w:p>
        </w:tc>
        <w:tc>
          <w:tcPr>
            <w:tcW w:type="dxa" w:w="5328"/>
          </w:tcPr>
          <w:p>
            <w:pPr>
              <w:spacing w:after="0"/>
            </w:pPr>
            <w:r/>
            <w:r>
              <w:rPr>
                <w:sz w:val="17"/>
              </w:rPr>
              <w:t>Trident drafts Protocol v4.0, the U.S. ICF and the Canadian ICF (English and French), Summary of Changes table and updated Table 4.</w:t>
            </w:r>
          </w:p>
        </w:tc>
        <w:tc>
          <w:tcPr>
            <w:tcW w:type="dxa" w:w="2160"/>
          </w:tcPr>
          <w:p>
            <w:pPr>
              <w:spacing w:after="0"/>
            </w:pPr>
            <w:r/>
            <w:r>
              <w:rPr>
                <w:sz w:val="17"/>
              </w:rPr>
              <w:t>Trident (Dr. Xu)</w:t>
            </w:r>
          </w:p>
        </w:tc>
        <w:tc>
          <w:tcPr>
            <w:tcW w:type="dxa" w:w="1440"/>
          </w:tcPr>
          <w:p>
            <w:pPr>
              <w:spacing w:after="0"/>
            </w:pPr>
            <w:r/>
            <w:r>
              <w:rPr>
                <w:sz w:val="17"/>
              </w:rPr>
              <w:t>August 1</w:t>
            </w:r>
          </w:p>
        </w:tc>
      </w:tr>
      <w:tr>
        <w:tc>
          <w:tcPr>
            <w:tcW w:type="dxa" w:w="432"/>
          </w:tcPr>
          <w:p>
            <w:pPr>
              <w:spacing w:after="0"/>
            </w:pPr>
            <w:r/>
            <w:r>
              <w:rPr>
                <w:sz w:val="17"/>
              </w:rPr>
              <w:t>5</w:t>
            </w:r>
          </w:p>
        </w:tc>
        <w:tc>
          <w:tcPr>
            <w:tcW w:type="dxa" w:w="5328"/>
          </w:tcPr>
          <w:p>
            <w:pPr>
              <w:spacing w:after="0"/>
            </w:pPr>
            <w:r/>
            <w:r>
              <w:rPr>
                <w:sz w:val="17"/>
              </w:rPr>
              <w:t>HSL review of v4.0 and ICFs; final sign-off.</w:t>
            </w:r>
          </w:p>
        </w:tc>
        <w:tc>
          <w:tcPr>
            <w:tcW w:type="dxa" w:w="2160"/>
          </w:tcPr>
          <w:p>
            <w:pPr>
              <w:spacing w:after="0"/>
            </w:pPr>
            <w:r/>
            <w:r>
              <w:rPr>
                <w:sz w:val="17"/>
              </w:rPr>
              <w:t>HSL</w:t>
            </w:r>
          </w:p>
        </w:tc>
        <w:tc>
          <w:tcPr>
            <w:tcW w:type="dxa" w:w="1440"/>
          </w:tcPr>
          <w:p>
            <w:pPr>
              <w:spacing w:after="0"/>
            </w:pPr>
            <w:r/>
            <w:r>
              <w:rPr>
                <w:sz w:val="17"/>
              </w:rPr>
              <w:t>August 8</w:t>
            </w:r>
          </w:p>
        </w:tc>
      </w:tr>
      <w:tr>
        <w:tc>
          <w:tcPr>
            <w:tcW w:type="dxa" w:w="432"/>
          </w:tcPr>
          <w:p>
            <w:pPr>
              <w:spacing w:after="0"/>
            </w:pPr>
            <w:r/>
            <w:r>
              <w:rPr>
                <w:sz w:val="17"/>
              </w:rPr>
              <w:t>6</w:t>
            </w:r>
          </w:p>
        </w:tc>
        <w:tc>
          <w:tcPr>
            <w:tcW w:type="dxa" w:w="5328"/>
          </w:tcPr>
          <w:p>
            <w:pPr>
              <w:spacing w:after="0"/>
            </w:pPr>
            <w:r/>
            <w:r>
              <w:rPr>
                <w:sz w:val="17"/>
              </w:rPr>
              <w:t>Submit v4.0 and ICF to Ridgeway IRB, and begin Canadian REB submissions. (IRB approval is needed before enrollment, not before IND filing.)</w:t>
            </w:r>
          </w:p>
        </w:tc>
        <w:tc>
          <w:tcPr>
            <w:tcW w:type="dxa" w:w="2160"/>
          </w:tcPr>
          <w:p>
            <w:pPr>
              <w:spacing w:after="0"/>
            </w:pPr>
            <w:r/>
            <w:r>
              <w:rPr>
                <w:sz w:val="17"/>
              </w:rPr>
              <w:t>Pinnacle / sites</w:t>
            </w:r>
          </w:p>
        </w:tc>
        <w:tc>
          <w:tcPr>
            <w:tcW w:type="dxa" w:w="1440"/>
          </w:tcPr>
          <w:p>
            <w:pPr>
              <w:spacing w:after="0"/>
            </w:pPr>
            <w:r/>
            <w:r>
              <w:rPr>
                <w:sz w:val="17"/>
              </w:rPr>
              <w:t>From August 8</w:t>
            </w:r>
          </w:p>
        </w:tc>
      </w:tr>
      <w:tr>
        <w:tc>
          <w:tcPr>
            <w:tcW w:type="dxa" w:w="432"/>
          </w:tcPr>
          <w:p>
            <w:pPr>
              <w:spacing w:after="0"/>
            </w:pPr>
            <w:r/>
            <w:r>
              <w:rPr>
                <w:sz w:val="17"/>
              </w:rPr>
              <w:t>7</w:t>
            </w:r>
          </w:p>
        </w:tc>
        <w:tc>
          <w:tcPr>
            <w:tcW w:type="dxa" w:w="5328"/>
          </w:tcPr>
          <w:p>
            <w:pPr>
              <w:spacing w:after="0"/>
            </w:pPr>
            <w:r/>
            <w:r>
              <w:rPr>
                <w:sz w:val="17"/>
              </w:rPr>
              <w:t>Constitute the DSMB and finalize its charter; Pathology Charter; SAP (interim/futility, estimands, multiplicity); DILI Assessment Protocol; Trident Part 11 validation package.</w:t>
            </w:r>
          </w:p>
        </w:tc>
        <w:tc>
          <w:tcPr>
            <w:tcW w:type="dxa" w:w="2160"/>
          </w:tcPr>
          <w:p>
            <w:pPr>
              <w:spacing w:after="0"/>
            </w:pPr>
            <w:r/>
            <w:r>
              <w:rPr>
                <w:sz w:val="17"/>
              </w:rPr>
              <w:t>Pinnacle Clinical / Biostatistics; Trident</w:t>
            </w:r>
          </w:p>
        </w:tc>
        <w:tc>
          <w:tcPr>
            <w:tcW w:type="dxa" w:w="1440"/>
          </w:tcPr>
          <w:p>
            <w:pPr>
              <w:spacing w:after="0"/>
            </w:pPr>
            <w:r/>
            <w:r>
              <w:rPr>
                <w:sz w:val="17"/>
              </w:rPr>
              <w:t>Draft by Sept 1; final before first subject enrolled</w:t>
            </w:r>
          </w:p>
        </w:tc>
      </w:tr>
      <w:tr>
        <w:tc>
          <w:tcPr>
            <w:tcW w:type="dxa" w:w="432"/>
          </w:tcPr>
          <w:p>
            <w:pPr>
              <w:spacing w:after="0"/>
            </w:pPr>
            <w:r/>
            <w:r>
              <w:rPr>
                <w:sz w:val="17"/>
              </w:rPr>
              <w:t>8</w:t>
            </w:r>
          </w:p>
        </w:tc>
        <w:tc>
          <w:tcPr>
            <w:tcW w:type="dxa" w:w="5328"/>
          </w:tcPr>
          <w:p>
            <w:pPr>
              <w:spacing w:after="0"/>
            </w:pPr>
            <w:r/>
            <w:r>
              <w:rPr>
                <w:sz w:val="17"/>
              </w:rPr>
              <w:t>IND submission: Protocol v4.0, Summary of Changes cross-referenced to the Minutes, cover-letter commitment and timeline for 39-week non-rodent study, DSMB charter (or commitment to submit before initiation), Forms 1571 and 1572.</w:t>
            </w:r>
          </w:p>
        </w:tc>
        <w:tc>
          <w:tcPr>
            <w:tcW w:type="dxa" w:w="2160"/>
          </w:tcPr>
          <w:p>
            <w:pPr>
              <w:spacing w:after="0"/>
            </w:pPr>
            <w:r/>
            <w:r>
              <w:rPr>
                <w:sz w:val="17"/>
              </w:rPr>
              <w:t>Pinnacle Regulatory / HSL</w:t>
            </w:r>
          </w:p>
        </w:tc>
        <w:tc>
          <w:tcPr>
            <w:tcW w:type="dxa" w:w="1440"/>
          </w:tcPr>
          <w:p>
            <w:pPr>
              <w:spacing w:after="0"/>
            </w:pPr>
            <w:r/>
            <w:r>
              <w:rPr>
                <w:sz w:val="17"/>
              </w:rPr>
              <w:t>September 15</w:t>
            </w:r>
          </w:p>
        </w:tc>
      </w:tr>
      <w:tr>
        <w:tc>
          <w:tcPr>
            <w:tcW w:type="dxa" w:w="432"/>
          </w:tcPr>
          <w:p>
            <w:pPr>
              <w:spacing w:after="0"/>
            </w:pPr>
            <w:r/>
            <w:r>
              <w:rPr>
                <w:sz w:val="17"/>
              </w:rPr>
              <w:t>9</w:t>
            </w:r>
          </w:p>
        </w:tc>
        <w:tc>
          <w:tcPr>
            <w:tcW w:type="dxa" w:w="5328"/>
          </w:tcPr>
          <w:p>
            <w:pPr>
              <w:spacing w:after="0"/>
            </w:pPr>
            <w:r/>
            <w:r>
              <w:rPr>
                <w:sz w:val="17"/>
              </w:rPr>
              <w:t>Health Canada CTA (30-day default review), with the Canadian ICF and Division 5 provisions; obtain NOL, QIUs and REB Attestations before Canadian activation.</w:t>
            </w:r>
          </w:p>
        </w:tc>
        <w:tc>
          <w:tcPr>
            <w:tcW w:type="dxa" w:w="2160"/>
          </w:tcPr>
          <w:p>
            <w:pPr>
              <w:spacing w:after="0"/>
            </w:pPr>
            <w:r/>
            <w:r>
              <w:rPr>
                <w:sz w:val="17"/>
              </w:rPr>
              <w:t>Pinnacle / Canadian counsel</w:t>
            </w:r>
          </w:p>
        </w:tc>
        <w:tc>
          <w:tcPr>
            <w:tcW w:type="dxa" w:w="1440"/>
          </w:tcPr>
          <w:p>
            <w:pPr>
              <w:spacing w:after="0"/>
            </w:pPr>
            <w:r/>
            <w:r>
              <w:rPr>
                <w:sz w:val="17"/>
              </w:rPr>
              <w:t>File by mid-September</w:t>
            </w:r>
          </w:p>
        </w:tc>
      </w:tr>
      <w:tr>
        <w:tc>
          <w:tcPr>
            <w:tcW w:type="dxa" w:w="432"/>
          </w:tcPr>
          <w:p>
            <w:pPr>
              <w:spacing w:after="0"/>
            </w:pPr>
            <w:r/>
            <w:r>
              <w:rPr>
                <w:sz w:val="17"/>
              </w:rPr>
              <w:t>10</w:t>
            </w:r>
          </w:p>
        </w:tc>
        <w:tc>
          <w:tcPr>
            <w:tcW w:type="dxa" w:w="5328"/>
          </w:tcPr>
          <w:p>
            <w:pPr>
              <w:spacing w:after="0"/>
            </w:pPr>
            <w:r/>
            <w:r>
              <w:rPr>
                <w:sz w:val="17"/>
              </w:rPr>
              <w:t>ClinicalTrials.gov registration; IRB/REB approvals; DSMB operational. No enrollment before the FDA 30-day period expires (21 CFR 312.40(b)).</w:t>
            </w:r>
          </w:p>
        </w:tc>
        <w:tc>
          <w:tcPr>
            <w:tcW w:type="dxa" w:w="2160"/>
          </w:tcPr>
          <w:p>
            <w:pPr>
              <w:spacing w:after="0"/>
            </w:pPr>
            <w:r/>
            <w:r>
              <w:rPr>
                <w:sz w:val="17"/>
              </w:rPr>
              <w:t>Pinnacle</w:t>
            </w:r>
          </w:p>
        </w:tc>
        <w:tc>
          <w:tcPr>
            <w:tcW w:type="dxa" w:w="1440"/>
          </w:tcPr>
          <w:p>
            <w:pPr>
              <w:spacing w:after="0"/>
            </w:pPr>
            <w:r/>
            <w:r>
              <w:rPr>
                <w:sz w:val="17"/>
              </w:rPr>
              <w:t>Before first subject enrolled (Oct. 2025)</w:t>
            </w:r>
          </w:p>
        </w:tc>
      </w:tr>
      <w:tr>
        <w:tc>
          <w:tcPr>
            <w:tcW w:type="dxa" w:w="432"/>
          </w:tcPr>
          <w:p>
            <w:pPr>
              <w:spacing w:after="0"/>
            </w:pPr>
            <w:r/>
            <w:r>
              <w:rPr>
                <w:sz w:val="17"/>
              </w:rPr>
              <w:t>11</w:t>
            </w:r>
          </w:p>
        </w:tc>
        <w:tc>
          <w:tcPr>
            <w:tcW w:type="dxa" w:w="5328"/>
          </w:tcPr>
          <w:p>
            <w:pPr>
              <w:spacing w:after="0"/>
            </w:pPr>
            <w:r/>
            <w:r>
              <w:rPr>
                <w:sz w:val="17"/>
              </w:rPr>
              <w:t>Submit the 39-week toxicology report as an IND amendment (and to Health Canada) before any subject passes Week 26 of dosing (about April 2026).</w:t>
            </w:r>
          </w:p>
        </w:tc>
        <w:tc>
          <w:tcPr>
            <w:tcW w:type="dxa" w:w="2160"/>
          </w:tcPr>
          <w:p>
            <w:pPr>
              <w:spacing w:after="0"/>
            </w:pPr>
            <w:r/>
            <w:r>
              <w:rPr>
                <w:sz w:val="17"/>
              </w:rPr>
              <w:t>Pinnacle Nonclinical</w:t>
            </w:r>
          </w:p>
        </w:tc>
        <w:tc>
          <w:tcPr>
            <w:tcW w:type="dxa" w:w="1440"/>
          </w:tcPr>
          <w:p>
            <w:pPr>
              <w:spacing w:after="0"/>
            </w:pPr>
            <w:r/>
            <w:r>
              <w:rPr>
                <w:sz w:val="17"/>
              </w:rPr>
              <w:t>About March 2026</w:t>
            </w:r>
          </w:p>
        </w:tc>
      </w:tr>
    </w:tbl>
    <w:p>
      <w:pPr>
        <w:spacing w:after="40"/>
      </w:pPr>
    </w:p>
    <w:p>
      <w:pPr>
        <w:spacing w:after="120"/>
        <w:jc w:val="both"/>
      </w:pPr>
      <w:r>
        <w:t>If Pinnacle chooses to depart from any FDA recommendation (e.g., keeping stricter biopsy thresholds, or a different interim design), we recommend a written justification in the IND. Pinnacle should also consider a Type C meeting or written-response-only request before submission (Minutes, AI 6). A Type C request at this point may not be answered before September 15, so that decision should be made by July 18.</w:t>
      </w:r>
    </w:p>
    <w:p>
      <w:pPr>
        <w:pStyle w:val="Heading1"/>
      </w:pPr>
      <w:r>
        <w:t>VI. ICF Crosswalk — 21 CFR 50.25(a), (b) and (c)</w:t>
      </w:r>
    </w:p>
    <w:tbl>
      <w:tblPr>
        <w:tblStyle w:val="TableGrid"/>
        <w:tblW w:type="auto" w:w="0"/>
        <w:jc w:val="center"/>
        <w:tblLayout w:type="fixed"/>
        <w:tblLook w:firstColumn="1" w:firstRow="1" w:lastColumn="0" w:lastRow="0" w:noHBand="0" w:noVBand="1" w:val="04A0"/>
      </w:tblPr>
      <w:tblGrid>
        <w:gridCol w:w="1080"/>
        <w:gridCol w:w="1800"/>
        <w:gridCol w:w="2808"/>
        <w:gridCol w:w="1368"/>
        <w:gridCol w:w="1224"/>
        <w:gridCol w:w="1080"/>
      </w:tblGrid>
      <w:tr>
        <w:tc>
          <w:tcPr>
            <w:tcW w:type="dxa" w:w="1080"/>
            <w:shd w:val="clear" w:color="auto" w:fill="1F3A5F"/>
          </w:tcPr>
          <w:p>
            <w:pPr>
              <w:spacing w:after="0"/>
            </w:pPr>
            <w:r>
              <w:rPr>
                <w:b/>
                <w:color w:val="FFFFFF"/>
              </w:rPr>
            </w:r>
            <w:r>
              <w:rPr>
                <w:b/>
                <w:color w:val="FFFFFF"/>
                <w:sz w:val="16"/>
              </w:rPr>
              <w:t>Element</w:t>
            </w:r>
          </w:p>
        </w:tc>
        <w:tc>
          <w:tcPr>
            <w:tcW w:type="dxa" w:w="1800"/>
            <w:shd w:val="clear" w:color="auto" w:fill="1F3A5F"/>
          </w:tcPr>
          <w:p>
            <w:pPr>
              <w:spacing w:after="0"/>
            </w:pPr>
            <w:r>
              <w:rPr>
                <w:b/>
                <w:color w:val="FFFFFF"/>
              </w:rPr>
            </w:r>
            <w:r>
              <w:rPr>
                <w:b/>
                <w:color w:val="FFFFFF"/>
                <w:sz w:val="16"/>
              </w:rPr>
              <w:t>Requirement (summary)</w:t>
            </w:r>
          </w:p>
        </w:tc>
        <w:tc>
          <w:tcPr>
            <w:tcW w:type="dxa" w:w="2808"/>
            <w:shd w:val="clear" w:color="auto" w:fill="1F3A5F"/>
          </w:tcPr>
          <w:p>
            <w:pPr>
              <w:spacing w:after="0"/>
            </w:pPr>
            <w:r>
              <w:rPr>
                <w:b/>
                <w:color w:val="FFFFFF"/>
              </w:rPr>
            </w:r>
            <w:r>
              <w:rPr>
                <w:b/>
                <w:color w:val="FFFFFF"/>
                <w:sz w:val="16"/>
              </w:rPr>
              <w:t>ICF v3.0 (App. A)</w:t>
            </w:r>
          </w:p>
        </w:tc>
        <w:tc>
          <w:tcPr>
            <w:tcW w:type="dxa" w:w="1368"/>
            <w:shd w:val="clear" w:color="auto" w:fill="1F3A5F"/>
          </w:tcPr>
          <w:p>
            <w:pPr>
              <w:spacing w:after="0"/>
            </w:pPr>
            <w:r>
              <w:rPr>
                <w:b/>
                <w:color w:val="FFFFFF"/>
              </w:rPr>
            </w:r>
            <w:r>
              <w:rPr>
                <w:b/>
                <w:color w:val="FFFFFF"/>
                <w:sz w:val="16"/>
              </w:rPr>
              <w:t>Working checklist</w:t>
            </w:r>
          </w:p>
        </w:tc>
        <w:tc>
          <w:tcPr>
            <w:tcW w:type="dxa" w:w="1224"/>
            <w:shd w:val="clear" w:color="auto" w:fill="1F3A5F"/>
          </w:tcPr>
          <w:p>
            <w:pPr>
              <w:spacing w:after="0"/>
            </w:pPr>
            <w:r>
              <w:rPr>
                <w:b/>
                <w:color w:val="FFFFFF"/>
              </w:rPr>
            </w:r>
            <w:r>
              <w:rPr>
                <w:b/>
                <w:color w:val="FFFFFF"/>
                <w:sz w:val="16"/>
              </w:rPr>
              <w:t>HSL status</w:t>
            </w:r>
          </w:p>
        </w:tc>
        <w:tc>
          <w:tcPr>
            <w:tcW w:type="dxa" w:w="1080"/>
            <w:shd w:val="clear" w:color="auto" w:fill="1F3A5F"/>
          </w:tcPr>
          <w:p>
            <w:pPr>
              <w:spacing w:after="0"/>
            </w:pPr>
            <w:r>
              <w:rPr>
                <w:b/>
                <w:color w:val="FFFFFF"/>
              </w:rPr>
            </w:r>
            <w:r>
              <w:rPr>
                <w:b/>
                <w:color w:val="FFFFFF"/>
                <w:sz w:val="16"/>
              </w:rPr>
              <w:t>Finding</w:t>
            </w:r>
          </w:p>
        </w:tc>
      </w:tr>
      <w:tr>
        <w:tc>
          <w:tcPr>
            <w:tcW w:type="dxa" w:w="1080"/>
          </w:tcPr>
          <w:p>
            <w:pPr>
              <w:spacing w:after="0"/>
            </w:pPr>
            <w:r/>
            <w:r>
              <w:rPr>
                <w:sz w:val="16"/>
              </w:rPr>
              <w:t>50.25(a)(1)</w:t>
            </w:r>
          </w:p>
        </w:tc>
        <w:tc>
          <w:tcPr>
            <w:tcW w:type="dxa" w:w="1800"/>
          </w:tcPr>
          <w:p>
            <w:pPr>
              <w:spacing w:after="0"/>
            </w:pPr>
            <w:r/>
            <w:r>
              <w:rPr>
                <w:sz w:val="16"/>
              </w:rPr>
              <w:t>Research statement; purposes; expected duration; procedures; identification of experimental procedures</w:t>
            </w:r>
          </w:p>
        </w:tc>
        <w:tc>
          <w:tcPr>
            <w:tcW w:type="dxa" w:w="2808"/>
          </w:tcPr>
          <w:p>
            <w:pPr>
              <w:spacing w:after="0"/>
            </w:pPr>
            <w:r/>
            <w:r>
              <w:rPr>
                <w:sz w:val="16"/>
              </w:rPr>
              <w:t>Research and purpose stated (§A1). Duration “approximately 12 months” is wrong (64 wks ≈ 15 mo; 72 wks ≈ 16.5 mo with screening). Follow-up visits, possible extra biopsies, PROs, MRI-PDFF and PK sampling omitted. Experimental/research-only procedures not identified.</w:t>
            </w:r>
          </w:p>
        </w:tc>
        <w:tc>
          <w:tcPr>
            <w:tcW w:type="dxa" w:w="1368"/>
          </w:tcPr>
          <w:p>
            <w:pPr>
              <w:spacing w:after="0"/>
            </w:pPr>
            <w:r/>
            <w:r>
              <w:rPr>
                <w:sz w:val="16"/>
              </w:rPr>
              <w:t>Partial (IC-001); IC-022/-023 “Y” citing 3 biopsies at Wks 0/26/52 and ~18 visits</w:t>
            </w:r>
          </w:p>
        </w:tc>
        <w:tc>
          <w:tcPr>
            <w:tcW w:type="dxa" w:w="1224"/>
          </w:tcPr>
          <w:p>
            <w:pPr>
              <w:spacing w:after="0"/>
            </w:pPr>
            <w:r/>
            <w:r>
              <w:rPr>
                <w:sz w:val="16"/>
              </w:rPr>
              <w:t>Partially compliant</w:t>
            </w:r>
          </w:p>
        </w:tc>
        <w:tc>
          <w:tcPr>
            <w:tcW w:type="dxa" w:w="1080"/>
          </w:tcPr>
          <w:p>
            <w:pPr>
              <w:spacing w:after="0"/>
            </w:pPr>
            <w:r/>
            <w:r>
              <w:rPr>
                <w:sz w:val="16"/>
              </w:rPr>
              <w:t>M-9</w:t>
            </w:r>
          </w:p>
        </w:tc>
      </w:tr>
      <w:tr>
        <w:tc>
          <w:tcPr>
            <w:tcW w:type="dxa" w:w="1080"/>
          </w:tcPr>
          <w:p>
            <w:pPr>
              <w:spacing w:after="0"/>
            </w:pPr>
            <w:r/>
            <w:r>
              <w:rPr>
                <w:sz w:val="16"/>
              </w:rPr>
              <w:t>50.25(a)(2)</w:t>
            </w:r>
          </w:p>
        </w:tc>
        <w:tc>
          <w:tcPr>
            <w:tcW w:type="dxa" w:w="1800"/>
          </w:tcPr>
          <w:p>
            <w:pPr>
              <w:spacing w:after="0"/>
            </w:pPr>
            <w:r/>
            <w:r>
              <w:rPr>
                <w:sz w:val="16"/>
              </w:rPr>
              <w:t>Reasonably foreseeable risks and discomforts</w:t>
            </w:r>
          </w:p>
        </w:tc>
        <w:tc>
          <w:tcPr>
            <w:tcW w:type="dxa" w:w="2808"/>
          </w:tcPr>
          <w:p>
            <w:pPr>
              <w:spacing w:after="0"/>
            </w:pPr>
            <w:r/>
            <w:r>
              <w:rPr>
                <w:sz w:val="16"/>
              </w:rPr>
              <w:t>Biopsy, GI, injection site, pancreatitis, thyroid, hypoglycemia, blood draw. Omits hepatic injury/decompensation, anaphylaxis, gallbladder, dehydration/AKI, biopsy pneumothorax/death and sedation aspiration, reproductive, placebo/progression, privacy.</w:t>
            </w:r>
          </w:p>
        </w:tc>
        <w:tc>
          <w:tcPr>
            <w:tcW w:type="dxa" w:w="1368"/>
          </w:tcPr>
          <w:p>
            <w:pPr>
              <w:spacing w:after="0"/>
            </w:pPr>
            <w:r/>
            <w:r>
              <w:rPr>
                <w:sz w:val="16"/>
              </w:rPr>
              <w:t>Y (IC-002, IC-024, IC-025)</w:t>
            </w:r>
          </w:p>
        </w:tc>
        <w:tc>
          <w:tcPr>
            <w:tcW w:type="dxa" w:w="1224"/>
          </w:tcPr>
          <w:p>
            <w:pPr>
              <w:spacing w:after="0"/>
            </w:pPr>
            <w:r/>
            <w:r>
              <w:rPr>
                <w:sz w:val="16"/>
              </w:rPr>
              <w:t>Partially compliant</w:t>
            </w:r>
          </w:p>
        </w:tc>
        <w:tc>
          <w:tcPr>
            <w:tcW w:type="dxa" w:w="1080"/>
          </w:tcPr>
          <w:p>
            <w:pPr>
              <w:spacing w:after="0"/>
            </w:pPr>
            <w:r/>
            <w:r>
              <w:rPr>
                <w:sz w:val="16"/>
              </w:rPr>
              <w:t>M-10; C-7</w:t>
            </w:r>
          </w:p>
        </w:tc>
      </w:tr>
      <w:tr>
        <w:tc>
          <w:tcPr>
            <w:tcW w:type="dxa" w:w="1080"/>
          </w:tcPr>
          <w:p>
            <w:pPr>
              <w:spacing w:after="0"/>
            </w:pPr>
            <w:r/>
            <w:r>
              <w:rPr>
                <w:sz w:val="16"/>
              </w:rPr>
              <w:t>50.25(a)(3)</w:t>
            </w:r>
          </w:p>
        </w:tc>
        <w:tc>
          <w:tcPr>
            <w:tcW w:type="dxa" w:w="1800"/>
          </w:tcPr>
          <w:p>
            <w:pPr>
              <w:spacing w:after="0"/>
            </w:pPr>
            <w:r/>
            <w:r>
              <w:rPr>
                <w:sz w:val="16"/>
              </w:rPr>
              <w:t>Reasonably expected benefits</w:t>
            </w:r>
          </w:p>
        </w:tc>
        <w:tc>
          <w:tcPr>
            <w:tcW w:type="dxa" w:w="2808"/>
          </w:tcPr>
          <w:p>
            <w:pPr>
              <w:spacing w:after="0"/>
            </w:pPr>
            <w:r/>
            <w:r>
              <w:rPr>
                <w:sz w:val="16"/>
              </w:rPr>
              <w:t>§A4: no guaranteed benefit; may help future patients.</w:t>
            </w:r>
          </w:p>
        </w:tc>
        <w:tc>
          <w:tcPr>
            <w:tcW w:type="dxa" w:w="1368"/>
          </w:tcPr>
          <w:p>
            <w:pPr>
              <w:spacing w:after="0"/>
            </w:pPr>
            <w:r/>
            <w:r>
              <w:rPr>
                <w:sz w:val="16"/>
              </w:rPr>
              <w:t>Y</w:t>
            </w:r>
          </w:p>
        </w:tc>
        <w:tc>
          <w:tcPr>
            <w:tcW w:type="dxa" w:w="1224"/>
          </w:tcPr>
          <w:p>
            <w:pPr>
              <w:spacing w:after="0"/>
            </w:pPr>
            <w:r/>
            <w:r>
              <w:rPr>
                <w:sz w:val="16"/>
              </w:rPr>
              <w:t>Compliant</w:t>
            </w:r>
          </w:p>
        </w:tc>
        <w:tc>
          <w:tcPr>
            <w:tcW w:type="dxa" w:w="1080"/>
          </w:tcPr>
          <w:p>
            <w:pPr>
              <w:spacing w:after="0"/>
            </w:pPr>
            <w:r/>
            <w:r>
              <w:rPr>
                <w:sz w:val="16"/>
              </w:rPr>
              <w:t>—</w:t>
            </w:r>
          </w:p>
        </w:tc>
      </w:tr>
      <w:tr>
        <w:tc>
          <w:tcPr>
            <w:tcW w:type="dxa" w:w="1080"/>
          </w:tcPr>
          <w:p>
            <w:pPr>
              <w:spacing w:after="0"/>
            </w:pPr>
            <w:r/>
            <w:r>
              <w:rPr>
                <w:sz w:val="16"/>
              </w:rPr>
              <w:t>50.25(a)(4)</w:t>
            </w:r>
          </w:p>
        </w:tc>
        <w:tc>
          <w:tcPr>
            <w:tcW w:type="dxa" w:w="1800"/>
          </w:tcPr>
          <w:p>
            <w:pPr>
              <w:spacing w:after="0"/>
            </w:pPr>
            <w:r/>
            <w:r>
              <w:rPr>
                <w:sz w:val="16"/>
              </w:rPr>
              <w:t>Appropriate alternatives</w:t>
            </w:r>
          </w:p>
        </w:tc>
        <w:tc>
          <w:tcPr>
            <w:tcW w:type="dxa" w:w="2808"/>
          </w:tcPr>
          <w:p>
            <w:pPr>
              <w:spacing w:after="0"/>
            </w:pPr>
            <w:r/>
            <w:r>
              <w:rPr>
                <w:sz w:val="16"/>
              </w:rPr>
              <w:t>§A5 states no FDA-approved drug exists. Inaccurate (resmetirom approved 3/14/2024).</w:t>
            </w:r>
          </w:p>
        </w:tc>
        <w:tc>
          <w:tcPr>
            <w:tcW w:type="dxa" w:w="1368"/>
          </w:tcPr>
          <w:p>
            <w:pPr>
              <w:spacing w:after="0"/>
            </w:pPr>
            <w:r/>
            <w:r>
              <w:rPr>
                <w:sz w:val="16"/>
              </w:rPr>
              <w:t>Y (IC-004)</w:t>
            </w:r>
          </w:p>
        </w:tc>
        <w:tc>
          <w:tcPr>
            <w:tcW w:type="dxa" w:w="1224"/>
          </w:tcPr>
          <w:p>
            <w:pPr>
              <w:spacing w:after="0"/>
            </w:pPr>
            <w:r/>
            <w:r>
              <w:rPr>
                <w:sz w:val="16"/>
              </w:rPr>
              <w:t>Non-compliant (inaccurate)</w:t>
            </w:r>
          </w:p>
        </w:tc>
        <w:tc>
          <w:tcPr>
            <w:tcW w:type="dxa" w:w="1080"/>
          </w:tcPr>
          <w:p>
            <w:pPr>
              <w:spacing w:after="0"/>
            </w:pPr>
            <w:r/>
            <w:r>
              <w:rPr>
                <w:sz w:val="16"/>
              </w:rPr>
              <w:t>M-11</w:t>
            </w:r>
          </w:p>
        </w:tc>
      </w:tr>
      <w:tr>
        <w:tc>
          <w:tcPr>
            <w:tcW w:type="dxa" w:w="1080"/>
          </w:tcPr>
          <w:p>
            <w:pPr>
              <w:spacing w:after="0"/>
            </w:pPr>
            <w:r/>
            <w:r>
              <w:rPr>
                <w:sz w:val="16"/>
              </w:rPr>
              <w:t>50.25(a)(5)</w:t>
            </w:r>
          </w:p>
        </w:tc>
        <w:tc>
          <w:tcPr>
            <w:tcW w:type="dxa" w:w="1800"/>
          </w:tcPr>
          <w:p>
            <w:pPr>
              <w:spacing w:after="0"/>
            </w:pPr>
            <w:r/>
            <w:r>
              <w:rPr>
                <w:sz w:val="16"/>
              </w:rPr>
              <w:t>Confidentiality; possibility of FDA inspection</w:t>
            </w:r>
          </w:p>
        </w:tc>
        <w:tc>
          <w:tcPr>
            <w:tcW w:type="dxa" w:w="2808"/>
          </w:tcPr>
          <w:p>
            <w:pPr>
              <w:spacing w:after="0"/>
            </w:pPr>
            <w:r/>
            <w:r>
              <w:rPr>
                <w:sz w:val="16"/>
              </w:rPr>
              <w:t>Absent.</w:t>
            </w:r>
          </w:p>
        </w:tc>
        <w:tc>
          <w:tcPr>
            <w:tcW w:type="dxa" w:w="1368"/>
          </w:tcPr>
          <w:p>
            <w:pPr>
              <w:spacing w:after="0"/>
            </w:pPr>
            <w:r/>
            <w:r>
              <w:rPr>
                <w:sz w:val="16"/>
              </w:rPr>
              <w:t>Blank (IC-005)</w:t>
            </w:r>
          </w:p>
        </w:tc>
        <w:tc>
          <w:tcPr>
            <w:tcW w:type="dxa" w:w="1224"/>
          </w:tcPr>
          <w:p>
            <w:pPr>
              <w:spacing w:after="0"/>
            </w:pPr>
            <w:r/>
            <w:r>
              <w:rPr>
                <w:sz w:val="16"/>
              </w:rPr>
              <w:t>Not addressed</w:t>
            </w:r>
          </w:p>
        </w:tc>
        <w:tc>
          <w:tcPr>
            <w:tcW w:type="dxa" w:w="1080"/>
          </w:tcPr>
          <w:p>
            <w:pPr>
              <w:spacing w:after="0"/>
            </w:pPr>
            <w:r/>
            <w:r>
              <w:rPr>
                <w:sz w:val="16"/>
              </w:rPr>
              <w:t>C-8</w:t>
            </w:r>
          </w:p>
        </w:tc>
      </w:tr>
      <w:tr>
        <w:tc>
          <w:tcPr>
            <w:tcW w:type="dxa" w:w="1080"/>
          </w:tcPr>
          <w:p>
            <w:pPr>
              <w:spacing w:after="0"/>
            </w:pPr>
            <w:r/>
            <w:r>
              <w:rPr>
                <w:sz w:val="16"/>
              </w:rPr>
              <w:t>50.25(a)(6)</w:t>
            </w:r>
          </w:p>
        </w:tc>
        <w:tc>
          <w:tcPr>
            <w:tcW w:type="dxa" w:w="1800"/>
          </w:tcPr>
          <w:p>
            <w:pPr>
              <w:spacing w:after="0"/>
            </w:pPr>
            <w:r/>
            <w:r>
              <w:rPr>
                <w:sz w:val="16"/>
              </w:rPr>
              <w:t>Compensation and medical treatment for injury (&gt; minimal risk)</w:t>
            </w:r>
          </w:p>
        </w:tc>
        <w:tc>
          <w:tcPr>
            <w:tcW w:type="dxa" w:w="2808"/>
          </w:tcPr>
          <w:p>
            <w:pPr>
              <w:spacing w:after="0"/>
            </w:pPr>
            <w:r/>
            <w:r>
              <w:rPr>
                <w:sz w:val="16"/>
              </w:rPr>
              <w:t>Absent. §A7 covers stipends only.</w:t>
            </w:r>
          </w:p>
        </w:tc>
        <w:tc>
          <w:tcPr>
            <w:tcW w:type="dxa" w:w="1368"/>
          </w:tcPr>
          <w:p>
            <w:pPr>
              <w:spacing w:after="0"/>
            </w:pPr>
            <w:r/>
            <w:r>
              <w:rPr>
                <w:sz w:val="16"/>
              </w:rPr>
              <w:t>Blank (IC-006)</w:t>
            </w:r>
          </w:p>
        </w:tc>
        <w:tc>
          <w:tcPr>
            <w:tcW w:type="dxa" w:w="1224"/>
          </w:tcPr>
          <w:p>
            <w:pPr>
              <w:spacing w:after="0"/>
            </w:pPr>
            <w:r/>
            <w:r>
              <w:rPr>
                <w:sz w:val="16"/>
              </w:rPr>
              <w:t>Not addressed</w:t>
            </w:r>
          </w:p>
        </w:tc>
        <w:tc>
          <w:tcPr>
            <w:tcW w:type="dxa" w:w="1080"/>
          </w:tcPr>
          <w:p>
            <w:pPr>
              <w:spacing w:after="0"/>
            </w:pPr>
            <w:r/>
            <w:r>
              <w:rPr>
                <w:sz w:val="16"/>
              </w:rPr>
              <w:t>C-9</w:t>
            </w:r>
          </w:p>
        </w:tc>
      </w:tr>
      <w:tr>
        <w:tc>
          <w:tcPr>
            <w:tcW w:type="dxa" w:w="1080"/>
          </w:tcPr>
          <w:p>
            <w:pPr>
              <w:spacing w:after="0"/>
            </w:pPr>
            <w:r/>
            <w:r>
              <w:rPr>
                <w:sz w:val="16"/>
              </w:rPr>
              <w:t>50.25(a)(7)</w:t>
            </w:r>
          </w:p>
        </w:tc>
        <w:tc>
          <w:tcPr>
            <w:tcW w:type="dxa" w:w="1800"/>
          </w:tcPr>
          <w:p>
            <w:pPr>
              <w:spacing w:after="0"/>
            </w:pPr>
            <w:r/>
            <w:r>
              <w:rPr>
                <w:sz w:val="16"/>
              </w:rPr>
              <w:t>Contacts: research questions, subject rights, research-related injury</w:t>
            </w:r>
          </w:p>
        </w:tc>
        <w:tc>
          <w:tcPr>
            <w:tcW w:type="dxa" w:w="2808"/>
          </w:tcPr>
          <w:p>
            <w:pPr>
              <w:spacing w:after="0"/>
            </w:pPr>
            <w:r/>
            <w:r>
              <w:rPr>
                <w:sz w:val="16"/>
              </w:rPr>
              <w:t>PI, Ridgeway IRB and 24-hour emergency line present. No designated contact for research-related injury. No Canadian REB contact.</w:t>
            </w:r>
          </w:p>
        </w:tc>
        <w:tc>
          <w:tcPr>
            <w:tcW w:type="dxa" w:w="1368"/>
          </w:tcPr>
          <w:p>
            <w:pPr>
              <w:spacing w:after="0"/>
            </w:pPr>
            <w:r/>
            <w:r>
              <w:rPr>
                <w:sz w:val="16"/>
              </w:rPr>
              <w:t>Y (IC-007)</w:t>
            </w:r>
          </w:p>
        </w:tc>
        <w:tc>
          <w:tcPr>
            <w:tcW w:type="dxa" w:w="1224"/>
          </w:tcPr>
          <w:p>
            <w:pPr>
              <w:spacing w:after="0"/>
            </w:pPr>
            <w:r/>
            <w:r>
              <w:rPr>
                <w:sz w:val="16"/>
              </w:rPr>
              <w:t>Partially compliant</w:t>
            </w:r>
          </w:p>
        </w:tc>
        <w:tc>
          <w:tcPr>
            <w:tcW w:type="dxa" w:w="1080"/>
          </w:tcPr>
          <w:p>
            <w:pPr>
              <w:spacing w:after="0"/>
            </w:pPr>
            <w:r/>
            <w:r>
              <w:rPr>
                <w:sz w:val="16"/>
              </w:rPr>
              <w:t>M-12; M-2</w:t>
            </w:r>
          </w:p>
        </w:tc>
      </w:tr>
      <w:tr>
        <w:tc>
          <w:tcPr>
            <w:tcW w:type="dxa" w:w="1080"/>
          </w:tcPr>
          <w:p>
            <w:pPr>
              <w:spacing w:after="0"/>
            </w:pPr>
            <w:r/>
            <w:r>
              <w:rPr>
                <w:sz w:val="16"/>
              </w:rPr>
              <w:t>50.25(a)(8)</w:t>
            </w:r>
          </w:p>
        </w:tc>
        <w:tc>
          <w:tcPr>
            <w:tcW w:type="dxa" w:w="1800"/>
          </w:tcPr>
          <w:p>
            <w:pPr>
              <w:spacing w:after="0"/>
            </w:pPr>
            <w:r/>
            <w:r>
              <w:rPr>
                <w:sz w:val="16"/>
              </w:rPr>
              <w:t>Voluntary participation; no penalty; may withdraw</w:t>
            </w:r>
          </w:p>
        </w:tc>
        <w:tc>
          <w:tcPr>
            <w:tcW w:type="dxa" w:w="2808"/>
          </w:tcPr>
          <w:p>
            <w:pPr>
              <w:spacing w:after="0"/>
            </w:pPr>
            <w:r/>
            <w:r>
              <w:rPr>
                <w:sz w:val="16"/>
              </w:rPr>
              <w:t>§A6 present.</w:t>
            </w:r>
          </w:p>
        </w:tc>
        <w:tc>
          <w:tcPr>
            <w:tcW w:type="dxa" w:w="1368"/>
          </w:tcPr>
          <w:p>
            <w:pPr>
              <w:spacing w:after="0"/>
            </w:pPr>
            <w:r/>
            <w:r>
              <w:rPr>
                <w:sz w:val="16"/>
              </w:rPr>
              <w:t>Y (IC-008)</w:t>
            </w:r>
          </w:p>
        </w:tc>
        <w:tc>
          <w:tcPr>
            <w:tcW w:type="dxa" w:w="1224"/>
          </w:tcPr>
          <w:p>
            <w:pPr>
              <w:spacing w:after="0"/>
            </w:pPr>
            <w:r/>
            <w:r>
              <w:rPr>
                <w:sz w:val="16"/>
              </w:rPr>
              <w:t>Compliant</w:t>
            </w:r>
          </w:p>
        </w:tc>
        <w:tc>
          <w:tcPr>
            <w:tcW w:type="dxa" w:w="1080"/>
          </w:tcPr>
          <w:p>
            <w:pPr>
              <w:spacing w:after="0"/>
            </w:pPr>
            <w:r/>
            <w:r>
              <w:rPr>
                <w:sz w:val="16"/>
              </w:rPr>
              <w:t>—</w:t>
            </w:r>
          </w:p>
        </w:tc>
      </w:tr>
      <w:tr>
        <w:tc>
          <w:tcPr>
            <w:tcW w:type="dxa" w:w="1080"/>
          </w:tcPr>
          <w:p>
            <w:pPr>
              <w:spacing w:after="0"/>
            </w:pPr>
            <w:r/>
            <w:r>
              <w:rPr>
                <w:sz w:val="16"/>
              </w:rPr>
              <w:t>50.25(b)(1)</w:t>
            </w:r>
          </w:p>
        </w:tc>
        <w:tc>
          <w:tcPr>
            <w:tcW w:type="dxa" w:w="1800"/>
          </w:tcPr>
          <w:p>
            <w:pPr>
              <w:spacing w:after="0"/>
            </w:pPr>
            <w:r/>
            <w:r>
              <w:rPr>
                <w:sz w:val="16"/>
              </w:rPr>
              <w:t>Unforeseeable risks, including to embryo/fetus</w:t>
            </w:r>
          </w:p>
        </w:tc>
        <w:tc>
          <w:tcPr>
            <w:tcW w:type="dxa" w:w="2808"/>
          </w:tcPr>
          <w:p>
            <w:pPr>
              <w:spacing w:after="0"/>
            </w:pPr>
            <w:r/>
            <w:r>
              <w:rPr>
                <w:sz w:val="16"/>
              </w:rPr>
              <w:t>General “other unknown risks” only; nothing on embryo or fetus.</w:t>
            </w:r>
          </w:p>
        </w:tc>
        <w:tc>
          <w:tcPr>
            <w:tcW w:type="dxa" w:w="1368"/>
          </w:tcPr>
          <w:p>
            <w:pPr>
              <w:spacing w:after="0"/>
            </w:pPr>
            <w:r/>
            <w:r>
              <w:rPr>
                <w:sz w:val="16"/>
              </w:rPr>
              <w:t>Partial (IC-009, IC-026)</w:t>
            </w:r>
          </w:p>
        </w:tc>
        <w:tc>
          <w:tcPr>
            <w:tcW w:type="dxa" w:w="1224"/>
          </w:tcPr>
          <w:p>
            <w:pPr>
              <w:spacing w:after="0"/>
            </w:pPr>
            <w:r/>
            <w:r>
              <w:rPr>
                <w:sz w:val="16"/>
              </w:rPr>
              <w:t>Partially compliant</w:t>
            </w:r>
          </w:p>
        </w:tc>
        <w:tc>
          <w:tcPr>
            <w:tcW w:type="dxa" w:w="1080"/>
          </w:tcPr>
          <w:p>
            <w:pPr>
              <w:spacing w:after="0"/>
            </w:pPr>
            <w:r/>
            <w:r>
              <w:rPr>
                <w:sz w:val="16"/>
              </w:rPr>
              <w:t>C-7</w:t>
            </w:r>
          </w:p>
        </w:tc>
      </w:tr>
      <w:tr>
        <w:tc>
          <w:tcPr>
            <w:tcW w:type="dxa" w:w="1080"/>
          </w:tcPr>
          <w:p>
            <w:pPr>
              <w:spacing w:after="0"/>
            </w:pPr>
            <w:r/>
            <w:r>
              <w:rPr>
                <w:sz w:val="16"/>
              </w:rPr>
              <w:t>50.25(b)(2)</w:t>
            </w:r>
          </w:p>
        </w:tc>
        <w:tc>
          <w:tcPr>
            <w:tcW w:type="dxa" w:w="1800"/>
          </w:tcPr>
          <w:p>
            <w:pPr>
              <w:spacing w:after="0"/>
            </w:pPr>
            <w:r/>
            <w:r>
              <w:rPr>
                <w:sz w:val="16"/>
              </w:rPr>
              <w:t>Termination by investigator without consent</w:t>
            </w:r>
          </w:p>
        </w:tc>
        <w:tc>
          <w:tcPr>
            <w:tcW w:type="dxa" w:w="2808"/>
          </w:tcPr>
          <w:p>
            <w:pPr>
              <w:spacing w:after="0"/>
            </w:pPr>
            <w:r/>
            <w:r>
              <w:rPr>
                <w:sz w:val="16"/>
              </w:rPr>
              <w:t>§A6 present.</w:t>
            </w:r>
          </w:p>
        </w:tc>
        <w:tc>
          <w:tcPr>
            <w:tcW w:type="dxa" w:w="1368"/>
          </w:tcPr>
          <w:p>
            <w:pPr>
              <w:spacing w:after="0"/>
            </w:pPr>
            <w:r/>
            <w:r>
              <w:rPr>
                <w:sz w:val="16"/>
              </w:rPr>
              <w:t>Y (IC-010)</w:t>
            </w:r>
          </w:p>
        </w:tc>
        <w:tc>
          <w:tcPr>
            <w:tcW w:type="dxa" w:w="1224"/>
          </w:tcPr>
          <w:p>
            <w:pPr>
              <w:spacing w:after="0"/>
            </w:pPr>
            <w:r/>
            <w:r>
              <w:rPr>
                <w:sz w:val="16"/>
              </w:rPr>
              <w:t>Compliant</w:t>
            </w:r>
          </w:p>
        </w:tc>
        <w:tc>
          <w:tcPr>
            <w:tcW w:type="dxa" w:w="1080"/>
          </w:tcPr>
          <w:p>
            <w:pPr>
              <w:spacing w:after="0"/>
            </w:pPr>
            <w:r/>
            <w:r>
              <w:rPr>
                <w:sz w:val="16"/>
              </w:rPr>
              <w:t>—</w:t>
            </w:r>
          </w:p>
        </w:tc>
      </w:tr>
      <w:tr>
        <w:tc>
          <w:tcPr>
            <w:tcW w:type="dxa" w:w="1080"/>
          </w:tcPr>
          <w:p>
            <w:pPr>
              <w:spacing w:after="0"/>
            </w:pPr>
            <w:r/>
            <w:r>
              <w:rPr>
                <w:sz w:val="16"/>
              </w:rPr>
              <w:t>50.25(b)(3)</w:t>
            </w:r>
          </w:p>
        </w:tc>
        <w:tc>
          <w:tcPr>
            <w:tcW w:type="dxa" w:w="1800"/>
          </w:tcPr>
          <w:p>
            <w:pPr>
              <w:spacing w:after="0"/>
            </w:pPr>
            <w:r/>
            <w:r>
              <w:rPr>
                <w:sz w:val="16"/>
              </w:rPr>
              <w:t>Additional costs</w:t>
            </w:r>
          </w:p>
        </w:tc>
        <w:tc>
          <w:tcPr>
            <w:tcW w:type="dxa" w:w="2808"/>
          </w:tcPr>
          <w:p>
            <w:pPr>
              <w:spacing w:after="0"/>
            </w:pPr>
            <w:r/>
            <w:r>
              <w:rPr>
                <w:sz w:val="16"/>
              </w:rPr>
              <w:t>§A7: study items at no cost. Silent on insurance billing and non-study care.</w:t>
            </w:r>
          </w:p>
        </w:tc>
        <w:tc>
          <w:tcPr>
            <w:tcW w:type="dxa" w:w="1368"/>
          </w:tcPr>
          <w:p>
            <w:pPr>
              <w:spacing w:after="0"/>
            </w:pPr>
            <w:r/>
            <w:r>
              <w:rPr>
                <w:sz w:val="16"/>
              </w:rPr>
              <w:t>Y (IC-011)</w:t>
            </w:r>
          </w:p>
        </w:tc>
        <w:tc>
          <w:tcPr>
            <w:tcW w:type="dxa" w:w="1224"/>
          </w:tcPr>
          <w:p>
            <w:pPr>
              <w:spacing w:after="0"/>
            </w:pPr>
            <w:r/>
            <w:r>
              <w:rPr>
                <w:sz w:val="16"/>
              </w:rPr>
              <w:t>Partially compliant</w:t>
            </w:r>
          </w:p>
        </w:tc>
        <w:tc>
          <w:tcPr>
            <w:tcW w:type="dxa" w:w="1080"/>
          </w:tcPr>
          <w:p>
            <w:pPr>
              <w:spacing w:after="0"/>
            </w:pPr>
            <w:r/>
            <w:r>
              <w:rPr>
                <w:sz w:val="16"/>
              </w:rPr>
              <w:t>M-12</w:t>
            </w:r>
          </w:p>
        </w:tc>
      </w:tr>
      <w:tr>
        <w:tc>
          <w:tcPr>
            <w:tcW w:type="dxa" w:w="1080"/>
          </w:tcPr>
          <w:p>
            <w:pPr>
              <w:spacing w:after="0"/>
            </w:pPr>
            <w:r/>
            <w:r>
              <w:rPr>
                <w:sz w:val="16"/>
              </w:rPr>
              <w:t>50.25(b)(4)</w:t>
            </w:r>
          </w:p>
        </w:tc>
        <w:tc>
          <w:tcPr>
            <w:tcW w:type="dxa" w:w="1800"/>
          </w:tcPr>
          <w:p>
            <w:pPr>
              <w:spacing w:after="0"/>
            </w:pPr>
            <w:r/>
            <w:r>
              <w:rPr>
                <w:sz w:val="16"/>
              </w:rPr>
              <w:t>Consequences of withdrawal; orderly termination</w:t>
            </w:r>
          </w:p>
        </w:tc>
        <w:tc>
          <w:tcPr>
            <w:tcW w:type="dxa" w:w="2808"/>
          </w:tcPr>
          <w:p>
            <w:pPr>
              <w:spacing w:after="0"/>
            </w:pPr>
            <w:r/>
            <w:r>
              <w:rPr>
                <w:sz w:val="16"/>
              </w:rPr>
              <w:t>§A6 mentions follow-up care only. No early-termination procedures, request for Week 52 biopsy, or data retention.</w:t>
            </w:r>
          </w:p>
        </w:tc>
        <w:tc>
          <w:tcPr>
            <w:tcW w:type="dxa" w:w="1368"/>
          </w:tcPr>
          <w:p>
            <w:pPr>
              <w:spacing w:after="0"/>
            </w:pPr>
            <w:r/>
            <w:r>
              <w:rPr>
                <w:sz w:val="16"/>
              </w:rPr>
              <w:t>Y (IC-012)</w:t>
            </w:r>
          </w:p>
        </w:tc>
        <w:tc>
          <w:tcPr>
            <w:tcW w:type="dxa" w:w="1224"/>
          </w:tcPr>
          <w:p>
            <w:pPr>
              <w:spacing w:after="0"/>
            </w:pPr>
            <w:r/>
            <w:r>
              <w:rPr>
                <w:sz w:val="16"/>
              </w:rPr>
              <w:t>Partially compliant</w:t>
            </w:r>
          </w:p>
        </w:tc>
        <w:tc>
          <w:tcPr>
            <w:tcW w:type="dxa" w:w="1080"/>
          </w:tcPr>
          <w:p>
            <w:pPr>
              <w:spacing w:after="0"/>
            </w:pPr>
            <w:r/>
            <w:r>
              <w:rPr>
                <w:sz w:val="16"/>
              </w:rPr>
              <w:t>M-12</w:t>
            </w:r>
          </w:p>
        </w:tc>
      </w:tr>
      <w:tr>
        <w:tc>
          <w:tcPr>
            <w:tcW w:type="dxa" w:w="1080"/>
          </w:tcPr>
          <w:p>
            <w:pPr>
              <w:spacing w:after="0"/>
            </w:pPr>
            <w:r/>
            <w:r>
              <w:rPr>
                <w:sz w:val="16"/>
              </w:rPr>
              <w:t>50.25(b)(5)</w:t>
            </w:r>
          </w:p>
        </w:tc>
        <w:tc>
          <w:tcPr>
            <w:tcW w:type="dxa" w:w="1800"/>
          </w:tcPr>
          <w:p>
            <w:pPr>
              <w:spacing w:after="0"/>
            </w:pPr>
            <w:r/>
            <w:r>
              <w:rPr>
                <w:sz w:val="16"/>
              </w:rPr>
              <w:t>Significant new findings will be provided</w:t>
            </w:r>
          </w:p>
        </w:tc>
        <w:tc>
          <w:tcPr>
            <w:tcW w:type="dxa" w:w="2808"/>
          </w:tcPr>
          <w:p>
            <w:pPr>
              <w:spacing w:after="0"/>
            </w:pPr>
            <w:r/>
            <w:r>
              <w:rPr>
                <w:sz w:val="16"/>
              </w:rPr>
              <w:t>Absent.</w:t>
            </w:r>
          </w:p>
        </w:tc>
        <w:tc>
          <w:tcPr>
            <w:tcW w:type="dxa" w:w="1368"/>
          </w:tcPr>
          <w:p>
            <w:pPr>
              <w:spacing w:after="0"/>
            </w:pPr>
            <w:r/>
            <w:r>
              <w:rPr>
                <w:sz w:val="16"/>
              </w:rPr>
              <w:t>Y (IC-013)</w:t>
            </w:r>
          </w:p>
        </w:tc>
        <w:tc>
          <w:tcPr>
            <w:tcW w:type="dxa" w:w="1224"/>
          </w:tcPr>
          <w:p>
            <w:pPr>
              <w:spacing w:after="0"/>
            </w:pPr>
            <w:r/>
            <w:r>
              <w:rPr>
                <w:sz w:val="16"/>
              </w:rPr>
              <w:t>Not addressed</w:t>
            </w:r>
          </w:p>
        </w:tc>
        <w:tc>
          <w:tcPr>
            <w:tcW w:type="dxa" w:w="1080"/>
          </w:tcPr>
          <w:p>
            <w:pPr>
              <w:spacing w:after="0"/>
            </w:pPr>
            <w:r/>
            <w:r>
              <w:rPr>
                <w:sz w:val="16"/>
              </w:rPr>
              <w:t>M-12</w:t>
            </w:r>
          </w:p>
        </w:tc>
      </w:tr>
      <w:tr>
        <w:tc>
          <w:tcPr>
            <w:tcW w:type="dxa" w:w="1080"/>
          </w:tcPr>
          <w:p>
            <w:pPr>
              <w:spacing w:after="0"/>
            </w:pPr>
            <w:r/>
            <w:r>
              <w:rPr>
                <w:sz w:val="16"/>
              </w:rPr>
              <w:t>50.25(b)(6)</w:t>
            </w:r>
          </w:p>
        </w:tc>
        <w:tc>
          <w:tcPr>
            <w:tcW w:type="dxa" w:w="1800"/>
          </w:tcPr>
          <w:p>
            <w:pPr>
              <w:spacing w:after="0"/>
            </w:pPr>
            <w:r/>
            <w:r>
              <w:rPr>
                <w:sz w:val="16"/>
              </w:rPr>
              <w:t>Approximate number of subjects</w:t>
            </w:r>
          </w:p>
        </w:tc>
        <w:tc>
          <w:tcPr>
            <w:tcW w:type="dxa" w:w="2808"/>
          </w:tcPr>
          <w:p>
            <w:pPr>
              <w:spacing w:after="0"/>
            </w:pPr>
            <w:r/>
            <w:r>
              <w:rPr>
                <w:sz w:val="16"/>
              </w:rPr>
              <w:t>§A1: approximately 360 subjects at about 28 centers.</w:t>
            </w:r>
          </w:p>
        </w:tc>
        <w:tc>
          <w:tcPr>
            <w:tcW w:type="dxa" w:w="1368"/>
          </w:tcPr>
          <w:p>
            <w:pPr>
              <w:spacing w:after="0"/>
            </w:pPr>
            <w:r/>
            <w:r>
              <w:rPr>
                <w:sz w:val="16"/>
              </w:rPr>
              <w:t>Y (IC-014 says ~40 sites)</w:t>
            </w:r>
          </w:p>
        </w:tc>
        <w:tc>
          <w:tcPr>
            <w:tcW w:type="dxa" w:w="1224"/>
          </w:tcPr>
          <w:p>
            <w:pPr>
              <w:spacing w:after="0"/>
            </w:pPr>
            <w:r/>
            <w:r>
              <w:rPr>
                <w:sz w:val="16"/>
              </w:rPr>
              <w:t>Compliant</w:t>
            </w:r>
          </w:p>
        </w:tc>
        <w:tc>
          <w:tcPr>
            <w:tcW w:type="dxa" w:w="1080"/>
          </w:tcPr>
          <w:p>
            <w:pPr>
              <w:spacing w:after="0"/>
            </w:pPr>
            <w:r/>
            <w:r>
              <w:rPr>
                <w:sz w:val="16"/>
              </w:rPr>
              <w:t>—</w:t>
            </w:r>
          </w:p>
        </w:tc>
      </w:tr>
      <w:tr>
        <w:tc>
          <w:tcPr>
            <w:tcW w:type="dxa" w:w="1080"/>
          </w:tcPr>
          <w:p>
            <w:pPr>
              <w:spacing w:after="0"/>
            </w:pPr>
            <w:r/>
            <w:r>
              <w:rPr>
                <w:sz w:val="16"/>
              </w:rPr>
              <w:t>50.25(c)</w:t>
            </w:r>
          </w:p>
        </w:tc>
        <w:tc>
          <w:tcPr>
            <w:tcW w:type="dxa" w:w="1800"/>
          </w:tcPr>
          <w:p>
            <w:pPr>
              <w:spacing w:after="0"/>
            </w:pPr>
            <w:r/>
            <w:r>
              <w:rPr>
                <w:sz w:val="16"/>
              </w:rPr>
              <w:t>ClinicalTrials.gov statement (verbatim)</w:t>
            </w:r>
          </w:p>
        </w:tc>
        <w:tc>
          <w:tcPr>
            <w:tcW w:type="dxa" w:w="2808"/>
          </w:tcPr>
          <w:p>
            <w:pPr>
              <w:spacing w:after="0"/>
            </w:pPr>
            <w:r/>
            <w:r>
              <w:rPr>
                <w:sz w:val="16"/>
              </w:rPr>
              <w:t>Absent.</w:t>
            </w:r>
          </w:p>
        </w:tc>
        <w:tc>
          <w:tcPr>
            <w:tcW w:type="dxa" w:w="1368"/>
          </w:tcPr>
          <w:p>
            <w:pPr>
              <w:spacing w:after="0"/>
            </w:pPr>
            <w:r/>
            <w:r>
              <w:rPr>
                <w:sz w:val="16"/>
              </w:rPr>
              <w:t>Not on checklist</w:t>
            </w:r>
          </w:p>
        </w:tc>
        <w:tc>
          <w:tcPr>
            <w:tcW w:type="dxa" w:w="1224"/>
          </w:tcPr>
          <w:p>
            <w:pPr>
              <w:spacing w:after="0"/>
            </w:pPr>
            <w:r/>
            <w:r>
              <w:rPr>
                <w:sz w:val="16"/>
              </w:rPr>
              <w:t>Not addressed</w:t>
            </w:r>
          </w:p>
        </w:tc>
        <w:tc>
          <w:tcPr>
            <w:tcW w:type="dxa" w:w="1080"/>
          </w:tcPr>
          <w:p>
            <w:pPr>
              <w:spacing w:after="0"/>
            </w:pPr>
            <w:r/>
            <w:r>
              <w:rPr>
                <w:sz w:val="16"/>
              </w:rPr>
              <w:t>C-10</w:t>
            </w:r>
          </w:p>
        </w:tc>
      </w:tr>
      <w:tr>
        <w:tc>
          <w:tcPr>
            <w:tcW w:type="dxa" w:w="1080"/>
          </w:tcPr>
          <w:p>
            <w:pPr>
              <w:spacing w:after="0"/>
            </w:pPr>
            <w:r/>
            <w:r>
              <w:rPr>
                <w:sz w:val="16"/>
              </w:rPr>
              <w:t>50.20 / 50.27(a)</w:t>
            </w:r>
          </w:p>
        </w:tc>
        <w:tc>
          <w:tcPr>
            <w:tcW w:type="dxa" w:w="1800"/>
          </w:tcPr>
          <w:p>
            <w:pPr>
              <w:spacing w:after="0"/>
            </w:pPr>
            <w:r/>
            <w:r>
              <w:rPr>
                <w:sz w:val="16"/>
              </w:rPr>
              <w:t>No exculpatory language; signature, date, copy</w:t>
            </w:r>
          </w:p>
        </w:tc>
        <w:tc>
          <w:tcPr>
            <w:tcW w:type="dxa" w:w="2808"/>
          </w:tcPr>
          <w:p>
            <w:pPr>
              <w:spacing w:after="0"/>
            </w:pPr>
            <w:r/>
            <w:r>
              <w:rPr>
                <w:sz w:val="16"/>
              </w:rPr>
              <w:t>No exculpatory language found. Signature, date, witness and copy provisions present.</w:t>
            </w:r>
          </w:p>
        </w:tc>
        <w:tc>
          <w:tcPr>
            <w:tcW w:type="dxa" w:w="1368"/>
          </w:tcPr>
          <w:p>
            <w:pPr>
              <w:spacing w:after="0"/>
            </w:pPr>
            <w:r/>
            <w:r>
              <w:rPr>
                <w:sz w:val="16"/>
              </w:rPr>
              <w:t>Y</w:t>
            </w:r>
          </w:p>
        </w:tc>
        <w:tc>
          <w:tcPr>
            <w:tcW w:type="dxa" w:w="1224"/>
          </w:tcPr>
          <w:p>
            <w:pPr>
              <w:spacing w:after="0"/>
            </w:pPr>
            <w:r/>
            <w:r>
              <w:rPr>
                <w:sz w:val="16"/>
              </w:rPr>
              <w:t>Compliant</w:t>
            </w:r>
          </w:p>
        </w:tc>
        <w:tc>
          <w:tcPr>
            <w:tcW w:type="dxa" w:w="1080"/>
          </w:tcPr>
          <w:p>
            <w:pPr>
              <w:spacing w:after="0"/>
            </w:pPr>
            <w:r/>
            <w:r>
              <w:rPr>
                <w:sz w:val="16"/>
              </w:rPr>
              <w:t>— (keep in C-9 drafting)</w:t>
            </w:r>
          </w:p>
        </w:tc>
      </w:tr>
      <w:tr>
        <w:tc>
          <w:tcPr>
            <w:tcW w:type="dxa" w:w="1080"/>
          </w:tcPr>
          <w:p>
            <w:pPr>
              <w:spacing w:after="0"/>
            </w:pPr>
            <w:r/>
            <w:r>
              <w:rPr>
                <w:sz w:val="16"/>
              </w:rPr>
              <w:t>Ancillary</w:t>
            </w:r>
          </w:p>
        </w:tc>
        <w:tc>
          <w:tcPr>
            <w:tcW w:type="dxa" w:w="1800"/>
          </w:tcPr>
          <w:p>
            <w:pPr>
              <w:spacing w:after="0"/>
            </w:pPr>
            <w:r/>
            <w:r>
              <w:rPr>
                <w:sz w:val="16"/>
              </w:rPr>
              <w:t>Genetic testing (PNPLA3), sample storage and future use; HIPAA authorization; Canadian version and French</w:t>
            </w:r>
          </w:p>
        </w:tc>
        <w:tc>
          <w:tcPr>
            <w:tcW w:type="dxa" w:w="2808"/>
          </w:tcPr>
          <w:p>
            <w:pPr>
              <w:spacing w:after="0"/>
            </w:pPr>
            <w:r/>
            <w:r>
              <w:rPr>
                <w:sz w:val="16"/>
              </w:rPr>
              <w:t>Absent.</w:t>
            </w:r>
          </w:p>
        </w:tc>
        <w:tc>
          <w:tcPr>
            <w:tcW w:type="dxa" w:w="1368"/>
          </w:tcPr>
          <w:p>
            <w:pPr>
              <w:spacing w:after="0"/>
            </w:pPr>
            <w:r/>
            <w:r>
              <w:rPr>
                <w:sz w:val="16"/>
              </w:rPr>
              <w:t>IC-027/IC-028 “Y”/“Partial” citing non-existent sections</w:t>
            </w:r>
          </w:p>
        </w:tc>
        <w:tc>
          <w:tcPr>
            <w:tcW w:type="dxa" w:w="1224"/>
          </w:tcPr>
          <w:p>
            <w:pPr>
              <w:spacing w:after="0"/>
            </w:pPr>
            <w:r/>
            <w:r>
              <w:rPr>
                <w:sz w:val="16"/>
              </w:rPr>
              <w:t>Not addressed</w:t>
            </w:r>
          </w:p>
        </w:tc>
        <w:tc>
          <w:tcPr>
            <w:tcW w:type="dxa" w:w="1080"/>
          </w:tcPr>
          <w:p>
            <w:pPr>
              <w:spacing w:after="0"/>
            </w:pPr>
            <w:r/>
            <w:r>
              <w:rPr>
                <w:sz w:val="16"/>
              </w:rPr>
              <w:t>M-12; M-2</w:t>
            </w:r>
          </w:p>
        </w:tc>
      </w:tr>
    </w:tbl>
    <w:p>
      <w:pPr>
        <w:spacing w:after="40"/>
      </w:pPr>
    </w:p>
    <w:p>
      <w:pPr>
        <w:pStyle w:val="Heading1"/>
      </w:pPr>
      <w:r>
        <w:t>VII. Pre-IND Minutes Crosswalk (Recommendation by Recommendation)</w:t>
      </w:r>
    </w:p>
    <w:tbl>
      <w:tblPr>
        <w:tblStyle w:val="TableGrid"/>
        <w:tblW w:type="auto" w:w="0"/>
        <w:jc w:val="center"/>
        <w:tblLayout w:type="fixed"/>
        <w:tblLook w:firstColumn="1" w:firstRow="1" w:lastColumn="0" w:lastRow="0" w:noHBand="0" w:noVBand="1" w:val="04A0"/>
      </w:tblPr>
      <w:tblGrid>
        <w:gridCol w:w="432"/>
        <w:gridCol w:w="3168"/>
        <w:gridCol w:w="2520"/>
        <w:gridCol w:w="1440"/>
        <w:gridCol w:w="1080"/>
      </w:tblGrid>
      <w:tr>
        <w:tc>
          <w:tcPr>
            <w:tcW w:type="dxa" w:w="432"/>
            <w:shd w:val="clear" w:color="auto" w:fill="1F3A5F"/>
          </w:tcPr>
          <w:p>
            <w:pPr>
              <w:spacing w:after="0"/>
            </w:pPr>
            <w:r>
              <w:rPr>
                <w:b/>
                <w:color w:val="FFFFFF"/>
              </w:rPr>
            </w:r>
            <w:r>
              <w:rPr>
                <w:b/>
                <w:color w:val="FFFFFF"/>
                <w:sz w:val="16"/>
              </w:rPr>
              <w:t>#</w:t>
            </w:r>
          </w:p>
        </w:tc>
        <w:tc>
          <w:tcPr>
            <w:tcW w:type="dxa" w:w="3168"/>
            <w:shd w:val="clear" w:color="auto" w:fill="1F3A5F"/>
          </w:tcPr>
          <w:p>
            <w:pPr>
              <w:spacing w:after="0"/>
            </w:pPr>
            <w:r>
              <w:rPr>
                <w:b/>
                <w:color w:val="FFFFFF"/>
              </w:rPr>
            </w:r>
            <w:r>
              <w:rPr>
                <w:b/>
                <w:color w:val="FFFFFF"/>
                <w:sz w:val="16"/>
              </w:rPr>
              <w:t>FDA recommendation (Minutes §)</w:t>
            </w:r>
          </w:p>
        </w:tc>
        <w:tc>
          <w:tcPr>
            <w:tcW w:type="dxa" w:w="2520"/>
            <w:shd w:val="clear" w:color="auto" w:fill="1F3A5F"/>
          </w:tcPr>
          <w:p>
            <w:pPr>
              <w:spacing w:after="0"/>
            </w:pPr>
            <w:r>
              <w:rPr>
                <w:b/>
                <w:color w:val="FFFFFF"/>
              </w:rPr>
            </w:r>
            <w:r>
              <w:rPr>
                <w:b/>
                <w:color w:val="FFFFFF"/>
                <w:sz w:val="16"/>
              </w:rPr>
              <w:t>Protocol v3.0</w:t>
            </w:r>
          </w:p>
        </w:tc>
        <w:tc>
          <w:tcPr>
            <w:tcW w:type="dxa" w:w="1440"/>
            <w:shd w:val="clear" w:color="auto" w:fill="1F3A5F"/>
          </w:tcPr>
          <w:p>
            <w:pPr>
              <w:spacing w:after="0"/>
            </w:pPr>
            <w:r>
              <w:rPr>
                <w:b/>
                <w:color w:val="FFFFFF"/>
              </w:rPr>
            </w:r>
            <w:r>
              <w:rPr>
                <w:b/>
                <w:color w:val="FFFFFF"/>
                <w:sz w:val="16"/>
              </w:rPr>
              <w:t>Status</w:t>
            </w:r>
          </w:p>
        </w:tc>
        <w:tc>
          <w:tcPr>
            <w:tcW w:type="dxa" w:w="1080"/>
            <w:shd w:val="clear" w:color="auto" w:fill="1F3A5F"/>
          </w:tcPr>
          <w:p>
            <w:pPr>
              <w:spacing w:after="0"/>
            </w:pPr>
            <w:r>
              <w:rPr>
                <w:b/>
                <w:color w:val="FFFFFF"/>
              </w:rPr>
            </w:r>
            <w:r>
              <w:rPr>
                <w:b/>
                <w:color w:val="FFFFFF"/>
                <w:sz w:val="16"/>
              </w:rPr>
              <w:t>Finding</w:t>
            </w:r>
          </w:p>
        </w:tc>
      </w:tr>
      <w:tr>
        <w:tc>
          <w:tcPr>
            <w:tcW w:type="dxa" w:w="432"/>
          </w:tcPr>
          <w:p>
            <w:pPr>
              <w:spacing w:after="0"/>
            </w:pPr>
            <w:r/>
            <w:r>
              <w:rPr>
                <w:sz w:val="16"/>
              </w:rPr>
              <w:t>1</w:t>
            </w:r>
          </w:p>
        </w:tc>
        <w:tc>
          <w:tcPr>
            <w:tcW w:type="dxa" w:w="3168"/>
          </w:tcPr>
          <w:p>
            <w:pPr>
              <w:spacing w:after="0"/>
            </w:pPr>
            <w:r/>
            <w:r>
              <w:rPr>
                <w:sz w:val="16"/>
              </w:rPr>
              <w:t>Primary endpoint: ≥1-stage fibrosis improvement, no worsening of NASH, paired biopsy Wk 52 (4.1)</w:t>
            </w:r>
          </w:p>
        </w:tc>
        <w:tc>
          <w:tcPr>
            <w:tcW w:type="dxa" w:w="2520"/>
          </w:tcPr>
          <w:p>
            <w:pPr>
              <w:spacing w:after="0"/>
            </w:pPr>
            <w:r/>
            <w:r>
              <w:rPr>
                <w:sz w:val="16"/>
              </w:rPr>
              <w:t>§3.4.1 matches; “no worsening” defined as no increase in NAS components</w:t>
            </w:r>
          </w:p>
        </w:tc>
        <w:tc>
          <w:tcPr>
            <w:tcW w:type="dxa" w:w="1440"/>
          </w:tcPr>
          <w:p>
            <w:pPr>
              <w:spacing w:after="0"/>
            </w:pPr>
            <w:r/>
            <w:r>
              <w:rPr>
                <w:sz w:val="16"/>
              </w:rPr>
              <w:t>Compliant</w:t>
            </w:r>
          </w:p>
        </w:tc>
        <w:tc>
          <w:tcPr>
            <w:tcW w:type="dxa" w:w="1080"/>
          </w:tcPr>
          <w:p>
            <w:pPr>
              <w:spacing w:after="0"/>
            </w:pPr>
            <w:r/>
            <w:r>
              <w:rPr>
                <w:sz w:val="16"/>
              </w:rPr>
              <w:t>—</w:t>
            </w:r>
          </w:p>
        </w:tc>
      </w:tr>
      <w:tr>
        <w:tc>
          <w:tcPr>
            <w:tcW w:type="dxa" w:w="432"/>
          </w:tcPr>
          <w:p>
            <w:pPr>
              <w:spacing w:after="0"/>
            </w:pPr>
            <w:r/>
            <w:r>
              <w:rPr>
                <w:sz w:val="16"/>
              </w:rPr>
              <w:t>2</w:t>
            </w:r>
          </w:p>
        </w:tc>
        <w:tc>
          <w:tcPr>
            <w:tcW w:type="dxa" w:w="3168"/>
          </w:tcPr>
          <w:p>
            <w:pPr>
              <w:spacing w:after="0"/>
            </w:pPr>
            <w:r/>
            <w:r>
              <w:rPr>
                <w:sz w:val="16"/>
              </w:rPr>
              <w:t>Biopsy adequacy ≥1.5 cm and ≥6 portal tracts; inadequate-specimen and repeat-biopsy procedure with timeframe (4.1; AI 4)</w:t>
            </w:r>
          </w:p>
        </w:tc>
        <w:tc>
          <w:tcPr>
            <w:tcW w:type="dxa" w:w="2520"/>
          </w:tcPr>
          <w:p>
            <w:pPr>
              <w:spacing w:after="0"/>
            </w:pPr>
            <w:r/>
            <w:r>
              <w:rPr>
                <w:sz w:val="16"/>
              </w:rPr>
              <w:t>20 mm / 11 portal tracts; “consider” additional specimen; no window</w:t>
            </w:r>
          </w:p>
        </w:tc>
        <w:tc>
          <w:tcPr>
            <w:tcW w:type="dxa" w:w="1440"/>
          </w:tcPr>
          <w:p>
            <w:pPr>
              <w:spacing w:after="0"/>
            </w:pPr>
            <w:r/>
            <w:r>
              <w:rPr>
                <w:sz w:val="16"/>
              </w:rPr>
              <w:t>Partially compliant</w:t>
            </w:r>
          </w:p>
        </w:tc>
        <w:tc>
          <w:tcPr>
            <w:tcW w:type="dxa" w:w="1080"/>
          </w:tcPr>
          <w:p>
            <w:pPr>
              <w:spacing w:after="0"/>
            </w:pPr>
            <w:r/>
            <w:r>
              <w:rPr>
                <w:sz w:val="16"/>
              </w:rPr>
              <w:t>M-6</w:t>
            </w:r>
          </w:p>
        </w:tc>
      </w:tr>
      <w:tr>
        <w:tc>
          <w:tcPr>
            <w:tcW w:type="dxa" w:w="432"/>
          </w:tcPr>
          <w:p>
            <w:pPr>
              <w:spacing w:after="0"/>
            </w:pPr>
            <w:r/>
            <w:r>
              <w:rPr>
                <w:sz w:val="16"/>
              </w:rPr>
              <w:t>3</w:t>
            </w:r>
          </w:p>
        </w:tc>
        <w:tc>
          <w:tcPr>
            <w:tcW w:type="dxa" w:w="3168"/>
          </w:tcPr>
          <w:p>
            <w:pPr>
              <w:spacing w:after="0"/>
            </w:pPr>
            <w:r/>
            <w:r>
              <w:rPr>
                <w:sz w:val="16"/>
              </w:rPr>
              <w:t>Two independent hepatopathologists plus third-reader adjudication; prespecify qualifications, blinding, disagreement, adjudication, calibration (4.1; AI 1(a))</w:t>
            </w:r>
          </w:p>
        </w:tc>
        <w:tc>
          <w:tcPr>
            <w:tcW w:type="dxa" w:w="2520"/>
          </w:tcPr>
          <w:p>
            <w:pPr>
              <w:spacing w:after="0"/>
            </w:pPr>
            <w:r/>
            <w:r>
              <w:rPr>
                <w:sz w:val="16"/>
              </w:rPr>
              <w:t>Single central pathologist; Sponsor-team calibration; 10% re-read</w:t>
            </w:r>
          </w:p>
        </w:tc>
        <w:tc>
          <w:tcPr>
            <w:tcW w:type="dxa" w:w="1440"/>
          </w:tcPr>
          <w:p>
            <w:pPr>
              <w:spacing w:after="0"/>
            </w:pPr>
            <w:r/>
            <w:r>
              <w:rPr>
                <w:sz w:val="16"/>
              </w:rPr>
              <w:t>Non-compliant</w:t>
            </w:r>
          </w:p>
        </w:tc>
        <w:tc>
          <w:tcPr>
            <w:tcW w:type="dxa" w:w="1080"/>
          </w:tcPr>
          <w:p>
            <w:pPr>
              <w:spacing w:after="0"/>
            </w:pPr>
            <w:r/>
            <w:r>
              <w:rPr>
                <w:sz w:val="16"/>
              </w:rPr>
              <w:t>C-2</w:t>
            </w:r>
          </w:p>
        </w:tc>
      </w:tr>
      <w:tr>
        <w:tc>
          <w:tcPr>
            <w:tcW w:type="dxa" w:w="432"/>
          </w:tcPr>
          <w:p>
            <w:pPr>
              <w:spacing w:after="0"/>
            </w:pPr>
            <w:r/>
            <w:r>
              <w:rPr>
                <w:sz w:val="16"/>
              </w:rPr>
              <w:t>4</w:t>
            </w:r>
          </w:p>
        </w:tc>
        <w:tc>
          <w:tcPr>
            <w:tcW w:type="dxa" w:w="3168"/>
          </w:tcPr>
          <w:p>
            <w:pPr>
              <w:spacing w:after="0"/>
            </w:pPr>
            <w:r/>
            <w:r>
              <w:rPr>
                <w:sz w:val="16"/>
              </w:rPr>
              <w:t>Four-arm, 1:1:1:1 dose-ranging design (4.2)</w:t>
            </w:r>
          </w:p>
        </w:tc>
        <w:tc>
          <w:tcPr>
            <w:tcW w:type="dxa" w:w="2520"/>
          </w:tcPr>
          <w:p>
            <w:pPr>
              <w:spacing w:after="0"/>
            </w:pPr>
            <w:r/>
            <w:r>
              <w:rPr>
                <w:sz w:val="16"/>
              </w:rPr>
              <w:t>§5.1</w:t>
            </w:r>
          </w:p>
        </w:tc>
        <w:tc>
          <w:tcPr>
            <w:tcW w:type="dxa" w:w="1440"/>
          </w:tcPr>
          <w:p>
            <w:pPr>
              <w:spacing w:after="0"/>
            </w:pPr>
            <w:r/>
            <w:r>
              <w:rPr>
                <w:sz w:val="16"/>
              </w:rPr>
              <w:t>Compliant</w:t>
            </w:r>
          </w:p>
        </w:tc>
        <w:tc>
          <w:tcPr>
            <w:tcW w:type="dxa" w:w="1080"/>
          </w:tcPr>
          <w:p>
            <w:pPr>
              <w:spacing w:after="0"/>
            </w:pPr>
            <w:r/>
            <w:r>
              <w:rPr>
                <w:sz w:val="16"/>
              </w:rPr>
              <w:t>—</w:t>
            </w:r>
          </w:p>
        </w:tc>
      </w:tr>
      <w:tr>
        <w:tc>
          <w:tcPr>
            <w:tcW w:type="dxa" w:w="432"/>
          </w:tcPr>
          <w:p>
            <w:pPr>
              <w:spacing w:after="0"/>
            </w:pPr>
            <w:r/>
            <w:r>
              <w:rPr>
                <w:sz w:val="16"/>
              </w:rPr>
              <w:t>5</w:t>
            </w:r>
          </w:p>
        </w:tc>
        <w:tc>
          <w:tcPr>
            <w:tcW w:type="dxa" w:w="3168"/>
          </w:tcPr>
          <w:p>
            <w:pPr>
              <w:spacing w:after="0"/>
            </w:pPr>
            <w:r/>
            <w:r>
              <w:rPr>
                <w:sz w:val="16"/>
              </w:rPr>
              <w:t>30 mg titration of at least 4 weeks (4.2; AI 1(b))</w:t>
            </w:r>
          </w:p>
        </w:tc>
        <w:tc>
          <w:tcPr>
            <w:tcW w:type="dxa" w:w="2520"/>
          </w:tcPr>
          <w:p>
            <w:pPr>
              <w:spacing w:after="0"/>
            </w:pPr>
            <w:r/>
            <w:r>
              <w:rPr>
                <w:sz w:val="16"/>
              </w:rPr>
              <w:t>2-week titration retained</w:t>
            </w:r>
          </w:p>
        </w:tc>
        <w:tc>
          <w:tcPr>
            <w:tcW w:type="dxa" w:w="1440"/>
          </w:tcPr>
          <w:p>
            <w:pPr>
              <w:spacing w:after="0"/>
            </w:pPr>
            <w:r/>
            <w:r>
              <w:rPr>
                <w:sz w:val="16"/>
              </w:rPr>
              <w:t>Non-compliant</w:t>
            </w:r>
          </w:p>
        </w:tc>
        <w:tc>
          <w:tcPr>
            <w:tcW w:type="dxa" w:w="1080"/>
          </w:tcPr>
          <w:p>
            <w:pPr>
              <w:spacing w:after="0"/>
            </w:pPr>
            <w:r/>
            <w:r>
              <w:rPr>
                <w:sz w:val="16"/>
              </w:rPr>
              <w:t>C-6</w:t>
            </w:r>
          </w:p>
        </w:tc>
      </w:tr>
      <w:tr>
        <w:tc>
          <w:tcPr>
            <w:tcW w:type="dxa" w:w="432"/>
          </w:tcPr>
          <w:p>
            <w:pPr>
              <w:spacing w:after="0"/>
            </w:pPr>
            <w:r/>
            <w:r>
              <w:rPr>
                <w:sz w:val="16"/>
              </w:rPr>
              <w:t>6</w:t>
            </w:r>
          </w:p>
        </w:tc>
        <w:tc>
          <w:tcPr>
            <w:tcW w:type="dxa" w:w="3168"/>
          </w:tcPr>
          <w:p>
            <w:pPr>
              <w:spacing w:after="0"/>
            </w:pPr>
            <w:r/>
            <w:r>
              <w:rPr>
                <w:sz w:val="16"/>
              </w:rPr>
              <w:t>Optional 15 mg titration (4.2)</w:t>
            </w:r>
          </w:p>
        </w:tc>
        <w:tc>
          <w:tcPr>
            <w:tcW w:type="dxa" w:w="2520"/>
          </w:tcPr>
          <w:p>
            <w:pPr>
              <w:spacing w:after="0"/>
            </w:pPr>
            <w:r/>
            <w:r>
              <w:rPr>
                <w:sz w:val="16"/>
              </w:rPr>
              <w:t>5 mg Wk 1, then 15 mg</w:t>
            </w:r>
          </w:p>
        </w:tc>
        <w:tc>
          <w:tcPr>
            <w:tcW w:type="dxa" w:w="1440"/>
          </w:tcPr>
          <w:p>
            <w:pPr>
              <w:spacing w:after="0"/>
            </w:pPr>
            <w:r/>
            <w:r>
              <w:rPr>
                <w:sz w:val="16"/>
              </w:rPr>
              <w:t>Compliant</w:t>
            </w:r>
          </w:p>
        </w:tc>
        <w:tc>
          <w:tcPr>
            <w:tcW w:type="dxa" w:w="1080"/>
          </w:tcPr>
          <w:p>
            <w:pPr>
              <w:spacing w:after="0"/>
            </w:pPr>
            <w:r/>
            <w:r>
              <w:rPr>
                <w:sz w:val="16"/>
              </w:rPr>
              <w:t>—</w:t>
            </w:r>
          </w:p>
        </w:tc>
      </w:tr>
      <w:tr>
        <w:tc>
          <w:tcPr>
            <w:tcW w:type="dxa" w:w="432"/>
          </w:tcPr>
          <w:p>
            <w:pPr>
              <w:spacing w:after="0"/>
            </w:pPr>
            <w:r/>
            <w:r>
              <w:rPr>
                <w:sz w:val="16"/>
              </w:rPr>
              <w:t>7</w:t>
            </w:r>
          </w:p>
        </w:tc>
        <w:tc>
          <w:tcPr>
            <w:tcW w:type="dxa" w:w="3168"/>
          </w:tcPr>
          <w:p>
            <w:pPr>
              <w:spacing w:after="0"/>
            </w:pPr>
            <w:r/>
            <w:r>
              <w:rPr>
                <w:sz w:val="16"/>
              </w:rPr>
              <w:t>GI AE management during titration: dose reduction and delay (4.2)</w:t>
            </w:r>
          </w:p>
        </w:tc>
        <w:tc>
          <w:tcPr>
            <w:tcW w:type="dxa" w:w="2520"/>
          </w:tcPr>
          <w:p>
            <w:pPr>
              <w:spacing w:after="0"/>
            </w:pPr>
            <w:r/>
            <w:r>
              <w:rPr>
                <w:sz w:val="16"/>
              </w:rPr>
              <w:t>Only Grade ≥3 GI &gt;7 days rule (§9.5.1)</w:t>
            </w:r>
          </w:p>
        </w:tc>
        <w:tc>
          <w:tcPr>
            <w:tcW w:type="dxa" w:w="1440"/>
          </w:tcPr>
          <w:p>
            <w:pPr>
              <w:spacing w:after="0"/>
            </w:pPr>
            <w:r/>
            <w:r>
              <w:rPr>
                <w:sz w:val="16"/>
              </w:rPr>
              <w:t>Partially compliant</w:t>
            </w:r>
          </w:p>
        </w:tc>
        <w:tc>
          <w:tcPr>
            <w:tcW w:type="dxa" w:w="1080"/>
          </w:tcPr>
          <w:p>
            <w:pPr>
              <w:spacing w:after="0"/>
            </w:pPr>
            <w:r/>
            <w:r>
              <w:rPr>
                <w:sz w:val="16"/>
              </w:rPr>
              <w:t>C-6</w:t>
            </w:r>
          </w:p>
        </w:tc>
      </w:tr>
      <w:tr>
        <w:tc>
          <w:tcPr>
            <w:tcW w:type="dxa" w:w="432"/>
          </w:tcPr>
          <w:p>
            <w:pPr>
              <w:spacing w:after="0"/>
            </w:pPr>
            <w:r/>
            <w:r>
              <w:rPr>
                <w:sz w:val="16"/>
              </w:rPr>
              <w:t>8</w:t>
            </w:r>
          </w:p>
        </w:tc>
        <w:tc>
          <w:tcPr>
            <w:tcW w:type="dxa" w:w="3168"/>
          </w:tcPr>
          <w:p>
            <w:pPr>
              <w:spacing w:after="0"/>
            </w:pPr>
            <w:r/>
            <w:r>
              <w:rPr>
                <w:sz w:val="16"/>
              </w:rPr>
              <w:t>Adults 18–75, F2–F3, exclude cirrhosis (4.3)</w:t>
            </w:r>
          </w:p>
        </w:tc>
        <w:tc>
          <w:tcPr>
            <w:tcW w:type="dxa" w:w="2520"/>
          </w:tcPr>
          <w:p>
            <w:pPr>
              <w:spacing w:after="0"/>
            </w:pPr>
            <w:r/>
            <w:r>
              <w:rPr>
                <w:sz w:val="16"/>
              </w:rPr>
              <w:t>Incl. 1–3; Excl. 1</w:t>
            </w:r>
          </w:p>
        </w:tc>
        <w:tc>
          <w:tcPr>
            <w:tcW w:type="dxa" w:w="1440"/>
          </w:tcPr>
          <w:p>
            <w:pPr>
              <w:spacing w:after="0"/>
            </w:pPr>
            <w:r/>
            <w:r>
              <w:rPr>
                <w:sz w:val="16"/>
              </w:rPr>
              <w:t>Compliant</w:t>
            </w:r>
          </w:p>
        </w:tc>
        <w:tc>
          <w:tcPr>
            <w:tcW w:type="dxa" w:w="1080"/>
          </w:tcPr>
          <w:p>
            <w:pPr>
              <w:spacing w:after="0"/>
            </w:pPr>
            <w:r/>
            <w:r>
              <w:rPr>
                <w:sz w:val="16"/>
              </w:rPr>
              <w:t>—</w:t>
            </w:r>
          </w:p>
        </w:tc>
      </w:tr>
      <w:tr>
        <w:tc>
          <w:tcPr>
            <w:tcW w:type="dxa" w:w="432"/>
          </w:tcPr>
          <w:p>
            <w:pPr>
              <w:spacing w:after="0"/>
            </w:pPr>
            <w:r/>
            <w:r>
              <w:rPr>
                <w:sz w:val="16"/>
              </w:rPr>
              <w:t>9</w:t>
            </w:r>
          </w:p>
        </w:tc>
        <w:tc>
          <w:tcPr>
            <w:tcW w:type="dxa" w:w="3168"/>
          </w:tcPr>
          <w:p>
            <w:pPr>
              <w:spacing w:after="0"/>
            </w:pPr>
            <w:r/>
            <w:r>
              <w:rPr>
                <w:sz w:val="16"/>
              </w:rPr>
              <w:t>Representative enrollment by age, sex, race, ethnicity (4.3)</w:t>
            </w:r>
          </w:p>
        </w:tc>
        <w:tc>
          <w:tcPr>
            <w:tcW w:type="dxa" w:w="2520"/>
          </w:tcPr>
          <w:p>
            <w:pPr>
              <w:spacing w:after="0"/>
            </w:pPr>
            <w:r/>
            <w:r>
              <w:rPr>
                <w:sz w:val="16"/>
              </w:rPr>
              <w:t>Not addressed</w:t>
            </w:r>
          </w:p>
        </w:tc>
        <w:tc>
          <w:tcPr>
            <w:tcW w:type="dxa" w:w="1440"/>
          </w:tcPr>
          <w:p>
            <w:pPr>
              <w:spacing w:after="0"/>
            </w:pPr>
            <w:r/>
            <w:r>
              <w:rPr>
                <w:sz w:val="16"/>
              </w:rPr>
              <w:t>Not addressed</w:t>
            </w:r>
          </w:p>
        </w:tc>
        <w:tc>
          <w:tcPr>
            <w:tcW w:type="dxa" w:w="1080"/>
          </w:tcPr>
          <w:p>
            <w:pPr>
              <w:spacing w:after="0"/>
            </w:pPr>
            <w:r/>
            <w:r>
              <w:rPr>
                <w:sz w:val="16"/>
              </w:rPr>
              <w:t>m-9</w:t>
            </w:r>
          </w:p>
        </w:tc>
      </w:tr>
      <w:tr>
        <w:tc>
          <w:tcPr>
            <w:tcW w:type="dxa" w:w="432"/>
          </w:tcPr>
          <w:p>
            <w:pPr>
              <w:spacing w:after="0"/>
            </w:pPr>
            <w:r/>
            <w:r>
              <w:rPr>
                <w:sz w:val="16"/>
              </w:rPr>
              <w:t>10</w:t>
            </w:r>
          </w:p>
        </w:tc>
        <w:tc>
          <w:tcPr>
            <w:tcW w:type="dxa" w:w="3168"/>
          </w:tcPr>
          <w:p>
            <w:pPr>
              <w:spacing w:after="0"/>
            </w:pPr>
            <w:r/>
            <w:r>
              <w:rPr>
                <w:sz w:val="16"/>
              </w:rPr>
              <w:t>Alcohol thresholds; validated instrument; 12-month look-back (4.3)</w:t>
            </w:r>
          </w:p>
        </w:tc>
        <w:tc>
          <w:tcPr>
            <w:tcW w:type="dxa" w:w="2520"/>
          </w:tcPr>
          <w:p>
            <w:pPr>
              <w:spacing w:after="0"/>
            </w:pPr>
            <w:r/>
            <w:r>
              <w:rPr>
                <w:sz w:val="16"/>
              </w:rPr>
              <w:t>Excl. 4: AUDIT-C plus interview, 12 months</w:t>
            </w:r>
          </w:p>
        </w:tc>
        <w:tc>
          <w:tcPr>
            <w:tcW w:type="dxa" w:w="1440"/>
          </w:tcPr>
          <w:p>
            <w:pPr>
              <w:spacing w:after="0"/>
            </w:pPr>
            <w:r/>
            <w:r>
              <w:rPr>
                <w:sz w:val="16"/>
              </w:rPr>
              <w:t>Compliant</w:t>
            </w:r>
          </w:p>
        </w:tc>
        <w:tc>
          <w:tcPr>
            <w:tcW w:type="dxa" w:w="1080"/>
          </w:tcPr>
          <w:p>
            <w:pPr>
              <w:spacing w:after="0"/>
            </w:pPr>
            <w:r/>
            <w:r>
              <w:rPr>
                <w:sz w:val="16"/>
              </w:rPr>
              <w:t>m-1 (note)</w:t>
            </w:r>
          </w:p>
        </w:tc>
      </w:tr>
      <w:tr>
        <w:tc>
          <w:tcPr>
            <w:tcW w:type="dxa" w:w="432"/>
          </w:tcPr>
          <w:p>
            <w:pPr>
              <w:spacing w:after="0"/>
            </w:pPr>
            <w:r/>
            <w:r>
              <w:rPr>
                <w:sz w:val="16"/>
              </w:rPr>
              <w:t>11</w:t>
            </w:r>
          </w:p>
        </w:tc>
        <w:tc>
          <w:tcPr>
            <w:tcW w:type="dxa" w:w="3168"/>
          </w:tcPr>
          <w:p>
            <w:pPr>
              <w:spacing w:after="0"/>
            </w:pPr>
            <w:r/>
            <w:r>
              <w:rPr>
                <w:sz w:val="16"/>
              </w:rPr>
              <w:t>MELD ≥15 exclusion (4.3; AI 1(c))</w:t>
            </w:r>
          </w:p>
        </w:tc>
        <w:tc>
          <w:tcPr>
            <w:tcW w:type="dxa" w:w="2520"/>
          </w:tcPr>
          <w:p>
            <w:pPr>
              <w:spacing w:after="0"/>
            </w:pPr>
            <w:r/>
            <w:r>
              <w:rPr>
                <w:sz w:val="16"/>
              </w:rPr>
              <w:t>Absent</w:t>
            </w:r>
          </w:p>
        </w:tc>
        <w:tc>
          <w:tcPr>
            <w:tcW w:type="dxa" w:w="1440"/>
          </w:tcPr>
          <w:p>
            <w:pPr>
              <w:spacing w:after="0"/>
            </w:pPr>
            <w:r/>
            <w:r>
              <w:rPr>
                <w:sz w:val="16"/>
              </w:rPr>
              <w:t>Not addressed</w:t>
            </w:r>
          </w:p>
        </w:tc>
        <w:tc>
          <w:tcPr>
            <w:tcW w:type="dxa" w:w="1080"/>
          </w:tcPr>
          <w:p>
            <w:pPr>
              <w:spacing w:after="0"/>
            </w:pPr>
            <w:r/>
            <w:r>
              <w:rPr>
                <w:sz w:val="16"/>
              </w:rPr>
              <w:t>C-5</w:t>
            </w:r>
          </w:p>
        </w:tc>
      </w:tr>
      <w:tr>
        <w:tc>
          <w:tcPr>
            <w:tcW w:type="dxa" w:w="432"/>
          </w:tcPr>
          <w:p>
            <w:pPr>
              <w:spacing w:after="0"/>
            </w:pPr>
            <w:r/>
            <w:r>
              <w:rPr>
                <w:sz w:val="16"/>
              </w:rPr>
              <w:t>12</w:t>
            </w:r>
          </w:p>
        </w:tc>
        <w:tc>
          <w:tcPr>
            <w:tcW w:type="dxa" w:w="3168"/>
          </w:tcPr>
          <w:p>
            <w:pPr>
              <w:spacing w:after="0"/>
            </w:pPr>
            <w:r/>
            <w:r>
              <w:rPr>
                <w:sz w:val="16"/>
              </w:rPr>
              <w:t>Washouts for hepatotoxic drugs incl. high-dose acetaminophen; permitted metabolic drugs and stability (4.3)</w:t>
            </w:r>
          </w:p>
        </w:tc>
        <w:tc>
          <w:tcPr>
            <w:tcW w:type="dxa" w:w="2520"/>
          </w:tcPr>
          <w:p>
            <w:pPr>
              <w:spacing w:after="0"/>
            </w:pPr>
            <w:r/>
            <w:r>
              <w:rPr>
                <w:sz w:val="16"/>
              </w:rPr>
              <w:t>Excl. 6 (6 months; no acetaminophen); §5.4 partly</w:t>
            </w:r>
          </w:p>
        </w:tc>
        <w:tc>
          <w:tcPr>
            <w:tcW w:type="dxa" w:w="1440"/>
          </w:tcPr>
          <w:p>
            <w:pPr>
              <w:spacing w:after="0"/>
            </w:pPr>
            <w:r/>
            <w:r>
              <w:rPr>
                <w:sz w:val="16"/>
              </w:rPr>
              <w:t>Partially compliant</w:t>
            </w:r>
          </w:p>
        </w:tc>
        <w:tc>
          <w:tcPr>
            <w:tcW w:type="dxa" w:w="1080"/>
          </w:tcPr>
          <w:p>
            <w:pPr>
              <w:spacing w:after="0"/>
            </w:pPr>
            <w:r/>
            <w:r>
              <w:rPr>
                <w:sz w:val="16"/>
              </w:rPr>
              <w:t>m-1</w:t>
            </w:r>
          </w:p>
        </w:tc>
      </w:tr>
      <w:tr>
        <w:tc>
          <w:tcPr>
            <w:tcW w:type="dxa" w:w="432"/>
          </w:tcPr>
          <w:p>
            <w:pPr>
              <w:spacing w:after="0"/>
            </w:pPr>
            <w:r/>
            <w:r>
              <w:rPr>
                <w:sz w:val="16"/>
              </w:rPr>
              <w:t>13</w:t>
            </w:r>
          </w:p>
        </w:tc>
        <w:tc>
          <w:tcPr>
            <w:tcW w:type="dxa" w:w="3168"/>
          </w:tcPr>
          <w:p>
            <w:pPr>
              <w:spacing w:after="0"/>
            </w:pPr>
            <w:r/>
            <w:r>
              <w:rPr>
                <w:sz w:val="16"/>
              </w:rPr>
              <w:t>Mandatory independent DSMB: composition, charter before FPI, review schedule, authority, good-faith commitment (4.4; AI 1(d))</w:t>
            </w:r>
          </w:p>
        </w:tc>
        <w:tc>
          <w:tcPr>
            <w:tcW w:type="dxa" w:w="2520"/>
          </w:tcPr>
          <w:p>
            <w:pPr>
              <w:spacing w:after="0"/>
            </w:pPr>
            <w:r/>
            <w:r>
              <w:rPr>
                <w:sz w:val="16"/>
              </w:rPr>
              <w:t>Discretionary (“may be convened”)</w:t>
            </w:r>
          </w:p>
        </w:tc>
        <w:tc>
          <w:tcPr>
            <w:tcW w:type="dxa" w:w="1440"/>
          </w:tcPr>
          <w:p>
            <w:pPr>
              <w:spacing w:after="0"/>
            </w:pPr>
            <w:r/>
            <w:r>
              <w:rPr>
                <w:sz w:val="16"/>
              </w:rPr>
              <w:t>Non-compliant</w:t>
            </w:r>
          </w:p>
        </w:tc>
        <w:tc>
          <w:tcPr>
            <w:tcW w:type="dxa" w:w="1080"/>
          </w:tcPr>
          <w:p>
            <w:pPr>
              <w:spacing w:after="0"/>
            </w:pPr>
            <w:r/>
            <w:r>
              <w:rPr>
                <w:sz w:val="16"/>
              </w:rPr>
              <w:t>C-1</w:t>
            </w:r>
          </w:p>
        </w:tc>
      </w:tr>
      <w:tr>
        <w:tc>
          <w:tcPr>
            <w:tcW w:type="dxa" w:w="432"/>
          </w:tcPr>
          <w:p>
            <w:pPr>
              <w:spacing w:after="0"/>
            </w:pPr>
            <w:r/>
            <w:r>
              <w:rPr>
                <w:sz w:val="16"/>
              </w:rPr>
              <w:t>14</w:t>
            </w:r>
          </w:p>
        </w:tc>
        <w:tc>
          <w:tcPr>
            <w:tcW w:type="dxa" w:w="3168"/>
          </w:tcPr>
          <w:p>
            <w:pPr>
              <w:spacing w:after="0"/>
            </w:pPr>
            <w:r/>
            <w:r>
              <w:rPr>
                <w:sz w:val="16"/>
              </w:rPr>
              <w:t>Individual stopping rules: ALT &gt;10× ULN, Hy’s Law, anaphylaxis (4.5)</w:t>
            </w:r>
          </w:p>
        </w:tc>
        <w:tc>
          <w:tcPr>
            <w:tcW w:type="dxa" w:w="2520"/>
          </w:tcPr>
          <w:p>
            <w:pPr>
              <w:spacing w:after="0"/>
            </w:pPr>
            <w:r/>
            <w:r>
              <w:rPr>
                <w:sz w:val="16"/>
              </w:rPr>
              <w:t>§9.5.1(1)–(3)</w:t>
            </w:r>
          </w:p>
        </w:tc>
        <w:tc>
          <w:tcPr>
            <w:tcW w:type="dxa" w:w="1440"/>
          </w:tcPr>
          <w:p>
            <w:pPr>
              <w:spacing w:after="0"/>
            </w:pPr>
            <w:r/>
            <w:r>
              <w:rPr>
                <w:sz w:val="16"/>
              </w:rPr>
              <w:t>Compliant</w:t>
            </w:r>
          </w:p>
        </w:tc>
        <w:tc>
          <w:tcPr>
            <w:tcW w:type="dxa" w:w="1080"/>
          </w:tcPr>
          <w:p>
            <w:pPr>
              <w:spacing w:after="0"/>
            </w:pPr>
            <w:r/>
            <w:r>
              <w:rPr>
                <w:sz w:val="16"/>
              </w:rPr>
              <w:t>—</w:t>
            </w:r>
          </w:p>
        </w:tc>
      </w:tr>
      <w:tr>
        <w:tc>
          <w:tcPr>
            <w:tcW w:type="dxa" w:w="432"/>
          </w:tcPr>
          <w:p>
            <w:pPr>
              <w:spacing w:after="0"/>
            </w:pPr>
            <w:r/>
            <w:r>
              <w:rPr>
                <w:sz w:val="16"/>
              </w:rPr>
              <w:t>15</w:t>
            </w:r>
          </w:p>
        </w:tc>
        <w:tc>
          <w:tcPr>
            <w:tcW w:type="dxa" w:w="3168"/>
          </w:tcPr>
          <w:p>
            <w:pPr>
              <w:spacing w:after="0"/>
            </w:pPr>
            <w:r/>
            <w:r>
              <w:rPr>
                <w:sz w:val="16"/>
              </w:rPr>
              <w:t>Dose interruption and re-challenge at lower ALT thresholds (4.5)</w:t>
            </w:r>
          </w:p>
        </w:tc>
        <w:tc>
          <w:tcPr>
            <w:tcW w:type="dxa" w:w="2520"/>
          </w:tcPr>
          <w:p>
            <w:pPr>
              <w:spacing w:after="0"/>
            </w:pPr>
            <w:r/>
            <w:r>
              <w:rPr>
                <w:sz w:val="16"/>
              </w:rPr>
              <w:t>ALT 5–10× hold/resume only</w:t>
            </w:r>
          </w:p>
        </w:tc>
        <w:tc>
          <w:tcPr>
            <w:tcW w:type="dxa" w:w="1440"/>
          </w:tcPr>
          <w:p>
            <w:pPr>
              <w:spacing w:after="0"/>
            </w:pPr>
            <w:r/>
            <w:r>
              <w:rPr>
                <w:sz w:val="16"/>
              </w:rPr>
              <w:t>Partially compliant</w:t>
            </w:r>
          </w:p>
        </w:tc>
        <w:tc>
          <w:tcPr>
            <w:tcW w:type="dxa" w:w="1080"/>
          </w:tcPr>
          <w:p>
            <w:pPr>
              <w:spacing w:after="0"/>
            </w:pPr>
            <w:r/>
            <w:r>
              <w:rPr>
                <w:sz w:val="16"/>
              </w:rPr>
              <w:t>M-5</w:t>
            </w:r>
          </w:p>
        </w:tc>
      </w:tr>
      <w:tr>
        <w:tc>
          <w:tcPr>
            <w:tcW w:type="dxa" w:w="432"/>
          </w:tcPr>
          <w:p>
            <w:pPr>
              <w:spacing w:after="0"/>
            </w:pPr>
            <w:r/>
            <w:r>
              <w:rPr>
                <w:sz w:val="16"/>
              </w:rPr>
              <w:t>16</w:t>
            </w:r>
          </w:p>
        </w:tc>
        <w:tc>
          <w:tcPr>
            <w:tcW w:type="dxa" w:w="3168"/>
          </w:tcPr>
          <w:p>
            <w:pPr>
              <w:spacing w:after="0"/>
            </w:pPr>
            <w:r/>
            <w:r>
              <w:rPr>
                <w:sz w:val="16"/>
              </w:rPr>
              <w:t>Study-level hepatic decompensation stopping criteria with thresholds (4.5; AI 1(e))</w:t>
            </w:r>
          </w:p>
        </w:tc>
        <w:tc>
          <w:tcPr>
            <w:tcW w:type="dxa" w:w="2520"/>
          </w:tcPr>
          <w:p>
            <w:pPr>
              <w:spacing w:after="0"/>
            </w:pPr>
            <w:r/>
            <w:r>
              <w:rPr>
                <w:sz w:val="16"/>
              </w:rPr>
              <w:t>Absent</w:t>
            </w:r>
          </w:p>
        </w:tc>
        <w:tc>
          <w:tcPr>
            <w:tcW w:type="dxa" w:w="1440"/>
          </w:tcPr>
          <w:p>
            <w:pPr>
              <w:spacing w:after="0"/>
            </w:pPr>
            <w:r/>
            <w:r>
              <w:rPr>
                <w:sz w:val="16"/>
              </w:rPr>
              <w:t>Not addressed</w:t>
            </w:r>
          </w:p>
        </w:tc>
        <w:tc>
          <w:tcPr>
            <w:tcW w:type="dxa" w:w="1080"/>
          </w:tcPr>
          <w:p>
            <w:pPr>
              <w:spacing w:after="0"/>
            </w:pPr>
            <w:r/>
            <w:r>
              <w:rPr>
                <w:sz w:val="16"/>
              </w:rPr>
              <w:t>C-3</w:t>
            </w:r>
          </w:p>
        </w:tc>
      </w:tr>
      <w:tr>
        <w:tc>
          <w:tcPr>
            <w:tcW w:type="dxa" w:w="432"/>
          </w:tcPr>
          <w:p>
            <w:pPr>
              <w:spacing w:after="0"/>
            </w:pPr>
            <w:r/>
            <w:r>
              <w:rPr>
                <w:sz w:val="16"/>
              </w:rPr>
              <w:t>17</w:t>
            </w:r>
          </w:p>
        </w:tc>
        <w:tc>
          <w:tcPr>
            <w:tcW w:type="dxa" w:w="3168"/>
          </w:tcPr>
          <w:p>
            <w:pPr>
              <w:spacing w:after="0"/>
            </w:pPr>
            <w:r/>
            <w:r>
              <w:rPr>
                <w:sz w:val="16"/>
              </w:rPr>
              <w:t>Hepatic panel (incl. INR) every 2 weeks to Wk 12, then at least monthly (4.5)</w:t>
            </w:r>
          </w:p>
        </w:tc>
        <w:tc>
          <w:tcPr>
            <w:tcW w:type="dxa" w:w="2520"/>
          </w:tcPr>
          <w:p>
            <w:pPr>
              <w:spacing w:after="0"/>
            </w:pPr>
            <w:r/>
            <w:r>
              <w:rPr>
                <w:sz w:val="16"/>
              </w:rPr>
              <w:t>Gaps at Wks 6 and 10; 6-week spacing after Wk 24; INR 4 times</w:t>
            </w:r>
          </w:p>
        </w:tc>
        <w:tc>
          <w:tcPr>
            <w:tcW w:type="dxa" w:w="1440"/>
          </w:tcPr>
          <w:p>
            <w:pPr>
              <w:spacing w:after="0"/>
            </w:pPr>
            <w:r/>
            <w:r>
              <w:rPr>
                <w:sz w:val="16"/>
              </w:rPr>
              <w:t>Non-compliant</w:t>
            </w:r>
          </w:p>
        </w:tc>
        <w:tc>
          <w:tcPr>
            <w:tcW w:type="dxa" w:w="1080"/>
          </w:tcPr>
          <w:p>
            <w:pPr>
              <w:spacing w:after="0"/>
            </w:pPr>
            <w:r/>
            <w:r>
              <w:rPr>
                <w:sz w:val="16"/>
              </w:rPr>
              <w:t>M-5</w:t>
            </w:r>
          </w:p>
        </w:tc>
      </w:tr>
      <w:tr>
        <w:tc>
          <w:tcPr>
            <w:tcW w:type="dxa" w:w="432"/>
          </w:tcPr>
          <w:p>
            <w:pPr>
              <w:spacing w:after="0"/>
            </w:pPr>
            <w:r/>
            <w:r>
              <w:rPr>
                <w:sz w:val="16"/>
              </w:rPr>
              <w:t>18</w:t>
            </w:r>
          </w:p>
        </w:tc>
        <w:tc>
          <w:tcPr>
            <w:tcW w:type="dxa" w:w="3168"/>
          </w:tcPr>
          <w:p>
            <w:pPr>
              <w:spacing w:after="0"/>
            </w:pPr>
            <w:r/>
            <w:r>
              <w:rPr>
                <w:sz w:val="16"/>
              </w:rPr>
              <w:t>Interim at 50% enrollment (~180 randomized) (4.6; AI 1(f))</w:t>
            </w:r>
          </w:p>
        </w:tc>
        <w:tc>
          <w:tcPr>
            <w:tcW w:type="dxa" w:w="2520"/>
          </w:tcPr>
          <w:p>
            <w:pPr>
              <w:spacing w:after="0"/>
            </w:pPr>
            <w:r/>
            <w:r>
              <w:rPr>
                <w:sz w:val="16"/>
              </w:rPr>
              <w:t>Week 26 of last enrolled subject</w:t>
            </w:r>
          </w:p>
        </w:tc>
        <w:tc>
          <w:tcPr>
            <w:tcW w:type="dxa" w:w="1440"/>
          </w:tcPr>
          <w:p>
            <w:pPr>
              <w:spacing w:after="0"/>
            </w:pPr>
            <w:r/>
            <w:r>
              <w:rPr>
                <w:sz w:val="16"/>
              </w:rPr>
              <w:t>Non-compliant</w:t>
            </w:r>
          </w:p>
        </w:tc>
        <w:tc>
          <w:tcPr>
            <w:tcW w:type="dxa" w:w="1080"/>
          </w:tcPr>
          <w:p>
            <w:pPr>
              <w:spacing w:after="0"/>
            </w:pPr>
            <w:r/>
            <w:r>
              <w:rPr>
                <w:sz w:val="16"/>
              </w:rPr>
              <w:t>C-4</w:t>
            </w:r>
          </w:p>
        </w:tc>
      </w:tr>
      <w:tr>
        <w:tc>
          <w:tcPr>
            <w:tcW w:type="dxa" w:w="432"/>
          </w:tcPr>
          <w:p>
            <w:pPr>
              <w:spacing w:after="0"/>
            </w:pPr>
            <w:r/>
            <w:r>
              <w:rPr>
                <w:sz w:val="16"/>
              </w:rPr>
              <w:t>19</w:t>
            </w:r>
          </w:p>
        </w:tc>
        <w:tc>
          <w:tcPr>
            <w:tcW w:type="dxa" w:w="3168"/>
          </w:tcPr>
          <w:p>
            <w:pPr>
              <w:spacing w:after="0"/>
            </w:pPr>
            <w:r/>
            <w:r>
              <w:rPr>
                <w:sz w:val="16"/>
              </w:rPr>
              <w:t>Formal futility analysis, 20% conditional power, arm-level and study-level (4.6; AI 1(f))</w:t>
            </w:r>
          </w:p>
        </w:tc>
        <w:tc>
          <w:tcPr>
            <w:tcW w:type="dxa" w:w="2520"/>
          </w:tcPr>
          <w:p>
            <w:pPr>
              <w:spacing w:after="0"/>
            </w:pPr>
            <w:r/>
            <w:r>
              <w:rPr>
                <w:sz w:val="16"/>
              </w:rPr>
              <w:t>Absent</w:t>
            </w:r>
          </w:p>
        </w:tc>
        <w:tc>
          <w:tcPr>
            <w:tcW w:type="dxa" w:w="1440"/>
          </w:tcPr>
          <w:p>
            <w:pPr>
              <w:spacing w:after="0"/>
            </w:pPr>
            <w:r/>
            <w:r>
              <w:rPr>
                <w:sz w:val="16"/>
              </w:rPr>
              <w:t>Not addressed</w:t>
            </w:r>
          </w:p>
        </w:tc>
        <w:tc>
          <w:tcPr>
            <w:tcW w:type="dxa" w:w="1080"/>
          </w:tcPr>
          <w:p>
            <w:pPr>
              <w:spacing w:after="0"/>
            </w:pPr>
            <w:r/>
            <w:r>
              <w:rPr>
                <w:sz w:val="16"/>
              </w:rPr>
              <w:t>C-4</w:t>
            </w:r>
          </w:p>
        </w:tc>
      </w:tr>
      <w:tr>
        <w:tc>
          <w:tcPr>
            <w:tcW w:type="dxa" w:w="432"/>
          </w:tcPr>
          <w:p>
            <w:pPr>
              <w:spacing w:after="0"/>
            </w:pPr>
            <w:r/>
            <w:r>
              <w:rPr>
                <w:sz w:val="16"/>
              </w:rPr>
              <w:t>20</w:t>
            </w:r>
          </w:p>
        </w:tc>
        <w:tc>
          <w:tcPr>
            <w:tcW w:type="dxa" w:w="3168"/>
          </w:tcPr>
          <w:p>
            <w:pPr>
              <w:spacing w:after="0"/>
            </w:pPr>
            <w:r/>
            <w:r>
              <w:rPr>
                <w:sz w:val="16"/>
              </w:rPr>
              <w:t>O’Brien-Fleming alpha spending (4.6)</w:t>
            </w:r>
          </w:p>
        </w:tc>
        <w:tc>
          <w:tcPr>
            <w:tcW w:type="dxa" w:w="2520"/>
          </w:tcPr>
          <w:p>
            <w:pPr>
              <w:spacing w:after="0"/>
            </w:pPr>
            <w:r/>
            <w:r>
              <w:rPr>
                <w:sz w:val="16"/>
              </w:rPr>
              <w:t>§10.3</w:t>
            </w:r>
          </w:p>
        </w:tc>
        <w:tc>
          <w:tcPr>
            <w:tcW w:type="dxa" w:w="1440"/>
          </w:tcPr>
          <w:p>
            <w:pPr>
              <w:spacing w:after="0"/>
            </w:pPr>
            <w:r/>
            <w:r>
              <w:rPr>
                <w:sz w:val="16"/>
              </w:rPr>
              <w:t>Compliant (recalibrate to new timing)</w:t>
            </w:r>
          </w:p>
        </w:tc>
        <w:tc>
          <w:tcPr>
            <w:tcW w:type="dxa" w:w="1080"/>
          </w:tcPr>
          <w:p>
            <w:pPr>
              <w:spacing w:after="0"/>
            </w:pPr>
            <w:r/>
            <w:r>
              <w:rPr>
                <w:sz w:val="16"/>
              </w:rPr>
              <w:t>C-4</w:t>
            </w:r>
          </w:p>
        </w:tc>
      </w:tr>
      <w:tr>
        <w:tc>
          <w:tcPr>
            <w:tcW w:type="dxa" w:w="432"/>
          </w:tcPr>
          <w:p>
            <w:pPr>
              <w:spacing w:after="0"/>
            </w:pPr>
            <w:r/>
            <w:r>
              <w:rPr>
                <w:sz w:val="16"/>
              </w:rPr>
              <w:t>21</w:t>
            </w:r>
          </w:p>
        </w:tc>
        <w:tc>
          <w:tcPr>
            <w:tcW w:type="dxa" w:w="3168"/>
          </w:tcPr>
          <w:p>
            <w:pPr>
              <w:spacing w:after="0"/>
            </w:pPr>
            <w:r/>
            <w:r>
              <w:rPr>
                <w:sz w:val="16"/>
              </w:rPr>
              <w:t>Independent statistician, firewall, Sponsor team blinded; DSMB communication pathway (4.6)</w:t>
            </w:r>
          </w:p>
        </w:tc>
        <w:tc>
          <w:tcPr>
            <w:tcW w:type="dxa" w:w="2520"/>
          </w:tcPr>
          <w:p>
            <w:pPr>
              <w:spacing w:after="0"/>
            </w:pPr>
            <w:r/>
            <w:r>
              <w:rPr>
                <w:sz w:val="16"/>
              </w:rPr>
              <w:t>Independent group, but results shared with “authorized Sponsor personnel”</w:t>
            </w:r>
          </w:p>
        </w:tc>
        <w:tc>
          <w:tcPr>
            <w:tcW w:type="dxa" w:w="1440"/>
          </w:tcPr>
          <w:p>
            <w:pPr>
              <w:spacing w:after="0"/>
            </w:pPr>
            <w:r/>
            <w:r>
              <w:rPr>
                <w:sz w:val="16"/>
              </w:rPr>
              <w:t>Partially compliant</w:t>
            </w:r>
          </w:p>
        </w:tc>
        <w:tc>
          <w:tcPr>
            <w:tcW w:type="dxa" w:w="1080"/>
          </w:tcPr>
          <w:p>
            <w:pPr>
              <w:spacing w:after="0"/>
            </w:pPr>
            <w:r/>
            <w:r>
              <w:rPr>
                <w:sz w:val="16"/>
              </w:rPr>
              <w:t>C-4</w:t>
            </w:r>
          </w:p>
        </w:tc>
      </w:tr>
      <w:tr>
        <w:tc>
          <w:tcPr>
            <w:tcW w:type="dxa" w:w="432"/>
          </w:tcPr>
          <w:p>
            <w:pPr>
              <w:spacing w:after="0"/>
            </w:pPr>
            <w:r/>
            <w:r>
              <w:rPr>
                <w:sz w:val="16"/>
              </w:rPr>
              <w:t>22</w:t>
            </w:r>
          </w:p>
        </w:tc>
        <w:tc>
          <w:tcPr>
            <w:tcW w:type="dxa" w:w="3168"/>
          </w:tcPr>
          <w:p>
            <w:pPr>
              <w:spacing w:after="0"/>
            </w:pPr>
            <w:r/>
            <w:r>
              <w:rPr>
                <w:sz w:val="16"/>
              </w:rPr>
              <w:t>All interim procedures prespecified in SAP and DSMB charter before first enrollment (4.6)</w:t>
            </w:r>
          </w:p>
        </w:tc>
        <w:tc>
          <w:tcPr>
            <w:tcW w:type="dxa" w:w="2520"/>
          </w:tcPr>
          <w:p>
            <w:pPr>
              <w:spacing w:after="0"/>
            </w:pPr>
            <w:r/>
            <w:r>
              <w:rPr>
                <w:sz w:val="16"/>
              </w:rPr>
              <w:t>SAP before interim database lock</w:t>
            </w:r>
          </w:p>
        </w:tc>
        <w:tc>
          <w:tcPr>
            <w:tcW w:type="dxa" w:w="1440"/>
          </w:tcPr>
          <w:p>
            <w:pPr>
              <w:spacing w:after="0"/>
            </w:pPr>
            <w:r/>
            <w:r>
              <w:rPr>
                <w:sz w:val="16"/>
              </w:rPr>
              <w:t>Non-compliant</w:t>
            </w:r>
          </w:p>
        </w:tc>
        <w:tc>
          <w:tcPr>
            <w:tcW w:type="dxa" w:w="1080"/>
          </w:tcPr>
          <w:p>
            <w:pPr>
              <w:spacing w:after="0"/>
            </w:pPr>
            <w:r/>
            <w:r>
              <w:rPr>
                <w:sz w:val="16"/>
              </w:rPr>
              <w:t>C-4</w:t>
            </w:r>
          </w:p>
        </w:tc>
      </w:tr>
      <w:tr>
        <w:tc>
          <w:tcPr>
            <w:tcW w:type="dxa" w:w="432"/>
          </w:tcPr>
          <w:p>
            <w:pPr>
              <w:spacing w:after="0"/>
            </w:pPr>
            <w:r/>
            <w:r>
              <w:rPr>
                <w:sz w:val="16"/>
              </w:rPr>
              <w:t>23</w:t>
            </w:r>
          </w:p>
        </w:tc>
        <w:tc>
          <w:tcPr>
            <w:tcW w:type="dxa" w:w="3168"/>
          </w:tcPr>
          <w:p>
            <w:pPr>
              <w:spacing w:after="0"/>
            </w:pPr>
            <w:r/>
            <w:r>
              <w:rPr>
                <w:sz w:val="16"/>
              </w:rPr>
              <w:t>39-week non-rodent study; results before dosing beyond 26 weeks; cover-letter commitment (4.7; AI 3)</w:t>
            </w:r>
          </w:p>
        </w:tc>
        <w:tc>
          <w:tcPr>
            <w:tcW w:type="dxa" w:w="2520"/>
          </w:tcPr>
          <w:p>
            <w:pPr>
              <w:spacing w:after="0"/>
            </w:pPr>
            <w:r/>
            <w:r>
              <w:rPr>
                <w:sz w:val="16"/>
              </w:rPr>
              <w:t>Not addressed</w:t>
            </w:r>
          </w:p>
        </w:tc>
        <w:tc>
          <w:tcPr>
            <w:tcW w:type="dxa" w:w="1440"/>
          </w:tcPr>
          <w:p>
            <w:pPr>
              <w:spacing w:after="0"/>
            </w:pPr>
            <w:r/>
            <w:r>
              <w:rPr>
                <w:sz w:val="16"/>
              </w:rPr>
              <w:t>Not addressed</w:t>
            </w:r>
          </w:p>
        </w:tc>
        <w:tc>
          <w:tcPr>
            <w:tcW w:type="dxa" w:w="1080"/>
          </w:tcPr>
          <w:p>
            <w:pPr>
              <w:spacing w:after="0"/>
            </w:pPr>
            <w:r/>
            <w:r>
              <w:rPr>
                <w:sz w:val="16"/>
              </w:rPr>
              <w:t>M-4</w:t>
            </w:r>
          </w:p>
        </w:tc>
      </w:tr>
      <w:tr>
        <w:tc>
          <w:tcPr>
            <w:tcW w:type="dxa" w:w="432"/>
          </w:tcPr>
          <w:p>
            <w:pPr>
              <w:spacing w:after="0"/>
            </w:pPr>
            <w:r/>
            <w:r>
              <w:rPr>
                <w:sz w:val="16"/>
              </w:rPr>
              <w:t>24</w:t>
            </w:r>
          </w:p>
        </w:tc>
        <w:tc>
          <w:tcPr>
            <w:tcW w:type="dxa" w:w="3168"/>
          </w:tcPr>
          <w:p>
            <w:pPr>
              <w:spacing w:after="0"/>
            </w:pPr>
            <w:r/>
            <w:r>
              <w:rPr>
                <w:sz w:val="16"/>
              </w:rPr>
              <w:t>Full 26-week reports, genotoxicity, safety pharmacology and reproductive toxicology in IND; be prepared on C-cell, pancreas, QT (4.7)</w:t>
            </w:r>
          </w:p>
        </w:tc>
        <w:tc>
          <w:tcPr>
            <w:tcW w:type="dxa" w:w="2520"/>
          </w:tcPr>
          <w:p>
            <w:pPr>
              <w:spacing w:after="0"/>
            </w:pPr>
            <w:r/>
            <w:r>
              <w:rPr>
                <w:sz w:val="16"/>
              </w:rPr>
              <w:t>IND content; Protocol silent on reproductive toxicology and calcitonin</w:t>
            </w:r>
          </w:p>
        </w:tc>
        <w:tc>
          <w:tcPr>
            <w:tcW w:type="dxa" w:w="1440"/>
          </w:tcPr>
          <w:p>
            <w:pPr>
              <w:spacing w:after="0"/>
            </w:pPr>
            <w:r/>
            <w:r>
              <w:rPr>
                <w:sz w:val="16"/>
              </w:rPr>
              <w:t>Outside protocol / partial</w:t>
            </w:r>
          </w:p>
        </w:tc>
        <w:tc>
          <w:tcPr>
            <w:tcW w:type="dxa" w:w="1080"/>
          </w:tcPr>
          <w:p>
            <w:pPr>
              <w:spacing w:after="0"/>
            </w:pPr>
            <w:r/>
            <w:r>
              <w:rPr>
                <w:sz w:val="16"/>
              </w:rPr>
              <w:t>C-7; m-3</w:t>
            </w:r>
          </w:p>
        </w:tc>
      </w:tr>
      <w:tr>
        <w:tc>
          <w:tcPr>
            <w:tcW w:type="dxa" w:w="432"/>
          </w:tcPr>
          <w:p>
            <w:pPr>
              <w:spacing w:after="0"/>
            </w:pPr>
            <w:r/>
            <w:r>
              <w:rPr>
                <w:sz w:val="16"/>
              </w:rPr>
              <w:t>25</w:t>
            </w:r>
          </w:p>
        </w:tc>
        <w:tc>
          <w:tcPr>
            <w:tcW w:type="dxa" w:w="3168"/>
          </w:tcPr>
          <w:p>
            <w:pPr>
              <w:spacing w:after="0"/>
            </w:pPr>
            <w:r/>
            <w:r>
              <w:rPr>
                <w:sz w:val="16"/>
              </w:rPr>
              <w:t>Sample-size assumptions (Section 5)</w:t>
            </w:r>
          </w:p>
        </w:tc>
        <w:tc>
          <w:tcPr>
            <w:tcW w:type="dxa" w:w="2520"/>
          </w:tcPr>
          <w:p>
            <w:pPr>
              <w:spacing w:after="0"/>
            </w:pPr>
            <w:r/>
            <w:r>
              <w:rPr>
                <w:sz w:val="16"/>
              </w:rPr>
              <w:t>Assumptions match; calculation inconsistent</w:t>
            </w:r>
          </w:p>
        </w:tc>
        <w:tc>
          <w:tcPr>
            <w:tcW w:type="dxa" w:w="1440"/>
          </w:tcPr>
          <w:p>
            <w:pPr>
              <w:spacing w:after="0"/>
            </w:pPr>
            <w:r/>
            <w:r>
              <w:rPr>
                <w:sz w:val="16"/>
              </w:rPr>
              <w:t>Partially compliant</w:t>
            </w:r>
          </w:p>
        </w:tc>
        <w:tc>
          <w:tcPr>
            <w:tcW w:type="dxa" w:w="1080"/>
          </w:tcPr>
          <w:p>
            <w:pPr>
              <w:spacing w:after="0"/>
            </w:pPr>
            <w:r/>
            <w:r>
              <w:rPr>
                <w:sz w:val="16"/>
              </w:rPr>
              <w:t>M-7</w:t>
            </w:r>
          </w:p>
        </w:tc>
      </w:tr>
      <w:tr>
        <w:tc>
          <w:tcPr>
            <w:tcW w:type="dxa" w:w="432"/>
          </w:tcPr>
          <w:p>
            <w:pPr>
              <w:spacing w:after="0"/>
            </w:pPr>
            <w:r/>
            <w:r>
              <w:rPr>
                <w:sz w:val="16"/>
              </w:rPr>
              <w:t>26</w:t>
            </w:r>
          </w:p>
        </w:tc>
        <w:tc>
          <w:tcPr>
            <w:tcW w:type="dxa" w:w="3168"/>
          </w:tcPr>
          <w:p>
            <w:pPr>
              <w:spacing w:after="0"/>
            </w:pPr>
            <w:r/>
            <w:r>
              <w:rPr>
                <w:sz w:val="16"/>
              </w:rPr>
              <w:t>Estimand framework per ICH E9(R1) (Section 5)</w:t>
            </w:r>
          </w:p>
        </w:tc>
        <w:tc>
          <w:tcPr>
            <w:tcW w:type="dxa" w:w="2520"/>
          </w:tcPr>
          <w:p>
            <w:pPr>
              <w:spacing w:after="0"/>
            </w:pPr>
            <w:r/>
            <w:r>
              <w:rPr>
                <w:sz w:val="16"/>
              </w:rPr>
              <w:t>Cited but not implemented</w:t>
            </w:r>
          </w:p>
        </w:tc>
        <w:tc>
          <w:tcPr>
            <w:tcW w:type="dxa" w:w="1440"/>
          </w:tcPr>
          <w:p>
            <w:pPr>
              <w:spacing w:after="0"/>
            </w:pPr>
            <w:r/>
            <w:r>
              <w:rPr>
                <w:sz w:val="16"/>
              </w:rPr>
              <w:t>Not addressed</w:t>
            </w:r>
          </w:p>
        </w:tc>
        <w:tc>
          <w:tcPr>
            <w:tcW w:type="dxa" w:w="1080"/>
          </w:tcPr>
          <w:p>
            <w:pPr>
              <w:spacing w:after="0"/>
            </w:pPr>
            <w:r/>
            <w:r>
              <w:rPr>
                <w:sz w:val="16"/>
              </w:rPr>
              <w:t>M-8</w:t>
            </w:r>
          </w:p>
        </w:tc>
      </w:tr>
      <w:tr>
        <w:tc>
          <w:tcPr>
            <w:tcW w:type="dxa" w:w="432"/>
          </w:tcPr>
          <w:p>
            <w:pPr>
              <w:spacing w:after="0"/>
            </w:pPr>
            <w:r/>
            <w:r>
              <w:rPr>
                <w:sz w:val="16"/>
              </w:rPr>
              <w:t>27</w:t>
            </w:r>
          </w:p>
        </w:tc>
        <w:tc>
          <w:tcPr>
            <w:tcW w:type="dxa" w:w="3168"/>
          </w:tcPr>
          <w:p>
            <w:pPr>
              <w:spacing w:after="0"/>
            </w:pPr>
            <w:r/>
            <w:r>
              <w:rPr>
                <w:sz w:val="16"/>
              </w:rPr>
              <w:t>Key secondary endpoints (FibroScan and weight at Wks 26 and 52); prespecified multiplicity and hierarchy (Section 5)</w:t>
            </w:r>
          </w:p>
        </w:tc>
        <w:tc>
          <w:tcPr>
            <w:tcW w:type="dxa" w:w="2520"/>
          </w:tcPr>
          <w:p>
            <w:pPr>
              <w:spacing w:after="0"/>
            </w:pPr>
            <w:r/>
            <w:r>
              <w:rPr>
                <w:sz w:val="16"/>
              </w:rPr>
              <w:t>Hierarchy listed; FibroScan Wk 24; weight Wk 52 only; multiplicity not integrated</w:t>
            </w:r>
          </w:p>
        </w:tc>
        <w:tc>
          <w:tcPr>
            <w:tcW w:type="dxa" w:w="1440"/>
          </w:tcPr>
          <w:p>
            <w:pPr>
              <w:spacing w:after="0"/>
            </w:pPr>
            <w:r/>
            <w:r>
              <w:rPr>
                <w:sz w:val="16"/>
              </w:rPr>
              <w:t>Partially compliant</w:t>
            </w:r>
          </w:p>
        </w:tc>
        <w:tc>
          <w:tcPr>
            <w:tcW w:type="dxa" w:w="1080"/>
          </w:tcPr>
          <w:p>
            <w:pPr>
              <w:spacing w:after="0"/>
            </w:pPr>
            <w:r/>
            <w:r>
              <w:rPr>
                <w:sz w:val="16"/>
              </w:rPr>
              <w:t>m-2; M-7</w:t>
            </w:r>
          </w:p>
        </w:tc>
      </w:tr>
      <w:tr>
        <w:tc>
          <w:tcPr>
            <w:tcW w:type="dxa" w:w="432"/>
          </w:tcPr>
          <w:p>
            <w:pPr>
              <w:spacing w:after="0"/>
            </w:pPr>
            <w:r/>
            <w:r>
              <w:rPr>
                <w:sz w:val="16"/>
              </w:rPr>
              <w:t>28</w:t>
            </w:r>
          </w:p>
        </w:tc>
        <w:tc>
          <w:tcPr>
            <w:tcW w:type="dxa" w:w="3168"/>
          </w:tcPr>
          <w:p>
            <w:pPr>
              <w:spacing w:after="0"/>
            </w:pPr>
            <w:r/>
            <w:r>
              <w:rPr>
                <w:sz w:val="16"/>
              </w:rPr>
              <w:t>Investigator qualification; risk-based monitoring across sites (Section 5)</w:t>
            </w:r>
          </w:p>
        </w:tc>
        <w:tc>
          <w:tcPr>
            <w:tcW w:type="dxa" w:w="2520"/>
          </w:tcPr>
          <w:p>
            <w:pPr>
              <w:spacing w:after="0"/>
            </w:pPr>
            <w:r/>
            <w:r>
              <w:rPr>
                <w:sz w:val="16"/>
              </w:rPr>
              <w:t>§2.2; §12.2</w:t>
            </w:r>
          </w:p>
        </w:tc>
        <w:tc>
          <w:tcPr>
            <w:tcW w:type="dxa" w:w="1440"/>
          </w:tcPr>
          <w:p>
            <w:pPr>
              <w:spacing w:after="0"/>
            </w:pPr>
            <w:r/>
            <w:r>
              <w:rPr>
                <w:sz w:val="16"/>
              </w:rPr>
              <w:t>Compliant</w:t>
            </w:r>
          </w:p>
        </w:tc>
        <w:tc>
          <w:tcPr>
            <w:tcW w:type="dxa" w:w="1080"/>
          </w:tcPr>
          <w:p>
            <w:pPr>
              <w:spacing w:after="0"/>
            </w:pPr>
            <w:r/>
            <w:r>
              <w:rPr>
                <w:sz w:val="16"/>
              </w:rPr>
              <w:t>—</w:t>
            </w:r>
          </w:p>
        </w:tc>
      </w:tr>
      <w:tr>
        <w:tc>
          <w:tcPr>
            <w:tcW w:type="dxa" w:w="432"/>
          </w:tcPr>
          <w:p>
            <w:pPr>
              <w:spacing w:after="0"/>
            </w:pPr>
            <w:r/>
            <w:r>
              <w:rPr>
                <w:sz w:val="16"/>
              </w:rPr>
              <w:t>29</w:t>
            </w:r>
          </w:p>
        </w:tc>
        <w:tc>
          <w:tcPr>
            <w:tcW w:type="dxa" w:w="3168"/>
          </w:tcPr>
          <w:p>
            <w:pPr>
              <w:spacing w:after="0"/>
            </w:pPr>
            <w:r/>
            <w:r>
              <w:rPr>
                <w:sz w:val="16"/>
              </w:rPr>
              <w:t>EDC compliant with Part 11, validated, audit trails (Section 5)</w:t>
            </w:r>
          </w:p>
        </w:tc>
        <w:tc>
          <w:tcPr>
            <w:tcW w:type="dxa" w:w="2520"/>
          </w:tcPr>
          <w:p>
            <w:pPr>
              <w:spacing w:after="0"/>
            </w:pPr>
            <w:r/>
            <w:r>
              <w:rPr>
                <w:sz w:val="16"/>
              </w:rPr>
              <w:t>Not addressed</w:t>
            </w:r>
          </w:p>
        </w:tc>
        <w:tc>
          <w:tcPr>
            <w:tcW w:type="dxa" w:w="1440"/>
          </w:tcPr>
          <w:p>
            <w:pPr>
              <w:spacing w:after="0"/>
            </w:pPr>
            <w:r/>
            <w:r>
              <w:rPr>
                <w:sz w:val="16"/>
              </w:rPr>
              <w:t>Not addressed</w:t>
            </w:r>
          </w:p>
        </w:tc>
        <w:tc>
          <w:tcPr>
            <w:tcW w:type="dxa" w:w="1080"/>
          </w:tcPr>
          <w:p>
            <w:pPr>
              <w:spacing w:after="0"/>
            </w:pPr>
            <w:r/>
            <w:r>
              <w:rPr>
                <w:sz w:val="16"/>
              </w:rPr>
              <w:t>M-3</w:t>
            </w:r>
          </w:p>
        </w:tc>
      </w:tr>
      <w:tr>
        <w:tc>
          <w:tcPr>
            <w:tcW w:type="dxa" w:w="432"/>
          </w:tcPr>
          <w:p>
            <w:pPr>
              <w:spacing w:after="0"/>
            </w:pPr>
            <w:r/>
            <w:r>
              <w:rPr>
                <w:sz w:val="16"/>
              </w:rPr>
              <w:t>30</w:t>
            </w:r>
          </w:p>
        </w:tc>
        <w:tc>
          <w:tcPr>
            <w:tcW w:type="dxa" w:w="3168"/>
          </w:tcPr>
          <w:p>
            <w:pPr>
              <w:spacing w:after="0"/>
            </w:pPr>
            <w:r/>
            <w:r>
              <w:rPr>
                <w:sz w:val="16"/>
              </w:rPr>
              <w:t>Exploratory biomarkers: ELF, Pro-C3, CK-18, FibroTest, MRI-PDFF (Section 5)</w:t>
            </w:r>
          </w:p>
        </w:tc>
        <w:tc>
          <w:tcPr>
            <w:tcW w:type="dxa" w:w="2520"/>
          </w:tcPr>
          <w:p>
            <w:pPr>
              <w:spacing w:after="0"/>
            </w:pPr>
            <w:r/>
            <w:r>
              <w:rPr>
                <w:sz w:val="16"/>
              </w:rPr>
              <w:t>ELF, FIB-4, APRI, MRI-PDFF subset</w:t>
            </w:r>
          </w:p>
        </w:tc>
        <w:tc>
          <w:tcPr>
            <w:tcW w:type="dxa" w:w="1440"/>
          </w:tcPr>
          <w:p>
            <w:pPr>
              <w:spacing w:after="0"/>
            </w:pPr>
            <w:r/>
            <w:r>
              <w:rPr>
                <w:sz w:val="16"/>
              </w:rPr>
              <w:t>Partially compliant</w:t>
            </w:r>
          </w:p>
        </w:tc>
        <w:tc>
          <w:tcPr>
            <w:tcW w:type="dxa" w:w="1080"/>
          </w:tcPr>
          <w:p>
            <w:pPr>
              <w:spacing w:after="0"/>
            </w:pPr>
            <w:r/>
            <w:r>
              <w:rPr>
                <w:sz w:val="16"/>
              </w:rPr>
              <w:t>m-2</w:t>
            </w:r>
          </w:p>
        </w:tc>
      </w:tr>
      <w:tr>
        <w:tc>
          <w:tcPr>
            <w:tcW w:type="dxa" w:w="432"/>
          </w:tcPr>
          <w:p>
            <w:pPr>
              <w:spacing w:after="0"/>
            </w:pPr>
            <w:r/>
            <w:r>
              <w:rPr>
                <w:sz w:val="16"/>
              </w:rPr>
              <w:t>31</w:t>
            </w:r>
          </w:p>
        </w:tc>
        <w:tc>
          <w:tcPr>
            <w:tcW w:type="dxa" w:w="3168"/>
          </w:tcPr>
          <w:p>
            <w:pPr>
              <w:spacing w:after="0"/>
            </w:pPr>
            <w:r/>
            <w:r>
              <w:rPr>
                <w:sz w:val="16"/>
              </w:rPr>
              <w:t>Submit revised protocol with IND by September 15, 2025 (AI 2)</w:t>
            </w:r>
          </w:p>
        </w:tc>
        <w:tc>
          <w:tcPr>
            <w:tcW w:type="dxa" w:w="2520"/>
          </w:tcPr>
          <w:p>
            <w:pPr>
              <w:spacing w:after="0"/>
            </w:pPr>
            <w:r/>
            <w:r>
              <w:rPr>
                <w:sz w:val="16"/>
              </w:rPr>
              <w:t>Revision not yet made</w:t>
            </w:r>
          </w:p>
        </w:tc>
        <w:tc>
          <w:tcPr>
            <w:tcW w:type="dxa" w:w="1440"/>
          </w:tcPr>
          <w:p>
            <w:pPr>
              <w:spacing w:after="0"/>
            </w:pPr>
            <w:r/>
            <w:r>
              <w:rPr>
                <w:sz w:val="16"/>
              </w:rPr>
              <w:t>Pending</w:t>
            </w:r>
          </w:p>
        </w:tc>
        <w:tc>
          <w:tcPr>
            <w:tcW w:type="dxa" w:w="1080"/>
          </w:tcPr>
          <w:p>
            <w:pPr>
              <w:spacing w:after="0"/>
            </w:pPr>
            <w:r/>
            <w:r>
              <w:rPr>
                <w:sz w:val="16"/>
              </w:rPr>
              <w:t>Part V</w:t>
            </w:r>
          </w:p>
        </w:tc>
      </w:tr>
    </w:tbl>
    <w:p>
      <w:pPr>
        <w:spacing w:after="40"/>
      </w:pPr>
    </w:p>
    <w:p>
      <w:pPr>
        <w:pStyle w:val="Heading1"/>
      </w:pPr>
      <w:r>
        <w:t>VIII. Conclusion</w:t>
      </w:r>
    </w:p>
    <w:p>
      <w:pPr>
        <w:spacing w:after="120"/>
        <w:jc w:val="both"/>
      </w:pPr>
      <w:r>
        <w:t>Version 3.0 is a sound base: the endpoint, population, individual-subject stopping rules, AESI framework, EAC and monitoring approach generally match FDA’s advice. But it is not yet fileable. The Critical findings are concentrated in two areas. The first is the six agreed Pre-IND revisions, which have not been made. The second is three missing ICF elements and the absence of any reproductive-safety framework. All of these can be fixed with text, and Part IV supplies most of that text. Two items need Pinnacle decisions this month because they may affect resources and timelines: the sample-size calculation (M-7) and the Canadian regulatory structure (M-2). We look forward to walking through these findings on the briefing call and to reviewing Version 4.0.</w:t>
      </w:r>
    </w:p>
    <w:p>
      <w:pPr>
        <w:spacing w:after="240"/>
      </w:pPr>
      <w:r>
        <w:t>— T.K. / P.M.</w:t>
      </w:r>
    </w:p>
    <w:p>
      <w:pPr>
        <w:spacing w:after="120"/>
        <w:jc w:val="both"/>
      </w:pPr>
      <w:r>
        <w:rPr>
          <w:i/>
          <w:sz w:val="17"/>
        </w:rPr>
        <w:t>This memorandum is a privileged and confidential attorney-client communication and attorney work product, prepared at the request of Pinnacle Therapeutics, Inc. for the purpose of providing legal advice. It reflects regulations, guidance and FDA practice in effect as of its date. FDA and Health Canada retain discretion in their review. Please consult HSL before sharing this memorandum with any third party, including Trident CRO and Ridgeway IRB.</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Privileged &amp; Confidential — Attorney-Client Communication / Attorney Work Product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