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YEE LLP</w:t>
      </w:r>
    </w:p>
    <w:p>
      <w:pPr>
        <w:jc w:val="center"/>
      </w:pPr>
      <w:r>
        <w:rPr>
          <w:b/>
          <w:sz w:val="26"/>
        </w:rPr>
        <w:t>MEMORANDUM</w:t>
      </w:r>
    </w:p>
    <w:p>
      <w:pPr>
        <w:spacing w:after="80"/>
        <w:jc w:val="center"/>
      </w:pPr>
      <w:r>
        <w:rPr>
          <w:b/>
          <w:sz w:val="18"/>
        </w:rPr>
        <w:t>PRIVILEGED &amp; CONFIDENTIAL — ATTORNEY WORK PRODUCT</w:t>
      </w:r>
    </w:p>
    <w:tbl>
      <w:tblPr>
        <w:tblW w:type="auto" w:w="0"/>
        <w:tblLook w:firstColumn="1" w:firstRow="1" w:lastColumn="0" w:lastRow="0" w:noHBand="0" w:noVBand="1" w:val="04A0"/>
      </w:tblPr>
      <w:tblGrid>
        <w:gridCol w:w="4680"/>
        <w:gridCol w:w="4680"/>
      </w:tblGrid>
      <w:tr>
        <w:tc>
          <w:tcPr>
            <w:tcW w:type="dxa" w:w="1152"/>
          </w:tcPr>
          <w:p>
            <w:r/>
            <w:r>
              <w:rPr>
                <w:b/>
              </w:rPr>
              <w:t>TO:</w:t>
            </w:r>
          </w:p>
        </w:tc>
        <w:tc>
          <w:tcPr>
            <w:tcW w:type="dxa" w:w="8208"/>
          </w:tcPr>
          <w:p>
            <w:r>
              <w:t>David Chen-Nakamura, Immigration Partner</w:t>
            </w:r>
          </w:p>
        </w:tc>
      </w:tr>
      <w:tr>
        <w:tc>
          <w:tcPr>
            <w:tcW w:type="dxa" w:w="1152"/>
          </w:tcPr>
          <w:p>
            <w:r/>
            <w:r>
              <w:rPr>
                <w:b/>
              </w:rPr>
              <w:t>CC:</w:t>
            </w:r>
          </w:p>
        </w:tc>
        <w:tc>
          <w:tcPr>
            <w:tcW w:type="dxa" w:w="8208"/>
          </w:tcPr>
          <w:p>
            <w:r>
              <w:t>Rebecca Sloane, Associate; Maria Gutierrez-Foster, Senior Paralegal</w:t>
            </w:r>
          </w:p>
        </w:tc>
      </w:tr>
      <w:tr>
        <w:tc>
          <w:tcPr>
            <w:tcW w:type="dxa" w:w="1152"/>
          </w:tcPr>
          <w:p>
            <w:r/>
            <w:r>
              <w:rPr>
                <w:b/>
              </w:rPr>
              <w:t>FROM:</w:t>
            </w:r>
          </w:p>
        </w:tc>
        <w:tc>
          <w:tcPr>
            <w:tcW w:type="dxa" w:w="8208"/>
          </w:tcPr>
          <w:p>
            <w:r>
              <w:t>Reviewing Associate</w:t>
            </w:r>
          </w:p>
        </w:tc>
      </w:tr>
      <w:tr>
        <w:tc>
          <w:tcPr>
            <w:tcW w:type="dxa" w:w="1152"/>
          </w:tcPr>
          <w:p>
            <w:r/>
            <w:r>
              <w:rPr>
                <w:b/>
              </w:rPr>
              <w:t>DATE:</w:t>
            </w:r>
          </w:p>
        </w:tc>
        <w:tc>
          <w:tcPr>
            <w:tcW w:type="dxa" w:w="8208"/>
          </w:tcPr>
          <w:p>
            <w:r>
              <w:t>February 12, 2025</w:t>
            </w:r>
          </w:p>
        </w:tc>
      </w:tr>
      <w:tr>
        <w:tc>
          <w:tcPr>
            <w:tcW w:type="dxa" w:w="1152"/>
          </w:tcPr>
          <w:p>
            <w:r/>
            <w:r>
              <w:rPr>
                <w:b/>
              </w:rPr>
              <w:t>RE:</w:t>
            </w:r>
          </w:p>
        </w:tc>
        <w:tc>
          <w:tcPr>
            <w:tcW w:type="dxa" w:w="8208"/>
          </w:tcPr>
          <w:p>
            <w:r>
              <w:t>Dr. Ananya Raghavan — Form I-140 (EB-1A) — Prioritized Gap Analysis of Draft Petition Letter, Exhibit Index, and Filing Checklist (Target Filing: February 28, 2025)</w:t>
            </w:r>
          </w:p>
        </w:tc>
      </w:tr>
    </w:tbl>
    <w:p>
      <w:pPr>
        <w:spacing w:after="40"/>
        <w:pBdr>
          <w:bottom w:val="single" w:sz="8" w:color="1F3864"/>
        </w:pBdr>
      </w:pPr>
    </w:p>
    <w:p>
      <w:pPr>
        <w:pStyle w:val="Heading1"/>
      </w:pPr>
      <w:r>
        <w:t>I. Bottom Line</w:t>
      </w:r>
    </w:p>
    <w:p>
      <w:pPr>
        <w:spacing w:after="80"/>
      </w:pPr>
      <w:r>
        <w:t xml:space="preserve">The package is </w:t>
      </w:r>
      <w:r>
        <w:rPr>
          <w:b/>
        </w:rPr>
        <w:t>not fileable in its current form</w:t>
      </w:r>
      <w:r>
        <w:t xml:space="preserve">, and several of the defects are of a kind that would cause </w:t>
      </w:r>
      <w:r>
        <w:rPr>
          <w:b/>
        </w:rPr>
        <w:t>rejection at intake</w:t>
      </w:r>
      <w:r>
        <w:t xml:space="preserve"> (fee and form edition), a </w:t>
      </w:r>
      <w:r>
        <w:rPr>
          <w:b/>
        </w:rPr>
        <w:t>credibility/misrepresentation problem</w:t>
      </w:r>
      <w:r>
        <w:t xml:space="preserve"> (rounded metrics; an expert opinion quoted from a letter we do not have; an expert count that does not add up), or a </w:t>
      </w:r>
      <w:r>
        <w:rPr>
          <w:b/>
        </w:rPr>
        <w:t>mismatch between the brief and the tabs</w:t>
      </w:r>
      <w:r>
        <w:t xml:space="preserve"> that an adjudicator will notice on the first page of the exhibits. None of these is difficult to fix, but several depend on third parties (Dr. Okonkwo, Mr. Ellingham, Meridian HR/payroll, the client), so the February 18 check-in and February 24 freeze dates set in your February 12 email are realistic only if the items below are assigned today.</w:t>
      </w:r>
    </w:p>
    <w:p>
      <w:pPr>
        <w:spacing w:after="80"/>
      </w:pPr>
      <w:r>
        <w:t xml:space="preserve">The single most important finding is structural: </w:t>
      </w:r>
      <w:r>
        <w:rPr>
          <w:b/>
        </w:rPr>
        <w:t>the three working documents do not describe the same case.</w:t>
      </w:r>
      <w:r>
        <w:t xml:space="preserve"> The draft petition letter and the paralegal exhibit index broadly agree on the evidentiary record (Beckworth Prize, ENNS award, ISCN Fellowship, three issued patents, 73 peer reviews, Johansson/Tsai/Al-Rashidi/Moriarty/Okonkwo), but use </w:t>
      </w:r>
      <w:r>
        <w:rPr>
          <w:b/>
        </w:rPr>
        <w:t>different exhibit letters for most exhibits</w:t>
      </w:r>
      <w:r>
        <w:t xml:space="preserve">. The 94-item filing checklist, by contrast, describes a </w:t>
      </w:r>
      <w:r>
        <w:rPr>
          <w:b/>
        </w:rPr>
        <w:t>materially different beneficiary record</w:t>
      </w:r>
      <w:r>
        <w:t xml:space="preserve"> for most items #8–#88 — a different passport number, a Stanford Ph.D. (2021) instead of Imperial College (2014), McKnight/Burroughs Wellcome/Sloan awards, OCNS/SfN memberships, a different slate of expert letters (Sejnowski, Friston, Marder, Rao, Bassett), two pending patent applications rather than three issued patents, a $245,000 salary, and a third exhibit-lettering scheme running to Exhibit X. Eighty-one of the checklist’s 96 rows are marked “Complete,” but because many of those rows describe documents that do not appear in the petition or the index, </w:t>
      </w:r>
      <w:r>
        <w:rPr>
          <w:b/>
        </w:rPr>
        <w:t>the checklist cannot presently be relied on as evidence that the package is complete.</w:t>
      </w:r>
      <w:r>
        <w:t xml:space="preserve"> Until we know which record is correct (and, if the checklist was carried over from another matter, whether another client’s information is sitting in this file), every “Complete” status should be treated as unverified.</w:t>
      </w:r>
    </w:p>
    <w:p>
      <w:pPr>
        <w:spacing w:after="40"/>
      </w:pPr>
      <w:r>
        <w:rPr>
          <w:b/>
        </w:rPr>
        <w:t>Top ten actions, in order:</w:t>
      </w:r>
    </w:p>
    <w:p>
      <w:pPr>
        <w:pStyle w:val="ListNumber"/>
        <w:spacing w:after="40"/>
      </w:pPr>
      <w:r>
        <w:t>Freeze and rebuild the checklist against the physical exhibits and the client’s source documents; confirm which biographical/evidentiary record is accurate (Gap 1, 10).</w:t>
      </w:r>
    </w:p>
    <w:p>
      <w:pPr>
        <w:pStyle w:val="ListNumber"/>
        <w:spacing w:after="40"/>
      </w:pPr>
      <w:r>
        <w:t>Adopt one master exhibit-lettering scheme, re-letter after the Okonkwo decision, and conform every citation in the brief (Gap 2).</w:t>
      </w:r>
    </w:p>
    <w:p>
      <w:pPr>
        <w:pStyle w:val="ListNumber"/>
        <w:spacing w:after="40"/>
      </w:pPr>
      <w:r>
        <w:t>Correct the I-140 fee: under the USCIS fee rule effective April 1, 2024, the I-140 fee is $715 plus a $600 Asylum Program Fee — not $700. Reissue check #10482 and conform the cover letter, Section I, and checklist (Gap 6).</w:t>
      </w:r>
    </w:p>
    <w:p>
      <w:pPr>
        <w:pStyle w:val="ListNumber"/>
        <w:spacing w:after="40"/>
      </w:pPr>
      <w:r>
        <w:t>Confirm and use the current Form I-140 edition (the checklist shows the 12/23/22 edition, which we understand was superseded by the 04/01/24 edition) (Gap 7).</w:t>
      </w:r>
    </w:p>
    <w:p>
      <w:pPr>
        <w:pStyle w:val="ListNumber"/>
        <w:spacing w:after="40"/>
      </w:pPr>
      <w:r>
        <w:t>Obtain the signed Okonkwo letter by February 20 or execute the fallback; do not file with Exhibit H cited but absent, and conform quoted content to the signed letter (Gap 3).</w:t>
      </w:r>
    </w:p>
    <w:p>
      <w:pPr>
        <w:pStyle w:val="ListNumber"/>
        <w:spacing w:after="40"/>
      </w:pPr>
      <w:r>
        <w:t>Fix the expert count: the brief says six experts but names five, and only four letters are in hand (Gap 4).</w:t>
      </w:r>
    </w:p>
    <w:p>
      <w:pPr>
        <w:pStyle w:val="ListNumber"/>
        <w:spacing w:after="40"/>
      </w:pPr>
      <w:r>
        <w:t>Replace “over 50 publications / approximately 4,000 citations” with the exact figures from the refreshed Google Scholar printout, per your instruction (Gap 5).</w:t>
      </w:r>
    </w:p>
    <w:p>
      <w:pPr>
        <w:pStyle w:val="ListNumber"/>
        <w:spacing w:after="40"/>
      </w:pPr>
      <w:r>
        <w:t>Resolve the petitioner identity question (self-petition vs. Meridian as “Petitioning Employer”) and drop Supplement J (Gap 9).</w:t>
      </w:r>
    </w:p>
    <w:p>
      <w:pPr>
        <w:pStyle w:val="ListNumber"/>
        <w:spacing w:after="40"/>
      </w:pPr>
      <w:r>
        <w:t>Verify the three patents against USPTO records; the numbers do not fit the issue dates stated and the checklist instead lists two pending applications (Gap 11).</w:t>
      </w:r>
    </w:p>
    <w:p>
      <w:pPr>
        <w:pStyle w:val="ListNumber"/>
        <w:spacing w:after="40"/>
      </w:pPr>
      <w:r>
        <w:t>Collect all client signatures (G-28, current-edition I-140, I-907) in one session (Gap 8).</w:t>
      </w:r>
    </w:p>
    <w:p>
      <w:pPr>
        <w:pStyle w:val="Heading1"/>
      </w:pPr>
      <w:r>
        <w:t>II. Documents Reviewed and Method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1F3864"/>
          </w:tcPr>
          <w:p>
            <w:r/>
            <w:r>
              <w:rPr>
                <w:b/>
                <w:color w:val="FFFFFF"/>
                <w:sz w:val="17"/>
              </w:rPr>
              <w:t>Document</w:t>
            </w:r>
          </w:p>
        </w:tc>
        <w:tc>
          <w:tcPr>
            <w:tcW w:type="dxa" w:w="4320"/>
            <w:shd w:val="clear" w:color="auto" w:fill="1F3864"/>
          </w:tcPr>
          <w:p>
            <w:r/>
            <w:r>
              <w:rPr>
                <w:b/>
                <w:color w:val="FFFFFF"/>
                <w:sz w:val="17"/>
              </w:rPr>
              <w:t>Description / Version</w:t>
            </w:r>
          </w:p>
        </w:tc>
        <w:tc>
          <w:tcPr>
            <w:tcW w:type="dxa" w:w="3024"/>
            <w:shd w:val="clear" w:color="auto" w:fill="1F3864"/>
          </w:tcPr>
          <w:p>
            <w:r/>
            <w:r>
              <w:rPr>
                <w:b/>
                <w:color w:val="FFFFFF"/>
                <w:sz w:val="17"/>
              </w:rPr>
              <w:t>Notes</w:t>
            </w:r>
          </w:p>
        </w:tc>
      </w:tr>
      <w:tr>
        <w:tc>
          <w:tcPr>
            <w:tcW w:type="dxa" w:w="2016"/>
          </w:tcPr>
          <w:p>
            <w:pPr>
              <w:spacing w:after="20"/>
            </w:pPr>
            <w:r/>
            <w:r>
              <w:rPr>
                <w:sz w:val="17"/>
              </w:rPr>
              <w:t>Draft petition letter</w:t>
            </w:r>
          </w:p>
        </w:tc>
        <w:tc>
          <w:tcPr>
            <w:tcW w:type="dxa" w:w="4320"/>
          </w:tcPr>
          <w:p>
            <w:pPr>
              <w:spacing w:after="20"/>
            </w:pPr>
            <w:r/>
            <w:r>
              <w:rPr>
                <w:sz w:val="17"/>
              </w:rPr>
              <w:t>Cover page, embedded exhibit index (Exhibits A–W, page ranges 1–367), brief Sections I–VIII; dated February 10, 2025; signature block blank</w:t>
            </w:r>
          </w:p>
        </w:tc>
        <w:tc>
          <w:tcPr>
            <w:tcW w:type="dxa" w:w="3024"/>
          </w:tcPr>
          <w:p>
            <w:pPr>
              <w:spacing w:after="20"/>
            </w:pPr>
            <w:r/>
            <w:r>
              <w:rPr>
                <w:sz w:val="17"/>
              </w:rPr>
              <w:t>Rebecca’s email describes it as 28 pages; checklist #20 describes a 42-page brief dated February 9, 2025</w:t>
            </w:r>
          </w:p>
        </w:tc>
      </w:tr>
      <w:tr>
        <w:tc>
          <w:tcPr>
            <w:tcW w:type="dxa" w:w="2016"/>
          </w:tcPr>
          <w:p>
            <w:pPr>
              <w:spacing w:after="20"/>
            </w:pPr>
            <w:r/>
            <w:r>
              <w:rPr>
                <w:sz w:val="17"/>
              </w:rPr>
              <w:t>Exhibit index summary</w:t>
            </w:r>
          </w:p>
        </w:tc>
        <w:tc>
          <w:tcPr>
            <w:tcW w:type="dxa" w:w="4320"/>
          </w:tcPr>
          <w:p>
            <w:pPr>
              <w:spacing w:after="20"/>
            </w:pPr>
            <w:r/>
            <w:r>
              <w:rPr>
                <w:sz w:val="17"/>
              </w:rPr>
              <w:t>Paralegal index prepared by M. Gutierrez-Foster, reviewed by R. Sloane, dated February 10, 2025; Exhibits A–W, 22 exhibits, 412 pages; “Exhibit H not assigned”</w:t>
            </w:r>
          </w:p>
        </w:tc>
        <w:tc>
          <w:tcPr>
            <w:tcW w:type="dxa" w:w="3024"/>
          </w:tcPr>
          <w:p>
            <w:pPr>
              <w:spacing w:after="20"/>
            </w:pPr>
            <w:r/>
            <w:r>
              <w:rPr>
                <w:sz w:val="17"/>
              </w:rPr>
              <w:t>Lists Meridian as “Petitioning Employer”; page ranges “approximate”</w:t>
            </w:r>
          </w:p>
        </w:tc>
      </w:tr>
      <w:tr>
        <w:tc>
          <w:tcPr>
            <w:tcW w:type="dxa" w:w="2016"/>
          </w:tcPr>
          <w:p>
            <w:pPr>
              <w:spacing w:after="20"/>
            </w:pPr>
            <w:r/>
            <w:r>
              <w:rPr>
                <w:sz w:val="17"/>
              </w:rPr>
              <w:t>Filing checklist (xlsx)</w:t>
            </w:r>
          </w:p>
        </w:tc>
        <w:tc>
          <w:tcPr>
            <w:tcW w:type="dxa" w:w="4320"/>
          </w:tcPr>
          <w:p>
            <w:pPr>
              <w:spacing w:after="20"/>
            </w:pPr>
            <w:r/>
            <w:r>
              <w:rPr>
                <w:sz w:val="17"/>
              </w:rPr>
              <w:t>“Filing Checklist” sheet (Items 1–94 plus sub-items 4a–4c = 96 rows) and “Legend &amp; Matter Info” sheet; last updated February 10, 2025</w:t>
            </w:r>
          </w:p>
        </w:tc>
        <w:tc>
          <w:tcPr>
            <w:tcW w:type="dxa" w:w="3024"/>
          </w:tcPr>
          <w:p>
            <w:pPr>
              <w:spacing w:after="20"/>
            </w:pPr>
            <w:r/>
            <w:r>
              <w:rPr>
                <w:sz w:val="17"/>
              </w:rPr>
              <w:t>Exhibit range A–X (24 exhibits); 6 expert letters required, 5 in hand</w:t>
            </w:r>
          </w:p>
        </w:tc>
      </w:tr>
      <w:tr>
        <w:tc>
          <w:tcPr>
            <w:tcW w:type="dxa" w:w="2016"/>
          </w:tcPr>
          <w:p>
            <w:pPr>
              <w:spacing w:after="20"/>
            </w:pPr>
            <w:r/>
            <w:r>
              <w:rPr>
                <w:sz w:val="17"/>
              </w:rPr>
              <w:t>Internal email chain</w:t>
            </w:r>
          </w:p>
        </w:tc>
        <w:tc>
          <w:tcPr>
            <w:tcW w:type="dxa" w:w="4320"/>
          </w:tcPr>
          <w:p>
            <w:pPr>
              <w:spacing w:after="20"/>
            </w:pPr>
            <w:r/>
            <w:r>
              <w:rPr>
                <w:sz w:val="17"/>
              </w:rPr>
              <w:t>R. Sloane (Feb. 10, 4:17 PM); M. Gutierrez-Foster (Feb. 11, 9:42 AM); D. Chen-Nakamura (Feb. 12, 8:05 AM)</w:t>
            </w:r>
          </w:p>
        </w:tc>
        <w:tc>
          <w:tcPr>
            <w:tcW w:type="dxa" w:w="3024"/>
          </w:tcPr>
          <w:p>
            <w:pPr>
              <w:spacing w:after="20"/>
            </w:pPr>
            <w:r/>
            <w:r>
              <w:rPr>
                <w:sz w:val="17"/>
              </w:rPr>
              <w:t>Partner directions on figures, Okonkwo deadline (Feb. 20), CEO letter (draft by Feb. 17), check-in (Feb. 18), freeze (Feb. 24)</w:t>
            </w:r>
          </w:p>
        </w:tc>
      </w:tr>
    </w:tbl>
    <w:p/>
    <w:p>
      <w:pPr>
        <w:spacing w:after="80"/>
      </w:pPr>
      <w:r>
        <w:t>Each fact stated in the brief was traced to (a) the brief’s own embedded index, (b) the paralegal exhibit index, (c) the checklist, and (d) the emails. Where the documents conflict we identify the conflict and the source document that must be pulled to resolve it; we have not had access to the exhibits themselves, so this memo does not resolve which version is correct. Regulatory and fee points reflect our understanding of current USCIS requirements and should be confirmed against the USCIS website (Form I-140 page, Fee Schedule G-1055, and Direct Filing Addresses) on the day checks are cut.</w:t>
      </w:r>
    </w:p>
    <w:p>
      <w:pPr>
        <w:pStyle w:val="Heading1"/>
      </w:pPr>
      <w:r>
        <w:t>III. Priority Scale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shd w:val="clear" w:color="auto" w:fill="1F3864"/>
          </w:tcPr>
          <w:p>
            <w:r/>
            <w:r>
              <w:rPr>
                <w:b/>
                <w:color w:val="FFFFFF"/>
                <w:sz w:val="17"/>
              </w:rPr>
              <w:t>Priority</w:t>
            </w:r>
          </w:p>
        </w:tc>
        <w:tc>
          <w:tcPr>
            <w:tcW w:type="dxa" w:w="5760"/>
            <w:shd w:val="clear" w:color="auto" w:fill="1F3864"/>
          </w:tcPr>
          <w:p>
            <w:r/>
            <w:r>
              <w:rPr>
                <w:b/>
                <w:color w:val="FFFFFF"/>
                <w:sz w:val="17"/>
              </w:rPr>
              <w:t>Meaning</w:t>
            </w:r>
          </w:p>
        </w:tc>
        <w:tc>
          <w:tcPr>
            <w:tcW w:type="dxa" w:w="2016"/>
            <w:shd w:val="clear" w:color="auto" w:fill="1F3864"/>
          </w:tcPr>
          <w:p>
            <w:r/>
            <w:r>
              <w:rPr>
                <w:b/>
                <w:color w:val="FFFFFF"/>
                <w:sz w:val="17"/>
              </w:rPr>
              <w:t>Timing</w:t>
            </w:r>
          </w:p>
        </w:tc>
      </w:tr>
      <w:tr>
        <w:tc>
          <w:tcPr>
            <w:tcW w:type="dxa" w:w="1584"/>
            <w:shd w:val="clear" w:color="auto" w:fill="F4CCCC"/>
          </w:tcPr>
          <w:p>
            <w:pPr>
              <w:spacing w:after="20"/>
            </w:pPr>
            <w:r/>
            <w:r>
              <w:rPr>
                <w:sz w:val="17"/>
              </w:rPr>
              <w:t>P1 — Critical</w:t>
            </w:r>
          </w:p>
        </w:tc>
        <w:tc>
          <w:tcPr>
            <w:tcW w:type="dxa" w:w="5760"/>
          </w:tcPr>
          <w:p>
            <w:pPr>
              <w:spacing w:after="20"/>
            </w:pPr>
            <w:r/>
            <w:r>
              <w:rPr>
                <w:sz w:val="17"/>
              </w:rPr>
              <w:t>Would cause rejection at intake, a misstatement of fact to USCIS, or a brief that cites exhibits that do not exist or are mis-tabbed. Filing should not proceed until cleared.</w:t>
            </w:r>
          </w:p>
        </w:tc>
        <w:tc>
          <w:tcPr>
            <w:tcW w:type="dxa" w:w="2016"/>
          </w:tcPr>
          <w:p>
            <w:pPr>
              <w:spacing w:after="20"/>
            </w:pPr>
            <w:r/>
            <w:r>
              <w:rPr>
                <w:sz w:val="17"/>
              </w:rPr>
              <w:t>Resolve by Feb. 18 check-in (third-party items by Feb. 20)</w:t>
            </w:r>
          </w:p>
        </w:tc>
      </w:tr>
      <w:tr>
        <w:tc>
          <w:tcPr>
            <w:tcW w:type="dxa" w:w="1584"/>
            <w:shd w:val="clear" w:color="auto" w:fill="FCE5CD"/>
          </w:tcPr>
          <w:p>
            <w:pPr>
              <w:spacing w:after="20"/>
            </w:pPr>
            <w:r/>
            <w:r>
              <w:rPr>
                <w:sz w:val="17"/>
              </w:rPr>
              <w:t>P2 — High</w:t>
            </w:r>
          </w:p>
        </w:tc>
        <w:tc>
          <w:tcPr>
            <w:tcW w:type="dxa" w:w="5760"/>
          </w:tcPr>
          <w:p>
            <w:pPr>
              <w:spacing w:after="20"/>
            </w:pPr>
            <w:r/>
            <w:r>
              <w:rPr>
                <w:sz w:val="17"/>
              </w:rPr>
              <w:t>Substantive weakness or inconsistency likely to draw an RFE/NOID or undercut a claimed criterion or the final merits determination.</w:t>
            </w:r>
          </w:p>
        </w:tc>
        <w:tc>
          <w:tcPr>
            <w:tcW w:type="dxa" w:w="2016"/>
          </w:tcPr>
          <w:p>
            <w:pPr>
              <w:spacing w:after="20"/>
            </w:pPr>
            <w:r/>
            <w:r>
              <w:rPr>
                <w:sz w:val="17"/>
              </w:rPr>
              <w:t>Resolve by Feb. 24 freeze</w:t>
            </w:r>
          </w:p>
        </w:tc>
      </w:tr>
      <w:tr>
        <w:tc>
          <w:tcPr>
            <w:tcW w:type="dxa" w:w="1584"/>
            <w:shd w:val="clear" w:color="auto" w:fill="FFF2CC"/>
          </w:tcPr>
          <w:p>
            <w:pPr>
              <w:spacing w:after="20"/>
            </w:pPr>
            <w:r/>
            <w:r>
              <w:rPr>
                <w:sz w:val="17"/>
              </w:rPr>
              <w:t>P3 — Moderate</w:t>
            </w:r>
          </w:p>
        </w:tc>
        <w:tc>
          <w:tcPr>
            <w:tcW w:type="dxa" w:w="5760"/>
          </w:tcPr>
          <w:p>
            <w:pPr>
              <w:spacing w:after="20"/>
            </w:pPr>
            <w:r/>
            <w:r>
              <w:rPr>
                <w:sz w:val="17"/>
              </w:rPr>
              <w:t>Internal consistency, assembly, and housekeeping items; low adjudicative risk individually but cumulatively damaging to credibility.</w:t>
            </w:r>
          </w:p>
        </w:tc>
        <w:tc>
          <w:tcPr>
            <w:tcW w:type="dxa" w:w="2016"/>
          </w:tcPr>
          <w:p>
            <w:pPr>
              <w:spacing w:after="20"/>
            </w:pPr>
            <w:r/>
            <w:r>
              <w:rPr>
                <w:sz w:val="17"/>
              </w:rPr>
              <w:t>Resolve during Feb. 24–27 QC</w:t>
            </w:r>
          </w:p>
        </w:tc>
      </w:tr>
    </w:tbl>
    <w:p/>
    <w:p>
      <w:pPr>
        <w:pStyle w:val="Heading1"/>
      </w:pPr>
      <w:r>
        <w:t>IV. Prioritized Gap Register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1F3864"/>
          </w:tcPr>
          <w:p>
            <w:r/>
            <w:r>
              <w:rPr>
                <w:b/>
                <w:color w:val="FFFFFF"/>
                <w:sz w:val="16"/>
              </w:rPr>
              <w:t>#</w:t>
            </w:r>
          </w:p>
        </w:tc>
        <w:tc>
          <w:tcPr>
            <w:tcW w:type="dxa" w:w="792"/>
            <w:shd w:val="clear" w:color="auto" w:fill="1F3864"/>
          </w:tcPr>
          <w:p>
            <w:r/>
            <w:r>
              <w:rPr>
                <w:b/>
                <w:color w:val="FFFFFF"/>
                <w:sz w:val="16"/>
              </w:rPr>
              <w:t>Priority</w:t>
            </w:r>
          </w:p>
        </w:tc>
        <w:tc>
          <w:tcPr>
            <w:tcW w:type="dxa" w:w="3384"/>
            <w:shd w:val="clear" w:color="auto" w:fill="1F3864"/>
          </w:tcPr>
          <w:p>
            <w:r/>
            <w:r>
              <w:rPr>
                <w:b/>
                <w:color w:val="FFFFFF"/>
                <w:sz w:val="16"/>
              </w:rPr>
              <w:t>Gap</w:t>
            </w:r>
          </w:p>
        </w:tc>
        <w:tc>
          <w:tcPr>
            <w:tcW w:type="dxa" w:w="1872"/>
            <w:shd w:val="clear" w:color="auto" w:fill="1F3864"/>
          </w:tcPr>
          <w:p>
            <w:r/>
            <w:r>
              <w:rPr>
                <w:b/>
                <w:color w:val="FFFFFF"/>
                <w:sz w:val="16"/>
              </w:rPr>
              <w:t>Source(s)</w:t>
            </w:r>
          </w:p>
        </w:tc>
        <w:tc>
          <w:tcPr>
            <w:tcW w:type="dxa" w:w="2880"/>
            <w:shd w:val="clear" w:color="auto" w:fill="1F3864"/>
          </w:tcPr>
          <w:p>
            <w:r/>
            <w:r>
              <w:rPr>
                <w:b/>
                <w:color w:val="FFFFFF"/>
                <w:sz w:val="16"/>
              </w:rPr>
              <w:t>Required action / owner / timing</w:t>
            </w:r>
          </w:p>
        </w:tc>
      </w:tr>
      <w:tr>
        <w:tc>
          <w:tcPr>
            <w:tcW w:type="dxa" w:w="432"/>
          </w:tcPr>
          <w:p>
            <w:pPr>
              <w:spacing w:after="20"/>
            </w:pPr>
            <w:r/>
            <w:r>
              <w:rPr>
                <w:sz w:val="16"/>
              </w:rPr>
              <w:t>1</w:t>
            </w:r>
          </w:p>
        </w:tc>
        <w:tc>
          <w:tcPr>
            <w:tcW w:type="dxa" w:w="792"/>
            <w:shd w:val="clear" w:color="auto" w:fill="F4CCCC"/>
          </w:tcPr>
          <w:p>
            <w:pPr>
              <w:spacing w:after="20"/>
            </w:pPr>
            <w:r/>
            <w:r>
              <w:rPr>
                <w:sz w:val="16"/>
              </w:rPr>
              <w:t>P1</w:t>
            </w:r>
          </w:p>
        </w:tc>
        <w:tc>
          <w:tcPr>
            <w:tcW w:type="dxa" w:w="3384"/>
          </w:tcPr>
          <w:p>
            <w:pPr>
              <w:spacing w:after="20"/>
            </w:pPr>
            <w:r/>
            <w:r>
              <w:rPr>
                <w:b/>
                <w:sz w:val="16"/>
              </w:rPr>
              <w:t>Checklist describes a different evidentiary record.</w:t>
            </w:r>
            <w:r>
              <w:rPr>
                <w:sz w:val="16"/>
              </w:rPr>
              <w:t xml:space="preserve"> Items #8–#88 describe a different passport, education, awards, memberships, media, experts, judging, contributions, patents, salary and employer profile than the brief and the index (see Part VI).</w:t>
            </w:r>
          </w:p>
        </w:tc>
        <w:tc>
          <w:tcPr>
            <w:tcW w:type="dxa" w:w="1872"/>
          </w:tcPr>
          <w:p>
            <w:pPr>
              <w:spacing w:after="20"/>
            </w:pPr>
            <w:r/>
            <w:r>
              <w:rPr>
                <w:sz w:val="16"/>
              </w:rPr>
              <w:t>Checklist #8–#88 vs. brief §§ II, IV–VII and index</w:t>
            </w:r>
          </w:p>
        </w:tc>
        <w:tc>
          <w:tcPr>
            <w:tcW w:type="dxa" w:w="2880"/>
          </w:tcPr>
          <w:p>
            <w:pPr>
              <w:spacing w:after="20"/>
            </w:pPr>
            <w:r/>
            <w:r>
              <w:rPr>
                <w:sz w:val="16"/>
              </w:rPr>
              <w:t>Maria: rebuild checklist line-by-line from the physical exhibit set; flag every row whose described document is not in the binder. David: determine whether rows were carried from another matter and, if so, purge other-client data. Feb. 14.</w:t>
            </w:r>
          </w:p>
        </w:tc>
      </w:tr>
      <w:tr>
        <w:tc>
          <w:tcPr>
            <w:tcW w:type="dxa" w:w="432"/>
          </w:tcPr>
          <w:p>
            <w:pPr>
              <w:spacing w:after="20"/>
            </w:pPr>
            <w:r/>
            <w:r>
              <w:rPr>
                <w:sz w:val="16"/>
              </w:rPr>
              <w:t>2</w:t>
            </w:r>
          </w:p>
        </w:tc>
        <w:tc>
          <w:tcPr>
            <w:tcW w:type="dxa" w:w="792"/>
            <w:shd w:val="clear" w:color="auto" w:fill="F4CCCC"/>
          </w:tcPr>
          <w:p>
            <w:pPr>
              <w:spacing w:after="20"/>
            </w:pPr>
            <w:r/>
            <w:r>
              <w:rPr>
                <w:sz w:val="16"/>
              </w:rPr>
              <w:t>P1</w:t>
            </w:r>
          </w:p>
        </w:tc>
        <w:tc>
          <w:tcPr>
            <w:tcW w:type="dxa" w:w="3384"/>
          </w:tcPr>
          <w:p>
            <w:pPr>
              <w:spacing w:after="20"/>
            </w:pPr>
            <w:r/>
            <w:r>
              <w:rPr>
                <w:b/>
                <w:sz w:val="16"/>
              </w:rPr>
              <w:t>Three inconsistent exhibit-lettering schemes.</w:t>
            </w:r>
            <w:r>
              <w:rPr>
                <w:sz w:val="16"/>
              </w:rPr>
              <w:t xml:space="preserve"> Brief cites awards at L/M, Fellowship at N, media at O, peer review at P, patents at I/J/K, I-94 at U, degrees at V; paralegal index (which tracks the binder) puts awards at I/J, Fellowship at K, media at L–N, peer review at O, patents at P, degrees at U, supplementary media at V, and combines passport + I-94 at C. Checklist uses a third scheme (A–X).</w:t>
            </w:r>
          </w:p>
        </w:tc>
        <w:tc>
          <w:tcPr>
            <w:tcW w:type="dxa" w:w="1872"/>
          </w:tcPr>
          <w:p>
            <w:pPr>
              <w:spacing w:after="20"/>
            </w:pPr>
            <w:r/>
            <w:r>
              <w:rPr>
                <w:sz w:val="16"/>
              </w:rPr>
              <w:t>Brief embedded index &amp; body; index; checklist “Exhibit/Tab” column</w:t>
            </w:r>
          </w:p>
        </w:tc>
        <w:tc>
          <w:tcPr>
            <w:tcW w:type="dxa" w:w="2880"/>
          </w:tcPr>
          <w:p>
            <w:pPr>
              <w:spacing w:after="20"/>
            </w:pPr>
            <w:r/>
            <w:r>
              <w:rPr>
                <w:sz w:val="16"/>
              </w:rPr>
              <w:t>Adopt the binder (paralegal index) or the brief as master; prepare concordance (Part V); conform every citation; re-run QC Item #90. Rebecca/Maria, Feb. 18.</w:t>
            </w:r>
          </w:p>
        </w:tc>
      </w:tr>
      <w:tr>
        <w:tc>
          <w:tcPr>
            <w:tcW w:type="dxa" w:w="432"/>
          </w:tcPr>
          <w:p>
            <w:pPr>
              <w:spacing w:after="20"/>
            </w:pPr>
            <w:r/>
            <w:r>
              <w:rPr>
                <w:sz w:val="16"/>
              </w:rPr>
              <w:t>3</w:t>
            </w:r>
          </w:p>
        </w:tc>
        <w:tc>
          <w:tcPr>
            <w:tcW w:type="dxa" w:w="792"/>
            <w:shd w:val="clear" w:color="auto" w:fill="F4CCCC"/>
          </w:tcPr>
          <w:p>
            <w:pPr>
              <w:spacing w:after="20"/>
            </w:pPr>
            <w:r/>
            <w:r>
              <w:rPr>
                <w:sz w:val="16"/>
              </w:rPr>
              <w:t>P1</w:t>
            </w:r>
          </w:p>
        </w:tc>
        <w:tc>
          <w:tcPr>
            <w:tcW w:type="dxa" w:w="3384"/>
          </w:tcPr>
          <w:p>
            <w:pPr>
              <w:spacing w:after="20"/>
            </w:pPr>
            <w:r/>
            <w:r>
              <w:rPr>
                <w:b/>
                <w:sz w:val="16"/>
              </w:rPr>
              <w:t>Exhibit H (Okonkwo) is cited and quoted but not in hand.</w:t>
            </w:r>
            <w:r>
              <w:rPr>
                <w:sz w:val="16"/>
              </w:rPr>
              <w:t xml:space="preserve"> Brief §§ I, IV.E.4, V attribute specific opinions (“paradigm shift,” “widely adopted and cited”) to a letter not received. Status conflicts: Rebecca says Okonkwo confirmed it was finalized; checklist #56 says only willingness was confirmed (Dec. 20) with no response to Feb. 7 follow-up. Affiliation conflicts: Allen Institute (brief, email) vs. Max Planck (checklist).</w:t>
            </w:r>
          </w:p>
        </w:tc>
        <w:tc>
          <w:tcPr>
            <w:tcW w:type="dxa" w:w="1872"/>
          </w:tcPr>
          <w:p>
            <w:pPr>
              <w:spacing w:after="20"/>
            </w:pPr>
            <w:r/>
            <w:r>
              <w:rPr>
                <w:sz w:val="16"/>
              </w:rPr>
              <w:t>Brief §§ I, IV.E.4, V; index (H not assigned); checklist #56; all three emails</w:t>
            </w:r>
          </w:p>
        </w:tc>
        <w:tc>
          <w:tcPr>
            <w:tcW w:type="dxa" w:w="2880"/>
          </w:tcPr>
          <w:p>
            <w:pPr>
              <w:spacing w:after="20"/>
            </w:pPr>
            <w:r/>
            <w:r>
              <w:rPr>
                <w:sz w:val="16"/>
              </w:rPr>
              <w:t>Rebecca: contact Okonkwo today; signed letter by Feb. 20 (David’s deadline). Conform brief text to the signed letter verbatim. Fallback on Feb. 20: alternate recommender or delete all Exhibit H references and re-letter. Confirm affiliation and title.</w:t>
            </w:r>
          </w:p>
        </w:tc>
      </w:tr>
      <w:tr>
        <w:tc>
          <w:tcPr>
            <w:tcW w:type="dxa" w:w="432"/>
          </w:tcPr>
          <w:p>
            <w:pPr>
              <w:spacing w:after="20"/>
            </w:pPr>
            <w:r/>
            <w:r>
              <w:rPr>
                <w:sz w:val="16"/>
              </w:rPr>
              <w:t>4</w:t>
            </w:r>
          </w:p>
        </w:tc>
        <w:tc>
          <w:tcPr>
            <w:tcW w:type="dxa" w:w="792"/>
            <w:shd w:val="clear" w:color="auto" w:fill="F4CCCC"/>
          </w:tcPr>
          <w:p>
            <w:pPr>
              <w:spacing w:after="20"/>
            </w:pPr>
            <w:r/>
            <w:r>
              <w:rPr>
                <w:sz w:val="16"/>
              </w:rPr>
              <w:t>P1</w:t>
            </w:r>
          </w:p>
        </w:tc>
        <w:tc>
          <w:tcPr>
            <w:tcW w:type="dxa" w:w="3384"/>
          </w:tcPr>
          <w:p>
            <w:pPr>
              <w:spacing w:after="20"/>
            </w:pPr>
            <w:r/>
            <w:r>
              <w:rPr>
                <w:b/>
                <w:sz w:val="16"/>
              </w:rPr>
              <w:t>Expert count is wrong on its face.</w:t>
            </w:r>
            <w:r>
              <w:rPr>
                <w:sz w:val="16"/>
              </w:rPr>
              <w:t xml:space="preserve"> Brief says “six distinguished experts” (§§ I, V, VI) but names five; § I refers to “additional expert support discussed herein,” which does not exist. Only four letters (D–G) are in hand. Maria’s “5 of 6” count includes the missing Okonkwo letter; the checklist’s “5 of 6” counts a different slate of experts.</w:t>
            </w:r>
          </w:p>
        </w:tc>
        <w:tc>
          <w:tcPr>
            <w:tcW w:type="dxa" w:w="1872"/>
          </w:tcPr>
          <w:p>
            <w:pPr>
              <w:spacing w:after="20"/>
            </w:pPr>
            <w:r/>
            <w:r>
              <w:rPr>
                <w:sz w:val="16"/>
              </w:rPr>
              <w:t>Brief §§ I, V, VI; Maria email; checklist #51–#56, Legend</w:t>
            </w:r>
          </w:p>
        </w:tc>
        <w:tc>
          <w:tcPr>
            <w:tcW w:type="dxa" w:w="2880"/>
          </w:tcPr>
          <w:p>
            <w:pPr>
              <w:spacing w:after="20"/>
            </w:pPr>
            <w:r/>
            <w:r>
              <w:rPr>
                <w:sz w:val="16"/>
              </w:rPr>
              <w:t>Either identify and obtain a genuine sixth letter or revise to the actual number. Delete “additional expert support discussed herein.” Six is a firm strategy target, not a regulatory requirement.</w:t>
            </w:r>
          </w:p>
        </w:tc>
      </w:tr>
      <w:tr>
        <w:tc>
          <w:tcPr>
            <w:tcW w:type="dxa" w:w="432"/>
          </w:tcPr>
          <w:p>
            <w:pPr>
              <w:spacing w:after="20"/>
            </w:pPr>
            <w:r/>
            <w:r>
              <w:rPr>
                <w:sz w:val="16"/>
              </w:rPr>
              <w:t>5</w:t>
            </w:r>
          </w:p>
        </w:tc>
        <w:tc>
          <w:tcPr>
            <w:tcW w:type="dxa" w:w="792"/>
            <w:shd w:val="clear" w:color="auto" w:fill="F4CCCC"/>
          </w:tcPr>
          <w:p>
            <w:pPr>
              <w:spacing w:after="20"/>
            </w:pPr>
            <w:r/>
            <w:r>
              <w:rPr>
                <w:sz w:val="16"/>
              </w:rPr>
              <w:t>P1</w:t>
            </w:r>
          </w:p>
        </w:tc>
        <w:tc>
          <w:tcPr>
            <w:tcW w:type="dxa" w:w="3384"/>
          </w:tcPr>
          <w:p>
            <w:pPr>
              <w:spacing w:after="20"/>
            </w:pPr>
            <w:r/>
            <w:r>
              <w:rPr>
                <w:b/>
                <w:sz w:val="16"/>
              </w:rPr>
              <w:t>Rounded publication and citation figures.</w:t>
            </w:r>
            <w:r>
              <w:rPr>
                <w:sz w:val="16"/>
              </w:rPr>
              <w:t xml:space="preserve"> Brief states “over 50 peer-reviewed publications” and “approximately 4,000 citations” in §§ I, IV.E.2 and VI; Exhibit B and the CV show 47 and 3,842 (h-index 29). Checklist #38 shows a third set (27 publications, 1,847 citations, h-index 19).</w:t>
            </w:r>
          </w:p>
        </w:tc>
        <w:tc>
          <w:tcPr>
            <w:tcW w:type="dxa" w:w="1872"/>
          </w:tcPr>
          <w:p>
            <w:pPr>
              <w:spacing w:after="20"/>
            </w:pPr>
            <w:r/>
            <w:r>
              <w:rPr>
                <w:sz w:val="16"/>
              </w:rPr>
              <w:t>Brief §§ I, IV.E.2, VI; index Ex. B, R; checklist #38; Rebecca &amp; David emails</w:t>
            </w:r>
          </w:p>
        </w:tc>
        <w:tc>
          <w:tcPr>
            <w:tcW w:type="dxa" w:w="2880"/>
          </w:tcPr>
          <w:p>
            <w:pPr>
              <w:spacing w:after="20"/>
            </w:pPr>
            <w:r/>
            <w:r>
              <w:rPr>
                <w:sz w:val="16"/>
              </w:rPr>
              <w:t>Per David: use exact figures from the refreshed printout, stated “as of [printout date]”; conform Exhibit R description (“47 peer-reviewed articles”). Reconcile or delete checklist #38.</w:t>
            </w:r>
          </w:p>
        </w:tc>
      </w:tr>
      <w:tr>
        <w:tc>
          <w:tcPr>
            <w:tcW w:type="dxa" w:w="432"/>
          </w:tcPr>
          <w:p>
            <w:pPr>
              <w:spacing w:after="20"/>
            </w:pPr>
            <w:r/>
            <w:r>
              <w:rPr>
                <w:sz w:val="16"/>
              </w:rPr>
              <w:t>6</w:t>
            </w:r>
          </w:p>
        </w:tc>
        <w:tc>
          <w:tcPr>
            <w:tcW w:type="dxa" w:w="792"/>
            <w:shd w:val="clear" w:color="auto" w:fill="F4CCCC"/>
          </w:tcPr>
          <w:p>
            <w:pPr>
              <w:spacing w:after="20"/>
            </w:pPr>
            <w:r/>
            <w:r>
              <w:rPr>
                <w:sz w:val="16"/>
              </w:rPr>
              <w:t>P1</w:t>
            </w:r>
          </w:p>
        </w:tc>
        <w:tc>
          <w:tcPr>
            <w:tcW w:type="dxa" w:w="3384"/>
          </w:tcPr>
          <w:p>
            <w:pPr>
              <w:spacing w:after="20"/>
            </w:pPr>
            <w:r/>
            <w:r>
              <w:rPr>
                <w:b/>
                <w:sz w:val="16"/>
              </w:rPr>
              <w:t>I-140 filing fee is understated.</w:t>
            </w:r>
            <w:r>
              <w:rPr>
                <w:sz w:val="16"/>
              </w:rPr>
              <w:t xml:space="preserve"> $700 was the pre-April 1, 2024 fee. Under the current USCIS fee schedule the I-140 fee is $715 plus a $600 Asylum Program Fee (the $300 reduction is limited to employers with 25 or fewer FTEs; Meridian has ~340, and our understanding is that a self-petitioner pays the full $600). I-907 fee of $2,805 is consistent with the current schedule. Also conflicting payor: “firm check” (checklist #5/#6) vs. Meridian’s Harborstone account (cover letter, emails).</w:t>
            </w:r>
          </w:p>
        </w:tc>
        <w:tc>
          <w:tcPr>
            <w:tcW w:type="dxa" w:w="1872"/>
          </w:tcPr>
          <w:p>
            <w:pPr>
              <w:spacing w:after="20"/>
            </w:pPr>
            <w:r/>
            <w:r>
              <w:rPr>
                <w:sz w:val="16"/>
              </w:rPr>
              <w:t>Cover letter; brief § I; checklist #5–#7, #92, Legend; Maria &amp; David emails</w:t>
            </w:r>
          </w:p>
        </w:tc>
        <w:tc>
          <w:tcPr>
            <w:tcW w:type="dxa" w:w="2880"/>
          </w:tcPr>
          <w:p>
            <w:pPr>
              <w:spacing w:after="20"/>
            </w:pPr>
            <w:r/>
            <w:r>
              <w:rPr>
                <w:sz w:val="16"/>
              </w:rPr>
              <w:t>Verify on Form G-1055 / USCIS Fee Calculator; reissue I-140 check for $1,315 (total package $4,120); confirm payor and update cover letter, § I, Enclosures, checklist #5, #7, #92 and Legend. Maria, Feb. 14.</w:t>
            </w:r>
          </w:p>
        </w:tc>
      </w:tr>
      <w:tr>
        <w:tc>
          <w:tcPr>
            <w:tcW w:type="dxa" w:w="432"/>
          </w:tcPr>
          <w:p>
            <w:pPr>
              <w:spacing w:after="20"/>
            </w:pPr>
            <w:r/>
            <w:r>
              <w:rPr>
                <w:sz w:val="16"/>
              </w:rPr>
              <w:t>7</w:t>
            </w:r>
          </w:p>
        </w:tc>
        <w:tc>
          <w:tcPr>
            <w:tcW w:type="dxa" w:w="792"/>
            <w:shd w:val="clear" w:color="auto" w:fill="F4CCCC"/>
          </w:tcPr>
          <w:p>
            <w:pPr>
              <w:spacing w:after="20"/>
            </w:pPr>
            <w:r/>
            <w:r>
              <w:rPr>
                <w:sz w:val="16"/>
              </w:rPr>
              <w:t>P1</w:t>
            </w:r>
          </w:p>
        </w:tc>
        <w:tc>
          <w:tcPr>
            <w:tcW w:type="dxa" w:w="3384"/>
          </w:tcPr>
          <w:p>
            <w:pPr>
              <w:spacing w:after="20"/>
            </w:pPr>
            <w:r/>
            <w:r>
              <w:rPr>
                <w:b/>
                <w:sz w:val="16"/>
              </w:rPr>
              <w:t>Superseded Form I-140 edition.</w:t>
            </w:r>
            <w:r>
              <w:rPr>
                <w:sz w:val="16"/>
              </w:rPr>
              <w:t xml:space="preserve"> Checklist #1 shows the 12/23/22 edition and itself warns USCIS rejects superseded editions. We understand USCIS required the 04/01/24 edition with the fee rule.</w:t>
            </w:r>
          </w:p>
        </w:tc>
        <w:tc>
          <w:tcPr>
            <w:tcW w:type="dxa" w:w="1872"/>
          </w:tcPr>
          <w:p>
            <w:pPr>
              <w:spacing w:after="20"/>
            </w:pPr>
            <w:r/>
            <w:r>
              <w:rPr>
                <w:sz w:val="16"/>
              </w:rPr>
              <w:t>Checklist #1</w:t>
            </w:r>
          </w:p>
        </w:tc>
        <w:tc>
          <w:tcPr>
            <w:tcW w:type="dxa" w:w="2880"/>
          </w:tcPr>
          <w:p>
            <w:pPr>
              <w:spacing w:after="20"/>
            </w:pPr>
            <w:r/>
            <w:r>
              <w:rPr>
                <w:sz w:val="16"/>
              </w:rPr>
              <w:t>Confirm current edition on uscis.gov/i-140; re-prepare on current edition; client re-signs (combine with Gap 8). Also confirm current I-907 and G-28 editions.</w:t>
            </w:r>
          </w:p>
        </w:tc>
      </w:tr>
      <w:tr>
        <w:tc>
          <w:tcPr>
            <w:tcW w:type="dxa" w:w="432"/>
          </w:tcPr>
          <w:p>
            <w:pPr>
              <w:spacing w:after="20"/>
            </w:pPr>
            <w:r/>
            <w:r>
              <w:rPr>
                <w:sz w:val="16"/>
              </w:rPr>
              <w:t>8</w:t>
            </w:r>
          </w:p>
        </w:tc>
        <w:tc>
          <w:tcPr>
            <w:tcW w:type="dxa" w:w="792"/>
            <w:shd w:val="clear" w:color="auto" w:fill="F4CCCC"/>
          </w:tcPr>
          <w:p>
            <w:pPr>
              <w:spacing w:after="20"/>
            </w:pPr>
            <w:r/>
            <w:r>
              <w:rPr>
                <w:sz w:val="16"/>
              </w:rPr>
              <w:t>P1</w:t>
            </w:r>
          </w:p>
        </w:tc>
        <w:tc>
          <w:tcPr>
            <w:tcW w:type="dxa" w:w="3384"/>
          </w:tcPr>
          <w:p>
            <w:pPr>
              <w:spacing w:after="20"/>
            </w:pPr>
            <w:r/>
            <w:r>
              <w:rPr>
                <w:b/>
                <w:sz w:val="16"/>
              </w:rPr>
              <w:t>Client signatures outstanding.</w:t>
            </w:r>
            <w:r>
              <w:rPr>
                <w:sz w:val="16"/>
              </w:rPr>
              <w:t xml:space="preserve"> G-28 lacks client signature (#4c). Re-prepared I-140 (Gap 7) and I-907 also need the self-petitioner’s handwritten signature.</w:t>
            </w:r>
          </w:p>
        </w:tc>
        <w:tc>
          <w:tcPr>
            <w:tcW w:type="dxa" w:w="1872"/>
          </w:tcPr>
          <w:p>
            <w:pPr>
              <w:spacing w:after="20"/>
            </w:pPr>
            <w:r/>
            <w:r>
              <w:rPr>
                <w:sz w:val="16"/>
              </w:rPr>
              <w:t>Checklist #4a–#4c; Maria &amp; David emails</w:t>
            </w:r>
          </w:p>
        </w:tc>
        <w:tc>
          <w:tcPr>
            <w:tcW w:type="dxa" w:w="2880"/>
          </w:tcPr>
          <w:p>
            <w:pPr>
              <w:spacing w:after="20"/>
            </w:pPr>
            <w:r/>
            <w:r>
              <w:rPr>
                <w:sz w:val="16"/>
              </w:rPr>
              <w:t>David: one signing session for G-28, I-140, I-907 (and any other client-signed items). USCIS accepts reproduced copies of original handwritten signatures, but the original must be ink-signed. Prefer delivery to the client’s home/secure channel rather than Meridian’s offices (confidentiality; see Gap 30).</w:t>
            </w:r>
          </w:p>
        </w:tc>
      </w:tr>
      <w:tr>
        <w:tc>
          <w:tcPr>
            <w:tcW w:type="dxa" w:w="432"/>
          </w:tcPr>
          <w:p>
            <w:pPr>
              <w:spacing w:after="20"/>
            </w:pPr>
            <w:r/>
            <w:r>
              <w:rPr>
                <w:sz w:val="16"/>
              </w:rPr>
              <w:t>9</w:t>
            </w:r>
          </w:p>
        </w:tc>
        <w:tc>
          <w:tcPr>
            <w:tcW w:type="dxa" w:w="792"/>
            <w:shd w:val="clear" w:color="auto" w:fill="F4CCCC"/>
          </w:tcPr>
          <w:p>
            <w:pPr>
              <w:spacing w:after="20"/>
            </w:pPr>
            <w:r/>
            <w:r>
              <w:rPr>
                <w:sz w:val="16"/>
              </w:rPr>
              <w:t>P1</w:t>
            </w:r>
          </w:p>
        </w:tc>
        <w:tc>
          <w:tcPr>
            <w:tcW w:type="dxa" w:w="3384"/>
          </w:tcPr>
          <w:p>
            <w:pPr>
              <w:spacing w:after="20"/>
            </w:pPr>
            <w:r/>
            <w:r>
              <w:rPr>
                <w:b/>
                <w:sz w:val="16"/>
              </w:rPr>
              <w:t>Who is the petitioner?</w:t>
            </w:r>
            <w:r>
              <w:rPr>
                <w:sz w:val="16"/>
              </w:rPr>
              <w:t xml:space="preserve"> Brief, I-140 note, and Legend describe a self-petition; the exhibit index lists Meridian as “Petitioning Employer,” the Legend lists a “Sponsoring Employer,” and checklist #2 includes a “Form I-140 Supplement J” signed by Meridian. Supplement J is a Form I-485 supplement used for adjustment/portability; it is not part of a stand-alone I-140 filing and implies an employer-sponsored job offer.</w:t>
            </w:r>
          </w:p>
        </w:tc>
        <w:tc>
          <w:tcPr>
            <w:tcW w:type="dxa" w:w="1872"/>
          </w:tcPr>
          <w:p>
            <w:pPr>
              <w:spacing w:after="20"/>
            </w:pPr>
            <w:r/>
            <w:r>
              <w:rPr>
                <w:sz w:val="16"/>
              </w:rPr>
              <w:t>Index header; checklist #2, #3, Legend; brief §§ I, III, VII</w:t>
            </w:r>
          </w:p>
        </w:tc>
        <w:tc>
          <w:tcPr>
            <w:tcW w:type="dxa" w:w="2880"/>
          </w:tcPr>
          <w:p>
            <w:pPr>
              <w:spacing w:after="20"/>
            </w:pPr>
            <w:r/>
            <w:r>
              <w:rPr>
                <w:sz w:val="16"/>
              </w:rPr>
              <w:t>Confirm self-petition (consistent with brief). Remove “Petitioning Employer” from index; remove Supplement J from the package (retain for any later I-485); update #3 tab order. Confirm Part 1 of I-140 names Dr. Raghavan.</w:t>
            </w:r>
          </w:p>
        </w:tc>
      </w:tr>
      <w:tr>
        <w:tc>
          <w:tcPr>
            <w:tcW w:type="dxa" w:w="432"/>
          </w:tcPr>
          <w:p>
            <w:pPr>
              <w:spacing w:after="20"/>
            </w:pPr>
            <w:r/>
            <w:r>
              <w:rPr>
                <w:sz w:val="16"/>
              </w:rPr>
              <w:t>10</w:t>
            </w:r>
          </w:p>
        </w:tc>
        <w:tc>
          <w:tcPr>
            <w:tcW w:type="dxa" w:w="792"/>
            <w:shd w:val="clear" w:color="auto" w:fill="F4CCCC"/>
          </w:tcPr>
          <w:p>
            <w:pPr>
              <w:spacing w:after="20"/>
            </w:pPr>
            <w:r/>
            <w:r>
              <w:rPr>
                <w:sz w:val="16"/>
              </w:rPr>
              <w:t>P1</w:t>
            </w:r>
          </w:p>
        </w:tc>
        <w:tc>
          <w:tcPr>
            <w:tcW w:type="dxa" w:w="3384"/>
          </w:tcPr>
          <w:p>
            <w:pPr>
              <w:spacing w:after="20"/>
            </w:pPr>
            <w:r/>
            <w:r>
              <w:rPr>
                <w:b/>
                <w:sz w:val="16"/>
              </w:rPr>
              <w:t>Biographical/identity data conflict.</w:t>
            </w:r>
            <w:r>
              <w:rPr>
                <w:sz w:val="16"/>
              </w:rPr>
              <w:t xml:space="preserve"> Passport Z9174826 exp. 03/22/2029 (brief, index) vs. Z4817293 exp. 04/11/2031 (checklist #8). Birthplace Bengaluru, Karnataka (brief) vs. birth certificate from Chennai, Tamil Nadu (checklist #13). Education Imperial Ph.D. 2014 + IIT B.Tech CS 2009 (brief, index) vs. Stanford Ph.D. 2021, IIT M.Tech 2017, IIT B.Tech EE 2015, F-1 2015–2021 (checklist #18, #30, #32–#36).</w:t>
            </w:r>
          </w:p>
        </w:tc>
        <w:tc>
          <w:tcPr>
            <w:tcW w:type="dxa" w:w="1872"/>
          </w:tcPr>
          <w:p>
            <w:pPr>
              <w:spacing w:after="20"/>
            </w:pPr>
            <w:r/>
            <w:r>
              <w:rPr>
                <w:sz w:val="16"/>
              </w:rPr>
              <w:t>Brief § II; index C, U; checklist #8, #13, #18, #30–#37</w:t>
            </w:r>
          </w:p>
        </w:tc>
        <w:tc>
          <w:tcPr>
            <w:tcW w:type="dxa" w:w="2880"/>
          </w:tcPr>
          <w:p>
            <w:pPr>
              <w:spacing w:after="20"/>
            </w:pPr>
            <w:r/>
            <w:r>
              <w:rPr>
                <w:sz w:val="16"/>
              </w:rPr>
              <w:t>Pull the passport, birth certificate, diplomas and I-94 and verify every data point that appears on the I-140 form and in § II. Data on the form must match the passport exactly.</w:t>
            </w:r>
          </w:p>
        </w:tc>
      </w:tr>
      <w:tr>
        <w:tc>
          <w:tcPr>
            <w:tcW w:type="dxa" w:w="432"/>
          </w:tcPr>
          <w:p>
            <w:pPr>
              <w:spacing w:after="20"/>
            </w:pPr>
            <w:r/>
            <w:r>
              <w:rPr>
                <w:sz w:val="16"/>
              </w:rPr>
              <w:t>11</w:t>
            </w:r>
          </w:p>
        </w:tc>
        <w:tc>
          <w:tcPr>
            <w:tcW w:type="dxa" w:w="792"/>
            <w:shd w:val="clear" w:color="auto" w:fill="FCE5CD"/>
          </w:tcPr>
          <w:p>
            <w:pPr>
              <w:spacing w:after="20"/>
            </w:pPr>
            <w:r/>
            <w:r>
              <w:rPr>
                <w:sz w:val="16"/>
              </w:rPr>
              <w:t>P2</w:t>
            </w:r>
          </w:p>
        </w:tc>
        <w:tc>
          <w:tcPr>
            <w:tcW w:type="dxa" w:w="3384"/>
          </w:tcPr>
          <w:p>
            <w:pPr>
              <w:spacing w:after="20"/>
            </w:pPr>
            <w:r/>
            <w:r>
              <w:rPr>
                <w:b/>
                <w:sz w:val="16"/>
              </w:rPr>
              <w:t>Patent evidence unverified and internally inconsistent.</w:t>
            </w:r>
            <w:r>
              <w:rPr>
                <w:sz w:val="16"/>
              </w:rPr>
              <w:t xml:space="preserve"> Brief cites three issued U.S. patents (11,234,567 issued Jan. 10, 2023; 11,456,789 issued July 18, 2023; 11,678,901 issued Feb. 6, 2024). Checklist #68–#69 instead lists two pending applications (18/294,571; 18/412,003) assigned to Meridian. The patent numbers do not fit USPTO numbering for those issue dates (patents in the 11.2–11.7 million range issued roughly 2022–mid-2023).</w:t>
            </w:r>
          </w:p>
        </w:tc>
        <w:tc>
          <w:tcPr>
            <w:tcW w:type="dxa" w:w="1872"/>
          </w:tcPr>
          <w:p>
            <w:pPr>
              <w:spacing w:after="20"/>
            </w:pPr>
            <w:r/>
            <w:r>
              <w:rPr>
                <w:sz w:val="16"/>
              </w:rPr>
              <w:t>Brief §§ I, IV.E.1, VI; index P (three patents in one exhibit) vs. brief I/J/K; checklist #68–#69</w:t>
            </w:r>
          </w:p>
        </w:tc>
        <w:tc>
          <w:tcPr>
            <w:tcW w:type="dxa" w:w="2880"/>
          </w:tcPr>
          <w:p>
            <w:pPr>
              <w:spacing w:after="20"/>
            </w:pPr>
            <w:r/>
            <w:r>
              <w:rPr>
                <w:sz w:val="16"/>
              </w:rPr>
              <w:t>Rebecca: pull each patent from USPTO Patent Center; confirm number, title, issue date, named inventors, assignee. If the record is pending applications, rewrite § IV.E.1 (pending applications show originality only). Add evidence of licensing, commercialization, or citation of the patents to show significance.</w:t>
            </w:r>
          </w:p>
        </w:tc>
      </w:tr>
      <w:tr>
        <w:tc>
          <w:tcPr>
            <w:tcW w:type="dxa" w:w="432"/>
          </w:tcPr>
          <w:p>
            <w:pPr>
              <w:spacing w:after="20"/>
            </w:pPr>
            <w:r/>
            <w:r>
              <w:rPr>
                <w:sz w:val="16"/>
              </w:rPr>
              <w:t>12</w:t>
            </w:r>
          </w:p>
        </w:tc>
        <w:tc>
          <w:tcPr>
            <w:tcW w:type="dxa" w:w="792"/>
            <w:shd w:val="clear" w:color="auto" w:fill="FCE5CD"/>
          </w:tcPr>
          <w:p>
            <w:pPr>
              <w:spacing w:after="20"/>
            </w:pPr>
            <w:r/>
            <w:r>
              <w:rPr>
                <w:sz w:val="16"/>
              </w:rPr>
              <w:t>P2</w:t>
            </w:r>
          </w:p>
        </w:tc>
        <w:tc>
          <w:tcPr>
            <w:tcW w:type="dxa" w:w="3384"/>
          </w:tcPr>
          <w:p>
            <w:pPr>
              <w:spacing w:after="20"/>
            </w:pPr>
            <w:r/>
            <w:r>
              <w:rPr>
                <w:b/>
                <w:sz w:val="16"/>
              </w:rPr>
              <w:t>Original-contributions criterion leans on the missing letter.</w:t>
            </w:r>
            <w:r>
              <w:rPr>
                <w:sz w:val="16"/>
              </w:rPr>
              <w:t xml:space="preserve"> The fusion-architecture “paradigm shift” and “widely adopted” claims rest on Exhibit H. Remaining support is largely expert characterization and aggregate metrics.</w:t>
            </w:r>
          </w:p>
        </w:tc>
        <w:tc>
          <w:tcPr>
            <w:tcW w:type="dxa" w:w="1872"/>
          </w:tcPr>
          <w:p>
            <w:pPr>
              <w:spacing w:after="20"/>
            </w:pPr>
            <w:r/>
            <w:r>
              <w:rPr>
                <w:sz w:val="16"/>
              </w:rPr>
              <w:t>Brief § IV.E; checklist #64–#70</w:t>
            </w:r>
          </w:p>
        </w:tc>
        <w:tc>
          <w:tcPr>
            <w:tcW w:type="dxa" w:w="2880"/>
          </w:tcPr>
          <w:p>
            <w:pPr>
              <w:spacing w:after="20"/>
            </w:pPr>
            <w:r/>
            <w:r>
              <w:rPr>
                <w:sz w:val="16"/>
              </w:rPr>
              <w:t>Add objective corroboration: citations to specific papers (Ex. S), third-party works building on her methods, adoption/licensing evidence. Confirm whether the adoption evidence in checklist #64–#66, #70 exists for this client.</w:t>
            </w:r>
          </w:p>
        </w:tc>
      </w:tr>
      <w:tr>
        <w:tc>
          <w:tcPr>
            <w:tcW w:type="dxa" w:w="432"/>
          </w:tcPr>
          <w:p>
            <w:pPr>
              <w:spacing w:after="20"/>
            </w:pPr>
            <w:r/>
            <w:r>
              <w:rPr>
                <w:sz w:val="16"/>
              </w:rPr>
              <w:t>13</w:t>
            </w:r>
          </w:p>
        </w:tc>
        <w:tc>
          <w:tcPr>
            <w:tcW w:type="dxa" w:w="792"/>
            <w:shd w:val="clear" w:color="auto" w:fill="FCE5CD"/>
          </w:tcPr>
          <w:p>
            <w:pPr>
              <w:spacing w:after="20"/>
            </w:pPr>
            <w:r/>
            <w:r>
              <w:rPr>
                <w:sz w:val="16"/>
              </w:rPr>
              <w:t>P2</w:t>
            </w:r>
          </w:p>
        </w:tc>
        <w:tc>
          <w:tcPr>
            <w:tcW w:type="dxa" w:w="3384"/>
          </w:tcPr>
          <w:p>
            <w:pPr>
              <w:spacing w:after="20"/>
            </w:pPr>
            <w:r/>
            <w:r>
              <w:rPr>
                <w:b/>
                <w:sz w:val="16"/>
              </w:rPr>
              <w:t>Strategy: authorship criterion (vi) not claimed.</w:t>
            </w:r>
            <w:r>
              <w:rPr>
                <w:sz w:val="16"/>
              </w:rPr>
              <w:t xml:space="preserve"> Forty-seven peer-reviewed articles almost certainly satisfy 8 C.F.R. § 204.5(h)(3)(vi); the brief expressly declines to claim it. With (iii) and (v) carrying evidentiary risk, (vi) is a low-cost backstop.</w:t>
            </w:r>
          </w:p>
        </w:tc>
        <w:tc>
          <w:tcPr>
            <w:tcW w:type="dxa" w:w="1872"/>
          </w:tcPr>
          <w:p>
            <w:pPr>
              <w:spacing w:after="20"/>
            </w:pPr>
            <w:r/>
            <w:r>
              <w:rPr>
                <w:sz w:val="16"/>
              </w:rPr>
              <w:t>Brief §§ I, III, IV</w:t>
            </w:r>
          </w:p>
        </w:tc>
        <w:tc>
          <w:tcPr>
            <w:tcW w:type="dxa" w:w="2880"/>
          </w:tcPr>
          <w:p>
            <w:pPr>
              <w:spacing w:after="20"/>
            </w:pPr>
            <w:r/>
            <w:r>
              <w:rPr>
                <w:sz w:val="16"/>
              </w:rPr>
              <w:t>Recommend adding a short § IV.F on (vi) using Exhibits A, B, R. Consider (ix) high salary only if accurate salary and comparative wage data are confirmed (Gap 14); (viii) critical role would need the CEO letter and org chart.</w:t>
            </w:r>
          </w:p>
        </w:tc>
      </w:tr>
      <w:tr>
        <w:tc>
          <w:tcPr>
            <w:tcW w:type="dxa" w:w="432"/>
          </w:tcPr>
          <w:p>
            <w:pPr>
              <w:spacing w:after="20"/>
            </w:pPr>
            <w:r/>
            <w:r>
              <w:rPr>
                <w:sz w:val="16"/>
              </w:rPr>
              <w:t>14</w:t>
            </w:r>
          </w:p>
        </w:tc>
        <w:tc>
          <w:tcPr>
            <w:tcW w:type="dxa" w:w="792"/>
            <w:shd w:val="clear" w:color="auto" w:fill="FCE5CD"/>
          </w:tcPr>
          <w:p>
            <w:pPr>
              <w:spacing w:after="20"/>
            </w:pPr>
            <w:r/>
            <w:r>
              <w:rPr>
                <w:sz w:val="16"/>
              </w:rPr>
              <w:t>P2</w:t>
            </w:r>
          </w:p>
        </w:tc>
        <w:tc>
          <w:tcPr>
            <w:tcW w:type="dxa" w:w="3384"/>
          </w:tcPr>
          <w:p>
            <w:pPr>
              <w:spacing w:after="20"/>
            </w:pPr>
            <w:r/>
            <w:r>
              <w:rPr>
                <w:b/>
                <w:sz w:val="16"/>
              </w:rPr>
              <w:t>Title and salary conflict.</w:t>
            </w:r>
            <w:r>
              <w:rPr>
                <w:sz w:val="16"/>
              </w:rPr>
              <w:t xml:space="preserve"> Senior Research Scientist at $218,000 (brief, index Q) vs. Principal Research Scientist at $245,000 with 2023 W-2 of $238,500 (checklist #71, #75, #77, #78). Pay stubs/W-2 showing more than the stated salary would contradict the brief.</w:t>
            </w:r>
          </w:p>
        </w:tc>
        <w:tc>
          <w:tcPr>
            <w:tcW w:type="dxa" w:w="1872"/>
          </w:tcPr>
          <w:p>
            <w:pPr>
              <w:spacing w:after="20"/>
            </w:pPr>
            <w:r/>
            <w:r>
              <w:rPr>
                <w:sz w:val="16"/>
              </w:rPr>
              <w:t>Brief §§ II, VI, VII; index Q; checklist #71, #75–#78</w:t>
            </w:r>
          </w:p>
        </w:tc>
        <w:tc>
          <w:tcPr>
            <w:tcW w:type="dxa" w:w="2880"/>
          </w:tcPr>
          <w:p>
            <w:pPr>
              <w:spacing w:after="20"/>
            </w:pPr>
            <w:r/>
            <w:r>
              <w:rPr>
                <w:sz w:val="16"/>
              </w:rPr>
              <w:t>Confirm with Meridian HR; conform Exhibit Q, brief and any pay records. 2024 W-2 (#76) was due end of January and is overdue.</w:t>
            </w:r>
          </w:p>
        </w:tc>
      </w:tr>
      <w:tr>
        <w:tc>
          <w:tcPr>
            <w:tcW w:type="dxa" w:w="432"/>
          </w:tcPr>
          <w:p>
            <w:pPr>
              <w:spacing w:after="20"/>
            </w:pPr>
            <w:r/>
            <w:r>
              <w:rPr>
                <w:sz w:val="16"/>
              </w:rPr>
              <w:t>15</w:t>
            </w:r>
          </w:p>
        </w:tc>
        <w:tc>
          <w:tcPr>
            <w:tcW w:type="dxa" w:w="792"/>
            <w:shd w:val="clear" w:color="auto" w:fill="FCE5CD"/>
          </w:tcPr>
          <w:p>
            <w:pPr>
              <w:spacing w:after="20"/>
            </w:pPr>
            <w:r/>
            <w:r>
              <w:rPr>
                <w:sz w:val="16"/>
              </w:rPr>
              <w:t>P2</w:t>
            </w:r>
          </w:p>
        </w:tc>
        <w:tc>
          <w:tcPr>
            <w:tcW w:type="dxa" w:w="3384"/>
          </w:tcPr>
          <w:p>
            <w:pPr>
              <w:spacing w:after="20"/>
            </w:pPr>
            <w:r/>
            <w:r>
              <w:rPr>
                <w:b/>
                <w:sz w:val="16"/>
              </w:rPr>
              <w:t>Employer letters.</w:t>
            </w:r>
            <w:r>
              <w:rPr>
                <w:sz w:val="16"/>
              </w:rPr>
              <w:t xml:space="preserve"> Exhibit Q is signed by Dr. Venkatesh (brief, index, email); checklist #71 says CEO signatory. CEO support letter (#72) not started.</w:t>
            </w:r>
          </w:p>
        </w:tc>
        <w:tc>
          <w:tcPr>
            <w:tcW w:type="dxa" w:w="1872"/>
          </w:tcPr>
          <w:p>
            <w:pPr>
              <w:spacing w:after="20"/>
            </w:pPr>
            <w:r/>
            <w:r>
              <w:rPr>
                <w:sz w:val="16"/>
              </w:rPr>
              <w:t>Brief § VII; index Q; checklist #71–#72; Maria &amp; David emails</w:t>
            </w:r>
          </w:p>
        </w:tc>
        <w:tc>
          <w:tcPr>
            <w:tcW w:type="dxa" w:w="2880"/>
          </w:tcPr>
          <w:p>
            <w:pPr>
              <w:spacing w:after="20"/>
            </w:pPr>
            <w:r/>
            <w:r>
              <w:rPr>
                <w:sz w:val="16"/>
              </w:rPr>
              <w:t>Rebecca: CEO letter draft by Feb. 17 (per David). Give it its own exhibit letter (not shared with Q), cite it in § VII, and correct #71 signatory note. Index currently files Q under Criterion 5; move to employment/supplementary.</w:t>
            </w:r>
          </w:p>
        </w:tc>
      </w:tr>
      <w:tr>
        <w:tc>
          <w:tcPr>
            <w:tcW w:type="dxa" w:w="432"/>
          </w:tcPr>
          <w:p>
            <w:pPr>
              <w:spacing w:after="20"/>
            </w:pPr>
            <w:r/>
            <w:r>
              <w:rPr>
                <w:sz w:val="16"/>
              </w:rPr>
              <w:t>16</w:t>
            </w:r>
          </w:p>
        </w:tc>
        <w:tc>
          <w:tcPr>
            <w:tcW w:type="dxa" w:w="792"/>
            <w:shd w:val="clear" w:color="auto" w:fill="FCE5CD"/>
          </w:tcPr>
          <w:p>
            <w:pPr>
              <w:spacing w:after="20"/>
            </w:pPr>
            <w:r/>
            <w:r>
              <w:rPr>
                <w:sz w:val="16"/>
              </w:rPr>
              <w:t>P2</w:t>
            </w:r>
          </w:p>
        </w:tc>
        <w:tc>
          <w:tcPr>
            <w:tcW w:type="dxa" w:w="3384"/>
          </w:tcPr>
          <w:p>
            <w:pPr>
              <w:spacing w:after="20"/>
            </w:pPr>
            <w:r/>
            <w:r>
              <w:rPr>
                <w:b/>
                <w:sz w:val="16"/>
              </w:rPr>
              <w:t>Meridian corporate facts conflict.</w:t>
            </w:r>
            <w:r>
              <w:rPr>
                <w:sz w:val="16"/>
              </w:rPr>
              <w:t xml:space="preserve"> Founded 2016, ~340 employees, FY2024 revenue $87.3M (brief, index W) vs. founded 2019, 85 employees, Series C at $180M valuation (checklist #73).</w:t>
            </w:r>
          </w:p>
        </w:tc>
        <w:tc>
          <w:tcPr>
            <w:tcW w:type="dxa" w:w="1872"/>
          </w:tcPr>
          <w:p>
            <w:pPr>
              <w:spacing w:after="20"/>
            </w:pPr>
            <w:r/>
            <w:r>
              <w:rPr>
                <w:sz w:val="16"/>
              </w:rPr>
              <w:t>Brief §§ II, VII; index W; checklist #73, #74, #88</w:t>
            </w:r>
          </w:p>
        </w:tc>
        <w:tc>
          <w:tcPr>
            <w:tcW w:type="dxa" w:w="2880"/>
          </w:tcPr>
          <w:p>
            <w:pPr>
              <w:spacing w:after="20"/>
            </w:pPr>
            <w:r/>
            <w:r>
              <w:rPr>
                <w:sz w:val="16"/>
              </w:rPr>
              <w:t>Verify against Exhibit W source documents; the brief should state only what Exhibit W shows.</w:t>
            </w:r>
          </w:p>
        </w:tc>
      </w:tr>
      <w:tr>
        <w:tc>
          <w:tcPr>
            <w:tcW w:type="dxa" w:w="432"/>
          </w:tcPr>
          <w:p>
            <w:pPr>
              <w:spacing w:after="20"/>
            </w:pPr>
            <w:r/>
            <w:r>
              <w:rPr>
                <w:sz w:val="16"/>
              </w:rPr>
              <w:t>17</w:t>
            </w:r>
          </w:p>
        </w:tc>
        <w:tc>
          <w:tcPr>
            <w:tcW w:type="dxa" w:w="792"/>
            <w:shd w:val="clear" w:color="auto" w:fill="FCE5CD"/>
          </w:tcPr>
          <w:p>
            <w:pPr>
              <w:spacing w:after="20"/>
            </w:pPr>
            <w:r/>
            <w:r>
              <w:rPr>
                <w:sz w:val="16"/>
              </w:rPr>
              <w:t>P2</w:t>
            </w:r>
          </w:p>
        </w:tc>
        <w:tc>
          <w:tcPr>
            <w:tcW w:type="dxa" w:w="3384"/>
          </w:tcPr>
          <w:p>
            <w:pPr>
              <w:spacing w:after="20"/>
            </w:pPr>
            <w:r/>
            <w:r>
              <w:rPr>
                <w:b/>
                <w:sz w:val="16"/>
              </w:rPr>
              <w:t>Published-material criterion evidence.</w:t>
            </w:r>
            <w:r>
              <w:rPr>
                <w:sz w:val="16"/>
              </w:rPr>
              <w:t xml:space="preserve"> Only NeuroTech Today has circulation data (~45,000); none is identified for MIT Technology Review or The Scientist. Brief should identify title, date and author for each item. Checklist #49–#50 describe seven different items (e.g., MIT Technology Review 2024 vs. July 2022).</w:t>
            </w:r>
          </w:p>
        </w:tc>
        <w:tc>
          <w:tcPr>
            <w:tcW w:type="dxa" w:w="1872"/>
          </w:tcPr>
          <w:p>
            <w:pPr>
              <w:spacing w:after="20"/>
            </w:pPr>
            <w:r/>
            <w:r>
              <w:rPr>
                <w:sz w:val="16"/>
              </w:rPr>
              <w:t>Brief § IV.C; index L–N, V; checklist #49–#50</w:t>
            </w:r>
          </w:p>
        </w:tc>
        <w:tc>
          <w:tcPr>
            <w:tcW w:type="dxa" w:w="2880"/>
          </w:tcPr>
          <w:p>
            <w:pPr>
              <w:spacing w:after="20"/>
            </w:pPr>
            <w:r/>
            <w:r>
              <w:rPr>
                <w:sz w:val="16"/>
              </w:rPr>
              <w:t>Add circulation/readership evidence for each outlet; confirm each item is about her (not a passing mention); confirm dates/titles.</w:t>
            </w:r>
          </w:p>
        </w:tc>
      </w:tr>
      <w:tr>
        <w:tc>
          <w:tcPr>
            <w:tcW w:type="dxa" w:w="432"/>
          </w:tcPr>
          <w:p>
            <w:pPr>
              <w:spacing w:after="20"/>
            </w:pPr>
            <w:r/>
            <w:r>
              <w:rPr>
                <w:sz w:val="16"/>
              </w:rPr>
              <w:t>18</w:t>
            </w:r>
          </w:p>
        </w:tc>
        <w:tc>
          <w:tcPr>
            <w:tcW w:type="dxa" w:w="792"/>
            <w:shd w:val="clear" w:color="auto" w:fill="FCE5CD"/>
          </w:tcPr>
          <w:p>
            <w:pPr>
              <w:spacing w:after="20"/>
            </w:pPr>
            <w:r/>
            <w:r>
              <w:rPr>
                <w:sz w:val="16"/>
              </w:rPr>
              <w:t>P2</w:t>
            </w:r>
          </w:p>
        </w:tc>
        <w:tc>
          <w:tcPr>
            <w:tcW w:type="dxa" w:w="3384"/>
          </w:tcPr>
          <w:p>
            <w:pPr>
              <w:spacing w:after="20"/>
            </w:pPr>
            <w:r/>
            <w:r>
              <w:rPr>
                <w:b/>
                <w:sz w:val="16"/>
              </w:rPr>
              <w:t>Keynotes.</w:t>
            </w:r>
            <w:r>
              <w:rPr>
                <w:sz w:val="16"/>
              </w:rPr>
              <w:t xml:space="preserve"> Brief/index: four keynote invitations. Checklist #80: five invitations, only one of which is a keynote (others are a nanosymposium, workshop talk, invited talk, spotlight).</w:t>
            </w:r>
          </w:p>
        </w:tc>
        <w:tc>
          <w:tcPr>
            <w:tcW w:type="dxa" w:w="1872"/>
          </w:tcPr>
          <w:p>
            <w:pPr>
              <w:spacing w:after="20"/>
            </w:pPr>
            <w:r/>
            <w:r>
              <w:rPr>
                <w:sz w:val="16"/>
              </w:rPr>
              <w:t>Brief §§ IV.E.3, VI; index T; checklist #80, #83</w:t>
            </w:r>
          </w:p>
        </w:tc>
        <w:tc>
          <w:tcPr>
            <w:tcW w:type="dxa" w:w="2880"/>
          </w:tcPr>
          <w:p>
            <w:pPr>
              <w:spacing w:after="20"/>
            </w:pPr>
            <w:r/>
            <w:r>
              <w:rPr>
                <w:sz w:val="16"/>
              </w:rPr>
              <w:t>Confirm each event’s actual role; describe them accurately (“invited/keynote presentations”) to avoid overstatement.</w:t>
            </w:r>
          </w:p>
        </w:tc>
      </w:tr>
      <w:tr>
        <w:tc>
          <w:tcPr>
            <w:tcW w:type="dxa" w:w="432"/>
          </w:tcPr>
          <w:p>
            <w:pPr>
              <w:spacing w:after="20"/>
            </w:pPr>
            <w:r/>
            <w:r>
              <w:rPr>
                <w:sz w:val="16"/>
              </w:rPr>
              <w:t>19</w:t>
            </w:r>
          </w:p>
        </w:tc>
        <w:tc>
          <w:tcPr>
            <w:tcW w:type="dxa" w:w="792"/>
            <w:shd w:val="clear" w:color="auto" w:fill="FCE5CD"/>
          </w:tcPr>
          <w:p>
            <w:pPr>
              <w:spacing w:after="20"/>
            </w:pPr>
            <w:r/>
            <w:r>
              <w:rPr>
                <w:sz w:val="16"/>
              </w:rPr>
              <w:t>P2</w:t>
            </w:r>
          </w:p>
        </w:tc>
        <w:tc>
          <w:tcPr>
            <w:tcW w:type="dxa" w:w="3384"/>
          </w:tcPr>
          <w:p>
            <w:pPr>
              <w:spacing w:after="20"/>
            </w:pPr>
            <w:r/>
            <w:r>
              <w:rPr>
                <w:b/>
                <w:sz w:val="16"/>
              </w:rPr>
              <w:t>Judging record conflict.</w:t>
            </w:r>
            <w:r>
              <w:rPr>
                <w:sz w:val="16"/>
              </w:rPr>
              <w:t xml:space="preserve"> Brief/index: 73 reviews for six journals, 2017–2024. Checklist #57–#63: 14 reviews for four journals plus NIH BRAIN and NSF panels, and a Frontiers Review Editor role (#84).</w:t>
            </w:r>
          </w:p>
        </w:tc>
        <w:tc>
          <w:tcPr>
            <w:tcW w:type="dxa" w:w="1872"/>
          </w:tcPr>
          <w:p>
            <w:pPr>
              <w:spacing w:after="20"/>
            </w:pPr>
            <w:r/>
            <w:r>
              <w:rPr>
                <w:sz w:val="16"/>
              </w:rPr>
              <w:t>Brief § IV.D; index O; checklist #57–#63, #84</w:t>
            </w:r>
          </w:p>
        </w:tc>
        <w:tc>
          <w:tcPr>
            <w:tcW w:type="dxa" w:w="2880"/>
          </w:tcPr>
          <w:p>
            <w:pPr>
              <w:spacing w:after="20"/>
            </w:pPr>
            <w:r/>
            <w:r>
              <w:rPr>
                <w:sz w:val="16"/>
              </w:rPr>
              <w:t>Confirm against Exhibit O that reviews were completed (not just invited). If grant panel service is real for this client, add it — it is strong judging evidence.</w:t>
            </w:r>
          </w:p>
        </w:tc>
      </w:tr>
      <w:tr>
        <w:tc>
          <w:tcPr>
            <w:tcW w:type="dxa" w:w="432"/>
          </w:tcPr>
          <w:p>
            <w:pPr>
              <w:spacing w:after="20"/>
            </w:pPr>
            <w:r/>
            <w:r>
              <w:rPr>
                <w:sz w:val="16"/>
              </w:rPr>
              <w:t>20</w:t>
            </w:r>
          </w:p>
        </w:tc>
        <w:tc>
          <w:tcPr>
            <w:tcW w:type="dxa" w:w="792"/>
            <w:shd w:val="clear" w:color="auto" w:fill="FCE5CD"/>
          </w:tcPr>
          <w:p>
            <w:pPr>
              <w:spacing w:after="20"/>
            </w:pPr>
            <w:r/>
            <w:r>
              <w:rPr>
                <w:sz w:val="16"/>
              </w:rPr>
              <w:t>P2</w:t>
            </w:r>
          </w:p>
        </w:tc>
        <w:tc>
          <w:tcPr>
            <w:tcW w:type="dxa" w:w="3384"/>
          </w:tcPr>
          <w:p>
            <w:pPr>
              <w:spacing w:after="20"/>
            </w:pPr>
            <w:r/>
            <w:r>
              <w:rPr>
                <w:b/>
                <w:sz w:val="16"/>
              </w:rPr>
              <w:t>Awards and membership.</w:t>
            </w:r>
            <w:r>
              <w:rPr>
                <w:sz w:val="16"/>
              </w:rPr>
              <w:t xml:space="preserve"> ENNS award is limited to researchers under 40, and the Beckworth Prize and Fellowship come from the same society (ISCN); expect scrutiny of the pool of competitors and of independent recognition. Checklist lists entirely different awards (McKnight, BWF CASI, Sloan) and memberships (OCNS, SfN).</w:t>
            </w:r>
          </w:p>
        </w:tc>
        <w:tc>
          <w:tcPr>
            <w:tcW w:type="dxa" w:w="1872"/>
          </w:tcPr>
          <w:p>
            <w:pPr>
              <w:spacing w:after="20"/>
            </w:pPr>
            <w:r/>
            <w:r>
              <w:rPr>
                <w:sz w:val="16"/>
              </w:rPr>
              <w:t>Brief §§ IV.A–B, VI; index I–K; checklist #40–#48</w:t>
            </w:r>
          </w:p>
        </w:tc>
        <w:tc>
          <w:tcPr>
            <w:tcW w:type="dxa" w:w="2880"/>
          </w:tcPr>
          <w:p>
            <w:pPr>
              <w:spacing w:after="20"/>
            </w:pPr>
            <w:r/>
            <w:r>
              <w:rPr>
                <w:sz w:val="16"/>
              </w:rPr>
              <w:t>Add evidence that each award is recognized outside the granting body (press, announcements) and the bylaws/selection criteria for the Fellowship. If the checklist awards are real for this client, they should be claimed.</w:t>
            </w:r>
          </w:p>
        </w:tc>
      </w:tr>
      <w:tr>
        <w:tc>
          <w:tcPr>
            <w:tcW w:type="dxa" w:w="432"/>
          </w:tcPr>
          <w:p>
            <w:pPr>
              <w:spacing w:after="20"/>
            </w:pPr>
            <w:r/>
            <w:r>
              <w:rPr>
                <w:sz w:val="16"/>
              </w:rPr>
              <w:t>21</w:t>
            </w:r>
          </w:p>
        </w:tc>
        <w:tc>
          <w:tcPr>
            <w:tcW w:type="dxa" w:w="792"/>
            <w:shd w:val="clear" w:color="auto" w:fill="FCE5CD"/>
          </w:tcPr>
          <w:p>
            <w:pPr>
              <w:spacing w:after="20"/>
            </w:pPr>
            <w:r/>
            <w:r>
              <w:rPr>
                <w:sz w:val="16"/>
              </w:rPr>
              <w:t>P2</w:t>
            </w:r>
          </w:p>
        </w:tc>
        <w:tc>
          <w:tcPr>
            <w:tcW w:type="dxa" w:w="3384"/>
          </w:tcPr>
          <w:p>
            <w:pPr>
              <w:spacing w:after="20"/>
            </w:pPr>
            <w:r/>
            <w:r>
              <w:rPr>
                <w:b/>
                <w:sz w:val="16"/>
              </w:rPr>
              <w:t>Expert independence and unsupported superlatives.</w:t>
            </w:r>
            <w:r>
              <w:rPr>
                <w:sz w:val="16"/>
              </w:rPr>
              <w:t xml:space="preserve"> Brief calls all letters independent and the testimony “unanimous”; h-index described as “upper echelon” / “well above the median” without a cited benchmark. Relationships (e.g., Stanford connection, industry expert) are not disclosed.</w:t>
            </w:r>
          </w:p>
        </w:tc>
        <w:tc>
          <w:tcPr>
            <w:tcW w:type="dxa" w:w="1872"/>
          </w:tcPr>
          <w:p>
            <w:pPr>
              <w:spacing w:after="20"/>
            </w:pPr>
            <w:r/>
            <w:r>
              <w:rPr>
                <w:sz w:val="16"/>
              </w:rPr>
              <w:t>Brief §§ IV.E.2, IV.E.4, V, VI; checklist #54</w:t>
            </w:r>
          </w:p>
        </w:tc>
        <w:tc>
          <w:tcPr>
            <w:tcW w:type="dxa" w:w="2880"/>
          </w:tcPr>
          <w:p>
            <w:pPr>
              <w:spacing w:after="20"/>
            </w:pPr>
            <w:r/>
            <w:r>
              <w:rPr>
                <w:sz w:val="16"/>
              </w:rPr>
              <w:t>Have each letter state the expert’s relationship to Dr. Raghavan; tie bibliometric comparisons to specific data in Exhibit S; remove superlatives the exhibits do not support.</w:t>
            </w:r>
          </w:p>
        </w:tc>
      </w:tr>
      <w:tr>
        <w:tc>
          <w:tcPr>
            <w:tcW w:type="dxa" w:w="432"/>
          </w:tcPr>
          <w:p>
            <w:pPr>
              <w:spacing w:after="20"/>
            </w:pPr>
            <w:r/>
            <w:r>
              <w:rPr>
                <w:sz w:val="16"/>
              </w:rPr>
              <w:t>22</w:t>
            </w:r>
          </w:p>
        </w:tc>
        <w:tc>
          <w:tcPr>
            <w:tcW w:type="dxa" w:w="792"/>
            <w:shd w:val="clear" w:color="auto" w:fill="FCE5CD"/>
          </w:tcPr>
          <w:p>
            <w:pPr>
              <w:spacing w:after="20"/>
            </w:pPr>
            <w:r/>
            <w:r>
              <w:rPr>
                <w:sz w:val="16"/>
              </w:rPr>
              <w:t>P2</w:t>
            </w:r>
          </w:p>
        </w:tc>
        <w:tc>
          <w:tcPr>
            <w:tcW w:type="dxa" w:w="3384"/>
          </w:tcPr>
          <w:p>
            <w:pPr>
              <w:spacing w:after="20"/>
            </w:pPr>
            <w:r/>
            <w:r>
              <w:rPr>
                <w:b/>
                <w:sz w:val="16"/>
              </w:rPr>
              <w:t>Stale CV and Google Scholar printout.</w:t>
            </w:r>
            <w:r>
              <w:rPr>
                <w:sz w:val="16"/>
              </w:rPr>
              <w:t xml:space="preserve"> CV dated Dec. 5, 2024 (85 days old at filing); Scholar printout Jan. 15, 2025 (44 days). The 30-day rule is firm practice rather than a USCIS rule, but refreshed figures must then be carried into the brief.</w:t>
            </w:r>
          </w:p>
        </w:tc>
        <w:tc>
          <w:tcPr>
            <w:tcW w:type="dxa" w:w="1872"/>
          </w:tcPr>
          <w:p>
            <w:pPr>
              <w:spacing w:after="20"/>
            </w:pPr>
            <w:r/>
            <w:r>
              <w:rPr>
                <w:sz w:val="16"/>
              </w:rPr>
              <w:t>Brief § II and embedded index A, B; checklist #31, #33; all emails</w:t>
            </w:r>
          </w:p>
        </w:tc>
        <w:tc>
          <w:tcPr>
            <w:tcW w:type="dxa" w:w="2880"/>
          </w:tcPr>
          <w:p>
            <w:pPr>
              <w:spacing w:after="20"/>
            </w:pPr>
            <w:r/>
            <w:r>
              <w:rPr>
                <w:sz w:val="16"/>
              </w:rPr>
              <w:t>Rebecca: updated CV (dated no earlier than Jan. 29; David prefers early Feb.) and fresh printout close to filing; update dates and metrics in brief and index.</w:t>
            </w:r>
          </w:p>
        </w:tc>
      </w:tr>
      <w:tr>
        <w:tc>
          <w:tcPr>
            <w:tcW w:type="dxa" w:w="432"/>
          </w:tcPr>
          <w:p>
            <w:pPr>
              <w:spacing w:after="20"/>
            </w:pPr>
            <w:r/>
            <w:r>
              <w:rPr>
                <w:sz w:val="16"/>
              </w:rPr>
              <w:t>23</w:t>
            </w:r>
          </w:p>
        </w:tc>
        <w:tc>
          <w:tcPr>
            <w:tcW w:type="dxa" w:w="792"/>
            <w:shd w:val="clear" w:color="auto" w:fill="FCE5CD"/>
          </w:tcPr>
          <w:p>
            <w:pPr>
              <w:spacing w:after="20"/>
            </w:pPr>
            <w:r/>
            <w:r>
              <w:rPr>
                <w:sz w:val="16"/>
              </w:rPr>
              <w:t>P2</w:t>
            </w:r>
          </w:p>
        </w:tc>
        <w:tc>
          <w:tcPr>
            <w:tcW w:type="dxa" w:w="3384"/>
          </w:tcPr>
          <w:p>
            <w:pPr>
              <w:spacing w:after="20"/>
            </w:pPr>
            <w:r/>
            <w:r>
              <w:rPr>
                <w:b/>
                <w:sz w:val="16"/>
              </w:rPr>
              <w:t>Status documents not lettered.</w:t>
            </w:r>
            <w:r>
              <w:rPr>
                <w:sz w:val="16"/>
              </w:rPr>
              <w:t xml:space="preserve"> The brief relies on the I-94 only; the I-797A approval (#11, #28), H-1B visa (#9), status history (#18) and EAD (#29) have no exhibit letter. Exhibit X (field overview, #87) is not started and is not cited in the brief.</w:t>
            </w:r>
          </w:p>
        </w:tc>
        <w:tc>
          <w:tcPr>
            <w:tcW w:type="dxa" w:w="1872"/>
          </w:tcPr>
          <w:p>
            <w:pPr>
              <w:spacing w:after="20"/>
            </w:pPr>
            <w:r/>
            <w:r>
              <w:rPr>
                <w:sz w:val="16"/>
              </w:rPr>
              <w:t>Brief § II; index C/U; checklist #9–#18, #28–#29, #87</w:t>
            </w:r>
          </w:p>
        </w:tc>
        <w:tc>
          <w:tcPr>
            <w:tcW w:type="dxa" w:w="2880"/>
          </w:tcPr>
          <w:p>
            <w:pPr>
              <w:spacing w:after="20"/>
            </w:pPr>
            <w:r/>
            <w:r>
              <w:rPr>
                <w:sz w:val="16"/>
              </w:rPr>
              <w:t>Assign letters to the status documents or drop them deliberately. Decide whether Exhibit X is needed (not required for EB-1A; “country conditions” is a misnomer). If kept, cite it; if dropped, remove it from the checklist.</w:t>
            </w:r>
          </w:p>
        </w:tc>
      </w:tr>
      <w:tr>
        <w:tc>
          <w:tcPr>
            <w:tcW w:type="dxa" w:w="432"/>
          </w:tcPr>
          <w:p>
            <w:pPr>
              <w:spacing w:after="20"/>
            </w:pPr>
            <w:r/>
            <w:r>
              <w:rPr>
                <w:sz w:val="16"/>
              </w:rPr>
              <w:t>24</w:t>
            </w:r>
          </w:p>
        </w:tc>
        <w:tc>
          <w:tcPr>
            <w:tcW w:type="dxa" w:w="792"/>
            <w:shd w:val="clear" w:color="auto" w:fill="FFF2CC"/>
          </w:tcPr>
          <w:p>
            <w:pPr>
              <w:spacing w:after="20"/>
            </w:pPr>
            <w:r/>
            <w:r>
              <w:rPr>
                <w:sz w:val="16"/>
              </w:rPr>
              <w:t>P3</w:t>
            </w:r>
          </w:p>
        </w:tc>
        <w:tc>
          <w:tcPr>
            <w:tcW w:type="dxa" w:w="3384"/>
          </w:tcPr>
          <w:p>
            <w:pPr>
              <w:spacing w:after="20"/>
            </w:pPr>
            <w:r/>
            <w:r>
              <w:rPr>
                <w:b/>
                <w:sz w:val="16"/>
              </w:rPr>
              <w:t>Brief structure vs. checklist.</w:t>
            </w:r>
            <w:r>
              <w:rPr>
                <w:sz w:val="16"/>
              </w:rPr>
              <w:t xml:space="preserve"> Checklist cites section numbers (bio § I, framework § II, merits § VII, employment § VIII), a 42-page length, a Feb. 9 date and a table of authorities that do not match the draft (bio § II, framework § III, merits § VI, employment § VII; 28 pages; Feb. 10; no TOA). Petition marked “Complete”/“finalized Feb. 8” although your redline is pending.</w:t>
            </w:r>
          </w:p>
        </w:tc>
        <w:tc>
          <w:tcPr>
            <w:tcW w:type="dxa" w:w="1872"/>
          </w:tcPr>
          <w:p>
            <w:pPr>
              <w:spacing w:after="20"/>
            </w:pPr>
            <w:r/>
            <w:r>
              <w:rPr>
                <w:sz w:val="16"/>
              </w:rPr>
              <w:t>Checklist #19–#26; brief; Rebecca email</w:t>
            </w:r>
          </w:p>
        </w:tc>
        <w:tc>
          <w:tcPr>
            <w:tcW w:type="dxa" w:w="2880"/>
          </w:tcPr>
          <w:p>
            <w:pPr>
              <w:spacing w:after="20"/>
            </w:pPr>
            <w:r/>
            <w:r>
              <w:rPr>
                <w:sz w:val="16"/>
              </w:rPr>
              <w:t>Reset #19–#26 to “In revision”; prepare or delete the TOA; reconcile section references after redline.</w:t>
            </w:r>
          </w:p>
        </w:tc>
      </w:tr>
      <w:tr>
        <w:tc>
          <w:tcPr>
            <w:tcW w:type="dxa" w:w="432"/>
          </w:tcPr>
          <w:p>
            <w:pPr>
              <w:spacing w:after="20"/>
            </w:pPr>
            <w:r/>
            <w:r>
              <w:rPr>
                <w:sz w:val="16"/>
              </w:rPr>
              <w:t>25</w:t>
            </w:r>
          </w:p>
        </w:tc>
        <w:tc>
          <w:tcPr>
            <w:tcW w:type="dxa" w:w="792"/>
            <w:shd w:val="clear" w:color="auto" w:fill="FFF2CC"/>
          </w:tcPr>
          <w:p>
            <w:pPr>
              <w:spacing w:after="20"/>
            </w:pPr>
            <w:r/>
            <w:r>
              <w:rPr>
                <w:sz w:val="16"/>
              </w:rPr>
              <w:t>P3</w:t>
            </w:r>
          </w:p>
        </w:tc>
        <w:tc>
          <w:tcPr>
            <w:tcW w:type="dxa" w:w="3384"/>
          </w:tcPr>
          <w:p>
            <w:pPr>
              <w:spacing w:after="20"/>
            </w:pPr>
            <w:r/>
            <w:r>
              <w:rPr>
                <w:b/>
                <w:sz w:val="16"/>
              </w:rPr>
              <w:t>Exhibit count/page totals and index statements.</w:t>
            </w:r>
            <w:r>
              <w:rPr>
                <w:sz w:val="16"/>
              </w:rPr>
              <w:t xml:space="preserve"> 22 exhibits (index) vs. 23 (Rebecca) vs. 24 (checklist); 367 pages (brief index) vs. 412 (index). Brief says exhibits are in citation order (they are not) and “No further exhibits follow Exhibit W” (wrong if X or a CEO exhibit is added).</w:t>
            </w:r>
          </w:p>
        </w:tc>
        <w:tc>
          <w:tcPr>
            <w:tcW w:type="dxa" w:w="1872"/>
          </w:tcPr>
          <w:p>
            <w:pPr>
              <w:spacing w:after="20"/>
            </w:pPr>
            <w:r/>
            <w:r>
              <w:rPr>
                <w:sz w:val="16"/>
              </w:rPr>
              <w:t>Brief embedded index; index notes; checklist #21, #89; Rebecca email</w:t>
            </w:r>
          </w:p>
        </w:tc>
        <w:tc>
          <w:tcPr>
            <w:tcW w:type="dxa" w:w="2880"/>
          </w:tcPr>
          <w:p>
            <w:pPr>
              <w:spacing w:after="20"/>
            </w:pPr>
            <w:r/>
            <w:r>
              <w:rPr>
                <w:sz w:val="16"/>
              </w:rPr>
              <w:t>Finalize letters and page ranges only after binding; delete or correct the “citation order” and “no further exhibits” sentences; conform “Exhibits A through W” in § I and Enclosures.</w:t>
            </w:r>
          </w:p>
        </w:tc>
      </w:tr>
      <w:tr>
        <w:tc>
          <w:tcPr>
            <w:tcW w:type="dxa" w:w="432"/>
          </w:tcPr>
          <w:p>
            <w:pPr>
              <w:spacing w:after="20"/>
            </w:pPr>
            <w:r/>
            <w:r>
              <w:rPr>
                <w:sz w:val="16"/>
              </w:rPr>
              <w:t>26</w:t>
            </w:r>
          </w:p>
        </w:tc>
        <w:tc>
          <w:tcPr>
            <w:tcW w:type="dxa" w:w="792"/>
            <w:shd w:val="clear" w:color="auto" w:fill="FFF2CC"/>
          </w:tcPr>
          <w:p>
            <w:pPr>
              <w:spacing w:after="20"/>
            </w:pPr>
            <w:r/>
            <w:r>
              <w:rPr>
                <w:sz w:val="16"/>
              </w:rPr>
              <w:t>P3</w:t>
            </w:r>
          </w:p>
        </w:tc>
        <w:tc>
          <w:tcPr>
            <w:tcW w:type="dxa" w:w="3384"/>
          </w:tcPr>
          <w:p>
            <w:pPr>
              <w:spacing w:after="20"/>
            </w:pPr>
            <w:r/>
            <w:r>
              <w:rPr>
                <w:b/>
                <w:sz w:val="16"/>
              </w:rPr>
              <w:t>Cover letter and filing logistics.</w:t>
            </w:r>
            <w:r>
              <w:rPr>
                <w:sz w:val="16"/>
              </w:rPr>
              <w:t xml:space="preserve"> Cover letter dated Feb. 10 and unsigned; Enclosures list needs updating. The Texas Service Center courier address is used throughout; USCIS changes I-140 direct-filing addresses periodically.</w:t>
            </w:r>
          </w:p>
        </w:tc>
        <w:tc>
          <w:tcPr>
            <w:tcW w:type="dxa" w:w="1872"/>
          </w:tcPr>
          <w:p>
            <w:pPr>
              <w:spacing w:after="20"/>
            </w:pPr>
            <w:r/>
            <w:r>
              <w:rPr>
                <w:sz w:val="16"/>
              </w:rPr>
              <w:t>Cover page; brief signature block; checklist #19, #27, #93; David email</w:t>
            </w:r>
          </w:p>
        </w:tc>
        <w:tc>
          <w:tcPr>
            <w:tcW w:type="dxa" w:w="2880"/>
          </w:tcPr>
          <w:p>
            <w:pPr>
              <w:spacing w:after="20"/>
            </w:pPr>
            <w:r/>
            <w:r>
              <w:rPr>
                <w:sz w:val="16"/>
              </w:rPr>
              <w:t>Re-date and sign at filing; confirm the current I-140 + I-907 filing address for a Massachusetts worksite on the USCIS Direct Filing Addresses page. Checklist #27 (proof of service) is not needed for a USCIS filing; keep the FedEx tracking only.</w:t>
            </w:r>
          </w:p>
        </w:tc>
      </w:tr>
      <w:tr>
        <w:tc>
          <w:tcPr>
            <w:tcW w:type="dxa" w:w="432"/>
          </w:tcPr>
          <w:p>
            <w:pPr>
              <w:spacing w:after="20"/>
            </w:pPr>
            <w:r/>
            <w:r>
              <w:rPr>
                <w:sz w:val="16"/>
              </w:rPr>
              <w:t>27</w:t>
            </w:r>
          </w:p>
        </w:tc>
        <w:tc>
          <w:tcPr>
            <w:tcW w:type="dxa" w:w="792"/>
            <w:shd w:val="clear" w:color="auto" w:fill="FFF2CC"/>
          </w:tcPr>
          <w:p>
            <w:pPr>
              <w:spacing w:after="20"/>
            </w:pPr>
            <w:r/>
            <w:r>
              <w:rPr>
                <w:sz w:val="16"/>
              </w:rPr>
              <w:t>P3</w:t>
            </w:r>
          </w:p>
        </w:tc>
        <w:tc>
          <w:tcPr>
            <w:tcW w:type="dxa" w:w="3384"/>
          </w:tcPr>
          <w:p>
            <w:pPr>
              <w:spacing w:after="20"/>
            </w:pPr>
            <w:r/>
            <w:r>
              <w:rPr>
                <w:b/>
                <w:sz w:val="16"/>
              </w:rPr>
              <w:t>Premium processing timeframe.</w:t>
            </w:r>
            <w:r>
              <w:rPr>
                <w:sz w:val="16"/>
              </w:rPr>
              <w:t xml:space="preserve"> Checklist #3 says “15-calendar-day” window; USCIS now counts premium processing for this classification in business days.</w:t>
            </w:r>
          </w:p>
        </w:tc>
        <w:tc>
          <w:tcPr>
            <w:tcW w:type="dxa" w:w="1872"/>
          </w:tcPr>
          <w:p>
            <w:pPr>
              <w:spacing w:after="20"/>
            </w:pPr>
            <w:r/>
            <w:r>
              <w:rPr>
                <w:sz w:val="16"/>
              </w:rPr>
              <w:t>Checklist #3</w:t>
            </w:r>
          </w:p>
        </w:tc>
        <w:tc>
          <w:tcPr>
            <w:tcW w:type="dxa" w:w="2880"/>
          </w:tcPr>
          <w:p>
            <w:pPr>
              <w:spacing w:after="20"/>
            </w:pPr>
            <w:r/>
            <w:r>
              <w:rPr>
                <w:sz w:val="16"/>
              </w:rPr>
              <w:t>Correct to 15 business days (verify) for client and calendar purposes.</w:t>
            </w:r>
          </w:p>
        </w:tc>
      </w:tr>
      <w:tr>
        <w:tc>
          <w:tcPr>
            <w:tcW w:type="dxa" w:w="432"/>
          </w:tcPr>
          <w:p>
            <w:pPr>
              <w:spacing w:after="20"/>
            </w:pPr>
            <w:r/>
            <w:r>
              <w:rPr>
                <w:sz w:val="16"/>
              </w:rPr>
              <w:t>28</w:t>
            </w:r>
          </w:p>
        </w:tc>
        <w:tc>
          <w:tcPr>
            <w:tcW w:type="dxa" w:w="792"/>
            <w:shd w:val="clear" w:color="auto" w:fill="FFF2CC"/>
          </w:tcPr>
          <w:p>
            <w:pPr>
              <w:spacing w:after="20"/>
            </w:pPr>
            <w:r/>
            <w:r>
              <w:rPr>
                <w:sz w:val="16"/>
              </w:rPr>
              <w:t>P3</w:t>
            </w:r>
          </w:p>
        </w:tc>
        <w:tc>
          <w:tcPr>
            <w:tcW w:type="dxa" w:w="3384"/>
          </w:tcPr>
          <w:p>
            <w:pPr>
              <w:spacing w:after="20"/>
            </w:pPr>
            <w:r/>
            <w:r>
              <w:rPr>
                <w:b/>
                <w:sz w:val="16"/>
              </w:rPr>
              <w:t>Checklist summary arithmetic and open-item list.</w:t>
            </w:r>
            <w:r>
              <w:rPr>
                <w:sz w:val="16"/>
              </w:rPr>
              <w:t xml:space="preserve"> Summary says 94 items: 68 Complete, 5 Pending, 1 Incomplete, 10 Not Started, 10 N/A. The sheet actually has 96 rows: 81 Complete, 5 Pending, 1 Incomplete, 9 Not Started, 0 N/A. “Critical Open Items” omits #21 (exhibit index), #76 (W-2), and the fee and form-edition issues.</w:t>
            </w:r>
          </w:p>
        </w:tc>
        <w:tc>
          <w:tcPr>
            <w:tcW w:type="dxa" w:w="1872"/>
          </w:tcPr>
          <w:p>
            <w:pPr>
              <w:spacing w:after="20"/>
            </w:pPr>
            <w:r/>
            <w:r>
              <w:rPr>
                <w:sz w:val="16"/>
              </w:rPr>
              <w:t>Checklist summary rows and Legend</w:t>
            </w:r>
          </w:p>
        </w:tc>
        <w:tc>
          <w:tcPr>
            <w:tcW w:type="dxa" w:w="2880"/>
          </w:tcPr>
          <w:p>
            <w:pPr>
              <w:spacing w:after="20"/>
            </w:pPr>
            <w:r/>
            <w:r>
              <w:rPr>
                <w:sz w:val="16"/>
              </w:rPr>
              <w:t>Recompute after rebuild (Gap 1); add Gaps 6, 7, 9 and 11 to Critical Open Items.</w:t>
            </w:r>
          </w:p>
        </w:tc>
      </w:tr>
      <w:tr>
        <w:tc>
          <w:tcPr>
            <w:tcW w:type="dxa" w:w="432"/>
          </w:tcPr>
          <w:p>
            <w:pPr>
              <w:spacing w:after="20"/>
            </w:pPr>
            <w:r/>
            <w:r>
              <w:rPr>
                <w:sz w:val="16"/>
              </w:rPr>
              <w:t>29</w:t>
            </w:r>
          </w:p>
        </w:tc>
        <w:tc>
          <w:tcPr>
            <w:tcW w:type="dxa" w:w="792"/>
            <w:shd w:val="clear" w:color="auto" w:fill="FFF2CC"/>
          </w:tcPr>
          <w:p>
            <w:pPr>
              <w:spacing w:after="20"/>
            </w:pPr>
            <w:r/>
            <w:r>
              <w:rPr>
                <w:sz w:val="16"/>
              </w:rPr>
              <w:t>P3</w:t>
            </w:r>
          </w:p>
        </w:tc>
        <w:tc>
          <w:tcPr>
            <w:tcW w:type="dxa" w:w="3384"/>
          </w:tcPr>
          <w:p>
            <w:pPr>
              <w:spacing w:after="20"/>
            </w:pPr>
            <w:r/>
            <w:r>
              <w:rPr>
                <w:b/>
                <w:sz w:val="16"/>
              </w:rPr>
              <w:t>Q placed under Criterion 5 in index; Exhibit O description.</w:t>
            </w:r>
            <w:r>
              <w:rPr>
                <w:sz w:val="16"/>
              </w:rPr>
              <w:t xml:space="preserve"> The job offer letter is not evidence of original contributions. Brief says Exhibit O is “exclusively” published material about her, but in the index O is peer review and media is split into L–N plus supplemental V.</w:t>
            </w:r>
          </w:p>
        </w:tc>
        <w:tc>
          <w:tcPr>
            <w:tcW w:type="dxa" w:w="1872"/>
          </w:tcPr>
          <w:p>
            <w:pPr>
              <w:spacing w:after="20"/>
            </w:pPr>
            <w:r/>
            <w:r>
              <w:rPr>
                <w:sz w:val="16"/>
              </w:rPr>
              <w:t>Index; brief embedded index commentary</w:t>
            </w:r>
          </w:p>
        </w:tc>
        <w:tc>
          <w:tcPr>
            <w:tcW w:type="dxa" w:w="2880"/>
          </w:tcPr>
          <w:p>
            <w:pPr>
              <w:spacing w:after="20"/>
            </w:pPr>
            <w:r/>
            <w:r>
              <w:rPr>
                <w:sz w:val="16"/>
              </w:rPr>
              <w:t>Fix categories when re-lettering (Gap 2).</w:t>
            </w:r>
          </w:p>
        </w:tc>
      </w:tr>
      <w:tr>
        <w:tc>
          <w:tcPr>
            <w:tcW w:type="dxa" w:w="432"/>
          </w:tcPr>
          <w:p>
            <w:pPr>
              <w:spacing w:after="20"/>
            </w:pPr>
            <w:r/>
            <w:r>
              <w:rPr>
                <w:sz w:val="16"/>
              </w:rPr>
              <w:t>30</w:t>
            </w:r>
          </w:p>
        </w:tc>
        <w:tc>
          <w:tcPr>
            <w:tcW w:type="dxa" w:w="792"/>
            <w:shd w:val="clear" w:color="auto" w:fill="FFF2CC"/>
          </w:tcPr>
          <w:p>
            <w:pPr>
              <w:spacing w:after="20"/>
            </w:pPr>
            <w:r/>
            <w:r>
              <w:rPr>
                <w:sz w:val="16"/>
              </w:rPr>
              <w:t>P3</w:t>
            </w:r>
          </w:p>
        </w:tc>
        <w:tc>
          <w:tcPr>
            <w:tcW w:type="dxa" w:w="3384"/>
          </w:tcPr>
          <w:p>
            <w:pPr>
              <w:spacing w:after="20"/>
            </w:pPr>
            <w:r/>
            <w:r>
              <w:rPr>
                <w:b/>
                <w:sz w:val="16"/>
              </w:rPr>
              <w:t>Client relationship and confidentiality.</w:t>
            </w:r>
            <w:r>
              <w:rPr>
                <w:sz w:val="16"/>
              </w:rPr>
              <w:t xml:space="preserve"> The self-petitioner is the client, but fees come from Meridian, Meridian is listed as petitioner, and signature packets may go to Meridian’s office. If checklist content came from another matter, there is also a cross-client confidentiality issue.</w:t>
            </w:r>
          </w:p>
        </w:tc>
        <w:tc>
          <w:tcPr>
            <w:tcW w:type="dxa" w:w="1872"/>
          </w:tcPr>
          <w:p>
            <w:pPr>
              <w:spacing w:after="20"/>
            </w:pPr>
            <w:r/>
            <w:r>
              <w:rPr>
                <w:sz w:val="16"/>
              </w:rPr>
              <w:t>Index header; cover letter; David email; checklist</w:t>
            </w:r>
          </w:p>
        </w:tc>
        <w:tc>
          <w:tcPr>
            <w:tcW w:type="dxa" w:w="2880"/>
          </w:tcPr>
          <w:p>
            <w:pPr>
              <w:spacing w:after="20"/>
            </w:pPr>
            <w:r/>
            <w:r>
              <w:rPr>
                <w:sz w:val="16"/>
              </w:rPr>
              <w:t>Confirm engagement letter terms and client consent to share with Meridian; route client-signature documents to the client directly; purge any other-client data.</w:t>
            </w:r>
          </w:p>
        </w:tc>
      </w:tr>
    </w:tbl>
    <w:p/>
    <w:p>
      <w:pPr>
        <w:pStyle w:val="Heading1"/>
      </w:pPr>
      <w:r>
        <w:t>V. Exhibit Concordance (Brief vs. Paralegal Index vs. Checklist)</w:t>
      </w:r>
    </w:p>
    <w:p>
      <w:pPr>
        <w:spacing w:after="80"/>
      </w:pPr>
      <w:r>
        <w:t>The table below shows where each document sits under each scheme. Rows in bold are the ones where the brief’s citation would send the adjudicator to the wrong tab if the binder follows the paralegal index.</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520"/>
            <w:shd w:val="clear" w:color="auto" w:fill="1F3864"/>
          </w:tcPr>
          <w:p>
            <w:r/>
            <w:r>
              <w:rPr>
                <w:b/>
                <w:color w:val="FFFFFF"/>
                <w:sz w:val="16"/>
              </w:rPr>
              <w:t>Document</w:t>
            </w:r>
          </w:p>
        </w:tc>
        <w:tc>
          <w:tcPr>
            <w:tcW w:type="dxa" w:w="1656"/>
            <w:shd w:val="clear" w:color="auto" w:fill="1F3864"/>
          </w:tcPr>
          <w:p>
            <w:r/>
            <w:r>
              <w:rPr>
                <w:b/>
                <w:color w:val="FFFFFF"/>
                <w:sz w:val="16"/>
              </w:rPr>
              <w:t>Brief letter</w:t>
            </w:r>
          </w:p>
        </w:tc>
        <w:tc>
          <w:tcPr>
            <w:tcW w:type="dxa" w:w="1656"/>
            <w:shd w:val="clear" w:color="auto" w:fill="1F3864"/>
          </w:tcPr>
          <w:p>
            <w:r/>
            <w:r>
              <w:rPr>
                <w:b/>
                <w:color w:val="FFFFFF"/>
                <w:sz w:val="16"/>
              </w:rPr>
              <w:t>Index letter</w:t>
            </w:r>
          </w:p>
        </w:tc>
        <w:tc>
          <w:tcPr>
            <w:tcW w:type="dxa" w:w="1944"/>
            <w:shd w:val="clear" w:color="auto" w:fill="1F3864"/>
          </w:tcPr>
          <w:p>
            <w:r/>
            <w:r>
              <w:rPr>
                <w:b/>
                <w:color w:val="FFFFFF"/>
                <w:sz w:val="16"/>
              </w:rPr>
              <w:t>Checklist tab</w:t>
            </w:r>
          </w:p>
        </w:tc>
        <w:tc>
          <w:tcPr>
            <w:tcW w:type="dxa" w:w="1584"/>
            <w:shd w:val="clear" w:color="auto" w:fill="1F3864"/>
          </w:tcPr>
          <w:p>
            <w:r/>
            <w:r>
              <w:rPr>
                <w:b/>
                <w:color w:val="FFFFFF"/>
                <w:sz w:val="16"/>
              </w:rPr>
              <w:t>Comment</w:t>
            </w:r>
          </w:p>
        </w:tc>
      </w:tr>
      <w:tr>
        <w:tc>
          <w:tcPr>
            <w:tcW w:type="dxa" w:w="2520"/>
          </w:tcPr>
          <w:p>
            <w:pPr>
              <w:spacing w:after="20"/>
            </w:pPr>
            <w:r/>
            <w:r>
              <w:rPr>
                <w:sz w:val="16"/>
              </w:rPr>
              <w:t>CV (Dec. 5, 2024)</w:t>
            </w:r>
          </w:p>
        </w:tc>
        <w:tc>
          <w:tcPr>
            <w:tcW w:type="dxa" w:w="1656"/>
          </w:tcPr>
          <w:p>
            <w:pPr>
              <w:spacing w:after="20"/>
            </w:pPr>
            <w:r/>
            <w:r>
              <w:rPr>
                <w:sz w:val="16"/>
              </w:rPr>
              <w:t>A</w:t>
            </w:r>
          </w:p>
        </w:tc>
        <w:tc>
          <w:tcPr>
            <w:tcW w:type="dxa" w:w="1656"/>
          </w:tcPr>
          <w:p>
            <w:pPr>
              <w:spacing w:after="20"/>
            </w:pPr>
            <w:r/>
            <w:r>
              <w:rPr>
                <w:sz w:val="16"/>
              </w:rPr>
              <w:t>A</w:t>
            </w:r>
          </w:p>
        </w:tc>
        <w:tc>
          <w:tcPr>
            <w:tcW w:type="dxa" w:w="1944"/>
          </w:tcPr>
          <w:p>
            <w:pPr>
              <w:spacing w:after="20"/>
            </w:pPr>
            <w:r/>
            <w:r>
              <w:rPr>
                <w:sz w:val="16"/>
              </w:rPr>
              <w:t>A (#31)</w:t>
            </w:r>
          </w:p>
        </w:tc>
        <w:tc>
          <w:tcPr>
            <w:tcW w:type="dxa" w:w="1584"/>
          </w:tcPr>
          <w:p>
            <w:pPr>
              <w:spacing w:after="20"/>
            </w:pPr>
            <w:r/>
            <w:r>
              <w:rPr>
                <w:sz w:val="16"/>
              </w:rPr>
              <w:t>Consistent; needs refresh</w:t>
            </w:r>
          </w:p>
        </w:tc>
      </w:tr>
      <w:tr>
        <w:tc>
          <w:tcPr>
            <w:tcW w:type="dxa" w:w="2520"/>
          </w:tcPr>
          <w:p>
            <w:pPr>
              <w:spacing w:after="20"/>
            </w:pPr>
            <w:r/>
            <w:r>
              <w:rPr>
                <w:sz w:val="16"/>
              </w:rPr>
              <w:t>Google Scholar printout</w:t>
            </w:r>
          </w:p>
        </w:tc>
        <w:tc>
          <w:tcPr>
            <w:tcW w:type="dxa" w:w="1656"/>
          </w:tcPr>
          <w:p>
            <w:pPr>
              <w:spacing w:after="20"/>
            </w:pPr>
            <w:r/>
            <w:r>
              <w:rPr>
                <w:sz w:val="16"/>
              </w:rPr>
              <w:t>B (pp. 19–26)</w:t>
            </w:r>
          </w:p>
        </w:tc>
        <w:tc>
          <w:tcPr>
            <w:tcW w:type="dxa" w:w="1656"/>
          </w:tcPr>
          <w:p>
            <w:pPr>
              <w:spacing w:after="20"/>
            </w:pPr>
            <w:r/>
            <w:r>
              <w:rPr>
                <w:sz w:val="16"/>
              </w:rPr>
              <w:t>B (pp. 19–23)</w:t>
            </w:r>
          </w:p>
        </w:tc>
        <w:tc>
          <w:tcPr>
            <w:tcW w:type="dxa" w:w="1944"/>
          </w:tcPr>
          <w:p>
            <w:pPr>
              <w:spacing w:after="20"/>
            </w:pPr>
            <w:r/>
            <w:r>
              <w:rPr>
                <w:sz w:val="16"/>
              </w:rPr>
              <w:t>B (#33)</w:t>
            </w:r>
          </w:p>
        </w:tc>
        <w:tc>
          <w:tcPr>
            <w:tcW w:type="dxa" w:w="1584"/>
          </w:tcPr>
          <w:p>
            <w:pPr>
              <w:spacing w:after="20"/>
            </w:pPr>
            <w:r/>
            <w:r>
              <w:rPr>
                <w:sz w:val="16"/>
              </w:rPr>
              <w:t>Page ranges differ</w:t>
            </w:r>
          </w:p>
        </w:tc>
      </w:tr>
      <w:tr>
        <w:tc>
          <w:tcPr>
            <w:tcW w:type="dxa" w:w="2520"/>
          </w:tcPr>
          <w:p>
            <w:pPr>
              <w:spacing w:after="20"/>
            </w:pPr>
            <w:r/>
            <w:r>
              <w:rPr>
                <w:b/>
                <w:sz w:val="16"/>
              </w:rPr>
              <w:t>Passport bio page</w:t>
            </w:r>
          </w:p>
        </w:tc>
        <w:tc>
          <w:tcPr>
            <w:tcW w:type="dxa" w:w="1656"/>
          </w:tcPr>
          <w:p>
            <w:pPr>
              <w:spacing w:after="20"/>
            </w:pPr>
            <w:r/>
            <w:r>
              <w:rPr>
                <w:b/>
                <w:sz w:val="16"/>
              </w:rPr>
              <w:t>C</w:t>
            </w:r>
          </w:p>
        </w:tc>
        <w:tc>
          <w:tcPr>
            <w:tcW w:type="dxa" w:w="1656"/>
          </w:tcPr>
          <w:p>
            <w:pPr>
              <w:spacing w:after="20"/>
            </w:pPr>
            <w:r/>
            <w:r>
              <w:rPr>
                <w:b/>
                <w:sz w:val="16"/>
              </w:rPr>
              <w:t>C (with I-94)</w:t>
            </w:r>
          </w:p>
        </w:tc>
        <w:tc>
          <w:tcPr>
            <w:tcW w:type="dxa" w:w="1944"/>
          </w:tcPr>
          <w:p>
            <w:pPr>
              <w:spacing w:after="20"/>
            </w:pPr>
            <w:r/>
            <w:r>
              <w:rPr>
                <w:sz w:val="16"/>
              </w:rPr>
              <w:t>Biographical section (#8)</w:t>
            </w:r>
          </w:p>
        </w:tc>
        <w:tc>
          <w:tcPr>
            <w:tcW w:type="dxa" w:w="1584"/>
          </w:tcPr>
          <w:p>
            <w:pPr>
              <w:spacing w:after="20"/>
            </w:pPr>
            <w:r/>
            <w:r>
              <w:rPr>
                <w:sz w:val="16"/>
              </w:rPr>
              <w:t>Index combines passport and I-94</w:t>
            </w:r>
          </w:p>
        </w:tc>
      </w:tr>
      <w:tr>
        <w:tc>
          <w:tcPr>
            <w:tcW w:type="dxa" w:w="2520"/>
          </w:tcPr>
          <w:p>
            <w:pPr>
              <w:spacing w:after="20"/>
            </w:pPr>
            <w:r/>
            <w:r>
              <w:rPr>
                <w:sz w:val="16"/>
              </w:rPr>
              <w:t>Expert letters Johansson/Tsai/Al-Rashidi/Moriarty</w:t>
            </w:r>
          </w:p>
        </w:tc>
        <w:tc>
          <w:tcPr>
            <w:tcW w:type="dxa" w:w="1656"/>
          </w:tcPr>
          <w:p>
            <w:pPr>
              <w:spacing w:after="20"/>
            </w:pPr>
            <w:r/>
            <w:r>
              <w:rPr>
                <w:sz w:val="16"/>
              </w:rPr>
              <w:t>D/E/F/G</w:t>
            </w:r>
          </w:p>
        </w:tc>
        <w:tc>
          <w:tcPr>
            <w:tcW w:type="dxa" w:w="1656"/>
          </w:tcPr>
          <w:p>
            <w:pPr>
              <w:spacing w:after="20"/>
            </w:pPr>
            <w:r/>
            <w:r>
              <w:rPr>
                <w:sz w:val="16"/>
              </w:rPr>
              <w:t>D/E/F/G</w:t>
            </w:r>
          </w:p>
        </w:tc>
        <w:tc>
          <w:tcPr>
            <w:tcW w:type="dxa" w:w="1944"/>
          </w:tcPr>
          <w:p>
            <w:pPr>
              <w:spacing w:after="20"/>
            </w:pPr>
            <w:r/>
            <w:r>
              <w:rPr>
                <w:sz w:val="16"/>
              </w:rPr>
              <w:t>G and H (different experts, #51–#55)</w:t>
            </w:r>
          </w:p>
        </w:tc>
        <w:tc>
          <w:tcPr>
            <w:tcW w:type="dxa" w:w="1584"/>
          </w:tcPr>
          <w:p>
            <w:pPr>
              <w:spacing w:after="20"/>
            </w:pPr>
            <w:r/>
            <w:r>
              <w:rPr>
                <w:sz w:val="16"/>
              </w:rPr>
              <w:t>Pages differ (brief 30–67; index 28–55)</w:t>
            </w:r>
          </w:p>
        </w:tc>
      </w:tr>
      <w:tr>
        <w:tc>
          <w:tcPr>
            <w:tcW w:type="dxa" w:w="2520"/>
          </w:tcPr>
          <w:p>
            <w:pPr>
              <w:spacing w:after="20"/>
            </w:pPr>
            <w:r/>
            <w:r>
              <w:rPr>
                <w:b/>
                <w:sz w:val="16"/>
              </w:rPr>
              <w:t>Okonkwo letter</w:t>
            </w:r>
          </w:p>
        </w:tc>
        <w:tc>
          <w:tcPr>
            <w:tcW w:type="dxa" w:w="1656"/>
          </w:tcPr>
          <w:p>
            <w:pPr>
              <w:spacing w:after="20"/>
            </w:pPr>
            <w:r/>
            <w:r>
              <w:rPr>
                <w:b/>
                <w:sz w:val="16"/>
              </w:rPr>
              <w:t>H (cited; omitted from brief’s own index)</w:t>
            </w:r>
          </w:p>
        </w:tc>
        <w:tc>
          <w:tcPr>
            <w:tcW w:type="dxa" w:w="1656"/>
          </w:tcPr>
          <w:p>
            <w:pPr>
              <w:spacing w:after="20"/>
            </w:pPr>
            <w:r/>
            <w:r>
              <w:rPr>
                <w:b/>
                <w:sz w:val="16"/>
              </w:rPr>
              <w:t>Not assigned</w:t>
            </w:r>
          </w:p>
        </w:tc>
        <w:tc>
          <w:tcPr>
            <w:tcW w:type="dxa" w:w="1944"/>
          </w:tcPr>
          <w:p>
            <w:pPr>
              <w:spacing w:after="20"/>
            </w:pPr>
            <w:r/>
            <w:r>
              <w:rPr>
                <w:b/>
                <w:sz w:val="16"/>
              </w:rPr>
              <w:t>H (#56, Incomplete)</w:t>
            </w:r>
          </w:p>
        </w:tc>
        <w:tc>
          <w:tcPr>
            <w:tcW w:type="dxa" w:w="1584"/>
          </w:tcPr>
          <w:p>
            <w:pPr>
              <w:spacing w:after="20"/>
            </w:pPr>
            <w:r/>
            <w:r>
              <w:rPr>
                <w:sz w:val="16"/>
              </w:rPr>
              <w:t>Not in hand</w:t>
            </w:r>
          </w:p>
        </w:tc>
      </w:tr>
      <w:tr>
        <w:tc>
          <w:tcPr>
            <w:tcW w:type="dxa" w:w="2520"/>
          </w:tcPr>
          <w:p>
            <w:pPr>
              <w:spacing w:after="20"/>
            </w:pPr>
            <w:r/>
            <w:r>
              <w:rPr>
                <w:b/>
                <w:sz w:val="16"/>
              </w:rPr>
              <w:t>Beckworth Prize</w:t>
            </w:r>
          </w:p>
        </w:tc>
        <w:tc>
          <w:tcPr>
            <w:tcW w:type="dxa" w:w="1656"/>
          </w:tcPr>
          <w:p>
            <w:pPr>
              <w:spacing w:after="20"/>
            </w:pPr>
            <w:r/>
            <w:r>
              <w:rPr>
                <w:b/>
                <w:sz w:val="16"/>
              </w:rPr>
              <w:t>L</w:t>
            </w:r>
          </w:p>
        </w:tc>
        <w:tc>
          <w:tcPr>
            <w:tcW w:type="dxa" w:w="1656"/>
          </w:tcPr>
          <w:p>
            <w:pPr>
              <w:spacing w:after="20"/>
            </w:pPr>
            <w:r/>
            <w:r>
              <w:rPr>
                <w:b/>
                <w:sz w:val="16"/>
              </w:rPr>
              <w:t>I</w:t>
            </w:r>
          </w:p>
        </w:tc>
        <w:tc>
          <w:tcPr>
            <w:tcW w:type="dxa" w:w="1944"/>
          </w:tcPr>
          <w:p>
            <w:pPr>
              <w:spacing w:after="20"/>
            </w:pPr>
            <w:r/>
            <w:r>
              <w:rPr>
                <w:sz w:val="16"/>
              </w:rPr>
              <w:t>C (different awards)</w:t>
            </w:r>
          </w:p>
        </w:tc>
        <w:tc>
          <w:tcPr>
            <w:tcW w:type="dxa" w:w="1584"/>
          </w:tcPr>
          <w:p>
            <w:pPr>
              <w:spacing w:after="20"/>
            </w:pPr>
            <w:r/>
            <w:r>
              <w:rPr>
                <w:sz w:val="16"/>
              </w:rPr>
              <w:t>Mismatch</w:t>
            </w:r>
          </w:p>
        </w:tc>
      </w:tr>
      <w:tr>
        <w:tc>
          <w:tcPr>
            <w:tcW w:type="dxa" w:w="2520"/>
          </w:tcPr>
          <w:p>
            <w:pPr>
              <w:spacing w:after="20"/>
            </w:pPr>
            <w:r/>
            <w:r>
              <w:rPr>
                <w:b/>
                <w:sz w:val="16"/>
              </w:rPr>
              <w:t>ENNS Young Investigator Award</w:t>
            </w:r>
          </w:p>
        </w:tc>
        <w:tc>
          <w:tcPr>
            <w:tcW w:type="dxa" w:w="1656"/>
          </w:tcPr>
          <w:p>
            <w:pPr>
              <w:spacing w:after="20"/>
            </w:pPr>
            <w:r/>
            <w:r>
              <w:rPr>
                <w:b/>
                <w:sz w:val="16"/>
              </w:rPr>
              <w:t>M</w:t>
            </w:r>
          </w:p>
        </w:tc>
        <w:tc>
          <w:tcPr>
            <w:tcW w:type="dxa" w:w="1656"/>
          </w:tcPr>
          <w:p>
            <w:pPr>
              <w:spacing w:after="20"/>
            </w:pPr>
            <w:r/>
            <w:r>
              <w:rPr>
                <w:b/>
                <w:sz w:val="16"/>
              </w:rPr>
              <w:t>J</w:t>
            </w:r>
          </w:p>
        </w:tc>
        <w:tc>
          <w:tcPr>
            <w:tcW w:type="dxa" w:w="1944"/>
          </w:tcPr>
          <w:p>
            <w:pPr>
              <w:spacing w:after="20"/>
            </w:pPr>
            <w:r/>
            <w:r>
              <w:rPr>
                <w:sz w:val="16"/>
              </w:rPr>
              <w:t>C/D (different awards)</w:t>
            </w:r>
          </w:p>
        </w:tc>
        <w:tc>
          <w:tcPr>
            <w:tcW w:type="dxa" w:w="1584"/>
          </w:tcPr>
          <w:p>
            <w:pPr>
              <w:spacing w:after="20"/>
            </w:pPr>
            <w:r/>
            <w:r>
              <w:rPr>
                <w:sz w:val="16"/>
              </w:rPr>
              <w:t>Mismatch</w:t>
            </w:r>
          </w:p>
        </w:tc>
      </w:tr>
      <w:tr>
        <w:tc>
          <w:tcPr>
            <w:tcW w:type="dxa" w:w="2520"/>
          </w:tcPr>
          <w:p>
            <w:pPr>
              <w:spacing w:after="20"/>
            </w:pPr>
            <w:r/>
            <w:r>
              <w:rPr>
                <w:b/>
                <w:sz w:val="16"/>
              </w:rPr>
              <w:t>ISCN Fellowship</w:t>
            </w:r>
          </w:p>
        </w:tc>
        <w:tc>
          <w:tcPr>
            <w:tcW w:type="dxa" w:w="1656"/>
          </w:tcPr>
          <w:p>
            <w:pPr>
              <w:spacing w:after="20"/>
            </w:pPr>
            <w:r/>
            <w:r>
              <w:rPr>
                <w:b/>
                <w:sz w:val="16"/>
              </w:rPr>
              <w:t>N</w:t>
            </w:r>
          </w:p>
        </w:tc>
        <w:tc>
          <w:tcPr>
            <w:tcW w:type="dxa" w:w="1656"/>
          </w:tcPr>
          <w:p>
            <w:pPr>
              <w:spacing w:after="20"/>
            </w:pPr>
            <w:r/>
            <w:r>
              <w:rPr>
                <w:b/>
                <w:sz w:val="16"/>
              </w:rPr>
              <w:t>K</w:t>
            </w:r>
          </w:p>
        </w:tc>
        <w:tc>
          <w:tcPr>
            <w:tcW w:type="dxa" w:w="1944"/>
          </w:tcPr>
          <w:p>
            <w:pPr>
              <w:spacing w:after="20"/>
            </w:pPr>
            <w:r/>
            <w:r>
              <w:rPr>
                <w:sz w:val="16"/>
              </w:rPr>
              <w:t>E (OCNS/SfN)</w:t>
            </w:r>
          </w:p>
        </w:tc>
        <w:tc>
          <w:tcPr>
            <w:tcW w:type="dxa" w:w="1584"/>
          </w:tcPr>
          <w:p>
            <w:pPr>
              <w:spacing w:after="20"/>
            </w:pPr>
            <w:r/>
            <w:r>
              <w:rPr>
                <w:sz w:val="16"/>
              </w:rPr>
              <w:t>Mismatch</w:t>
            </w:r>
          </w:p>
        </w:tc>
      </w:tr>
      <w:tr>
        <w:tc>
          <w:tcPr>
            <w:tcW w:type="dxa" w:w="2520"/>
          </w:tcPr>
          <w:p>
            <w:pPr>
              <w:spacing w:after="20"/>
            </w:pPr>
            <w:r/>
            <w:r>
              <w:rPr>
                <w:b/>
                <w:sz w:val="16"/>
              </w:rPr>
              <w:t>Media articles (3)</w:t>
            </w:r>
          </w:p>
        </w:tc>
        <w:tc>
          <w:tcPr>
            <w:tcW w:type="dxa" w:w="1656"/>
          </w:tcPr>
          <w:p>
            <w:pPr>
              <w:spacing w:after="20"/>
            </w:pPr>
            <w:r/>
            <w:r>
              <w:rPr>
                <w:b/>
                <w:sz w:val="16"/>
              </w:rPr>
              <w:t>O</w:t>
            </w:r>
          </w:p>
        </w:tc>
        <w:tc>
          <w:tcPr>
            <w:tcW w:type="dxa" w:w="1656"/>
          </w:tcPr>
          <w:p>
            <w:pPr>
              <w:spacing w:after="20"/>
            </w:pPr>
            <w:r/>
            <w:r>
              <w:rPr>
                <w:b/>
                <w:sz w:val="16"/>
              </w:rPr>
              <w:t>L, M, N</w:t>
            </w:r>
          </w:p>
        </w:tc>
        <w:tc>
          <w:tcPr>
            <w:tcW w:type="dxa" w:w="1944"/>
          </w:tcPr>
          <w:p>
            <w:pPr>
              <w:spacing w:after="20"/>
            </w:pPr>
            <w:r/>
            <w:r>
              <w:rPr>
                <w:sz w:val="16"/>
              </w:rPr>
              <w:t>F (7 different items)</w:t>
            </w:r>
          </w:p>
        </w:tc>
        <w:tc>
          <w:tcPr>
            <w:tcW w:type="dxa" w:w="1584"/>
          </w:tcPr>
          <w:p>
            <w:pPr>
              <w:spacing w:after="20"/>
            </w:pPr>
            <w:r/>
            <w:r>
              <w:rPr>
                <w:sz w:val="16"/>
              </w:rPr>
              <w:t>Mismatch</w:t>
            </w:r>
          </w:p>
        </w:tc>
      </w:tr>
      <w:tr>
        <w:tc>
          <w:tcPr>
            <w:tcW w:type="dxa" w:w="2520"/>
          </w:tcPr>
          <w:p>
            <w:pPr>
              <w:spacing w:after="20"/>
            </w:pPr>
            <w:r/>
            <w:r>
              <w:rPr>
                <w:b/>
                <w:sz w:val="16"/>
              </w:rPr>
              <w:t>Peer review (73 reviews)</w:t>
            </w:r>
          </w:p>
        </w:tc>
        <w:tc>
          <w:tcPr>
            <w:tcW w:type="dxa" w:w="1656"/>
          </w:tcPr>
          <w:p>
            <w:pPr>
              <w:spacing w:after="20"/>
            </w:pPr>
            <w:r/>
            <w:r>
              <w:rPr>
                <w:b/>
                <w:sz w:val="16"/>
              </w:rPr>
              <w:t>P</w:t>
            </w:r>
          </w:p>
        </w:tc>
        <w:tc>
          <w:tcPr>
            <w:tcW w:type="dxa" w:w="1656"/>
          </w:tcPr>
          <w:p>
            <w:pPr>
              <w:spacing w:after="20"/>
            </w:pPr>
            <w:r/>
            <w:r>
              <w:rPr>
                <w:b/>
                <w:sz w:val="16"/>
              </w:rPr>
              <w:t>O</w:t>
            </w:r>
          </w:p>
        </w:tc>
        <w:tc>
          <w:tcPr>
            <w:tcW w:type="dxa" w:w="1944"/>
          </w:tcPr>
          <w:p>
            <w:pPr>
              <w:spacing w:after="20"/>
            </w:pPr>
            <w:r/>
            <w:r>
              <w:rPr>
                <w:sz w:val="16"/>
              </w:rPr>
              <w:t>I, J, K</w:t>
            </w:r>
          </w:p>
        </w:tc>
        <w:tc>
          <w:tcPr>
            <w:tcW w:type="dxa" w:w="1584"/>
          </w:tcPr>
          <w:p>
            <w:pPr>
              <w:spacing w:after="20"/>
            </w:pPr>
            <w:r/>
            <w:r>
              <w:rPr>
                <w:sz w:val="16"/>
              </w:rPr>
              <w:t>Mismatch</w:t>
            </w:r>
          </w:p>
        </w:tc>
      </w:tr>
      <w:tr>
        <w:tc>
          <w:tcPr>
            <w:tcW w:type="dxa" w:w="2520"/>
          </w:tcPr>
          <w:p>
            <w:pPr>
              <w:spacing w:after="20"/>
            </w:pPr>
            <w:r/>
            <w:r>
              <w:rPr>
                <w:b/>
                <w:sz w:val="16"/>
              </w:rPr>
              <w:t>Three U.S. patents</w:t>
            </w:r>
          </w:p>
        </w:tc>
        <w:tc>
          <w:tcPr>
            <w:tcW w:type="dxa" w:w="1656"/>
          </w:tcPr>
          <w:p>
            <w:pPr>
              <w:spacing w:after="20"/>
            </w:pPr>
            <w:r/>
            <w:r>
              <w:rPr>
                <w:b/>
                <w:sz w:val="16"/>
              </w:rPr>
              <w:t>I, J, K</w:t>
            </w:r>
          </w:p>
        </w:tc>
        <w:tc>
          <w:tcPr>
            <w:tcW w:type="dxa" w:w="1656"/>
          </w:tcPr>
          <w:p>
            <w:pPr>
              <w:spacing w:after="20"/>
            </w:pPr>
            <w:r/>
            <w:r>
              <w:rPr>
                <w:b/>
                <w:sz w:val="16"/>
              </w:rPr>
              <w:t>P (single exhibit)</w:t>
            </w:r>
          </w:p>
        </w:tc>
        <w:tc>
          <w:tcPr>
            <w:tcW w:type="dxa" w:w="1944"/>
          </w:tcPr>
          <w:p>
            <w:pPr>
              <w:spacing w:after="20"/>
            </w:pPr>
            <w:r/>
            <w:r>
              <w:rPr>
                <w:sz w:val="16"/>
              </w:rPr>
              <w:t>P (2 pending applications)</w:t>
            </w:r>
          </w:p>
        </w:tc>
        <w:tc>
          <w:tcPr>
            <w:tcW w:type="dxa" w:w="1584"/>
          </w:tcPr>
          <w:p>
            <w:pPr>
              <w:spacing w:after="20"/>
            </w:pPr>
            <w:r/>
            <w:r>
              <w:rPr>
                <w:sz w:val="16"/>
              </w:rPr>
              <w:t>Mismatch</w:t>
            </w:r>
          </w:p>
        </w:tc>
      </w:tr>
      <w:tr>
        <w:tc>
          <w:tcPr>
            <w:tcW w:type="dxa" w:w="2520"/>
          </w:tcPr>
          <w:p>
            <w:pPr>
              <w:spacing w:after="20"/>
            </w:pPr>
            <w:r/>
            <w:r>
              <w:rPr>
                <w:sz w:val="16"/>
              </w:rPr>
              <w:t>Employer letter (Venkatesh)</w:t>
            </w:r>
          </w:p>
        </w:tc>
        <w:tc>
          <w:tcPr>
            <w:tcW w:type="dxa" w:w="1656"/>
          </w:tcPr>
          <w:p>
            <w:pPr>
              <w:spacing w:after="20"/>
            </w:pPr>
            <w:r/>
            <w:r>
              <w:rPr>
                <w:sz w:val="16"/>
              </w:rPr>
              <w:t>Q</w:t>
            </w:r>
          </w:p>
        </w:tc>
        <w:tc>
          <w:tcPr>
            <w:tcW w:type="dxa" w:w="1656"/>
          </w:tcPr>
          <w:p>
            <w:pPr>
              <w:spacing w:after="20"/>
            </w:pPr>
            <w:r/>
            <w:r>
              <w:rPr>
                <w:sz w:val="16"/>
              </w:rPr>
              <w:t>Q (filed under Crit. 5)</w:t>
            </w:r>
          </w:p>
        </w:tc>
        <w:tc>
          <w:tcPr>
            <w:tcW w:type="dxa" w:w="1944"/>
          </w:tcPr>
          <w:p>
            <w:pPr>
              <w:spacing w:after="20"/>
            </w:pPr>
            <w:r/>
            <w:r>
              <w:rPr>
                <w:sz w:val="16"/>
              </w:rPr>
              <w:t>Q (CEO signatory, #71)</w:t>
            </w:r>
          </w:p>
        </w:tc>
        <w:tc>
          <w:tcPr>
            <w:tcW w:type="dxa" w:w="1584"/>
          </w:tcPr>
          <w:p>
            <w:pPr>
              <w:spacing w:after="20"/>
            </w:pPr>
            <w:r/>
            <w:r>
              <w:rPr>
                <w:sz w:val="16"/>
              </w:rPr>
              <w:t>Signatory conflict</w:t>
            </w:r>
          </w:p>
        </w:tc>
      </w:tr>
      <w:tr>
        <w:tc>
          <w:tcPr>
            <w:tcW w:type="dxa" w:w="2520"/>
          </w:tcPr>
          <w:p>
            <w:pPr>
              <w:spacing w:after="20"/>
            </w:pPr>
            <w:r/>
            <w:r>
              <w:rPr>
                <w:sz w:val="16"/>
              </w:rPr>
              <w:t>Publications</w:t>
            </w:r>
          </w:p>
        </w:tc>
        <w:tc>
          <w:tcPr>
            <w:tcW w:type="dxa" w:w="1656"/>
          </w:tcPr>
          <w:p>
            <w:pPr>
              <w:spacing w:after="20"/>
            </w:pPr>
            <w:r/>
            <w:r>
              <w:rPr>
                <w:sz w:val="16"/>
              </w:rPr>
              <w:t>R</w:t>
            </w:r>
          </w:p>
        </w:tc>
        <w:tc>
          <w:tcPr>
            <w:tcW w:type="dxa" w:w="1656"/>
          </w:tcPr>
          <w:p>
            <w:pPr>
              <w:spacing w:after="20"/>
            </w:pPr>
            <w:r/>
            <w:r>
              <w:rPr>
                <w:sz w:val="16"/>
              </w:rPr>
              <w:t>R</w:t>
            </w:r>
          </w:p>
        </w:tc>
        <w:tc>
          <w:tcPr>
            <w:tcW w:type="dxa" w:w="1944"/>
          </w:tcPr>
          <w:p>
            <w:pPr>
              <w:spacing w:after="20"/>
            </w:pPr>
            <w:r/>
            <w:r>
              <w:rPr>
                <w:sz w:val="16"/>
              </w:rPr>
              <w:t>B (#39); R = Meridian profile</w:t>
            </w:r>
          </w:p>
        </w:tc>
        <w:tc>
          <w:tcPr>
            <w:tcW w:type="dxa" w:w="1584"/>
          </w:tcPr>
          <w:p>
            <w:pPr>
              <w:spacing w:after="20"/>
            </w:pPr>
            <w:r/>
            <w:r>
              <w:rPr>
                <w:sz w:val="16"/>
              </w:rPr>
              <w:t>Checklist mismatch</w:t>
            </w:r>
          </w:p>
        </w:tc>
      </w:tr>
      <w:tr>
        <w:tc>
          <w:tcPr>
            <w:tcW w:type="dxa" w:w="2520"/>
          </w:tcPr>
          <w:p>
            <w:pPr>
              <w:spacing w:after="20"/>
            </w:pPr>
            <w:r/>
            <w:r>
              <w:rPr>
                <w:sz w:val="16"/>
              </w:rPr>
              <w:t>Citation analysis</w:t>
            </w:r>
          </w:p>
        </w:tc>
        <w:tc>
          <w:tcPr>
            <w:tcW w:type="dxa" w:w="1656"/>
          </w:tcPr>
          <w:p>
            <w:pPr>
              <w:spacing w:after="20"/>
            </w:pPr>
            <w:r/>
            <w:r>
              <w:rPr>
                <w:sz w:val="16"/>
              </w:rPr>
              <w:t>S</w:t>
            </w:r>
          </w:p>
        </w:tc>
        <w:tc>
          <w:tcPr>
            <w:tcW w:type="dxa" w:w="1656"/>
          </w:tcPr>
          <w:p>
            <w:pPr>
              <w:spacing w:after="20"/>
            </w:pPr>
            <w:r/>
            <w:r>
              <w:rPr>
                <w:sz w:val="16"/>
              </w:rPr>
              <w:t>S</w:t>
            </w:r>
          </w:p>
        </w:tc>
        <w:tc>
          <w:tcPr>
            <w:tcW w:type="dxa" w:w="1944"/>
          </w:tcPr>
          <w:p>
            <w:pPr>
              <w:spacing w:after="20"/>
            </w:pPr>
            <w:r/>
            <w:r>
              <w:rPr>
                <w:sz w:val="16"/>
              </w:rPr>
              <w:t>O (#67); S = personal statement</w:t>
            </w:r>
          </w:p>
        </w:tc>
        <w:tc>
          <w:tcPr>
            <w:tcW w:type="dxa" w:w="1584"/>
          </w:tcPr>
          <w:p>
            <w:pPr>
              <w:spacing w:after="20"/>
            </w:pPr>
            <w:r/>
            <w:r>
              <w:rPr>
                <w:sz w:val="16"/>
              </w:rPr>
              <w:t>Checklist mismatch</w:t>
            </w:r>
          </w:p>
        </w:tc>
      </w:tr>
      <w:tr>
        <w:tc>
          <w:tcPr>
            <w:tcW w:type="dxa" w:w="2520"/>
          </w:tcPr>
          <w:p>
            <w:pPr>
              <w:spacing w:after="20"/>
            </w:pPr>
            <w:r/>
            <w:r>
              <w:rPr>
                <w:sz w:val="16"/>
              </w:rPr>
              <w:t>Keynote invitations</w:t>
            </w:r>
          </w:p>
        </w:tc>
        <w:tc>
          <w:tcPr>
            <w:tcW w:type="dxa" w:w="1656"/>
          </w:tcPr>
          <w:p>
            <w:pPr>
              <w:spacing w:after="20"/>
            </w:pPr>
            <w:r/>
            <w:r>
              <w:rPr>
                <w:sz w:val="16"/>
              </w:rPr>
              <w:t>T</w:t>
            </w:r>
          </w:p>
        </w:tc>
        <w:tc>
          <w:tcPr>
            <w:tcW w:type="dxa" w:w="1656"/>
          </w:tcPr>
          <w:p>
            <w:pPr>
              <w:spacing w:after="20"/>
            </w:pPr>
            <w:r/>
            <w:r>
              <w:rPr>
                <w:sz w:val="16"/>
              </w:rPr>
              <w:t>T</w:t>
            </w:r>
          </w:p>
        </w:tc>
        <w:tc>
          <w:tcPr>
            <w:tcW w:type="dxa" w:w="1944"/>
          </w:tcPr>
          <w:p>
            <w:pPr>
              <w:spacing w:after="20"/>
            </w:pPr>
            <w:r/>
            <w:r>
              <w:rPr>
                <w:sz w:val="16"/>
              </w:rPr>
              <w:t>T (5 events)</w:t>
            </w:r>
          </w:p>
        </w:tc>
        <w:tc>
          <w:tcPr>
            <w:tcW w:type="dxa" w:w="1584"/>
          </w:tcPr>
          <w:p>
            <w:pPr>
              <w:spacing w:after="20"/>
            </w:pPr>
            <w:r/>
            <w:r>
              <w:rPr>
                <w:sz w:val="16"/>
              </w:rPr>
              <w:t>Count differs</w:t>
            </w:r>
          </w:p>
        </w:tc>
      </w:tr>
      <w:tr>
        <w:tc>
          <w:tcPr>
            <w:tcW w:type="dxa" w:w="2520"/>
          </w:tcPr>
          <w:p>
            <w:pPr>
              <w:spacing w:after="20"/>
            </w:pPr>
            <w:r/>
            <w:r>
              <w:rPr>
                <w:b/>
                <w:sz w:val="16"/>
              </w:rPr>
              <w:t>I-94</w:t>
            </w:r>
          </w:p>
        </w:tc>
        <w:tc>
          <w:tcPr>
            <w:tcW w:type="dxa" w:w="1656"/>
          </w:tcPr>
          <w:p>
            <w:pPr>
              <w:spacing w:after="20"/>
            </w:pPr>
            <w:r/>
            <w:r>
              <w:rPr>
                <w:b/>
                <w:sz w:val="16"/>
              </w:rPr>
              <w:t>U</w:t>
            </w:r>
          </w:p>
        </w:tc>
        <w:tc>
          <w:tcPr>
            <w:tcW w:type="dxa" w:w="1656"/>
          </w:tcPr>
          <w:p>
            <w:pPr>
              <w:spacing w:after="20"/>
            </w:pPr>
            <w:r/>
            <w:r>
              <w:rPr>
                <w:b/>
                <w:sz w:val="16"/>
              </w:rPr>
              <w:t>C</w:t>
            </w:r>
          </w:p>
        </w:tc>
        <w:tc>
          <w:tcPr>
            <w:tcW w:type="dxa" w:w="1944"/>
          </w:tcPr>
          <w:p>
            <w:pPr>
              <w:spacing w:after="20"/>
            </w:pPr>
            <w:r/>
            <w:r>
              <w:rPr>
                <w:sz w:val="16"/>
              </w:rPr>
              <w:t>Biographical section (#10)</w:t>
            </w:r>
          </w:p>
        </w:tc>
        <w:tc>
          <w:tcPr>
            <w:tcW w:type="dxa" w:w="1584"/>
          </w:tcPr>
          <w:p>
            <w:pPr>
              <w:spacing w:after="20"/>
            </w:pPr>
            <w:r/>
            <w:r>
              <w:rPr>
                <w:sz w:val="16"/>
              </w:rPr>
              <w:t>Mismatch</w:t>
            </w:r>
          </w:p>
        </w:tc>
      </w:tr>
      <w:tr>
        <w:tc>
          <w:tcPr>
            <w:tcW w:type="dxa" w:w="2520"/>
          </w:tcPr>
          <w:p>
            <w:pPr>
              <w:spacing w:after="20"/>
            </w:pPr>
            <w:r/>
            <w:r>
              <w:rPr>
                <w:b/>
                <w:sz w:val="16"/>
              </w:rPr>
              <w:t>Educational credentials</w:t>
            </w:r>
          </w:p>
        </w:tc>
        <w:tc>
          <w:tcPr>
            <w:tcW w:type="dxa" w:w="1656"/>
          </w:tcPr>
          <w:p>
            <w:pPr>
              <w:spacing w:after="20"/>
            </w:pPr>
            <w:r/>
            <w:r>
              <w:rPr>
                <w:b/>
                <w:sz w:val="16"/>
              </w:rPr>
              <w:t>V</w:t>
            </w:r>
          </w:p>
        </w:tc>
        <w:tc>
          <w:tcPr>
            <w:tcW w:type="dxa" w:w="1656"/>
          </w:tcPr>
          <w:p>
            <w:pPr>
              <w:spacing w:after="20"/>
            </w:pPr>
            <w:r/>
            <w:r>
              <w:rPr>
                <w:b/>
                <w:sz w:val="16"/>
              </w:rPr>
              <w:t>U</w:t>
            </w:r>
          </w:p>
        </w:tc>
        <w:tc>
          <w:tcPr>
            <w:tcW w:type="dxa" w:w="1944"/>
          </w:tcPr>
          <w:p>
            <w:pPr>
              <w:spacing w:after="20"/>
            </w:pPr>
            <w:r/>
            <w:r>
              <w:rPr>
                <w:sz w:val="16"/>
              </w:rPr>
              <w:t>A (#32–#37, different degrees)</w:t>
            </w:r>
          </w:p>
        </w:tc>
        <w:tc>
          <w:tcPr>
            <w:tcW w:type="dxa" w:w="1584"/>
          </w:tcPr>
          <w:p>
            <w:pPr>
              <w:spacing w:after="20"/>
            </w:pPr>
            <w:r/>
            <w:r>
              <w:rPr>
                <w:sz w:val="16"/>
              </w:rPr>
              <w:t>Mismatch</w:t>
            </w:r>
          </w:p>
        </w:tc>
      </w:tr>
      <w:tr>
        <w:tc>
          <w:tcPr>
            <w:tcW w:type="dxa" w:w="2520"/>
          </w:tcPr>
          <w:p>
            <w:pPr>
              <w:spacing w:after="20"/>
            </w:pPr>
            <w:r/>
            <w:r>
              <w:rPr>
                <w:sz w:val="16"/>
              </w:rPr>
              <w:t>Supplementary media</w:t>
            </w:r>
          </w:p>
        </w:tc>
        <w:tc>
          <w:tcPr>
            <w:tcW w:type="dxa" w:w="1656"/>
          </w:tcPr>
          <w:p>
            <w:pPr>
              <w:spacing w:after="20"/>
            </w:pPr>
            <w:r/>
            <w:r>
              <w:rPr>
                <w:sz w:val="16"/>
              </w:rPr>
              <w:t>Not in brief index</w:t>
            </w:r>
          </w:p>
        </w:tc>
        <w:tc>
          <w:tcPr>
            <w:tcW w:type="dxa" w:w="1656"/>
          </w:tcPr>
          <w:p>
            <w:pPr>
              <w:spacing w:after="20"/>
            </w:pPr>
            <w:r/>
            <w:r>
              <w:rPr>
                <w:sz w:val="16"/>
              </w:rPr>
              <w:t>V</w:t>
            </w:r>
          </w:p>
        </w:tc>
        <w:tc>
          <w:tcPr>
            <w:tcW w:type="dxa" w:w="1944"/>
          </w:tcPr>
          <w:p>
            <w:pPr>
              <w:spacing w:after="20"/>
            </w:pPr>
            <w:r/>
            <w:r>
              <w:rPr>
                <w:sz w:val="16"/>
              </w:rPr>
              <w:t>W (#86)</w:t>
            </w:r>
          </w:p>
        </w:tc>
        <w:tc>
          <w:tcPr>
            <w:tcW w:type="dxa" w:w="1584"/>
          </w:tcPr>
          <w:p>
            <w:pPr>
              <w:spacing w:after="20"/>
            </w:pPr>
            <w:r/>
            <w:r>
              <w:rPr>
                <w:sz w:val="16"/>
              </w:rPr>
              <w:t>Uncited exhibit</w:t>
            </w:r>
          </w:p>
        </w:tc>
      </w:tr>
      <w:tr>
        <w:tc>
          <w:tcPr>
            <w:tcW w:type="dxa" w:w="2520"/>
          </w:tcPr>
          <w:p>
            <w:pPr>
              <w:spacing w:after="20"/>
            </w:pPr>
            <w:r/>
            <w:r>
              <w:rPr>
                <w:sz w:val="16"/>
              </w:rPr>
              <w:t>Meridian corporate profile</w:t>
            </w:r>
          </w:p>
        </w:tc>
        <w:tc>
          <w:tcPr>
            <w:tcW w:type="dxa" w:w="1656"/>
          </w:tcPr>
          <w:p>
            <w:pPr>
              <w:spacing w:after="20"/>
            </w:pPr>
            <w:r/>
            <w:r>
              <w:rPr>
                <w:sz w:val="16"/>
              </w:rPr>
              <w:t>W</w:t>
            </w:r>
          </w:p>
        </w:tc>
        <w:tc>
          <w:tcPr>
            <w:tcW w:type="dxa" w:w="1656"/>
          </w:tcPr>
          <w:p>
            <w:pPr>
              <w:spacing w:after="20"/>
            </w:pPr>
            <w:r/>
            <w:r>
              <w:rPr>
                <w:sz w:val="16"/>
              </w:rPr>
              <w:t>W</w:t>
            </w:r>
          </w:p>
        </w:tc>
        <w:tc>
          <w:tcPr>
            <w:tcW w:type="dxa" w:w="1944"/>
          </w:tcPr>
          <w:p>
            <w:pPr>
              <w:spacing w:after="20"/>
            </w:pPr>
            <w:r/>
            <w:r>
              <w:rPr>
                <w:sz w:val="16"/>
              </w:rPr>
              <w:t>R (#73)</w:t>
            </w:r>
          </w:p>
        </w:tc>
        <w:tc>
          <w:tcPr>
            <w:tcW w:type="dxa" w:w="1584"/>
          </w:tcPr>
          <w:p>
            <w:pPr>
              <w:spacing w:after="20"/>
            </w:pPr>
            <w:r/>
            <w:r>
              <w:rPr>
                <w:sz w:val="16"/>
              </w:rPr>
              <w:t>Facts differ</w:t>
            </w:r>
          </w:p>
        </w:tc>
      </w:tr>
      <w:tr>
        <w:tc>
          <w:tcPr>
            <w:tcW w:type="dxa" w:w="2520"/>
          </w:tcPr>
          <w:p>
            <w:pPr>
              <w:spacing w:after="20"/>
            </w:pPr>
            <w:r/>
            <w:r>
              <w:rPr>
                <w:sz w:val="16"/>
              </w:rPr>
              <w:t>CEO support letter</w:t>
            </w:r>
          </w:p>
        </w:tc>
        <w:tc>
          <w:tcPr>
            <w:tcW w:type="dxa" w:w="1656"/>
          </w:tcPr>
          <w:p>
            <w:pPr>
              <w:spacing w:after="20"/>
            </w:pPr>
            <w:r/>
            <w:r>
              <w:rPr>
                <w:sz w:val="16"/>
              </w:rPr>
              <w:t>Not cited</w:t>
            </w:r>
          </w:p>
        </w:tc>
        <w:tc>
          <w:tcPr>
            <w:tcW w:type="dxa" w:w="1656"/>
          </w:tcPr>
          <w:p>
            <w:pPr>
              <w:spacing w:after="20"/>
            </w:pPr>
            <w:r/>
            <w:r>
              <w:rPr>
                <w:sz w:val="16"/>
              </w:rPr>
              <w:t>Not listed</w:t>
            </w:r>
          </w:p>
        </w:tc>
        <w:tc>
          <w:tcPr>
            <w:tcW w:type="dxa" w:w="1944"/>
          </w:tcPr>
          <w:p>
            <w:pPr>
              <w:spacing w:after="20"/>
            </w:pPr>
            <w:r/>
            <w:r>
              <w:rPr>
                <w:sz w:val="16"/>
              </w:rPr>
              <w:t>Q (#72, Not Started)</w:t>
            </w:r>
          </w:p>
        </w:tc>
        <w:tc>
          <w:tcPr>
            <w:tcW w:type="dxa" w:w="1584"/>
          </w:tcPr>
          <w:p>
            <w:pPr>
              <w:spacing w:after="20"/>
            </w:pPr>
            <w:r/>
            <w:r>
              <w:rPr>
                <w:sz w:val="16"/>
              </w:rPr>
              <w:t>Needs own letter</w:t>
            </w:r>
          </w:p>
        </w:tc>
      </w:tr>
      <w:tr>
        <w:tc>
          <w:tcPr>
            <w:tcW w:type="dxa" w:w="2520"/>
          </w:tcPr>
          <w:p>
            <w:pPr>
              <w:spacing w:after="20"/>
            </w:pPr>
            <w:r/>
            <w:r>
              <w:rPr>
                <w:sz w:val="16"/>
              </w:rPr>
              <w:t>Field overview report</w:t>
            </w:r>
          </w:p>
        </w:tc>
        <w:tc>
          <w:tcPr>
            <w:tcW w:type="dxa" w:w="1656"/>
          </w:tcPr>
          <w:p>
            <w:pPr>
              <w:spacing w:after="20"/>
            </w:pPr>
            <w:r/>
            <w:r>
              <w:rPr>
                <w:sz w:val="16"/>
              </w:rPr>
              <w:t>Not cited</w:t>
            </w:r>
          </w:p>
        </w:tc>
        <w:tc>
          <w:tcPr>
            <w:tcW w:type="dxa" w:w="1656"/>
          </w:tcPr>
          <w:p>
            <w:pPr>
              <w:spacing w:after="20"/>
            </w:pPr>
            <w:r/>
            <w:r>
              <w:rPr>
                <w:sz w:val="16"/>
              </w:rPr>
              <w:t>Not listed</w:t>
            </w:r>
          </w:p>
        </w:tc>
        <w:tc>
          <w:tcPr>
            <w:tcW w:type="dxa" w:w="1944"/>
          </w:tcPr>
          <w:p>
            <w:pPr>
              <w:spacing w:after="20"/>
            </w:pPr>
            <w:r/>
            <w:r>
              <w:rPr>
                <w:sz w:val="16"/>
              </w:rPr>
              <w:t>X (#87, Not Started)</w:t>
            </w:r>
          </w:p>
        </w:tc>
        <w:tc>
          <w:tcPr>
            <w:tcW w:type="dxa" w:w="1584"/>
          </w:tcPr>
          <w:p>
            <w:pPr>
              <w:spacing w:after="20"/>
            </w:pPr>
            <w:r/>
            <w:r>
              <w:rPr>
                <w:sz w:val="16"/>
              </w:rPr>
              <w:t>Decide; cite or drop</w:t>
            </w:r>
          </w:p>
        </w:tc>
      </w:tr>
      <w:tr>
        <w:tc>
          <w:tcPr>
            <w:tcW w:type="dxa" w:w="2520"/>
          </w:tcPr>
          <w:p>
            <w:pPr>
              <w:spacing w:after="20"/>
            </w:pPr>
            <w:r/>
            <w:r>
              <w:rPr>
                <w:sz w:val="16"/>
              </w:rPr>
              <w:t>I-797A / H-1B visa / status history</w:t>
            </w:r>
          </w:p>
        </w:tc>
        <w:tc>
          <w:tcPr>
            <w:tcW w:type="dxa" w:w="1656"/>
          </w:tcPr>
          <w:p>
            <w:pPr>
              <w:spacing w:after="20"/>
            </w:pPr>
            <w:r/>
            <w:r>
              <w:rPr>
                <w:sz w:val="16"/>
              </w:rPr>
              <w:t>Not cited</w:t>
            </w:r>
          </w:p>
        </w:tc>
        <w:tc>
          <w:tcPr>
            <w:tcW w:type="dxa" w:w="1656"/>
          </w:tcPr>
          <w:p>
            <w:pPr>
              <w:spacing w:after="20"/>
            </w:pPr>
            <w:r/>
            <w:r>
              <w:rPr>
                <w:sz w:val="16"/>
              </w:rPr>
              <w:t>Not listed</w:t>
            </w:r>
          </w:p>
        </w:tc>
        <w:tc>
          <w:tcPr>
            <w:tcW w:type="dxa" w:w="1944"/>
          </w:tcPr>
          <w:p>
            <w:pPr>
              <w:spacing w:after="20"/>
            </w:pPr>
            <w:r/>
            <w:r>
              <w:rPr>
                <w:sz w:val="16"/>
              </w:rPr>
              <w:t>Biographical (#9, #11, #18, #28)</w:t>
            </w:r>
          </w:p>
        </w:tc>
        <w:tc>
          <w:tcPr>
            <w:tcW w:type="dxa" w:w="1584"/>
          </w:tcPr>
          <w:p>
            <w:pPr>
              <w:spacing w:after="20"/>
            </w:pPr>
            <w:r/>
            <w:r>
              <w:rPr>
                <w:sz w:val="16"/>
              </w:rPr>
              <w:t>Not lettered</w:t>
            </w:r>
          </w:p>
        </w:tc>
      </w:tr>
    </w:tbl>
    <w:p/>
    <w:p>
      <w:pPr>
        <w:spacing w:after="80"/>
      </w:pPr>
      <w:r>
        <w:rPr>
          <w:b/>
        </w:rPr>
        <w:t>Recommendation:</w:t>
      </w:r>
      <w:r>
        <w:t xml:space="preserve"> use the paralegal index as the base (it is organized by criterion and tracks the binder), slot Okonkwo at H (or close the gap), add new letters for the CEO letter and status documents, and then run a global search of the brief for every “Exhibit” reference. Moving the patents from I/J/K to P alone affects § I, § IV.E.1 and § VI.</w:t>
      </w:r>
    </w:p>
    <w:p>
      <w:pPr>
        <w:pStyle w:val="Heading1"/>
      </w:pPr>
      <w:r>
        <w:t>VI. Factual Conflicts Among the Documents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84"/>
            <w:shd w:val="clear" w:color="auto" w:fill="1F3864"/>
          </w:tcPr>
          <w:p>
            <w:r/>
            <w:r>
              <w:rPr>
                <w:b/>
                <w:color w:val="FFFFFF"/>
                <w:sz w:val="16"/>
              </w:rPr>
              <w:t>Data point</w:t>
            </w:r>
          </w:p>
        </w:tc>
        <w:tc>
          <w:tcPr>
            <w:tcW w:type="dxa" w:w="2160"/>
            <w:shd w:val="clear" w:color="auto" w:fill="1F3864"/>
          </w:tcPr>
          <w:p>
            <w:r/>
            <w:r>
              <w:rPr>
                <w:b/>
                <w:color w:val="FFFFFF"/>
                <w:sz w:val="16"/>
              </w:rPr>
              <w:t>Draft petition letter</w:t>
            </w:r>
          </w:p>
        </w:tc>
        <w:tc>
          <w:tcPr>
            <w:tcW w:type="dxa" w:w="1440"/>
            <w:shd w:val="clear" w:color="auto" w:fill="1F3864"/>
          </w:tcPr>
          <w:p>
            <w:r/>
            <w:r>
              <w:rPr>
                <w:b/>
                <w:color w:val="FFFFFF"/>
                <w:sz w:val="16"/>
              </w:rPr>
              <w:t>Exhibit index</w:t>
            </w:r>
          </w:p>
        </w:tc>
        <w:tc>
          <w:tcPr>
            <w:tcW w:type="dxa" w:w="2448"/>
            <w:shd w:val="clear" w:color="auto" w:fill="1F3864"/>
          </w:tcPr>
          <w:p>
            <w:r/>
            <w:r>
              <w:rPr>
                <w:b/>
                <w:color w:val="FFFFFF"/>
                <w:sz w:val="16"/>
              </w:rPr>
              <w:t>Filing checklist</w:t>
            </w:r>
          </w:p>
        </w:tc>
        <w:tc>
          <w:tcPr>
            <w:tcW w:type="dxa" w:w="1728"/>
            <w:shd w:val="clear" w:color="auto" w:fill="1F3864"/>
          </w:tcPr>
          <w:p>
            <w:r/>
            <w:r>
              <w:rPr>
                <w:b/>
                <w:color w:val="FFFFFF"/>
                <w:sz w:val="16"/>
              </w:rPr>
              <w:t>Emails / comment</w:t>
            </w:r>
          </w:p>
        </w:tc>
      </w:tr>
      <w:tr>
        <w:tc>
          <w:tcPr>
            <w:tcW w:type="dxa" w:w="1584"/>
          </w:tcPr>
          <w:p>
            <w:pPr>
              <w:spacing w:after="20"/>
            </w:pPr>
            <w:r/>
            <w:r>
              <w:rPr>
                <w:sz w:val="16"/>
              </w:rPr>
              <w:t>Peer-reviewed publications</w:t>
            </w:r>
          </w:p>
        </w:tc>
        <w:tc>
          <w:tcPr>
            <w:tcW w:type="dxa" w:w="2160"/>
          </w:tcPr>
          <w:p>
            <w:pPr>
              <w:spacing w:after="20"/>
            </w:pPr>
            <w:r/>
            <w:r>
              <w:rPr>
                <w:sz w:val="16"/>
              </w:rPr>
              <w:t>Over 50</w:t>
            </w:r>
          </w:p>
        </w:tc>
        <w:tc>
          <w:tcPr>
            <w:tcW w:type="dxa" w:w="1440"/>
          </w:tcPr>
          <w:p>
            <w:pPr>
              <w:spacing w:after="20"/>
            </w:pPr>
            <w:r/>
            <w:r>
              <w:rPr>
                <w:sz w:val="16"/>
              </w:rPr>
              <w:t>47 (Ex. B, R)</w:t>
            </w:r>
          </w:p>
        </w:tc>
        <w:tc>
          <w:tcPr>
            <w:tcW w:type="dxa" w:w="2448"/>
          </w:tcPr>
          <w:p>
            <w:pPr>
              <w:spacing w:after="20"/>
            </w:pPr>
            <w:r/>
            <w:r>
              <w:rPr>
                <w:sz w:val="16"/>
              </w:rPr>
              <w:t>27 (#38)</w:t>
            </w:r>
          </w:p>
        </w:tc>
        <w:tc>
          <w:tcPr>
            <w:tcW w:type="dxa" w:w="1728"/>
          </w:tcPr>
          <w:p>
            <w:pPr>
              <w:spacing w:after="20"/>
            </w:pPr>
            <w:r/>
            <w:r>
              <w:rPr>
                <w:sz w:val="16"/>
              </w:rPr>
              <w:t>Emails: 47; use exact</w:t>
            </w:r>
          </w:p>
        </w:tc>
      </w:tr>
      <w:tr>
        <w:tc>
          <w:tcPr>
            <w:tcW w:type="dxa" w:w="1584"/>
          </w:tcPr>
          <w:p>
            <w:pPr>
              <w:spacing w:after="20"/>
            </w:pPr>
            <w:r/>
            <w:r>
              <w:rPr>
                <w:sz w:val="16"/>
              </w:rPr>
              <w:t>Citations</w:t>
            </w:r>
          </w:p>
        </w:tc>
        <w:tc>
          <w:tcPr>
            <w:tcW w:type="dxa" w:w="2160"/>
          </w:tcPr>
          <w:p>
            <w:pPr>
              <w:spacing w:after="20"/>
            </w:pPr>
            <w:r/>
            <w:r>
              <w:rPr>
                <w:sz w:val="16"/>
              </w:rPr>
              <w:t>Approx. 4,000</w:t>
            </w:r>
          </w:p>
        </w:tc>
        <w:tc>
          <w:tcPr>
            <w:tcW w:type="dxa" w:w="1440"/>
          </w:tcPr>
          <w:p>
            <w:pPr>
              <w:spacing w:after="20"/>
            </w:pPr>
            <w:r/>
            <w:r>
              <w:rPr>
                <w:sz w:val="16"/>
              </w:rPr>
              <w:t>3,842</w:t>
            </w:r>
          </w:p>
        </w:tc>
        <w:tc>
          <w:tcPr>
            <w:tcW w:type="dxa" w:w="2448"/>
          </w:tcPr>
          <w:p>
            <w:pPr>
              <w:spacing w:after="20"/>
            </w:pPr>
            <w:r/>
            <w:r>
              <w:rPr>
                <w:sz w:val="16"/>
              </w:rPr>
              <w:t>1,847</w:t>
            </w:r>
          </w:p>
        </w:tc>
        <w:tc>
          <w:tcPr>
            <w:tcW w:type="dxa" w:w="1728"/>
          </w:tcPr>
          <w:p>
            <w:pPr>
              <w:spacing w:after="20"/>
            </w:pPr>
            <w:r/>
            <w:r>
              <w:rPr>
                <w:sz w:val="16"/>
              </w:rPr>
              <w:t>Emails: 3,842</w:t>
            </w:r>
          </w:p>
        </w:tc>
      </w:tr>
      <w:tr>
        <w:tc>
          <w:tcPr>
            <w:tcW w:type="dxa" w:w="1584"/>
          </w:tcPr>
          <w:p>
            <w:pPr>
              <w:spacing w:after="20"/>
            </w:pPr>
            <w:r/>
            <w:r>
              <w:rPr>
                <w:sz w:val="16"/>
              </w:rPr>
              <w:t>h-index</w:t>
            </w:r>
          </w:p>
        </w:tc>
        <w:tc>
          <w:tcPr>
            <w:tcW w:type="dxa" w:w="2160"/>
          </w:tcPr>
          <w:p>
            <w:pPr>
              <w:spacing w:after="20"/>
            </w:pPr>
            <w:r/>
            <w:r>
              <w:rPr>
                <w:sz w:val="16"/>
              </w:rPr>
              <w:t>29</w:t>
            </w:r>
          </w:p>
        </w:tc>
        <w:tc>
          <w:tcPr>
            <w:tcW w:type="dxa" w:w="1440"/>
          </w:tcPr>
          <w:p>
            <w:pPr>
              <w:spacing w:after="20"/>
            </w:pPr>
            <w:r/>
            <w:r>
              <w:rPr>
                <w:sz w:val="16"/>
              </w:rPr>
              <w:t>29</w:t>
            </w:r>
          </w:p>
        </w:tc>
        <w:tc>
          <w:tcPr>
            <w:tcW w:type="dxa" w:w="2448"/>
          </w:tcPr>
          <w:p>
            <w:pPr>
              <w:spacing w:after="20"/>
            </w:pPr>
            <w:r/>
            <w:r>
              <w:rPr>
                <w:sz w:val="16"/>
              </w:rPr>
              <w:t>19</w:t>
            </w:r>
          </w:p>
        </w:tc>
        <w:tc>
          <w:tcPr>
            <w:tcW w:type="dxa" w:w="1728"/>
          </w:tcPr>
          <w:p>
            <w:pPr>
              <w:spacing w:after="20"/>
            </w:pPr>
            <w:r/>
            <w:r>
              <w:rPr>
                <w:sz w:val="16"/>
              </w:rPr>
              <w:t>—</w:t>
            </w:r>
          </w:p>
        </w:tc>
      </w:tr>
      <w:tr>
        <w:tc>
          <w:tcPr>
            <w:tcW w:type="dxa" w:w="1584"/>
          </w:tcPr>
          <w:p>
            <w:pPr>
              <w:spacing w:after="20"/>
            </w:pPr>
            <w:r/>
            <w:r>
              <w:rPr>
                <w:sz w:val="16"/>
              </w:rPr>
              <w:t>Passport</w:t>
            </w:r>
          </w:p>
        </w:tc>
        <w:tc>
          <w:tcPr>
            <w:tcW w:type="dxa" w:w="2160"/>
          </w:tcPr>
          <w:p>
            <w:pPr>
              <w:spacing w:after="20"/>
            </w:pPr>
            <w:r/>
            <w:r>
              <w:rPr>
                <w:sz w:val="16"/>
              </w:rPr>
              <w:t>Z9174826, exp. 03/22/2029</w:t>
            </w:r>
          </w:p>
        </w:tc>
        <w:tc>
          <w:tcPr>
            <w:tcW w:type="dxa" w:w="1440"/>
          </w:tcPr>
          <w:p>
            <w:pPr>
              <w:spacing w:after="20"/>
            </w:pPr>
            <w:r/>
            <w:r>
              <w:rPr>
                <w:sz w:val="16"/>
              </w:rPr>
              <w:t>Same</w:t>
            </w:r>
          </w:p>
        </w:tc>
        <w:tc>
          <w:tcPr>
            <w:tcW w:type="dxa" w:w="2448"/>
          </w:tcPr>
          <w:p>
            <w:pPr>
              <w:spacing w:after="20"/>
            </w:pPr>
            <w:r/>
            <w:r>
              <w:rPr>
                <w:sz w:val="16"/>
              </w:rPr>
              <w:t>Z4817293, issued 04/12/2021, exp. 04/11/2031</w:t>
            </w:r>
          </w:p>
        </w:tc>
        <w:tc>
          <w:tcPr>
            <w:tcW w:type="dxa" w:w="1728"/>
          </w:tcPr>
          <w:p>
            <w:pPr>
              <w:spacing w:after="20"/>
            </w:pPr>
            <w:r/>
            <w:r>
              <w:rPr>
                <w:sz w:val="16"/>
              </w:rPr>
              <w:t>—</w:t>
            </w:r>
          </w:p>
        </w:tc>
      </w:tr>
      <w:tr>
        <w:tc>
          <w:tcPr>
            <w:tcW w:type="dxa" w:w="1584"/>
          </w:tcPr>
          <w:p>
            <w:pPr>
              <w:spacing w:after="20"/>
            </w:pPr>
            <w:r/>
            <w:r>
              <w:rPr>
                <w:sz w:val="16"/>
              </w:rPr>
              <w:t>Place of birth</w:t>
            </w:r>
          </w:p>
        </w:tc>
        <w:tc>
          <w:tcPr>
            <w:tcW w:type="dxa" w:w="2160"/>
          </w:tcPr>
          <w:p>
            <w:pPr>
              <w:spacing w:after="20"/>
            </w:pPr>
            <w:r/>
            <w:r>
              <w:rPr>
                <w:sz w:val="16"/>
              </w:rPr>
              <w:t>Bengaluru, Karnataka</w:t>
            </w:r>
          </w:p>
        </w:tc>
        <w:tc>
          <w:tcPr>
            <w:tcW w:type="dxa" w:w="1440"/>
          </w:tcPr>
          <w:p>
            <w:pPr>
              <w:spacing w:after="20"/>
            </w:pPr>
            <w:r/>
            <w:r>
              <w:rPr>
                <w:sz w:val="16"/>
              </w:rPr>
              <w:t>—</w:t>
            </w:r>
          </w:p>
        </w:tc>
        <w:tc>
          <w:tcPr>
            <w:tcW w:type="dxa" w:w="2448"/>
          </w:tcPr>
          <w:p>
            <w:pPr>
              <w:spacing w:after="20"/>
            </w:pPr>
            <w:r/>
            <w:r>
              <w:rPr>
                <w:sz w:val="16"/>
              </w:rPr>
              <w:t>Birth certificate from Chennai, Tamil Nadu</w:t>
            </w:r>
          </w:p>
        </w:tc>
        <w:tc>
          <w:tcPr>
            <w:tcW w:type="dxa" w:w="1728"/>
          </w:tcPr>
          <w:p>
            <w:pPr>
              <w:spacing w:after="20"/>
            </w:pPr>
            <w:r/>
            <w:r>
              <w:rPr>
                <w:sz w:val="16"/>
              </w:rPr>
              <w:t>—</w:t>
            </w:r>
          </w:p>
        </w:tc>
      </w:tr>
      <w:tr>
        <w:tc>
          <w:tcPr>
            <w:tcW w:type="dxa" w:w="1584"/>
          </w:tcPr>
          <w:p>
            <w:pPr>
              <w:spacing w:after="20"/>
            </w:pPr>
            <w:r/>
            <w:r>
              <w:rPr>
                <w:sz w:val="16"/>
              </w:rPr>
              <w:t>Ph.D.</w:t>
            </w:r>
          </w:p>
        </w:tc>
        <w:tc>
          <w:tcPr>
            <w:tcW w:type="dxa" w:w="2160"/>
          </w:tcPr>
          <w:p>
            <w:pPr>
              <w:spacing w:after="20"/>
            </w:pPr>
            <w:r/>
            <w:r>
              <w:rPr>
                <w:sz w:val="16"/>
              </w:rPr>
              <w:t>Imperial College London, June 2014</w:t>
            </w:r>
          </w:p>
        </w:tc>
        <w:tc>
          <w:tcPr>
            <w:tcW w:type="dxa" w:w="1440"/>
          </w:tcPr>
          <w:p>
            <w:pPr>
              <w:spacing w:after="20"/>
            </w:pPr>
            <w:r/>
            <w:r>
              <w:rPr>
                <w:sz w:val="16"/>
              </w:rPr>
              <w:t>Same</w:t>
            </w:r>
          </w:p>
        </w:tc>
        <w:tc>
          <w:tcPr>
            <w:tcW w:type="dxa" w:w="2448"/>
          </w:tcPr>
          <w:p>
            <w:pPr>
              <w:spacing w:after="20"/>
            </w:pPr>
            <w:r/>
            <w:r>
              <w:rPr>
                <w:sz w:val="16"/>
              </w:rPr>
              <w:t>Stanford, conferred June 13, 2021</w:t>
            </w:r>
          </w:p>
        </w:tc>
        <w:tc>
          <w:tcPr>
            <w:tcW w:type="dxa" w:w="1728"/>
          </w:tcPr>
          <w:p>
            <w:pPr>
              <w:spacing w:after="20"/>
            </w:pPr>
            <w:r/>
            <w:r>
              <w:rPr>
                <w:sz w:val="16"/>
              </w:rPr>
              <w:t>—</w:t>
            </w:r>
          </w:p>
        </w:tc>
      </w:tr>
      <w:tr>
        <w:tc>
          <w:tcPr>
            <w:tcW w:type="dxa" w:w="1584"/>
          </w:tcPr>
          <w:p>
            <w:pPr>
              <w:spacing w:after="20"/>
            </w:pPr>
            <w:r/>
            <w:r>
              <w:rPr>
                <w:sz w:val="16"/>
              </w:rPr>
              <w:t>Undergraduate / Master’s</w:t>
            </w:r>
          </w:p>
        </w:tc>
        <w:tc>
          <w:tcPr>
            <w:tcW w:type="dxa" w:w="2160"/>
          </w:tcPr>
          <w:p>
            <w:pPr>
              <w:spacing w:after="20"/>
            </w:pPr>
            <w:r/>
            <w:r>
              <w:rPr>
                <w:sz w:val="16"/>
              </w:rPr>
              <w:t>B.Tech CS, IIT Madras, May 2009</w:t>
            </w:r>
          </w:p>
        </w:tc>
        <w:tc>
          <w:tcPr>
            <w:tcW w:type="dxa" w:w="1440"/>
          </w:tcPr>
          <w:p>
            <w:pPr>
              <w:spacing w:after="20"/>
            </w:pPr>
            <w:r/>
            <w:r>
              <w:rPr>
                <w:sz w:val="16"/>
              </w:rPr>
              <w:t>Same</w:t>
            </w:r>
          </w:p>
        </w:tc>
        <w:tc>
          <w:tcPr>
            <w:tcW w:type="dxa" w:w="2448"/>
          </w:tcPr>
          <w:p>
            <w:pPr>
              <w:spacing w:after="20"/>
            </w:pPr>
            <w:r/>
            <w:r>
              <w:rPr>
                <w:sz w:val="16"/>
              </w:rPr>
              <w:t>B.Tech EE 2015; M.Tech Biomedical Eng. 2017 (IIT Madras)</w:t>
            </w:r>
          </w:p>
        </w:tc>
        <w:tc>
          <w:tcPr>
            <w:tcW w:type="dxa" w:w="1728"/>
          </w:tcPr>
          <w:p>
            <w:pPr>
              <w:spacing w:after="20"/>
            </w:pPr>
            <w:r/>
            <w:r>
              <w:rPr>
                <w:sz w:val="16"/>
              </w:rPr>
              <w:t>—</w:t>
            </w:r>
          </w:p>
        </w:tc>
      </w:tr>
      <w:tr>
        <w:tc>
          <w:tcPr>
            <w:tcW w:type="dxa" w:w="1584"/>
          </w:tcPr>
          <w:p>
            <w:pPr>
              <w:spacing w:after="20"/>
            </w:pPr>
            <w:r/>
            <w:r>
              <w:rPr>
                <w:sz w:val="16"/>
              </w:rPr>
              <w:t>Immigration history</w:t>
            </w:r>
          </w:p>
        </w:tc>
        <w:tc>
          <w:tcPr>
            <w:tcW w:type="dxa" w:w="2160"/>
          </w:tcPr>
          <w:p>
            <w:pPr>
              <w:spacing w:after="20"/>
            </w:pPr>
            <w:r/>
            <w:r>
              <w:rPr>
                <w:sz w:val="16"/>
              </w:rPr>
              <w:t>H-1B; I-94 2023-8841-00276</w:t>
            </w:r>
          </w:p>
        </w:tc>
        <w:tc>
          <w:tcPr>
            <w:tcW w:type="dxa" w:w="1440"/>
          </w:tcPr>
          <w:p>
            <w:pPr>
              <w:spacing w:after="20"/>
            </w:pPr>
            <w:r/>
            <w:r>
              <w:rPr>
                <w:sz w:val="16"/>
              </w:rPr>
              <w:t>Same</w:t>
            </w:r>
          </w:p>
        </w:tc>
        <w:tc>
          <w:tcPr>
            <w:tcW w:type="dxa" w:w="2448"/>
          </w:tcPr>
          <w:p>
            <w:pPr>
              <w:spacing w:after="20"/>
            </w:pPr>
            <w:r/>
            <w:r>
              <w:rPr>
                <w:sz w:val="16"/>
              </w:rPr>
              <w:t>F-1 2015–2021, OPT/STEM OPT 2021–2023, H-1B from Oct. 1, 2023</w:t>
            </w:r>
          </w:p>
        </w:tc>
        <w:tc>
          <w:tcPr>
            <w:tcW w:type="dxa" w:w="1728"/>
          </w:tcPr>
          <w:p>
            <w:pPr>
              <w:spacing w:after="20"/>
            </w:pPr>
            <w:r/>
            <w:r>
              <w:rPr>
                <w:sz w:val="16"/>
              </w:rPr>
              <w:t>Consistent only on H-1B</w:t>
            </w:r>
          </w:p>
        </w:tc>
      </w:tr>
      <w:tr>
        <w:tc>
          <w:tcPr>
            <w:tcW w:type="dxa" w:w="1584"/>
          </w:tcPr>
          <w:p>
            <w:pPr>
              <w:spacing w:after="20"/>
            </w:pPr>
            <w:r/>
            <w:r>
              <w:rPr>
                <w:sz w:val="16"/>
              </w:rPr>
              <w:t>Title / salary</w:t>
            </w:r>
          </w:p>
        </w:tc>
        <w:tc>
          <w:tcPr>
            <w:tcW w:type="dxa" w:w="2160"/>
          </w:tcPr>
          <w:p>
            <w:pPr>
              <w:spacing w:after="20"/>
            </w:pPr>
            <w:r/>
            <w:r>
              <w:rPr>
                <w:sz w:val="16"/>
              </w:rPr>
              <w:t>Senior Research Scientist; $218,000</w:t>
            </w:r>
          </w:p>
        </w:tc>
        <w:tc>
          <w:tcPr>
            <w:tcW w:type="dxa" w:w="1440"/>
          </w:tcPr>
          <w:p>
            <w:pPr>
              <w:spacing w:after="20"/>
            </w:pPr>
            <w:r/>
            <w:r>
              <w:rPr>
                <w:sz w:val="16"/>
              </w:rPr>
              <w:t>Same</w:t>
            </w:r>
          </w:p>
        </w:tc>
        <w:tc>
          <w:tcPr>
            <w:tcW w:type="dxa" w:w="2448"/>
          </w:tcPr>
          <w:p>
            <w:pPr>
              <w:spacing w:after="20"/>
            </w:pPr>
            <w:r/>
            <w:r>
              <w:rPr>
                <w:sz w:val="16"/>
              </w:rPr>
              <w:t>Principal Research Scientist; $245,000; 2023 W-2 $238,500</w:t>
            </w:r>
          </w:p>
        </w:tc>
        <w:tc>
          <w:tcPr>
            <w:tcW w:type="dxa" w:w="1728"/>
          </w:tcPr>
          <w:p>
            <w:pPr>
              <w:spacing w:after="20"/>
            </w:pPr>
            <w:r/>
            <w:r>
              <w:rPr>
                <w:sz w:val="16"/>
              </w:rPr>
              <w:t>—</w:t>
            </w:r>
          </w:p>
        </w:tc>
      </w:tr>
      <w:tr>
        <w:tc>
          <w:tcPr>
            <w:tcW w:type="dxa" w:w="1584"/>
          </w:tcPr>
          <w:p>
            <w:pPr>
              <w:spacing w:after="20"/>
            </w:pPr>
            <w:r/>
            <w:r>
              <w:rPr>
                <w:sz w:val="16"/>
              </w:rPr>
              <w:t>Exhibit Q signatory</w:t>
            </w:r>
          </w:p>
        </w:tc>
        <w:tc>
          <w:tcPr>
            <w:tcW w:type="dxa" w:w="2160"/>
          </w:tcPr>
          <w:p>
            <w:pPr>
              <w:spacing w:after="20"/>
            </w:pPr>
            <w:r/>
            <w:r>
              <w:rPr>
                <w:sz w:val="16"/>
              </w:rPr>
              <w:t>Dr. Priya Venkatesh</w:t>
            </w:r>
          </w:p>
        </w:tc>
        <w:tc>
          <w:tcPr>
            <w:tcW w:type="dxa" w:w="1440"/>
          </w:tcPr>
          <w:p>
            <w:pPr>
              <w:spacing w:after="20"/>
            </w:pPr>
            <w:r/>
            <w:r>
              <w:rPr>
                <w:sz w:val="16"/>
              </w:rPr>
              <w:t>Same</w:t>
            </w:r>
          </w:p>
        </w:tc>
        <w:tc>
          <w:tcPr>
            <w:tcW w:type="dxa" w:w="2448"/>
          </w:tcPr>
          <w:p>
            <w:pPr>
              <w:spacing w:after="20"/>
            </w:pPr>
            <w:r/>
            <w:r>
              <w:rPr>
                <w:sz w:val="16"/>
              </w:rPr>
              <w:t>CEO Marcus Ellingham (#71)</w:t>
            </w:r>
          </w:p>
        </w:tc>
        <w:tc>
          <w:tcPr>
            <w:tcW w:type="dxa" w:w="1728"/>
          </w:tcPr>
          <w:p>
            <w:pPr>
              <w:spacing w:after="20"/>
            </w:pPr>
            <w:r/>
            <w:r>
              <w:rPr>
                <w:sz w:val="16"/>
              </w:rPr>
              <w:t>Emails: Venkatesh</w:t>
            </w:r>
          </w:p>
        </w:tc>
      </w:tr>
      <w:tr>
        <w:tc>
          <w:tcPr>
            <w:tcW w:type="dxa" w:w="1584"/>
          </w:tcPr>
          <w:p>
            <w:pPr>
              <w:spacing w:after="20"/>
            </w:pPr>
            <w:r/>
            <w:r>
              <w:rPr>
                <w:sz w:val="16"/>
              </w:rPr>
              <w:t>Meridian</w:t>
            </w:r>
          </w:p>
        </w:tc>
        <w:tc>
          <w:tcPr>
            <w:tcW w:type="dxa" w:w="2160"/>
          </w:tcPr>
          <w:p>
            <w:pPr>
              <w:spacing w:after="20"/>
            </w:pPr>
            <w:r/>
            <w:r>
              <w:rPr>
                <w:sz w:val="16"/>
              </w:rPr>
              <w:t>Founded 2016; ~340 employees; FY2024 revenue $87.3M</w:t>
            </w:r>
          </w:p>
        </w:tc>
        <w:tc>
          <w:tcPr>
            <w:tcW w:type="dxa" w:w="1440"/>
          </w:tcPr>
          <w:p>
            <w:pPr>
              <w:spacing w:after="20"/>
            </w:pPr>
            <w:r/>
            <w:r>
              <w:rPr>
                <w:sz w:val="16"/>
              </w:rPr>
              <w:t>Same</w:t>
            </w:r>
          </w:p>
        </w:tc>
        <w:tc>
          <w:tcPr>
            <w:tcW w:type="dxa" w:w="2448"/>
          </w:tcPr>
          <w:p>
            <w:pPr>
              <w:spacing w:after="20"/>
            </w:pPr>
            <w:r/>
            <w:r>
              <w:rPr>
                <w:sz w:val="16"/>
              </w:rPr>
              <w:t>Founded 2019; 85 employees; Series C, $180M valuation</w:t>
            </w:r>
          </w:p>
        </w:tc>
        <w:tc>
          <w:tcPr>
            <w:tcW w:type="dxa" w:w="1728"/>
          </w:tcPr>
          <w:p>
            <w:pPr>
              <w:spacing w:after="20"/>
            </w:pPr>
            <w:r/>
            <w:r>
              <w:rPr>
                <w:sz w:val="16"/>
              </w:rPr>
              <w:t>—</w:t>
            </w:r>
          </w:p>
        </w:tc>
      </w:tr>
      <w:tr>
        <w:tc>
          <w:tcPr>
            <w:tcW w:type="dxa" w:w="1584"/>
          </w:tcPr>
          <w:p>
            <w:pPr>
              <w:spacing w:after="20"/>
            </w:pPr>
            <w:r/>
            <w:r>
              <w:rPr>
                <w:sz w:val="16"/>
              </w:rPr>
              <w:t>Awards</w:t>
            </w:r>
          </w:p>
        </w:tc>
        <w:tc>
          <w:tcPr>
            <w:tcW w:type="dxa" w:w="2160"/>
          </w:tcPr>
          <w:p>
            <w:pPr>
              <w:spacing w:after="20"/>
            </w:pPr>
            <w:r/>
            <w:r>
              <w:rPr>
                <w:sz w:val="16"/>
              </w:rPr>
              <w:t>Beckworth Prize 2021 ($50,000); ENNS YIA 2019 (€10,000)</w:t>
            </w:r>
          </w:p>
        </w:tc>
        <w:tc>
          <w:tcPr>
            <w:tcW w:type="dxa" w:w="1440"/>
          </w:tcPr>
          <w:p>
            <w:pPr>
              <w:spacing w:after="20"/>
            </w:pPr>
            <w:r/>
            <w:r>
              <w:rPr>
                <w:sz w:val="16"/>
              </w:rPr>
              <w:t>Same</w:t>
            </w:r>
          </w:p>
        </w:tc>
        <w:tc>
          <w:tcPr>
            <w:tcW w:type="dxa" w:w="2448"/>
          </w:tcPr>
          <w:p>
            <w:pPr>
              <w:spacing w:after="20"/>
            </w:pPr>
            <w:r/>
            <w:r>
              <w:rPr>
                <w:sz w:val="16"/>
              </w:rPr>
              <w:t>McKnight 2023; BWF CASI 2022; Sloan 2024</w:t>
            </w:r>
          </w:p>
        </w:tc>
        <w:tc>
          <w:tcPr>
            <w:tcW w:type="dxa" w:w="1728"/>
          </w:tcPr>
          <w:p>
            <w:pPr>
              <w:spacing w:after="20"/>
            </w:pPr>
            <w:r/>
            <w:r>
              <w:rPr>
                <w:sz w:val="16"/>
              </w:rPr>
              <w:t>Emails: Beckworth/ENNS</w:t>
            </w:r>
          </w:p>
        </w:tc>
      </w:tr>
      <w:tr>
        <w:tc>
          <w:tcPr>
            <w:tcW w:type="dxa" w:w="1584"/>
          </w:tcPr>
          <w:p>
            <w:pPr>
              <w:spacing w:after="20"/>
            </w:pPr>
            <w:r/>
            <w:r>
              <w:rPr>
                <w:sz w:val="16"/>
              </w:rPr>
              <w:t>Membership</w:t>
            </w:r>
          </w:p>
        </w:tc>
        <w:tc>
          <w:tcPr>
            <w:tcW w:type="dxa" w:w="2160"/>
          </w:tcPr>
          <w:p>
            <w:pPr>
              <w:spacing w:after="20"/>
            </w:pPr>
            <w:r/>
            <w:r>
              <w:rPr>
                <w:sz w:val="16"/>
              </w:rPr>
              <w:t>ISCN Fellow (2022)</w:t>
            </w:r>
          </w:p>
        </w:tc>
        <w:tc>
          <w:tcPr>
            <w:tcW w:type="dxa" w:w="1440"/>
          </w:tcPr>
          <w:p>
            <w:pPr>
              <w:spacing w:after="20"/>
            </w:pPr>
            <w:r/>
            <w:r>
              <w:rPr>
                <w:sz w:val="16"/>
              </w:rPr>
              <w:t>Same</w:t>
            </w:r>
          </w:p>
        </w:tc>
        <w:tc>
          <w:tcPr>
            <w:tcW w:type="dxa" w:w="2448"/>
          </w:tcPr>
          <w:p>
            <w:pPr>
              <w:spacing w:after="20"/>
            </w:pPr>
            <w:r/>
            <w:r>
              <w:rPr>
                <w:sz w:val="16"/>
              </w:rPr>
              <w:t>OCNS Senior Member; SfN Program Committee</w:t>
            </w:r>
          </w:p>
        </w:tc>
        <w:tc>
          <w:tcPr>
            <w:tcW w:type="dxa" w:w="1728"/>
          </w:tcPr>
          <w:p>
            <w:pPr>
              <w:spacing w:after="20"/>
            </w:pPr>
            <w:r/>
            <w:r>
              <w:rPr>
                <w:sz w:val="16"/>
              </w:rPr>
              <w:t>Emails: ISCN</w:t>
            </w:r>
          </w:p>
        </w:tc>
      </w:tr>
      <w:tr>
        <w:tc>
          <w:tcPr>
            <w:tcW w:type="dxa" w:w="1584"/>
          </w:tcPr>
          <w:p>
            <w:pPr>
              <w:spacing w:after="20"/>
            </w:pPr>
            <w:r/>
            <w:r>
              <w:rPr>
                <w:sz w:val="16"/>
              </w:rPr>
              <w:t>Media</w:t>
            </w:r>
          </w:p>
        </w:tc>
        <w:tc>
          <w:tcPr>
            <w:tcW w:type="dxa" w:w="2160"/>
          </w:tcPr>
          <w:p>
            <w:pPr>
              <w:spacing w:after="20"/>
            </w:pPr>
            <w:r/>
            <w:r>
              <w:rPr>
                <w:sz w:val="16"/>
              </w:rPr>
              <w:t>3 items (NeuroTech Today 3/2023; MIT Tech Review 7/2022; The Scientist 11/2023)</w:t>
            </w:r>
          </w:p>
        </w:tc>
        <w:tc>
          <w:tcPr>
            <w:tcW w:type="dxa" w:w="1440"/>
          </w:tcPr>
          <w:p>
            <w:pPr>
              <w:spacing w:after="20"/>
            </w:pPr>
            <w:r/>
            <w:r>
              <w:rPr>
                <w:sz w:val="16"/>
              </w:rPr>
              <w:t>Same + supplemental Ex. V</w:t>
            </w:r>
          </w:p>
        </w:tc>
        <w:tc>
          <w:tcPr>
            <w:tcW w:type="dxa" w:w="2448"/>
          </w:tcPr>
          <w:p>
            <w:pPr>
              <w:spacing w:after="20"/>
            </w:pPr>
            <w:r/>
            <w:r>
              <w:rPr>
                <w:sz w:val="16"/>
              </w:rPr>
              <w:t>7 items (incl. MIT Tech Review 2024, Nature News, Wired)</w:t>
            </w:r>
          </w:p>
        </w:tc>
        <w:tc>
          <w:tcPr>
            <w:tcW w:type="dxa" w:w="1728"/>
          </w:tcPr>
          <w:p>
            <w:pPr>
              <w:spacing w:after="20"/>
            </w:pPr>
            <w:r/>
            <w:r>
              <w:rPr>
                <w:sz w:val="16"/>
              </w:rPr>
              <w:t>—</w:t>
            </w:r>
          </w:p>
        </w:tc>
      </w:tr>
      <w:tr>
        <w:tc>
          <w:tcPr>
            <w:tcW w:type="dxa" w:w="1584"/>
          </w:tcPr>
          <w:p>
            <w:pPr>
              <w:spacing w:after="20"/>
            </w:pPr>
            <w:r/>
            <w:r>
              <w:rPr>
                <w:sz w:val="16"/>
              </w:rPr>
              <w:t>Judging</w:t>
            </w:r>
          </w:p>
        </w:tc>
        <w:tc>
          <w:tcPr>
            <w:tcW w:type="dxa" w:w="2160"/>
          </w:tcPr>
          <w:p>
            <w:pPr>
              <w:spacing w:after="20"/>
            </w:pPr>
            <w:r/>
            <w:r>
              <w:rPr>
                <w:sz w:val="16"/>
              </w:rPr>
              <w:t>73 reviews, 6 journals, 2017–2024</w:t>
            </w:r>
          </w:p>
        </w:tc>
        <w:tc>
          <w:tcPr>
            <w:tcW w:type="dxa" w:w="1440"/>
          </w:tcPr>
          <w:p>
            <w:pPr>
              <w:spacing w:after="20"/>
            </w:pPr>
            <w:r/>
            <w:r>
              <w:rPr>
                <w:sz w:val="16"/>
              </w:rPr>
              <w:t>Same</w:t>
            </w:r>
          </w:p>
        </w:tc>
        <w:tc>
          <w:tcPr>
            <w:tcW w:type="dxa" w:w="2448"/>
          </w:tcPr>
          <w:p>
            <w:pPr>
              <w:spacing w:after="20"/>
            </w:pPr>
            <w:r/>
            <w:r>
              <w:rPr>
                <w:sz w:val="16"/>
              </w:rPr>
              <w:t>14 reviews, 4 journals + NIH and NSF panels</w:t>
            </w:r>
          </w:p>
        </w:tc>
        <w:tc>
          <w:tcPr>
            <w:tcW w:type="dxa" w:w="1728"/>
          </w:tcPr>
          <w:p>
            <w:pPr>
              <w:spacing w:after="20"/>
            </w:pPr>
            <w:r/>
            <w:r>
              <w:rPr>
                <w:sz w:val="16"/>
              </w:rPr>
              <w:t>Emails: 73 / 6</w:t>
            </w:r>
          </w:p>
        </w:tc>
      </w:tr>
      <w:tr>
        <w:tc>
          <w:tcPr>
            <w:tcW w:type="dxa" w:w="1584"/>
          </w:tcPr>
          <w:p>
            <w:pPr>
              <w:spacing w:after="20"/>
            </w:pPr>
            <w:r/>
            <w:r>
              <w:rPr>
                <w:sz w:val="16"/>
              </w:rPr>
              <w:t>Patents</w:t>
            </w:r>
          </w:p>
        </w:tc>
        <w:tc>
          <w:tcPr>
            <w:tcW w:type="dxa" w:w="2160"/>
          </w:tcPr>
          <w:p>
            <w:pPr>
              <w:spacing w:after="20"/>
            </w:pPr>
            <w:r/>
            <w:r>
              <w:rPr>
                <w:sz w:val="16"/>
              </w:rPr>
              <w:t>3 issued patents</w:t>
            </w:r>
          </w:p>
        </w:tc>
        <w:tc>
          <w:tcPr>
            <w:tcW w:type="dxa" w:w="1440"/>
          </w:tcPr>
          <w:p>
            <w:pPr>
              <w:spacing w:after="20"/>
            </w:pPr>
            <w:r/>
            <w:r>
              <w:rPr>
                <w:sz w:val="16"/>
              </w:rPr>
              <w:t>3 issued patents</w:t>
            </w:r>
          </w:p>
        </w:tc>
        <w:tc>
          <w:tcPr>
            <w:tcW w:type="dxa" w:w="2448"/>
          </w:tcPr>
          <w:p>
            <w:pPr>
              <w:spacing w:after="20"/>
            </w:pPr>
            <w:r/>
            <w:r>
              <w:rPr>
                <w:sz w:val="16"/>
              </w:rPr>
              <w:t>2 pending applications</w:t>
            </w:r>
          </w:p>
        </w:tc>
        <w:tc>
          <w:tcPr>
            <w:tcW w:type="dxa" w:w="1728"/>
          </w:tcPr>
          <w:p>
            <w:pPr>
              <w:spacing w:after="20"/>
            </w:pPr>
            <w:r/>
            <w:r>
              <w:rPr>
                <w:sz w:val="16"/>
              </w:rPr>
              <w:t>Emails: “3 patents” / “patent filings”</w:t>
            </w:r>
          </w:p>
        </w:tc>
      </w:tr>
      <w:tr>
        <w:tc>
          <w:tcPr>
            <w:tcW w:type="dxa" w:w="1584"/>
          </w:tcPr>
          <w:p>
            <w:pPr>
              <w:spacing w:after="20"/>
            </w:pPr>
            <w:r/>
            <w:r>
              <w:rPr>
                <w:sz w:val="16"/>
              </w:rPr>
              <w:t>Experts</w:t>
            </w:r>
          </w:p>
        </w:tc>
        <w:tc>
          <w:tcPr>
            <w:tcW w:type="dxa" w:w="2160"/>
          </w:tcPr>
          <w:p>
            <w:pPr>
              <w:spacing w:after="20"/>
            </w:pPr>
            <w:r/>
            <w:r>
              <w:rPr>
                <w:sz w:val="16"/>
              </w:rPr>
              <w:t>Johansson, Tsai, Al-Rashidi, Moriarty, Okonkwo (Allen) — called “six”</w:t>
            </w:r>
          </w:p>
        </w:tc>
        <w:tc>
          <w:tcPr>
            <w:tcW w:type="dxa" w:w="1440"/>
          </w:tcPr>
          <w:p>
            <w:pPr>
              <w:spacing w:after="20"/>
            </w:pPr>
            <w:r/>
            <w:r>
              <w:rPr>
                <w:sz w:val="16"/>
              </w:rPr>
              <w:t>D–G; H not assigned</w:t>
            </w:r>
          </w:p>
        </w:tc>
        <w:tc>
          <w:tcPr>
            <w:tcW w:type="dxa" w:w="2448"/>
          </w:tcPr>
          <w:p>
            <w:pPr>
              <w:spacing w:after="20"/>
            </w:pPr>
            <w:r/>
            <w:r>
              <w:rPr>
                <w:sz w:val="16"/>
              </w:rPr>
              <w:t>Sejnowski, Friston, Marder, Rao, Bassett, Okonkwo (Max Planck)</w:t>
            </w:r>
          </w:p>
        </w:tc>
        <w:tc>
          <w:tcPr>
            <w:tcW w:type="dxa" w:w="1728"/>
          </w:tcPr>
          <w:p>
            <w:pPr>
              <w:spacing w:after="20"/>
            </w:pPr>
            <w:r/>
            <w:r>
              <w:rPr>
                <w:sz w:val="16"/>
              </w:rPr>
              <w:t>Emails: Okonkwo at Allen</w:t>
            </w:r>
          </w:p>
        </w:tc>
      </w:tr>
      <w:tr>
        <w:tc>
          <w:tcPr>
            <w:tcW w:type="dxa" w:w="1584"/>
          </w:tcPr>
          <w:p>
            <w:pPr>
              <w:spacing w:after="20"/>
            </w:pPr>
            <w:r/>
            <w:r>
              <w:rPr>
                <w:sz w:val="16"/>
              </w:rPr>
              <w:t>Keynotes</w:t>
            </w:r>
          </w:p>
        </w:tc>
        <w:tc>
          <w:tcPr>
            <w:tcW w:type="dxa" w:w="2160"/>
          </w:tcPr>
          <w:p>
            <w:pPr>
              <w:spacing w:after="20"/>
            </w:pPr>
            <w:r/>
            <w:r>
              <w:rPr>
                <w:sz w:val="16"/>
              </w:rPr>
              <w:t>4</w:t>
            </w:r>
          </w:p>
        </w:tc>
        <w:tc>
          <w:tcPr>
            <w:tcW w:type="dxa" w:w="1440"/>
          </w:tcPr>
          <w:p>
            <w:pPr>
              <w:spacing w:after="20"/>
            </w:pPr>
            <w:r/>
            <w:r>
              <w:rPr>
                <w:sz w:val="16"/>
              </w:rPr>
              <w:t>4</w:t>
            </w:r>
          </w:p>
        </w:tc>
        <w:tc>
          <w:tcPr>
            <w:tcW w:type="dxa" w:w="2448"/>
          </w:tcPr>
          <w:p>
            <w:pPr>
              <w:spacing w:after="20"/>
            </w:pPr>
            <w:r/>
            <w:r>
              <w:rPr>
                <w:sz w:val="16"/>
              </w:rPr>
              <w:t>5 events, 1 keynote</w:t>
            </w:r>
          </w:p>
        </w:tc>
        <w:tc>
          <w:tcPr>
            <w:tcW w:type="dxa" w:w="1728"/>
          </w:tcPr>
          <w:p>
            <w:pPr>
              <w:spacing w:after="20"/>
            </w:pPr>
            <w:r/>
            <w:r>
              <w:rPr>
                <w:sz w:val="16"/>
              </w:rPr>
              <w:t>—</w:t>
            </w:r>
          </w:p>
        </w:tc>
      </w:tr>
      <w:tr>
        <w:tc>
          <w:tcPr>
            <w:tcW w:type="dxa" w:w="1584"/>
          </w:tcPr>
          <w:p>
            <w:pPr>
              <w:spacing w:after="20"/>
            </w:pPr>
            <w:r/>
            <w:r>
              <w:rPr>
                <w:sz w:val="16"/>
              </w:rPr>
              <w:t>Exhibits / pages</w:t>
            </w:r>
          </w:p>
        </w:tc>
        <w:tc>
          <w:tcPr>
            <w:tcW w:type="dxa" w:w="2160"/>
          </w:tcPr>
          <w:p>
            <w:pPr>
              <w:spacing w:after="20"/>
            </w:pPr>
            <w:r/>
            <w:r>
              <w:rPr>
                <w:sz w:val="16"/>
              </w:rPr>
              <w:t>A–W; 367 pp.</w:t>
            </w:r>
          </w:p>
        </w:tc>
        <w:tc>
          <w:tcPr>
            <w:tcW w:type="dxa" w:w="1440"/>
          </w:tcPr>
          <w:p>
            <w:pPr>
              <w:spacing w:after="20"/>
            </w:pPr>
            <w:r/>
            <w:r>
              <w:rPr>
                <w:sz w:val="16"/>
              </w:rPr>
              <w:t>A–W, 22 exhibits; 412 pp.</w:t>
            </w:r>
          </w:p>
        </w:tc>
        <w:tc>
          <w:tcPr>
            <w:tcW w:type="dxa" w:w="2448"/>
          </w:tcPr>
          <w:p>
            <w:pPr>
              <w:spacing w:after="20"/>
            </w:pPr>
            <w:r/>
            <w:r>
              <w:rPr>
                <w:sz w:val="16"/>
              </w:rPr>
              <w:t>A–X, 24 exhibits</w:t>
            </w:r>
          </w:p>
        </w:tc>
        <w:tc>
          <w:tcPr>
            <w:tcW w:type="dxa" w:w="1728"/>
          </w:tcPr>
          <w:p>
            <w:pPr>
              <w:spacing w:after="20"/>
            </w:pPr>
            <w:r/>
            <w:r>
              <w:rPr>
                <w:sz w:val="16"/>
              </w:rPr>
              <w:t>Rebecca: 23 exhibits, 412 pp.</w:t>
            </w:r>
          </w:p>
        </w:tc>
      </w:tr>
      <w:tr>
        <w:tc>
          <w:tcPr>
            <w:tcW w:type="dxa" w:w="1584"/>
          </w:tcPr>
          <w:p>
            <w:pPr>
              <w:spacing w:after="20"/>
            </w:pPr>
            <w:r/>
            <w:r>
              <w:rPr>
                <w:sz w:val="16"/>
              </w:rPr>
              <w:t>Fees</w:t>
            </w:r>
          </w:p>
        </w:tc>
        <w:tc>
          <w:tcPr>
            <w:tcW w:type="dxa" w:w="2160"/>
          </w:tcPr>
          <w:p>
            <w:pPr>
              <w:spacing w:after="20"/>
            </w:pPr>
            <w:r/>
            <w:r>
              <w:rPr>
                <w:sz w:val="16"/>
              </w:rPr>
              <w:t>$700 + $2,805 = $3,505 (Meridian checks)</w:t>
            </w:r>
          </w:p>
        </w:tc>
        <w:tc>
          <w:tcPr>
            <w:tcW w:type="dxa" w:w="1440"/>
          </w:tcPr>
          <w:p>
            <w:pPr>
              <w:spacing w:after="20"/>
            </w:pPr>
            <w:r/>
            <w:r>
              <w:rPr>
                <w:sz w:val="16"/>
              </w:rPr>
              <w:t>—</w:t>
            </w:r>
          </w:p>
        </w:tc>
        <w:tc>
          <w:tcPr>
            <w:tcW w:type="dxa" w:w="2448"/>
          </w:tcPr>
          <w:p>
            <w:pPr>
              <w:spacing w:after="20"/>
            </w:pPr>
            <w:r/>
            <w:r>
              <w:rPr>
                <w:sz w:val="16"/>
              </w:rPr>
              <w:t>Same amounts; “firm check” #10482/#10483</w:t>
            </w:r>
          </w:p>
        </w:tc>
        <w:tc>
          <w:tcPr>
            <w:tcW w:type="dxa" w:w="1728"/>
          </w:tcPr>
          <w:p>
            <w:pPr>
              <w:spacing w:after="20"/>
            </w:pPr>
            <w:r/>
            <w:r>
              <w:rPr>
                <w:sz w:val="16"/>
              </w:rPr>
              <w:t>Current I-140 fee: $715 + $600</w:t>
            </w:r>
          </w:p>
        </w:tc>
      </w:tr>
    </w:tbl>
    <w:p/>
    <w:p>
      <w:pPr>
        <w:pStyle w:val="Heading1"/>
      </w:pPr>
      <w:r>
        <w:t>VII. Discussion of Principal Issues</w:t>
      </w:r>
    </w:p>
    <w:p>
      <w:pPr>
        <w:pStyle w:val="Heading2"/>
      </w:pPr>
      <w:r>
        <w:t>A. Filing-acceptance defects (Gaps 6, 7, 8, 9)</w:t>
      </w:r>
    </w:p>
    <w:p>
      <w:pPr>
        <w:spacing w:after="80"/>
      </w:pPr>
      <w:r>
        <w:t>USCIS rejects at intake, and returns the package without a receipt, when the fee is incorrect, the form edition has been superseded, or a required signature is missing. A rejected filing has no filing date. Here, three such defects are present at the same time:</w:t>
      </w:r>
    </w:p>
    <w:p>
      <w:pPr>
        <w:pStyle w:val="ListBullet"/>
        <w:spacing w:after="40"/>
      </w:pPr>
      <w:r>
        <w:rPr>
          <w:b/>
        </w:rPr>
        <w:t>Fee.</w:t>
      </w:r>
      <w:r>
        <w:t xml:space="preserve"> The cover letter, brief § I and checklist all use a $700 I-140 fee. Under the USCIS fee rule effective April 1, 2024, the I-140 fee is $715 and the petition also owes the $600 Asylum Program Fee. Meridian has about 340 employees, so it does not qualify for the $300 small-employer reduction, and our understanding is that a self-petitioner pays the full $600. Checklist #6 already notes that fees were last revised in April 2024, but that check was not carried through to #5. The I-907 fee of $2,805 is consistent with the current schedule. Check #10482 dated February 5 must be reissued. Confirm payor (firm vs. Meridian) at the same time.</w:t>
      </w:r>
    </w:p>
    <w:p>
      <w:pPr>
        <w:pStyle w:val="ListBullet"/>
        <w:spacing w:after="40"/>
      </w:pPr>
      <w:r>
        <w:rPr>
          <w:b/>
        </w:rPr>
        <w:t>Form edition.</w:t>
      </w:r>
      <w:r>
        <w:t xml:space="preserve"> Checklist #1 shows the 12/23/22 edition. We understand the 04/01/24 edition was required when the new fees took effect. Confirm on the USCIS I-140 page and re-prepare the form if necessary. The I-907 and G-28 editions should also be confirmed.</w:t>
      </w:r>
    </w:p>
    <w:p>
      <w:pPr>
        <w:pStyle w:val="ListBullet"/>
        <w:spacing w:after="40"/>
      </w:pPr>
      <w:r>
        <w:rPr>
          <w:b/>
        </w:rPr>
        <w:t>Signatures.</w:t>
      </w:r>
      <w:r>
        <w:t xml:space="preserve"> The G-28 lacks the client’s signature (#4c). Re-preparing the I-140 will also require her signature again. One signing session should cover every client-signed form.</w:t>
      </w:r>
    </w:p>
    <w:p>
      <w:pPr>
        <w:pStyle w:val="ListBullet"/>
        <w:spacing w:after="40"/>
      </w:pPr>
      <w:r>
        <w:rPr>
          <w:b/>
        </w:rPr>
        <w:t>Supplement J / petitioner identity.</w:t>
      </w:r>
      <w:r>
        <w:t xml:space="preserve"> Supplement J (properly “Form I-485 Supplement J”) confirms a job offer for adjustment-of-status portability. It is not filed with a stand-alone EB-1A self-petition and should be removed. Listing Meridian as “Petitioning Employer” in the index contradicts the brief’s statement that “Dr. Raghavan is both the petitioner and the beneficiary.” The I-140 itself must be consistent with whichever model is correct.</w:t>
      </w:r>
    </w:p>
    <w:p>
      <w:pPr>
        <w:pStyle w:val="Heading2"/>
      </w:pPr>
      <w:r>
        <w:t>B. Candor and credibility (Gaps 3, 4, 5)</w:t>
      </w:r>
    </w:p>
    <w:p>
      <w:pPr>
        <w:spacing w:after="80"/>
      </w:pPr>
      <w:r>
        <w:t>Your instruction in the February 12 email is correct and should be applied throughout. An adjudicator will compare the brief to Exhibit B, and a brief that rounds 47 up to “over 50” and 3,842 up to “approximately 4,000” invites a finding that the petitioner overstated the record. The same reasoning applies with more force to Exhibit H: the brief currently tells USCIS what Dr. Okonkwo “confirms” in a letter that has not been signed, and it attributes the “paradigm shift” characterization to her. If the signed letter differs, or does not arrive, the brief misstates the record. The expert count has the same problem: “six” experts are claimed and five are named, one of whom has not delivered.</w:t>
      </w:r>
    </w:p>
    <w:p>
      <w:pPr>
        <w:spacing w:after="80"/>
      </w:pPr>
      <w:r>
        <w:rPr>
          <w:b/>
        </w:rPr>
        <w:t>Recommended edits:</w:t>
      </w:r>
      <w:r>
        <w:t xml:space="preserve"> (i) “47 peer-reviewed publications” and “3,842 citations, as reflected in the Google Scholar profile dated [X] (Exhibit B)”, in §§ I, IV.E.2 and VI; (ii) hold all Exhibit H language until the signed letter is in hand, then quote it verbatim; (iii) state the actual number of letters and delete “additional expert support discussed herein.”</w:t>
      </w:r>
    </w:p>
    <w:p>
      <w:pPr>
        <w:pStyle w:val="Heading2"/>
      </w:pPr>
      <w:r>
        <w:t>C. The checklist does not match the matter (Gaps 1, 10)</w:t>
      </w:r>
    </w:p>
    <w:p>
      <w:pPr>
        <w:spacing w:after="80"/>
      </w:pPr>
      <w:r>
        <w:t>The scale of the divergence — different passport number, different doctoral institution and year, different awards, memberships, media, experts, patents, salary and corporate facts — is too large to be drafting slippage. The most likely explanation is that the checklist was built from another matter’s template or record and only partly updated (items #1–#7, #19–#27 and #89–#94 are consistent with this matter; most of #8–#88 are not). The other possibility, which must be ruled out, is that the brief and index are the inaccurate documents. Either way: (1) the checklist’s “Complete” statuses cannot support filing; (2) data on the I-140 form (passport, place of birth, education) must be verified against original documents; and (3) if another client’s information is in this file, it should be removed and the matter reviewed under the firm’s confidentiality procedures. Maria’s full reconciliation should be done against the physical binder, not the checklist.</w:t>
      </w:r>
    </w:p>
    <w:p>
      <w:pPr>
        <w:pStyle w:val="Heading2"/>
      </w:pPr>
      <w:r>
        <w:t>D. Substantive strength of the claimed criteria (Gaps 11–21)</w:t>
      </w:r>
    </w:p>
    <w:p>
      <w:pPr>
        <w:pStyle w:val="ListBullet"/>
        <w:spacing w:after="40"/>
      </w:pPr>
      <w:r>
        <w:rPr>
          <w:b/>
        </w:rPr>
        <w:t>(i) Awards.</w:t>
      </w:r>
      <w:r>
        <w:t xml:space="preserve"> Generally well framed. Add evidence that each award is recognized outside the granting body. Address the under-40 eligibility limit of the ENNS award as a selective early-career honor, not as a restriction that limits the pool of competitors.</w:t>
      </w:r>
    </w:p>
    <w:p>
      <w:pPr>
        <w:pStyle w:val="ListBullet"/>
        <w:spacing w:after="40"/>
      </w:pPr>
      <w:r>
        <w:rPr>
          <w:b/>
        </w:rPr>
        <w:t>(ii) Membership.</w:t>
      </w:r>
      <w:r>
        <w:t xml:space="preserve"> ISCN Fellowship with nomination by two Fellows and committee review is a proper (ii) theory; the bylaws and selection criteria in index Exhibit K should be quoted. Because the Beckworth Prize is from the same society, avoid presenting the two as independent forms of recognition without explanation.</w:t>
      </w:r>
    </w:p>
    <w:p>
      <w:pPr>
        <w:pStyle w:val="ListBullet"/>
        <w:spacing w:after="40"/>
      </w:pPr>
      <w:r>
        <w:rPr>
          <w:b/>
        </w:rPr>
        <w:t>(iii) Published material.</w:t>
      </w:r>
      <w:r>
        <w:t xml:space="preserve"> Needs circulation/readership evidence for MIT Technology Review and The Scientist, and the title, date and author of each article. The supplemental media at index Exhibit V is not cited in the brief.</w:t>
      </w:r>
    </w:p>
    <w:p>
      <w:pPr>
        <w:pStyle w:val="ListBullet"/>
        <w:spacing w:after="40"/>
      </w:pPr>
      <w:r>
        <w:rPr>
          <w:b/>
        </w:rPr>
        <w:t>(iv) Judging.</w:t>
      </w:r>
      <w:r>
        <w:t xml:space="preserve"> Peer review is accepted judging evidence if completion is documented. Confirm that Exhibit O includes completed-review confirmations, not only invitations. If the NIH/NSF panel service in checklist #61–#62 belongs to this client, add it.</w:t>
      </w:r>
    </w:p>
    <w:p>
      <w:pPr>
        <w:pStyle w:val="ListBullet"/>
        <w:spacing w:after="40"/>
      </w:pPr>
      <w:r>
        <w:rPr>
          <w:b/>
        </w:rPr>
        <w:t>(v) Original contributions.</w:t>
      </w:r>
      <w:r>
        <w:t xml:space="preserve"> This is the most exposed criterion. The patents need to be verified (Gap 11). Patents and citation counts show originality and use, but major significance generally requires evidence of impact on the field beyond the beneficiary’s own work. The strongest such statement in the draft comes from the missing Okonkwo letter. Add specific third-party adoption, licensing or citation evidence.</w:t>
      </w:r>
    </w:p>
    <w:p>
      <w:pPr>
        <w:pStyle w:val="ListBullet"/>
        <w:spacing w:after="40"/>
      </w:pPr>
      <w:r>
        <w:rPr>
          <w:b/>
        </w:rPr>
        <w:t>(vi) Scholarly articles — recommend claiming.</w:t>
      </w:r>
      <w:r>
        <w:t xml:space="preserve"> Forty-seven peer-reviewed articles in professional journals almost certainly meet this criterion, and claiming it gives a five-criterion case a backstop if (iii) or (v) is questioned. Revise the § III paragraph that disclaims it.</w:t>
      </w:r>
    </w:p>
    <w:p>
      <w:pPr>
        <w:pStyle w:val="ListBullet"/>
        <w:spacing w:after="40"/>
      </w:pPr>
      <w:r>
        <w:rPr>
          <w:b/>
        </w:rPr>
        <w:t>Final merits.</w:t>
      </w:r>
      <w:r>
        <w:t xml:space="preserve"> Strike or support conclusory comparisons (“upper echelon,” “well above the median,” “unanimous”) with Exhibit S data. Present salary only after the $218,000 / $245,000 conflict is resolved, and describe keynotes accurately.</w:t>
      </w:r>
    </w:p>
    <w:p>
      <w:pPr>
        <w:pStyle w:val="Heading2"/>
      </w:pPr>
      <w:r>
        <w:t>E. Assembly and housekeeping (Gaps 22–30)</w:t>
      </w:r>
    </w:p>
    <w:p>
      <w:pPr>
        <w:spacing w:after="80"/>
      </w:pPr>
      <w:r>
        <w:t>These items are individually minor but should be closed in the February 24–27 QC window: refresh the CV and Scholar printout and carry new figures into the brief; assign letters to the status documents; decide on Exhibit X; conform the brief’s section structure to the checklist (or vice versa) and prepare or delete the table of authorities; correct the exhibit count, page ranges and the “citation order” and “no further exhibits” statements; re-date and sign the cover letter; confirm the current filing address; correct the premium processing timeframe to business days; and recompute the checklist summary.</w:t>
      </w:r>
    </w:p>
    <w:p>
      <w:pPr>
        <w:pStyle w:val="Heading1"/>
      </w:pPr>
      <w:r>
        <w:t>VIII. Action Plan and Timeline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shd w:val="clear" w:color="auto" w:fill="1F3864"/>
          </w:tcPr>
          <w:p>
            <w:r/>
            <w:r>
              <w:rPr>
                <w:b/>
                <w:color w:val="FFFFFF"/>
                <w:sz w:val="17"/>
              </w:rPr>
              <w:t>Date</w:t>
            </w:r>
          </w:p>
        </w:tc>
        <w:tc>
          <w:tcPr>
            <w:tcW w:type="dxa" w:w="6336"/>
            <w:shd w:val="clear" w:color="auto" w:fill="1F3864"/>
          </w:tcPr>
          <w:p>
            <w:r/>
            <w:r>
              <w:rPr>
                <w:b/>
                <w:color w:val="FFFFFF"/>
                <w:sz w:val="17"/>
              </w:rPr>
              <w:t>Action</w:t>
            </w:r>
          </w:p>
        </w:tc>
        <w:tc>
          <w:tcPr>
            <w:tcW w:type="dxa" w:w="1584"/>
            <w:shd w:val="clear" w:color="auto" w:fill="1F3864"/>
          </w:tcPr>
          <w:p>
            <w:r/>
            <w:r>
              <w:rPr>
                <w:b/>
                <w:color w:val="FFFFFF"/>
                <w:sz w:val="17"/>
              </w:rPr>
              <w:t>Owner</w:t>
            </w:r>
          </w:p>
        </w:tc>
      </w:tr>
      <w:tr>
        <w:tc>
          <w:tcPr>
            <w:tcW w:type="dxa" w:w="1440"/>
          </w:tcPr>
          <w:p>
            <w:pPr>
              <w:spacing w:after="20"/>
            </w:pPr>
            <w:r/>
            <w:r>
              <w:rPr>
                <w:sz w:val="17"/>
              </w:rPr>
              <w:t>Feb. 12 (today)</w:t>
            </w:r>
          </w:p>
        </w:tc>
        <w:tc>
          <w:tcPr>
            <w:tcW w:type="dxa" w:w="6336"/>
          </w:tcPr>
          <w:p>
            <w:pPr>
              <w:spacing w:after="20"/>
            </w:pPr>
            <w:r/>
            <w:r>
              <w:rPr>
                <w:sz w:val="17"/>
              </w:rPr>
              <w:t>Contact Dr. Okonkwo; confirm affiliation and delivery date</w:t>
            </w:r>
          </w:p>
        </w:tc>
        <w:tc>
          <w:tcPr>
            <w:tcW w:type="dxa" w:w="1584"/>
          </w:tcPr>
          <w:p>
            <w:pPr>
              <w:spacing w:after="20"/>
            </w:pPr>
            <w:r/>
            <w:r>
              <w:rPr>
                <w:sz w:val="17"/>
              </w:rPr>
              <w:t>Rebecca</w:t>
            </w:r>
          </w:p>
        </w:tc>
      </w:tr>
      <w:tr>
        <w:tc>
          <w:tcPr>
            <w:tcW w:type="dxa" w:w="1440"/>
          </w:tcPr>
          <w:p>
            <w:pPr>
              <w:spacing w:after="20"/>
            </w:pPr>
            <w:r/>
            <w:r>
              <w:rPr>
                <w:sz w:val="17"/>
              </w:rPr>
              <w:t>Feb. 12</w:t>
            </w:r>
          </w:p>
        </w:tc>
        <w:tc>
          <w:tcPr>
            <w:tcW w:type="dxa" w:w="6336"/>
          </w:tcPr>
          <w:p>
            <w:pPr>
              <w:spacing w:after="20"/>
            </w:pPr>
            <w:r/>
            <w:r>
              <w:rPr>
                <w:sz w:val="17"/>
              </w:rPr>
              <w:t>Revise publication/citation figures in §§ I, IV.E.2, VI; remove “six experts” / “additional expert support” language</w:t>
            </w:r>
          </w:p>
        </w:tc>
        <w:tc>
          <w:tcPr>
            <w:tcW w:type="dxa" w:w="1584"/>
          </w:tcPr>
          <w:p>
            <w:pPr>
              <w:spacing w:after="20"/>
            </w:pPr>
            <w:r/>
            <w:r>
              <w:rPr>
                <w:sz w:val="17"/>
              </w:rPr>
              <w:t>Rebecca</w:t>
            </w:r>
          </w:p>
        </w:tc>
      </w:tr>
      <w:tr>
        <w:tc>
          <w:tcPr>
            <w:tcW w:type="dxa" w:w="1440"/>
          </w:tcPr>
          <w:p>
            <w:pPr>
              <w:spacing w:after="20"/>
            </w:pPr>
            <w:r/>
            <w:r>
              <w:rPr>
                <w:sz w:val="17"/>
              </w:rPr>
              <w:t>Feb. 12–13</w:t>
            </w:r>
          </w:p>
        </w:tc>
        <w:tc>
          <w:tcPr>
            <w:tcW w:type="dxa" w:w="6336"/>
          </w:tcPr>
          <w:p>
            <w:pPr>
              <w:spacing w:after="20"/>
            </w:pPr>
            <w:r/>
            <w:r>
              <w:rPr>
                <w:sz w:val="17"/>
              </w:rPr>
              <w:t>Confirm current I-140 fee and edition (G-1055; USCIS I-140 page); confirm payor; order replacement check; remove Supplement J</w:t>
            </w:r>
          </w:p>
        </w:tc>
        <w:tc>
          <w:tcPr>
            <w:tcW w:type="dxa" w:w="1584"/>
          </w:tcPr>
          <w:p>
            <w:pPr>
              <w:spacing w:after="20"/>
            </w:pPr>
            <w:r/>
            <w:r>
              <w:rPr>
                <w:sz w:val="17"/>
              </w:rPr>
              <w:t>Maria</w:t>
            </w:r>
          </w:p>
        </w:tc>
      </w:tr>
      <w:tr>
        <w:tc>
          <w:tcPr>
            <w:tcW w:type="dxa" w:w="1440"/>
          </w:tcPr>
          <w:p>
            <w:pPr>
              <w:spacing w:after="20"/>
            </w:pPr>
            <w:r/>
            <w:r>
              <w:rPr>
                <w:sz w:val="17"/>
              </w:rPr>
              <w:t>Feb. 13</w:t>
            </w:r>
          </w:p>
        </w:tc>
        <w:tc>
          <w:tcPr>
            <w:tcW w:type="dxa" w:w="6336"/>
          </w:tcPr>
          <w:p>
            <w:pPr>
              <w:spacing w:after="20"/>
            </w:pPr>
            <w:r/>
            <w:r>
              <w:rPr>
                <w:sz w:val="17"/>
              </w:rPr>
              <w:t>Request updated CV, 2024 W-2, title/salary confirmation (Meridian HR); schedule client signing session</w:t>
            </w:r>
          </w:p>
        </w:tc>
        <w:tc>
          <w:tcPr>
            <w:tcW w:type="dxa" w:w="1584"/>
          </w:tcPr>
          <w:p>
            <w:pPr>
              <w:spacing w:after="20"/>
            </w:pPr>
            <w:r/>
            <w:r>
              <w:rPr>
                <w:sz w:val="17"/>
              </w:rPr>
              <w:t>Rebecca / David</w:t>
            </w:r>
          </w:p>
        </w:tc>
      </w:tr>
      <w:tr>
        <w:tc>
          <w:tcPr>
            <w:tcW w:type="dxa" w:w="1440"/>
          </w:tcPr>
          <w:p>
            <w:pPr>
              <w:spacing w:after="20"/>
            </w:pPr>
            <w:r/>
            <w:r>
              <w:rPr>
                <w:sz w:val="17"/>
              </w:rPr>
              <w:t>Feb. 14</w:t>
            </w:r>
          </w:p>
        </w:tc>
        <w:tc>
          <w:tcPr>
            <w:tcW w:type="dxa" w:w="6336"/>
          </w:tcPr>
          <w:p>
            <w:pPr>
              <w:spacing w:after="20"/>
            </w:pPr>
            <w:r/>
            <w:r>
              <w:rPr>
                <w:sz w:val="17"/>
              </w:rPr>
              <w:t>Rebuild checklist against binder; verify passport, birth certificate, diplomas, I-94; patents on USPTO Patent Center</w:t>
            </w:r>
          </w:p>
        </w:tc>
        <w:tc>
          <w:tcPr>
            <w:tcW w:type="dxa" w:w="1584"/>
          </w:tcPr>
          <w:p>
            <w:pPr>
              <w:spacing w:after="20"/>
            </w:pPr>
            <w:r/>
            <w:r>
              <w:rPr>
                <w:sz w:val="17"/>
              </w:rPr>
              <w:t>Maria / Rebecca</w:t>
            </w:r>
          </w:p>
        </w:tc>
      </w:tr>
      <w:tr>
        <w:tc>
          <w:tcPr>
            <w:tcW w:type="dxa" w:w="1440"/>
          </w:tcPr>
          <w:p>
            <w:pPr>
              <w:spacing w:after="20"/>
            </w:pPr>
            <w:r/>
            <w:r>
              <w:rPr>
                <w:sz w:val="17"/>
              </w:rPr>
              <w:t>Feb. 14</w:t>
            </w:r>
          </w:p>
        </w:tc>
        <w:tc>
          <w:tcPr>
            <w:tcW w:type="dxa" w:w="6336"/>
          </w:tcPr>
          <w:p>
            <w:pPr>
              <w:spacing w:after="20"/>
            </w:pPr>
            <w:r/>
            <w:r>
              <w:rPr>
                <w:sz w:val="17"/>
              </w:rPr>
              <w:t>Decide master exhibit scheme; circulate concordance</w:t>
            </w:r>
          </w:p>
        </w:tc>
        <w:tc>
          <w:tcPr>
            <w:tcW w:type="dxa" w:w="1584"/>
          </w:tcPr>
          <w:p>
            <w:pPr>
              <w:spacing w:after="20"/>
            </w:pPr>
            <w:r/>
            <w:r>
              <w:rPr>
                <w:sz w:val="17"/>
              </w:rPr>
              <w:t>Maria / David</w:t>
            </w:r>
          </w:p>
        </w:tc>
      </w:tr>
      <w:tr>
        <w:tc>
          <w:tcPr>
            <w:tcW w:type="dxa" w:w="1440"/>
          </w:tcPr>
          <w:p>
            <w:pPr>
              <w:spacing w:after="20"/>
            </w:pPr>
            <w:r/>
            <w:r>
              <w:rPr>
                <w:sz w:val="17"/>
              </w:rPr>
              <w:t>Feb. 17</w:t>
            </w:r>
          </w:p>
        </w:tc>
        <w:tc>
          <w:tcPr>
            <w:tcW w:type="dxa" w:w="6336"/>
          </w:tcPr>
          <w:p>
            <w:pPr>
              <w:spacing w:after="20"/>
            </w:pPr>
            <w:r/>
            <w:r>
              <w:rPr>
                <w:sz w:val="17"/>
              </w:rPr>
              <w:t>CEO support letter draft to David</w:t>
            </w:r>
          </w:p>
        </w:tc>
        <w:tc>
          <w:tcPr>
            <w:tcW w:type="dxa" w:w="1584"/>
          </w:tcPr>
          <w:p>
            <w:pPr>
              <w:spacing w:after="20"/>
            </w:pPr>
            <w:r/>
            <w:r>
              <w:rPr>
                <w:sz w:val="17"/>
              </w:rPr>
              <w:t>Rebecca</w:t>
            </w:r>
          </w:p>
        </w:tc>
      </w:tr>
      <w:tr>
        <w:tc>
          <w:tcPr>
            <w:tcW w:type="dxa" w:w="1440"/>
          </w:tcPr>
          <w:p>
            <w:pPr>
              <w:spacing w:after="20"/>
            </w:pPr>
            <w:r/>
            <w:r>
              <w:rPr>
                <w:sz w:val="17"/>
              </w:rPr>
              <w:t>Feb. 18</w:t>
            </w:r>
          </w:p>
        </w:tc>
        <w:tc>
          <w:tcPr>
            <w:tcW w:type="dxa" w:w="6336"/>
          </w:tcPr>
          <w:p>
            <w:pPr>
              <w:spacing w:after="20"/>
            </w:pPr>
            <w:r/>
            <w:r>
              <w:rPr>
                <w:sz w:val="17"/>
              </w:rPr>
              <w:t>Team check-in: go/no-go on all P1 items; decide criterion (vi), Exhibit X, sixth expert</w:t>
            </w:r>
          </w:p>
        </w:tc>
        <w:tc>
          <w:tcPr>
            <w:tcW w:type="dxa" w:w="1584"/>
          </w:tcPr>
          <w:p>
            <w:pPr>
              <w:spacing w:after="20"/>
            </w:pPr>
            <w:r/>
            <w:r>
              <w:rPr>
                <w:sz w:val="17"/>
              </w:rPr>
              <w:t>All</w:t>
            </w:r>
          </w:p>
        </w:tc>
      </w:tr>
      <w:tr>
        <w:tc>
          <w:tcPr>
            <w:tcW w:type="dxa" w:w="1440"/>
          </w:tcPr>
          <w:p>
            <w:pPr>
              <w:spacing w:after="20"/>
            </w:pPr>
            <w:r/>
            <w:r>
              <w:rPr>
                <w:sz w:val="17"/>
              </w:rPr>
              <w:t>Feb. 20</w:t>
            </w:r>
          </w:p>
        </w:tc>
        <w:tc>
          <w:tcPr>
            <w:tcW w:type="dxa" w:w="6336"/>
          </w:tcPr>
          <w:p>
            <w:pPr>
              <w:spacing w:after="20"/>
            </w:pPr>
            <w:r/>
            <w:r>
              <w:rPr>
                <w:sz w:val="17"/>
              </w:rPr>
              <w:t>Okonkwo signed letter in hand or fallback triggered</w:t>
            </w:r>
          </w:p>
        </w:tc>
        <w:tc>
          <w:tcPr>
            <w:tcW w:type="dxa" w:w="1584"/>
          </w:tcPr>
          <w:p>
            <w:pPr>
              <w:spacing w:after="20"/>
            </w:pPr>
            <w:r/>
            <w:r>
              <w:rPr>
                <w:sz w:val="17"/>
              </w:rPr>
              <w:t>Rebecca / David</w:t>
            </w:r>
          </w:p>
        </w:tc>
      </w:tr>
      <w:tr>
        <w:tc>
          <w:tcPr>
            <w:tcW w:type="dxa" w:w="1440"/>
          </w:tcPr>
          <w:p>
            <w:pPr>
              <w:spacing w:after="20"/>
            </w:pPr>
            <w:r/>
            <w:r>
              <w:rPr>
                <w:sz w:val="17"/>
              </w:rPr>
              <w:t>Feb. 21–24</w:t>
            </w:r>
          </w:p>
        </w:tc>
        <w:tc>
          <w:tcPr>
            <w:tcW w:type="dxa" w:w="6336"/>
          </w:tcPr>
          <w:p>
            <w:pPr>
              <w:spacing w:after="20"/>
            </w:pPr>
            <w:r/>
            <w:r>
              <w:rPr>
                <w:sz w:val="17"/>
              </w:rPr>
              <w:t>Partner redline incorporated; fresh Scholar printout; all exhibits final; brief conformed to final letters/pages</w:t>
            </w:r>
          </w:p>
        </w:tc>
        <w:tc>
          <w:tcPr>
            <w:tcW w:type="dxa" w:w="1584"/>
          </w:tcPr>
          <w:p>
            <w:pPr>
              <w:spacing w:after="20"/>
            </w:pPr>
            <w:r/>
            <w:r>
              <w:rPr>
                <w:sz w:val="17"/>
              </w:rPr>
              <w:t>Rebecca / David</w:t>
            </w:r>
          </w:p>
        </w:tc>
      </w:tr>
      <w:tr>
        <w:tc>
          <w:tcPr>
            <w:tcW w:type="dxa" w:w="1440"/>
          </w:tcPr>
          <w:p>
            <w:pPr>
              <w:spacing w:after="20"/>
            </w:pPr>
            <w:r/>
            <w:r>
              <w:rPr>
                <w:sz w:val="17"/>
              </w:rPr>
              <w:t>Feb. 24–27</w:t>
            </w:r>
          </w:p>
        </w:tc>
        <w:tc>
          <w:tcPr>
            <w:tcW w:type="dxa" w:w="6336"/>
          </w:tcPr>
          <w:p>
            <w:pPr>
              <w:spacing w:after="20"/>
            </w:pPr>
            <w:r/>
            <w:r>
              <w:rPr>
                <w:sz w:val="17"/>
              </w:rPr>
              <w:t>QC (#90, #91): every cited exhibit present and every exhibit cited; checks valid; signatures; address; copies</w:t>
            </w:r>
          </w:p>
        </w:tc>
        <w:tc>
          <w:tcPr>
            <w:tcW w:type="dxa" w:w="1584"/>
          </w:tcPr>
          <w:p>
            <w:pPr>
              <w:spacing w:after="20"/>
            </w:pPr>
            <w:r/>
            <w:r>
              <w:rPr>
                <w:sz w:val="17"/>
              </w:rPr>
              <w:t>Maria / Rebecca</w:t>
            </w:r>
          </w:p>
        </w:tc>
      </w:tr>
      <w:tr>
        <w:tc>
          <w:tcPr>
            <w:tcW w:type="dxa" w:w="1440"/>
          </w:tcPr>
          <w:p>
            <w:pPr>
              <w:spacing w:after="20"/>
            </w:pPr>
            <w:r/>
            <w:r>
              <w:rPr>
                <w:sz w:val="17"/>
              </w:rPr>
              <w:t>Feb. 27–28</w:t>
            </w:r>
          </w:p>
        </w:tc>
        <w:tc>
          <w:tcPr>
            <w:tcW w:type="dxa" w:w="6336"/>
          </w:tcPr>
          <w:p>
            <w:pPr>
              <w:spacing w:after="20"/>
            </w:pPr>
            <w:r/>
            <w:r>
              <w:rPr>
                <w:sz w:val="17"/>
              </w:rPr>
              <w:t>Ship with tracking; file copy to NetDocuments</w:t>
            </w:r>
          </w:p>
        </w:tc>
        <w:tc>
          <w:tcPr>
            <w:tcW w:type="dxa" w:w="1584"/>
          </w:tcPr>
          <w:p>
            <w:pPr>
              <w:spacing w:after="20"/>
            </w:pPr>
            <w:r/>
            <w:r>
              <w:rPr>
                <w:sz w:val="17"/>
              </w:rPr>
              <w:t>Maria</w:t>
            </w:r>
          </w:p>
        </w:tc>
      </w:tr>
    </w:tbl>
    <w:p/>
    <w:p>
      <w:pPr>
        <w:spacing w:after="80"/>
      </w:pPr>
      <w:r>
        <w:rPr>
          <w:b/>
        </w:rPr>
        <w:t>Contingency.</w:t>
      </w:r>
      <w:r>
        <w:t xml:space="preserve"> February 28 is an internal target, not a legal deadline: the I-94 and H-1B approval run to September 30, 2026, and nothing in the file suggests a time-sensitive status issue. If the P1 items (in particular the Okonkwo letter, the fee/form edition, and the checklist reconciliation) are not cleared by February 24, we recommend moving the filing date rather than filing a package that is likely to be rejected or draw an RFE on credibility grounds.</w:t>
      </w:r>
    </w:p>
    <w:p>
      <w:pPr>
        <w:pStyle w:val="Heading1"/>
      </w:pPr>
      <w:r>
        <w:t>IX. Assumptions and Items to Verify</w:t>
      </w:r>
    </w:p>
    <w:p>
      <w:pPr>
        <w:pStyle w:val="ListBullet"/>
        <w:spacing w:after="40"/>
      </w:pPr>
      <w:r>
        <w:t>We have reviewed only the four documents listed in Part II; we have not seen the exhibits themselves. Where the documents conflict we have not determined which is correct.</w:t>
      </w:r>
    </w:p>
    <w:p>
      <w:pPr>
        <w:pStyle w:val="ListBullet"/>
        <w:spacing w:after="40"/>
      </w:pPr>
      <w:r>
        <w:t>Fee amounts, form editions, the premium processing timeframe, Supplement J practice and filing addresses reflect our understanding of current USCIS requirements and must be confirmed on uscis.gov before checks are cut and the package ships.</w:t>
      </w:r>
    </w:p>
    <w:p>
      <w:pPr>
        <w:pStyle w:val="ListBullet"/>
        <w:spacing w:after="40"/>
      </w:pPr>
      <w:r>
        <w:t>The comment that the patent numbers do not fit the stated issue dates is based on the general USPTO numbering sequence and must be confirmed against the USPTO record for each patent.</w:t>
      </w:r>
    </w:p>
    <w:p>
      <w:pPr>
        <w:pStyle w:val="ListBullet"/>
        <w:spacing w:after="40"/>
      </w:pPr>
      <w:r>
        <w:t>The 30-day currency rule for the CV and Scholar printout is treated as firm practice, not a regulatory requirement; the substantive concern is that the brief’s figures match the exhibit.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&amp; CONFIDENTIAL — ATTORNEY WORK PRODUCT — Raghavan EB-1A Gap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