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864"/>
          <w:sz w:val="32"/>
        </w:rPr>
        <w:t>HARGROVE &amp; CALLOWAY LLP</w:t>
      </w:r>
    </w:p>
    <w:p>
      <w:pPr>
        <w:spacing w:after="160"/>
        <w:jc w:val="center"/>
      </w:pPr>
      <w:r>
        <w:rPr>
          <w:b w:val="0"/>
          <w:i w:val="0"/>
          <w:sz w:val="18"/>
        </w:rPr>
        <w:t>1750 Welton Street, Suite 400 • Denver, Colorado 80202</w:t>
      </w:r>
    </w:p>
    <w:p>
      <w:pPr>
        <w:spacing w:after="200"/>
        <w:jc w:val="center"/>
      </w:pPr>
      <w:r>
        <w:rPr>
          <w:b/>
          <w:i w:val="0"/>
          <w:color w:val="C00000"/>
          <w:sz w:val="18"/>
        </w:rPr>
        <w:t>PRIVILEGED &amp; CONFIDENTIAL — ATTORNEY-CLIENT COMMUNICATION — ATTORNEY WORK PRODUCT</w:t>
      </w:r>
    </w:p>
    <w:p>
      <w:pPr>
        <w:spacing w:after="0"/>
        <w:jc w:val="center"/>
      </w:pPr>
      <w:r>
        <w:rPr>
          <w:b/>
          <w:i w:val="0"/>
          <w:color w:val="1F3864"/>
          <w:sz w:val="36"/>
        </w:rPr>
        <w:t>COMPLIANCE GAP ANALYSIS</w:t>
      </w:r>
    </w:p>
    <w:p>
      <w:pPr>
        <w:spacing w:after="0"/>
        <w:jc w:val="center"/>
      </w:pPr>
      <w:r>
        <w:rPr>
          <w:b/>
          <w:i w:val="0"/>
          <w:sz w:val="24"/>
        </w:rPr>
        <w:t>Form MCP-2025-01 — Meridian Commercial Property Coverage Form (Ed. 01/2025)</w:t>
      </w:r>
    </w:p>
    <w:p>
      <w:pPr>
        <w:spacing w:after="200"/>
        <w:jc w:val="center"/>
      </w:pPr>
      <w:r>
        <w:rPr>
          <w:b w:val="0"/>
          <w:i w:val="0"/>
          <w:sz w:val="22"/>
        </w:rPr>
        <w:t>Review Against Colorado Statutory and Regulatory Requirements and Prior Division Objections</w:t>
      </w:r>
    </w:p>
    <w:tbl>
      <w:tblPr>
        <w:tblStyle w:val="TableGrid"/>
        <w:tblW w:type="auto" w:w="0"/>
        <w:tblLook w:firstColumn="1" w:firstRow="1" w:lastColumn="0" w:lastRow="0" w:noHBand="0" w:noVBand="1" w:val="04A0"/>
      </w:tblPr>
      <w:tblGrid>
        <w:gridCol w:w="4824"/>
        <w:gridCol w:w="4824"/>
      </w:tblGrid>
      <w:tr>
        <w:tc>
          <w:tcPr>
            <w:tcW w:type="dxa" w:w="2016"/>
            <w:shd w:val="clear" w:color="auto" w:fill="D9E2F3"/>
          </w:tcPr>
          <w:p>
            <w:r/>
            <w:r>
              <w:rPr>
                <w:b/>
                <w:sz w:val="19"/>
              </w:rPr>
              <w:t>To</w:t>
            </w:r>
          </w:p>
        </w:tc>
        <w:tc>
          <w:tcPr>
            <w:tcW w:type="dxa" w:w="7632"/>
          </w:tcPr>
          <w:p>
            <w:pPr>
              <w:spacing w:after="40"/>
            </w:pPr>
            <w:r/>
            <w:r>
              <w:rPr>
                <w:b w:val="0"/>
                <w:i w:val="0"/>
                <w:sz w:val="19"/>
              </w:rPr>
              <w:t>Alicia Brennan, Regulatory Filing Analyst, Meridian Casualty Insurance Company</w:t>
            </w:r>
          </w:p>
        </w:tc>
      </w:tr>
      <w:tr>
        <w:tc>
          <w:tcPr>
            <w:tcW w:type="dxa" w:w="2016"/>
            <w:shd w:val="clear" w:color="auto" w:fill="D9E2F3"/>
          </w:tcPr>
          <w:p>
            <w:r/>
            <w:r>
              <w:rPr>
                <w:b/>
                <w:sz w:val="19"/>
              </w:rPr>
              <w:t>Cc</w:t>
            </w:r>
          </w:p>
        </w:tc>
        <w:tc>
          <w:tcPr>
            <w:tcW w:type="dxa" w:w="7632"/>
          </w:tcPr>
          <w:p>
            <w:pPr>
              <w:spacing w:after="40"/>
            </w:pPr>
            <w:r/>
            <w:r>
              <w:rPr>
                <w:b w:val="0"/>
                <w:i w:val="0"/>
                <w:sz w:val="19"/>
              </w:rPr>
              <w:t>David Kaminski, VP, Regulatory Compliance; Patricia Voss, Esq., General Counsel</w:t>
            </w:r>
          </w:p>
        </w:tc>
      </w:tr>
      <w:tr>
        <w:tc>
          <w:tcPr>
            <w:tcW w:type="dxa" w:w="2016"/>
            <w:shd w:val="clear" w:color="auto" w:fill="D9E2F3"/>
          </w:tcPr>
          <w:p>
            <w:r/>
            <w:r>
              <w:rPr>
                <w:b/>
                <w:sz w:val="19"/>
              </w:rPr>
              <w:t>From</w:t>
            </w:r>
          </w:p>
        </w:tc>
        <w:tc>
          <w:tcPr>
            <w:tcW w:type="dxa" w:w="7632"/>
          </w:tcPr>
          <w:p>
            <w:pPr>
              <w:spacing w:after="40"/>
            </w:pPr>
            <w:r/>
            <w:r>
              <w:rPr>
                <w:b w:val="0"/>
                <w:i w:val="0"/>
                <w:sz w:val="19"/>
              </w:rPr>
              <w:t>Hargrove &amp; Calloway LLP (Rebecca Sung)</w:t>
            </w:r>
          </w:p>
        </w:tc>
      </w:tr>
      <w:tr>
        <w:tc>
          <w:tcPr>
            <w:tcW w:type="dxa" w:w="2016"/>
            <w:shd w:val="clear" w:color="auto" w:fill="D9E2F3"/>
          </w:tcPr>
          <w:p>
            <w:r/>
            <w:r>
              <w:rPr>
                <w:b/>
                <w:sz w:val="19"/>
              </w:rPr>
              <w:t>Date</w:t>
            </w:r>
          </w:p>
        </w:tc>
        <w:tc>
          <w:tcPr>
            <w:tcW w:type="dxa" w:w="7632"/>
          </w:tcPr>
          <w:p>
            <w:pPr>
              <w:spacing w:after="40"/>
            </w:pPr>
            <w:r/>
            <w:r>
              <w:rPr>
                <w:b w:val="0"/>
                <w:i w:val="0"/>
                <w:sz w:val="19"/>
              </w:rPr>
              <w:t>February 7, 2025</w:t>
            </w:r>
          </w:p>
        </w:tc>
      </w:tr>
      <w:tr>
        <w:tc>
          <w:tcPr>
            <w:tcW w:type="dxa" w:w="2016"/>
            <w:shd w:val="clear" w:color="auto" w:fill="D9E2F3"/>
          </w:tcPr>
          <w:p>
            <w:r/>
            <w:r>
              <w:rPr>
                <w:b/>
                <w:sz w:val="19"/>
              </w:rPr>
              <w:t>Re</w:t>
            </w:r>
          </w:p>
        </w:tc>
        <w:tc>
          <w:tcPr>
            <w:tcW w:type="dxa" w:w="7632"/>
          </w:tcPr>
          <w:p>
            <w:pPr>
              <w:spacing w:after="40"/>
            </w:pPr>
            <w:r/>
            <w:r>
              <w:rPr>
                <w:b w:val="0"/>
                <w:i w:val="0"/>
                <w:sz w:val="19"/>
              </w:rPr>
              <w:t>Independent regulatory review of Form MCP-2025-01 for Colorado filing — planned SERFF Tracking No. MERI-133318601 (filing agent: Trenton Filing Services LLC); target filing March 1, 2025; requested effective date April 15, 2025</w:t>
            </w:r>
          </w:p>
        </w:tc>
      </w:tr>
      <w:tr>
        <w:tc>
          <w:tcPr>
            <w:tcW w:type="dxa" w:w="2016"/>
            <w:shd w:val="clear" w:color="auto" w:fill="D9E2F3"/>
          </w:tcPr>
          <w:p>
            <w:r/>
            <w:r>
              <w:rPr>
                <w:b/>
                <w:sz w:val="19"/>
              </w:rPr>
              <w:t>Materials reviewed</w:t>
            </w:r>
          </w:p>
        </w:tc>
        <w:tc>
          <w:tcPr>
            <w:tcW w:type="dxa" w:w="7632"/>
          </w:tcPr>
          <w:p>
            <w:pPr>
              <w:spacing w:after="40"/>
            </w:pPr>
            <w:r/>
            <w:r>
              <w:rPr>
                <w:b w:val="0"/>
                <w:i w:val="0"/>
                <w:sz w:val="19"/>
              </w:rPr>
              <w:t>(1) Form MCP-2025-01, complete 38-page form (final January 2025 edition); (2) Colorado Regulatory Requirements Checklist v1.0 (A. Brennan, Jan. 15, 2025); (3) Prior Objection Letters compilation, including Division letters of July 14, 2021 (MERI-2021-003) and March 22, 2023 (MERI-2023-007) and Meridian internal disposition notes; (4) A. Brennan transmittal email of January 22, 2025.</w:t>
            </w:r>
          </w:p>
        </w:tc>
      </w:tr>
    </w:tbl>
    <w:p>
      <w:pPr>
        <w:spacing w:after="40"/>
      </w:pPr>
    </w:p>
    <w:p>
      <w:pPr>
        <w:pStyle w:val="Heading1"/>
      </w:pPr>
      <w:r>
        <w:t>I. Executive Summary</w:t>
      </w:r>
    </w:p>
    <w:p>
      <w:r>
        <w:rPr>
          <w:b/>
          <w:i w:val="0"/>
        </w:rPr>
        <w:t>Bottom line: Form MCP-2025-01 is not ready to file.</w:t>
      </w:r>
      <w:r>
        <w:rPr>
          <w:b w:val="0"/>
          <w:i w:val="0"/>
        </w:rPr>
        <w:t xml:space="preserve"> As drafted, it would draw an objection on at least three grounds that the Division has already raised with Meridian or that block the filing outright. Both prior Colorado objections are repeated:</w:t>
      </w:r>
    </w:p>
    <w:p>
      <w:pPr>
        <w:pStyle w:val="ListBullet"/>
        <w:spacing w:after="40"/>
      </w:pPr>
      <w:r>
        <w:rPr>
          <w:b/>
          <w:i w:val="0"/>
        </w:rPr>
        <w:t>MERI-2021-003 is repeated.</w:t>
      </w:r>
      <w:r>
        <w:rPr>
          <w:b w:val="0"/>
          <w:i w:val="0"/>
        </w:rPr>
        <w:t xml:space="preserve"> Section VII, Condition 12 again gives only 30 days’ notice of nonrenewal. Colorado requires 45 (Gap 1). The same Condition has three further defects that the checklist missed or understated: a 10-day cancellation window for any reason during the first 60 days of every policy and renewal (Gap 6), no statement of reasons (Gap 7), and “regular mail” delivery (Gap 8). The mortgageholder clause gives only 10 days’ notice of nonrenewal (Gap 12).</w:t>
      </w:r>
    </w:p>
    <w:p>
      <w:pPr>
        <w:pStyle w:val="ListBullet"/>
        <w:spacing w:after="40"/>
      </w:pPr>
      <w:r>
        <w:rPr>
          <w:b/>
          <w:i w:val="0"/>
        </w:rPr>
        <w:t>MERI-2023-007 is repeated.</w:t>
      </w:r>
      <w:r>
        <w:rPr>
          <w:b w:val="0"/>
          <w:i w:val="0"/>
        </w:rPr>
        <w:t xml:space="preserve"> The form contains no wildfire coverage disclosure of any kind; the word “wildfire” does not appear in it (Gap 2). Ms. Brennan’s concern is confirmed. Re-attaching the 2023 MCP-WF-01 endorsement would not be sufficient, because the proprietary form contains wildfire-relevant limitations that the disclosure must identify.</w:t>
      </w:r>
    </w:p>
    <w:p>
      <w:pPr>
        <w:pStyle w:val="ListBullet"/>
        <w:spacing w:after="40"/>
      </w:pPr>
      <w:r>
        <w:rPr>
          <w:b/>
          <w:i w:val="0"/>
        </w:rPr>
        <w:t>The filing cannot be submitted without a readability certificate</w:t>
      </w:r>
      <w:r>
        <w:rPr>
          <w:b w:val="0"/>
          <w:i w:val="0"/>
        </w:rPr>
        <w:t xml:space="preserve"> (Regulation 4-2-13), and the current target date for testing (February 15) falls after the February 14 revision date (Gap 3).</w:t>
      </w:r>
    </w:p>
    <w:p>
      <w:r>
        <w:rPr>
          <w:b w:val="0"/>
          <w:i w:val="0"/>
        </w:rPr>
        <w:t xml:space="preserve">In addition, we identified eight further High-severity gaps. These include a proof-of-loss deadline of 30 days where 60 are required, no affirmative replacement cost offer, an appraisal clause with no judicial umpire fallback, a coinsurance clause with no explanation or example, an incomplete TRIPRA disclosure, and a “fully earned at inception” premium clause. </w:t>
      </w:r>
      <w:r>
        <w:rPr>
          <w:b/>
          <w:i w:val="0"/>
        </w:rPr>
        <w:t>The checklist marks four entries “Compliant” that are not compliant with the final form</w:t>
      </w:r>
      <w:r>
        <w:rPr>
          <w:b w:val="0"/>
          <w:i w:val="0"/>
        </w:rPr>
        <w:t xml:space="preserve"> (Entries 1.1, 1.3, 6.1 and, as to completeness, 9.2), apparently because they were assessed against the December 20, 2024 draft. We also identified ten issues the checklist does not address at all (Section VII).</w:t>
      </w:r>
    </w:p>
    <w:p>
      <w:pPr>
        <w:spacing w:after="120"/>
      </w:pPr>
      <w:r>
        <w:rPr>
          <w:b w:val="0"/>
          <w:i w:val="0"/>
        </w:rPr>
        <w:t>Every gap can be fixed by the February 14 revision date if Meridian makes four business decisions by Monday, February 10 (Section VIII). Proposed replacement language for the principal fixes is in Appendix A.</w:t>
      </w:r>
    </w:p>
    <w:p>
      <w:pPr>
        <w:pStyle w:val="Heading2"/>
      </w:pPr>
      <w:r>
        <w:t>Summary Count of Gaps by Severity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152"/>
            <w:shd w:val="clear" w:color="auto" w:fill="1F3864"/>
          </w:tcPr>
          <w:p>
            <w:r/>
            <w:r>
              <w:rPr>
                <w:b/>
                <w:color w:val="FFFFFF"/>
                <w:sz w:val="17"/>
              </w:rPr>
              <w:t>Severity</w:t>
            </w:r>
          </w:p>
        </w:tc>
        <w:tc>
          <w:tcPr>
            <w:tcW w:type="dxa" w:w="720"/>
            <w:shd w:val="clear" w:color="auto" w:fill="1F3864"/>
          </w:tcPr>
          <w:p>
            <w:r/>
            <w:r>
              <w:rPr>
                <w:b/>
                <w:color w:val="FFFFFF"/>
                <w:sz w:val="17"/>
              </w:rPr>
              <w:t>Total</w:t>
            </w:r>
          </w:p>
        </w:tc>
        <w:tc>
          <w:tcPr>
            <w:tcW w:type="dxa" w:w="1152"/>
            <w:shd w:val="clear" w:color="auto" w:fill="1F3864"/>
          </w:tcPr>
          <w:p>
            <w:r/>
            <w:r>
              <w:rPr>
                <w:b/>
                <w:color w:val="FFFFFF"/>
                <w:sz w:val="17"/>
              </w:rPr>
              <w:t>Substantive</w:t>
            </w:r>
          </w:p>
        </w:tc>
        <w:tc>
          <w:tcPr>
            <w:tcW w:type="dxa" w:w="1080"/>
            <w:shd w:val="clear" w:color="auto" w:fill="1F3864"/>
          </w:tcPr>
          <w:p>
            <w:r/>
            <w:r>
              <w:rPr>
                <w:b/>
                <w:color w:val="FFFFFF"/>
                <w:sz w:val="17"/>
              </w:rPr>
              <w:t>Procedural</w:t>
            </w:r>
          </w:p>
        </w:tc>
        <w:tc>
          <w:tcPr>
            <w:tcW w:type="dxa" w:w="1584"/>
            <w:shd w:val="clear" w:color="auto" w:fill="1F3864"/>
          </w:tcPr>
          <w:p>
            <w:r/>
            <w:r>
              <w:rPr>
                <w:b/>
                <w:color w:val="FFFFFF"/>
                <w:sz w:val="17"/>
              </w:rPr>
              <w:t>Gap Nos.</w:t>
            </w:r>
          </w:p>
        </w:tc>
        <w:tc>
          <w:tcPr>
            <w:tcW w:type="dxa" w:w="3960"/>
            <w:shd w:val="clear" w:color="auto" w:fill="1F3864"/>
          </w:tcPr>
          <w:p>
            <w:r/>
            <w:r>
              <w:rPr>
                <w:b/>
                <w:color w:val="FFFFFF"/>
                <w:sz w:val="17"/>
              </w:rPr>
              <w:t>Definition</w:t>
            </w:r>
          </w:p>
        </w:tc>
      </w:tr>
      <w:tr>
        <w:tc>
          <w:tcPr>
            <w:tcW w:type="dxa" w:w="1152"/>
            <w:shd w:val="clear" w:color="auto" w:fill="C00000"/>
          </w:tcPr>
          <w:p>
            <w:pPr>
              <w:spacing w:after="20"/>
            </w:pPr>
            <w:r>
              <w:rPr>
                <w:b/>
                <w:color w:val="FFFFFF"/>
              </w:rPr>
            </w:r>
            <w:r>
              <w:rPr>
                <w:b/>
                <w:i w:val="0"/>
                <w:color w:val="FFFFFF"/>
                <w:sz w:val="17"/>
              </w:rPr>
              <w:t>Critical</w:t>
            </w:r>
          </w:p>
        </w:tc>
        <w:tc>
          <w:tcPr>
            <w:tcW w:type="dxa" w:w="720"/>
          </w:tcPr>
          <w:p>
            <w:pPr>
              <w:spacing w:after="20"/>
            </w:pPr>
            <w:r/>
            <w:r>
              <w:rPr>
                <w:b w:val="0"/>
                <w:i w:val="0"/>
                <w:sz w:val="17"/>
              </w:rPr>
              <w:t>3</w:t>
            </w:r>
          </w:p>
        </w:tc>
        <w:tc>
          <w:tcPr>
            <w:tcW w:type="dxa" w:w="1152"/>
          </w:tcPr>
          <w:p>
            <w:pPr>
              <w:spacing w:after="20"/>
            </w:pPr>
            <w:r/>
            <w:r>
              <w:rPr>
                <w:b w:val="0"/>
                <w:i w:val="0"/>
                <w:sz w:val="17"/>
              </w:rPr>
              <w:t>2</w:t>
            </w:r>
          </w:p>
        </w:tc>
        <w:tc>
          <w:tcPr>
            <w:tcW w:type="dxa" w:w="1080"/>
          </w:tcPr>
          <w:p>
            <w:pPr>
              <w:spacing w:after="20"/>
            </w:pPr>
            <w:r/>
            <w:r>
              <w:rPr>
                <w:b w:val="0"/>
                <w:i w:val="0"/>
                <w:sz w:val="17"/>
              </w:rPr>
              <w:t>1</w:t>
            </w:r>
          </w:p>
        </w:tc>
        <w:tc>
          <w:tcPr>
            <w:tcW w:type="dxa" w:w="1584"/>
          </w:tcPr>
          <w:p>
            <w:pPr>
              <w:spacing w:after="20"/>
            </w:pPr>
            <w:r/>
            <w:r>
              <w:rPr>
                <w:b w:val="0"/>
                <w:i w:val="0"/>
                <w:sz w:val="17"/>
              </w:rPr>
              <w:t>1, 2, 3</w:t>
            </w:r>
          </w:p>
        </w:tc>
        <w:tc>
          <w:tcPr>
            <w:tcW w:type="dxa" w:w="3960"/>
          </w:tcPr>
          <w:p>
            <w:pPr>
              <w:spacing w:after="20"/>
            </w:pPr>
            <w:r/>
            <w:r>
              <w:rPr>
                <w:b w:val="0"/>
                <w:i w:val="0"/>
                <w:sz w:val="17"/>
              </w:rPr>
              <w:t>Repeats a prior Division objection, or blocks submission of the SERFF filing. Must be fixed before filing.</w:t>
            </w:r>
          </w:p>
        </w:tc>
      </w:tr>
      <w:tr>
        <w:tc>
          <w:tcPr>
            <w:tcW w:type="dxa" w:w="1152"/>
            <w:shd w:val="clear" w:color="auto" w:fill="E26B0A"/>
          </w:tcPr>
          <w:p>
            <w:pPr>
              <w:spacing w:after="20"/>
            </w:pPr>
            <w:r>
              <w:rPr>
                <w:b/>
                <w:color w:val="FFFFFF"/>
              </w:rPr>
            </w:r>
            <w:r>
              <w:rPr>
                <w:b/>
                <w:i w:val="0"/>
                <w:color w:val="FFFFFF"/>
                <w:sz w:val="17"/>
              </w:rPr>
              <w:t>High</w:t>
            </w:r>
          </w:p>
        </w:tc>
        <w:tc>
          <w:tcPr>
            <w:tcW w:type="dxa" w:w="720"/>
          </w:tcPr>
          <w:p>
            <w:pPr>
              <w:spacing w:after="20"/>
            </w:pPr>
            <w:r/>
            <w:r>
              <w:rPr>
                <w:b w:val="0"/>
                <w:i w:val="0"/>
                <w:sz w:val="17"/>
              </w:rPr>
              <w:t>12</w:t>
            </w:r>
          </w:p>
        </w:tc>
        <w:tc>
          <w:tcPr>
            <w:tcW w:type="dxa" w:w="1152"/>
          </w:tcPr>
          <w:p>
            <w:pPr>
              <w:spacing w:after="20"/>
            </w:pPr>
            <w:r/>
            <w:r>
              <w:rPr>
                <w:b w:val="0"/>
                <w:i w:val="0"/>
                <w:sz w:val="17"/>
              </w:rPr>
              <w:t>10</w:t>
            </w:r>
          </w:p>
        </w:tc>
        <w:tc>
          <w:tcPr>
            <w:tcW w:type="dxa" w:w="1080"/>
          </w:tcPr>
          <w:p>
            <w:pPr>
              <w:spacing w:after="20"/>
            </w:pPr>
            <w:r/>
            <w:r>
              <w:rPr>
                <w:b w:val="0"/>
                <w:i w:val="0"/>
                <w:sz w:val="17"/>
              </w:rPr>
              <w:t>2</w:t>
            </w:r>
          </w:p>
        </w:tc>
        <w:tc>
          <w:tcPr>
            <w:tcW w:type="dxa" w:w="1584"/>
          </w:tcPr>
          <w:p>
            <w:pPr>
              <w:spacing w:after="20"/>
            </w:pPr>
            <w:r/>
            <w:r>
              <w:rPr>
                <w:b w:val="0"/>
                <w:i w:val="0"/>
                <w:sz w:val="17"/>
              </w:rPr>
              <w:t>4, 5, 6, 7, 8, 9, 10, 11, 12, 13, 14, 15</w:t>
            </w:r>
          </w:p>
        </w:tc>
        <w:tc>
          <w:tcPr>
            <w:tcW w:type="dxa" w:w="3960"/>
          </w:tcPr>
          <w:p>
            <w:pPr>
              <w:spacing w:after="20"/>
            </w:pPr>
            <w:r/>
            <w:r>
              <w:rPr>
                <w:b w:val="0"/>
                <w:i w:val="0"/>
                <w:sz w:val="17"/>
              </w:rPr>
              <w:t>Clear non-compliance with a specific Colorado statute or regulation, or a defect very likely to draw an objection. Must be fixed before filing.</w:t>
            </w:r>
          </w:p>
        </w:tc>
      </w:tr>
      <w:tr>
        <w:tc>
          <w:tcPr>
            <w:tcW w:type="dxa" w:w="1152"/>
            <w:shd w:val="clear" w:color="auto" w:fill="BF8F00"/>
          </w:tcPr>
          <w:p>
            <w:pPr>
              <w:spacing w:after="20"/>
            </w:pPr>
            <w:r>
              <w:rPr>
                <w:b/>
                <w:color w:val="FFFFFF"/>
              </w:rPr>
            </w:r>
            <w:r>
              <w:rPr>
                <w:b/>
                <w:i w:val="0"/>
                <w:color w:val="FFFFFF"/>
                <w:sz w:val="17"/>
              </w:rPr>
              <w:t>Medium</w:t>
            </w:r>
          </w:p>
        </w:tc>
        <w:tc>
          <w:tcPr>
            <w:tcW w:type="dxa" w:w="720"/>
          </w:tcPr>
          <w:p>
            <w:pPr>
              <w:spacing w:after="20"/>
            </w:pPr>
            <w:r/>
            <w:r>
              <w:rPr>
                <w:b w:val="0"/>
                <w:i w:val="0"/>
                <w:sz w:val="17"/>
              </w:rPr>
              <w:t>8</w:t>
            </w:r>
          </w:p>
        </w:tc>
        <w:tc>
          <w:tcPr>
            <w:tcW w:type="dxa" w:w="1152"/>
          </w:tcPr>
          <w:p>
            <w:pPr>
              <w:spacing w:after="20"/>
            </w:pPr>
            <w:r/>
            <w:r>
              <w:rPr>
                <w:b w:val="0"/>
                <w:i w:val="0"/>
                <w:sz w:val="17"/>
              </w:rPr>
              <w:t>6</w:t>
            </w:r>
          </w:p>
        </w:tc>
        <w:tc>
          <w:tcPr>
            <w:tcW w:type="dxa" w:w="1080"/>
          </w:tcPr>
          <w:p>
            <w:pPr>
              <w:spacing w:after="20"/>
            </w:pPr>
            <w:r/>
            <w:r>
              <w:rPr>
                <w:b w:val="0"/>
                <w:i w:val="0"/>
                <w:sz w:val="17"/>
              </w:rPr>
              <w:t>2</w:t>
            </w:r>
          </w:p>
        </w:tc>
        <w:tc>
          <w:tcPr>
            <w:tcW w:type="dxa" w:w="1584"/>
          </w:tcPr>
          <w:p>
            <w:pPr>
              <w:spacing w:after="20"/>
            </w:pPr>
            <w:r/>
            <w:r>
              <w:rPr>
                <w:b w:val="0"/>
                <w:i w:val="0"/>
                <w:sz w:val="17"/>
              </w:rPr>
              <w:t>16, 17, 18, 19, 20, 21, 22, 23</w:t>
            </w:r>
          </w:p>
        </w:tc>
        <w:tc>
          <w:tcPr>
            <w:tcW w:type="dxa" w:w="3960"/>
          </w:tcPr>
          <w:p>
            <w:pPr>
              <w:spacing w:after="20"/>
            </w:pPr>
            <w:r/>
            <w:r>
              <w:rPr>
                <w:b w:val="0"/>
                <w:i w:val="0"/>
                <w:sz w:val="17"/>
              </w:rPr>
              <w:t>Likely examiner comment, internal inconsistency affecting coverage, or significant litigation/market-conduct exposure. Fix strongly recommended before filing.</w:t>
            </w:r>
          </w:p>
        </w:tc>
      </w:tr>
      <w:tr>
        <w:tc>
          <w:tcPr>
            <w:tcW w:type="dxa" w:w="1152"/>
            <w:shd w:val="clear" w:color="auto" w:fill="548235"/>
          </w:tcPr>
          <w:p>
            <w:pPr>
              <w:spacing w:after="20"/>
            </w:pPr>
            <w:r>
              <w:rPr>
                <w:b/>
                <w:color w:val="FFFFFF"/>
              </w:rPr>
            </w:r>
            <w:r>
              <w:rPr>
                <w:b/>
                <w:i w:val="0"/>
                <w:color w:val="FFFFFF"/>
                <w:sz w:val="17"/>
              </w:rPr>
              <w:t>Low</w:t>
            </w:r>
          </w:p>
        </w:tc>
        <w:tc>
          <w:tcPr>
            <w:tcW w:type="dxa" w:w="720"/>
          </w:tcPr>
          <w:p>
            <w:pPr>
              <w:spacing w:after="20"/>
            </w:pPr>
            <w:r/>
            <w:r>
              <w:rPr>
                <w:b w:val="0"/>
                <w:i w:val="0"/>
                <w:sz w:val="17"/>
              </w:rPr>
              <w:t>6</w:t>
            </w:r>
          </w:p>
        </w:tc>
        <w:tc>
          <w:tcPr>
            <w:tcW w:type="dxa" w:w="1152"/>
          </w:tcPr>
          <w:p>
            <w:pPr>
              <w:spacing w:after="20"/>
            </w:pPr>
            <w:r/>
            <w:r>
              <w:rPr>
                <w:b w:val="0"/>
                <w:i w:val="0"/>
                <w:sz w:val="17"/>
              </w:rPr>
              <w:t>6</w:t>
            </w:r>
          </w:p>
        </w:tc>
        <w:tc>
          <w:tcPr>
            <w:tcW w:type="dxa" w:w="1080"/>
          </w:tcPr>
          <w:p>
            <w:pPr>
              <w:spacing w:after="20"/>
            </w:pPr>
            <w:r/>
            <w:r>
              <w:rPr>
                <w:b w:val="0"/>
                <w:i w:val="0"/>
                <w:sz w:val="17"/>
              </w:rPr>
              <w:t>0</w:t>
            </w:r>
          </w:p>
        </w:tc>
        <w:tc>
          <w:tcPr>
            <w:tcW w:type="dxa" w:w="1584"/>
          </w:tcPr>
          <w:p>
            <w:pPr>
              <w:spacing w:after="20"/>
            </w:pPr>
            <w:r/>
            <w:r>
              <w:rPr>
                <w:b w:val="0"/>
                <w:i w:val="0"/>
                <w:sz w:val="17"/>
              </w:rPr>
              <w:t>24, 25, 26, 27, 28, 29</w:t>
            </w:r>
          </w:p>
        </w:tc>
        <w:tc>
          <w:tcPr>
            <w:tcW w:type="dxa" w:w="3960"/>
          </w:tcPr>
          <w:p>
            <w:pPr>
              <w:spacing w:after="20"/>
            </w:pPr>
            <w:r/>
            <w:r>
              <w:rPr>
                <w:b w:val="0"/>
                <w:i w:val="0"/>
                <w:sz w:val="17"/>
              </w:rPr>
              <w:t>Drafting, clarity, or commercial issue. No expected objection on its own. Fix if time permits, or disclose.</w:t>
            </w:r>
          </w:p>
        </w:tc>
      </w:tr>
      <w:tr>
        <w:tc>
          <w:tcPr>
            <w:tcW w:type="dxa" w:w="1152"/>
          </w:tcPr>
          <w:p>
            <w:pPr>
              <w:spacing w:after="20"/>
            </w:pPr>
            <w:r/>
            <w:r>
              <w:rPr>
                <w:b w:val="0"/>
                <w:i w:val="0"/>
                <w:sz w:val="17"/>
              </w:rPr>
              <w:t>Total</w:t>
            </w:r>
          </w:p>
        </w:tc>
        <w:tc>
          <w:tcPr>
            <w:tcW w:type="dxa" w:w="720"/>
          </w:tcPr>
          <w:p>
            <w:pPr>
              <w:spacing w:after="20"/>
            </w:pPr>
            <w:r/>
            <w:r>
              <w:rPr>
                <w:b w:val="0"/>
                <w:i w:val="0"/>
                <w:sz w:val="17"/>
              </w:rPr>
              <w:t>29</w:t>
            </w:r>
          </w:p>
        </w:tc>
        <w:tc>
          <w:tcPr>
            <w:tcW w:type="dxa" w:w="1152"/>
          </w:tcPr>
          <w:p>
            <w:pPr>
              <w:spacing w:after="20"/>
            </w:pPr>
            <w:r/>
            <w:r>
              <w:rPr>
                <w:b w:val="0"/>
                <w:i w:val="0"/>
                <w:sz w:val="17"/>
              </w:rPr>
              <w:t>24</w:t>
            </w:r>
          </w:p>
        </w:tc>
        <w:tc>
          <w:tcPr>
            <w:tcW w:type="dxa" w:w="1080"/>
          </w:tcPr>
          <w:p>
            <w:pPr>
              <w:spacing w:after="20"/>
            </w:pPr>
            <w:r/>
            <w:r>
              <w:rPr>
                <w:b w:val="0"/>
                <w:i w:val="0"/>
                <w:sz w:val="17"/>
              </w:rPr>
              <w:t>5</w:t>
            </w:r>
          </w:p>
        </w:tc>
        <w:tc>
          <w:tcPr>
            <w:tcW w:type="dxa" w:w="1584"/>
          </w:tcPr>
          <w:p>
            <w:pPr>
              <w:spacing w:after="20"/>
            </w:pPr>
            <w:r/>
            <w:r>
              <w:rPr>
                <w:b w:val="0"/>
                <w:i w:val="0"/>
                <w:sz w:val="17"/>
              </w:rPr>
              <w:t>1–29</w:t>
            </w:r>
          </w:p>
        </w:tc>
        <w:tc>
          <w:tcPr>
            <w:tcW w:type="dxa" w:w="3960"/>
          </w:tcPr>
          <w:p>
            <w:pPr>
              <w:spacing w:after="20"/>
            </w:pPr>
            <w:r/>
            <w:r>
              <w:rPr>
                <w:b w:val="0"/>
                <w:i w:val="0"/>
                <w:sz w:val="17"/>
              </w:rPr>
              <w:t>Repeat-objection items: Gaps 1 and 2 (both Critical).</w:t>
            </w:r>
          </w:p>
        </w:tc>
      </w:tr>
    </w:tbl>
    <w:p>
      <w:pPr>
        <w:spacing w:after="40"/>
      </w:pPr>
    </w:p>
    <w:p>
      <w:pPr>
        <w:pStyle w:val="Heading2"/>
      </w:pPr>
      <w:r>
        <w:t>Top Priorities (in order)</w:t>
      </w:r>
    </w:p>
    <w:p>
      <w:pPr>
        <w:spacing w:after="60"/>
        <w:ind w:left="360"/>
      </w:pPr>
      <w:r>
        <w:rPr>
          <w:b w:val="0"/>
          <w:i w:val="0"/>
        </w:rPr>
        <w:t>1.  Rewrite Condition 12 (Cancellation and Nonrenewal) in full: 45-day nonrenewal, delete the 10-day new-business/renewal cancellation tier, require reasons, first-class mail or consented e-delivery. Conform the Mortgageholder notice periods (Gaps 1, 6, 7, 8, 12; Appendix A-1, A-8).</w:t>
      </w:r>
    </w:p>
    <w:p>
      <w:pPr>
        <w:spacing w:after="60"/>
        <w:ind w:left="360"/>
      </w:pPr>
      <w:r>
        <w:rPr>
          <w:b w:val="0"/>
          <w:i w:val="0"/>
        </w:rPr>
        <w:t>2.  Add a stand-alone, conspicuous wildfire coverage disclosure in the form and as a mandatory notice at inception and each renewal, covering every statutory element and the form’s wildfire-relevant limitations (Gap 2; Appendix A-2, B).</w:t>
      </w:r>
    </w:p>
    <w:p>
      <w:pPr>
        <w:spacing w:after="60"/>
        <w:ind w:left="360"/>
      </w:pPr>
      <w:r>
        <w:rPr>
          <w:b w:val="0"/>
          <w:i w:val="0"/>
        </w:rPr>
        <w:t>3.  Run diagnostic readability testing now and certified testing on the frozen final text by February 21 (Gap 3).</w:t>
      </w:r>
    </w:p>
    <w:p>
      <w:pPr>
        <w:spacing w:after="60"/>
        <w:ind w:left="360"/>
      </w:pPr>
      <w:r>
        <w:rPr>
          <w:b w:val="0"/>
          <w:i w:val="0"/>
        </w:rPr>
        <w:t>4.  Change proof of loss to 60 days; add the judicial umpire fallback; add the coinsurance explanation and example (Gaps 4, 9, 10).</w:t>
      </w:r>
    </w:p>
    <w:p>
      <w:pPr>
        <w:spacing w:after="60"/>
        <w:ind w:left="360"/>
      </w:pPr>
      <w:r>
        <w:rPr>
          <w:b w:val="0"/>
          <w:i w:val="0"/>
        </w:rPr>
        <w:t>5.  Build the replacement cost offer and the TRIPRA disclosure/selection forms, and file them, together with all referenced endorsements, in the same submission (Gaps 5, 11, 14).</w:t>
      </w:r>
    </w:p>
    <w:p>
      <w:pPr>
        <w:spacing w:after="60"/>
        <w:ind w:left="360"/>
      </w:pPr>
      <w:r>
        <w:rPr>
          <w:b w:val="0"/>
          <w:i w:val="0"/>
        </w:rPr>
        <w:t>6.  Delete the “fully earned at inception” sentence; correct the checklist’s prior-objection history before any of it goes to the Division (Gaps 13, 15).</w:t>
      </w:r>
    </w:p>
    <w:p>
      <w:pPr>
        <w:pStyle w:val="Heading1"/>
      </w:pPr>
      <w:r>
        <w:t>II. Scope, Method and Assumptions</w:t>
      </w:r>
    </w:p>
    <w:p>
      <w:r>
        <w:rPr>
          <w:b/>
          <w:i w:val="0"/>
        </w:rPr>
        <w:t>Scope.</w:t>
      </w:r>
      <w:r>
        <w:rPr>
          <w:b w:val="0"/>
          <w:i w:val="0"/>
        </w:rPr>
        <w:t xml:space="preserve"> As requested in the January 22, 2025 transmittal, this analysis (1) identifies provisions of Form MCP-2025-01 that fail to comply with, or are inconsistent with, Colorado requirements; (2) identifies mandatory provisions or disclosures missing from the form; (3) states for each gap the form section, the Colorado requirement, the nature of the non-compliance, a severity rating and the recommended corrective action; (4) flags repeats of MERI-2021-003 and MERI-2023-007; and (5) notes procedural items that must be resolved before the SERFF submission. Gaps are ordered from most to least critical.</w:t>
      </w:r>
    </w:p>
    <w:p>
      <w:r>
        <w:rPr>
          <w:b/>
          <w:i w:val="0"/>
        </w:rPr>
        <w:t>Method.</w:t>
      </w:r>
      <w:r>
        <w:rPr>
          <w:b w:val="0"/>
          <w:i w:val="0"/>
        </w:rPr>
        <w:t xml:space="preserve"> We read the complete final form, the checklist, both Division objection letters and Meridian’s internal disposition notes. We tested each checklist entry against the text of the </w:t>
      </w:r>
      <w:r>
        <w:rPr>
          <w:b/>
          <w:i w:val="0"/>
        </w:rPr>
        <w:t>final January 2025 edition</w:t>
      </w:r>
      <w:r>
        <w:rPr>
          <w:b w:val="0"/>
          <w:i w:val="0"/>
        </w:rPr>
        <w:t xml:space="preserve"> (not the December 20, 2024 draft). We then reviewed the form independently for Colorado requirements and filing risks that the checklist does not capture. Form references use the form’s own section/condition numbering and paragraph numbers (e.g., “Section VII, Condition 12 (¶ 7.12)”).</w:t>
      </w:r>
    </w:p>
    <w:p>
      <w:r>
        <w:rPr>
          <w:b/>
          <w:i w:val="0"/>
        </w:rPr>
        <w:t>Assumptions and limitations.</w:t>
      </w:r>
      <w:r>
        <w:rPr>
          <w:b w:val="0"/>
          <w:i w:val="0"/>
        </w:rPr>
        <w:t xml:space="preserve"> (a) Where the Division has quoted or summarized a requirement (§ 10-4-403(1)(b) in 2021; § 10-4-110.5 in 2023), we rely on its statement. For other requirements we rely on the checklist’s description, and Gap 23 recommends confirming those against current official text before the revisions are finalized. (b) We have not reviewed the rate filing, the companion endorsements (MCP-RC-01, -AO-01, -EQ-01, -FL-01, -WF-01), underwriting guidelines or notice templates, none of which were provided. (c) Severity ratings reflect regulatory filing risk and Meridian’s objection history, not a prediction of any particular examiner’s view. (d) Condition 18 (Conformity to Statute) has not been treated as curing any deficiency, because the Division reviews the text as filed.</w:t>
      </w:r>
    </w:p>
    <w:p>
      <w:pPr>
        <w:pStyle w:val="Heading1"/>
      </w:pPr>
      <w:r>
        <w:t>III. Prior Objection Cross-Check (MERI-2021-003 and MERI-2023-007)</w:t>
      </w:r>
    </w:p>
    <w:p>
      <w:pPr>
        <w:pStyle w:val="Heading2"/>
      </w:pPr>
      <w:r>
        <w:t>A. MERI-2021-003 — Nonrenewal Notice Period: REPEATED</w:t>
      </w:r>
    </w:p>
    <w:p>
      <w:r>
        <w:rPr>
          <w:b w:val="0"/>
          <w:i w:val="0"/>
        </w:rPr>
        <w:t>Ms. Brennan asked us to verify Section VII, Condition 12 specifically. The final form reads:</w:t>
      </w:r>
    </w:p>
    <w:p>
      <w:pPr>
        <w:ind w:left="576" w:right="432"/>
        <w:pBdr>
          <w:left w:val="single" w:sz="12" w:space="8" w:color="8EAADB"/>
        </w:pBdr>
      </w:pPr>
      <w:r>
        <w:rPr>
          <w:b w:val="0"/>
          <w:i w:val="0"/>
        </w:rPr>
        <w:t xml:space="preserve">“Nonrenewal. If we elect not to renew this policy, we will mail written notice of nonrenewal to the first Named Insured at the mailing address shown in the Declarations </w:t>
      </w:r>
      <w:r>
        <w:rPr>
          <w:b/>
          <w:i w:val="0"/>
        </w:rPr>
        <w:t>at least 30 days before the expiration date of this policy</w:t>
      </w:r>
      <w:r>
        <w:rPr>
          <w:b w:val="0"/>
          <w:i w:val="0"/>
        </w:rPr>
        <w:t>. Notice of nonrenewal will be sent by regular mail.” (¶ 7.12)</w:t>
      </w:r>
    </w:p>
    <w:p>
      <w:r>
        <w:rPr>
          <w:b w:val="0"/>
          <w:i w:val="0"/>
        </w:rPr>
        <w:t>That is substantively the same as the language the Division rejected in 2021 (“at least 30 days before the expiration date of this policy”). The Division told Meridian that the 45-day requirement “applies to all commercial property policies … regardless of premium size, policy limits, or insured classification” and is “a consumer protection provision that cannot be shortened or waived.” The approved 2021 fix (“at least forty-five (45) days”) was not carried forward. Because Deputy Commissioner Winslow personally signed the 2021 letter, a repeat would be immediately recognizable. Our full rewrite of Condition 12 (Appendix A-1) also corrects the related defects in the same Condition (Gaps 6, 7, 8) and in the Mortgageholders condition (Gap 12).</w:t>
      </w:r>
    </w:p>
    <w:p>
      <w:pPr>
        <w:pStyle w:val="Heading2"/>
      </w:pPr>
      <w:r>
        <w:t>B. MERI-2023-007 — Wildfire Coverage Disclosure: REPEATED</w:t>
      </w:r>
    </w:p>
    <w:p>
      <w:r>
        <w:rPr>
          <w:b w:val="0"/>
          <w:i w:val="0"/>
        </w:rPr>
        <w:t>The form provides fire coverage (including wildfire) under all three causes-of-loss forms, and it has no wildfire-specific exclusion, sublimit or deductible. As the Division stated in 2023, that does not satisfy § 10-4-110.5: a “separate, specific disclosure” is required, it must be “clear and conspicuous,” “set apart from surrounding text,” in no smaller than 10-point type, and either in a clearly labeled section of the form or in a mandatory notice referenced in the form and filed as a required attachment. Element-by-element status: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76"/>
            <w:shd w:val="clear" w:color="auto" w:fill="1F3864"/>
          </w:tcPr>
          <w:p>
            <w:r/>
            <w:r>
              <w:rPr>
                <w:b/>
                <w:color w:val="FFFFFF"/>
                <w:sz w:val="17"/>
              </w:rPr>
              <w:t>Element</w:t>
            </w:r>
          </w:p>
        </w:tc>
        <w:tc>
          <w:tcPr>
            <w:tcW w:type="dxa" w:w="1656"/>
            <w:shd w:val="clear" w:color="auto" w:fill="1F3864"/>
          </w:tcPr>
          <w:p>
            <w:r/>
            <w:r>
              <w:rPr>
                <w:b/>
                <w:color w:val="FFFFFF"/>
                <w:sz w:val="17"/>
              </w:rPr>
              <w:t>Source</w:t>
            </w:r>
          </w:p>
        </w:tc>
        <w:tc>
          <w:tcPr>
            <w:tcW w:type="dxa" w:w="1080"/>
            <w:shd w:val="clear" w:color="auto" w:fill="1F3864"/>
          </w:tcPr>
          <w:p>
            <w:r/>
            <w:r>
              <w:rPr>
                <w:b/>
                <w:color w:val="FFFFFF"/>
                <w:sz w:val="17"/>
              </w:rPr>
              <w:t>Form status</w:t>
            </w:r>
          </w:p>
        </w:tc>
        <w:tc>
          <w:tcPr>
            <w:tcW w:type="dxa" w:w="4536"/>
            <w:shd w:val="clear" w:color="auto" w:fill="1F3864"/>
          </w:tcPr>
          <w:p>
            <w:r/>
            <w:r>
              <w:rPr>
                <w:b/>
                <w:color w:val="FFFFFF"/>
                <w:sz w:val="17"/>
              </w:rPr>
              <w:t>What the disclosure must say</w:t>
            </w:r>
          </w:p>
        </w:tc>
      </w:tr>
      <w:tr>
        <w:tc>
          <w:tcPr>
            <w:tcW w:type="dxa" w:w="2376"/>
          </w:tcPr>
          <w:p>
            <w:pPr>
              <w:spacing w:after="20"/>
            </w:pPr>
            <w:r/>
            <w:r>
              <w:rPr>
                <w:b w:val="0"/>
                <w:i w:val="0"/>
                <w:sz w:val="17"/>
              </w:rPr>
              <w:t>(1) Whether the policy covers wildfire</w:t>
            </w:r>
          </w:p>
        </w:tc>
        <w:tc>
          <w:tcPr>
            <w:tcW w:type="dxa" w:w="1656"/>
          </w:tcPr>
          <w:p>
            <w:pPr>
              <w:spacing w:after="20"/>
            </w:pPr>
            <w:r/>
            <w:r>
              <w:rPr>
                <w:b w:val="0"/>
                <w:i w:val="0"/>
                <w:sz w:val="17"/>
              </w:rPr>
              <w:t>Division letter; Checklist (a)</w:t>
            </w:r>
          </w:p>
        </w:tc>
        <w:tc>
          <w:tcPr>
            <w:tcW w:type="dxa" w:w="1080"/>
          </w:tcPr>
          <w:p>
            <w:pPr>
              <w:spacing w:after="20"/>
            </w:pPr>
            <w:r/>
            <w:r>
              <w:rPr>
                <w:b w:val="0"/>
                <w:i w:val="0"/>
                <w:sz w:val="17"/>
              </w:rPr>
              <w:t>Absent</w:t>
            </w:r>
          </w:p>
        </w:tc>
        <w:tc>
          <w:tcPr>
            <w:tcW w:type="dxa" w:w="4536"/>
          </w:tcPr>
          <w:p>
            <w:pPr>
              <w:spacing w:after="20"/>
            </w:pPr>
            <w:r/>
            <w:r>
              <w:rPr>
                <w:b w:val="0"/>
                <w:i w:val="0"/>
                <w:sz w:val="17"/>
              </w:rPr>
              <w:t>Yes, under Basic, Broad and Special forms (¶¶ 6.1–6.3); state this expressly.</w:t>
            </w:r>
          </w:p>
        </w:tc>
      </w:tr>
      <w:tr>
        <w:tc>
          <w:tcPr>
            <w:tcW w:type="dxa" w:w="2376"/>
          </w:tcPr>
          <w:p>
            <w:pPr>
              <w:spacing w:after="20"/>
            </w:pPr>
            <w:r/>
            <w:r>
              <w:rPr>
                <w:b w:val="0"/>
                <w:i w:val="0"/>
                <w:sz w:val="17"/>
              </w:rPr>
              <w:t>(2) Wildfire-specific sublimits</w:t>
            </w:r>
          </w:p>
        </w:tc>
        <w:tc>
          <w:tcPr>
            <w:tcW w:type="dxa" w:w="1656"/>
          </w:tcPr>
          <w:p>
            <w:pPr>
              <w:spacing w:after="20"/>
            </w:pPr>
            <w:r/>
            <w:r>
              <w:rPr>
                <w:b w:val="0"/>
                <w:i w:val="0"/>
                <w:sz w:val="17"/>
              </w:rPr>
              <w:t>Division letter; Checklist (b)</w:t>
            </w:r>
          </w:p>
        </w:tc>
        <w:tc>
          <w:tcPr>
            <w:tcW w:type="dxa" w:w="1080"/>
          </w:tcPr>
          <w:p>
            <w:pPr>
              <w:spacing w:after="20"/>
            </w:pPr>
            <w:r/>
            <w:r>
              <w:rPr>
                <w:b w:val="0"/>
                <w:i w:val="0"/>
                <w:sz w:val="17"/>
              </w:rPr>
              <w:t>Absent</w:t>
            </w:r>
          </w:p>
        </w:tc>
        <w:tc>
          <w:tcPr>
            <w:tcW w:type="dxa" w:w="4536"/>
          </w:tcPr>
          <w:p>
            <w:pPr>
              <w:spacing w:after="20"/>
            </w:pPr>
            <w:r/>
            <w:r>
              <w:rPr>
                <w:b w:val="0"/>
                <w:i w:val="0"/>
                <w:sz w:val="17"/>
              </w:rPr>
              <w:t>None wildfire-specific. Disclose the general sublimits that will drive wildfire recoveries (debris removal 25%/$250,000 + $25,000; ordinance or law 10%/$500,000; BI 12 months).</w:t>
            </w:r>
          </w:p>
        </w:tc>
      </w:tr>
      <w:tr>
        <w:tc>
          <w:tcPr>
            <w:tcW w:type="dxa" w:w="2376"/>
          </w:tcPr>
          <w:p>
            <w:pPr>
              <w:spacing w:after="20"/>
            </w:pPr>
            <w:r/>
            <w:r>
              <w:rPr>
                <w:b w:val="0"/>
                <w:i w:val="0"/>
                <w:sz w:val="17"/>
              </w:rPr>
              <w:t>(3) Wildfire-specific exclusions/limitations, incl. circumstances where coverage may not apply</w:t>
            </w:r>
          </w:p>
        </w:tc>
        <w:tc>
          <w:tcPr>
            <w:tcW w:type="dxa" w:w="1656"/>
          </w:tcPr>
          <w:p>
            <w:pPr>
              <w:spacing w:after="20"/>
            </w:pPr>
            <w:r/>
            <w:r>
              <w:rPr>
                <w:b w:val="0"/>
                <w:i w:val="0"/>
                <w:sz w:val="17"/>
              </w:rPr>
              <w:t>Division letter; Checklist (b)</w:t>
            </w:r>
          </w:p>
        </w:tc>
        <w:tc>
          <w:tcPr>
            <w:tcW w:type="dxa" w:w="1080"/>
          </w:tcPr>
          <w:p>
            <w:pPr>
              <w:spacing w:after="20"/>
            </w:pPr>
            <w:r/>
            <w:r>
              <w:rPr>
                <w:b w:val="0"/>
                <w:i w:val="0"/>
                <w:sz w:val="17"/>
              </w:rPr>
              <w:t>Absent</w:t>
            </w:r>
          </w:p>
        </w:tc>
        <w:tc>
          <w:tcPr>
            <w:tcW w:type="dxa" w:w="4536"/>
          </w:tcPr>
          <w:p>
            <w:pPr>
              <w:spacing w:after="20"/>
            </w:pPr>
            <w:r/>
            <w:r>
              <w:rPr>
                <w:b w:val="0"/>
                <w:i w:val="0"/>
                <w:sz w:val="17"/>
              </w:rPr>
              <w:t>Disclose vacancy, utility-service failure off-premises, mudslide/mudflow, ACV valuation, coinsurance, 72-hour waiting period, no civil authority coverage, anti-concurrent causation, ordinance-or-law delay exclusion (Appendix B).</w:t>
            </w:r>
          </w:p>
        </w:tc>
      </w:tr>
      <w:tr>
        <w:tc>
          <w:tcPr>
            <w:tcW w:type="dxa" w:w="2376"/>
          </w:tcPr>
          <w:p>
            <w:pPr>
              <w:spacing w:after="20"/>
            </w:pPr>
            <w:r/>
            <w:r>
              <w:rPr>
                <w:b w:val="0"/>
                <w:i w:val="0"/>
                <w:sz w:val="17"/>
              </w:rPr>
              <w:t>(4) Wildfire-specific deductibles</w:t>
            </w:r>
          </w:p>
        </w:tc>
        <w:tc>
          <w:tcPr>
            <w:tcW w:type="dxa" w:w="1656"/>
          </w:tcPr>
          <w:p>
            <w:pPr>
              <w:spacing w:after="20"/>
            </w:pPr>
            <w:r/>
            <w:r>
              <w:rPr>
                <w:b w:val="0"/>
                <w:i w:val="0"/>
                <w:sz w:val="17"/>
              </w:rPr>
              <w:t>Division letter; Checklist (b)</w:t>
            </w:r>
          </w:p>
        </w:tc>
        <w:tc>
          <w:tcPr>
            <w:tcW w:type="dxa" w:w="1080"/>
          </w:tcPr>
          <w:p>
            <w:pPr>
              <w:spacing w:after="20"/>
            </w:pPr>
            <w:r/>
            <w:r>
              <w:rPr>
                <w:b w:val="0"/>
                <w:i w:val="0"/>
                <w:sz w:val="17"/>
              </w:rPr>
              <w:t>Absent</w:t>
            </w:r>
          </w:p>
        </w:tc>
        <w:tc>
          <w:tcPr>
            <w:tcW w:type="dxa" w:w="4536"/>
          </w:tcPr>
          <w:p>
            <w:pPr>
              <w:spacing w:after="20"/>
            </w:pPr>
            <w:r/>
            <w:r>
              <w:rPr>
                <w:b w:val="0"/>
                <w:i w:val="0"/>
                <w:sz w:val="17"/>
              </w:rPr>
              <w:t>None; state that the policy deductible applies per occurrence, and add a Declarations line.</w:t>
            </w:r>
          </w:p>
        </w:tc>
      </w:tr>
      <w:tr>
        <w:tc>
          <w:tcPr>
            <w:tcW w:type="dxa" w:w="2376"/>
          </w:tcPr>
          <w:p>
            <w:pPr>
              <w:spacing w:after="20"/>
            </w:pPr>
            <w:r/>
            <w:r>
              <w:rPr>
                <w:b w:val="0"/>
                <w:i w:val="0"/>
                <w:sz w:val="17"/>
              </w:rPr>
              <w:t>(5) Clear, conspicuous plain-language statement of coverage status</w:t>
            </w:r>
          </w:p>
        </w:tc>
        <w:tc>
          <w:tcPr>
            <w:tcW w:type="dxa" w:w="1656"/>
          </w:tcPr>
          <w:p>
            <w:pPr>
              <w:spacing w:after="20"/>
            </w:pPr>
            <w:r/>
            <w:r>
              <w:rPr>
                <w:b w:val="0"/>
                <w:i w:val="0"/>
                <w:sz w:val="17"/>
              </w:rPr>
              <w:t>Division letter</w:t>
            </w:r>
          </w:p>
        </w:tc>
        <w:tc>
          <w:tcPr>
            <w:tcW w:type="dxa" w:w="1080"/>
          </w:tcPr>
          <w:p>
            <w:pPr>
              <w:spacing w:after="20"/>
            </w:pPr>
            <w:r/>
            <w:r>
              <w:rPr>
                <w:b w:val="0"/>
                <w:i w:val="0"/>
                <w:sz w:val="17"/>
              </w:rPr>
              <w:t>Absent</w:t>
            </w:r>
          </w:p>
        </w:tc>
        <w:tc>
          <w:tcPr>
            <w:tcW w:type="dxa" w:w="4536"/>
          </w:tcPr>
          <w:p>
            <w:pPr>
              <w:spacing w:after="20"/>
            </w:pPr>
            <w:r/>
            <w:r>
              <w:rPr>
                <w:b w:val="0"/>
                <w:i w:val="0"/>
                <w:sz w:val="17"/>
              </w:rPr>
              <w:t>Boxed, bold notice of at least 10 points on page 1 and in a mandatory notice.</w:t>
            </w:r>
          </w:p>
        </w:tc>
      </w:tr>
      <w:tr>
        <w:tc>
          <w:tcPr>
            <w:tcW w:type="dxa" w:w="2376"/>
          </w:tcPr>
          <w:p>
            <w:pPr>
              <w:spacing w:after="20"/>
            </w:pPr>
            <w:r/>
            <w:r>
              <w:rPr>
                <w:b w:val="0"/>
                <w:i w:val="0"/>
                <w:sz w:val="17"/>
              </w:rPr>
              <w:t>(c) Wildfire risk notice for property in wildfire-prone areas</w:t>
            </w:r>
          </w:p>
        </w:tc>
        <w:tc>
          <w:tcPr>
            <w:tcW w:type="dxa" w:w="1656"/>
          </w:tcPr>
          <w:p>
            <w:pPr>
              <w:spacing w:after="20"/>
            </w:pPr>
            <w:r/>
            <w:r>
              <w:rPr>
                <w:b w:val="0"/>
                <w:i w:val="0"/>
                <w:sz w:val="17"/>
              </w:rPr>
              <w:t>Checklist Entry 3.1 only</w:t>
            </w:r>
          </w:p>
        </w:tc>
        <w:tc>
          <w:tcPr>
            <w:tcW w:type="dxa" w:w="1080"/>
          </w:tcPr>
          <w:p>
            <w:pPr>
              <w:spacing w:after="20"/>
            </w:pPr>
            <w:r/>
            <w:r>
              <w:rPr>
                <w:b w:val="0"/>
                <w:i w:val="0"/>
                <w:sz w:val="17"/>
              </w:rPr>
              <w:t>Absent</w:t>
            </w:r>
          </w:p>
        </w:tc>
        <w:tc>
          <w:tcPr>
            <w:tcW w:type="dxa" w:w="4536"/>
          </w:tcPr>
          <w:p>
            <w:pPr>
              <w:spacing w:after="20"/>
            </w:pPr>
            <w:r/>
            <w:r>
              <w:rPr>
                <w:b w:val="0"/>
                <w:i w:val="0"/>
                <w:sz w:val="17"/>
              </w:rPr>
              <w:t>Include. The Division did not list this in 2023, but it is low cost and avoids a second-round comment.</w:t>
            </w:r>
          </w:p>
        </w:tc>
      </w:tr>
      <w:tr>
        <w:tc>
          <w:tcPr>
            <w:tcW w:type="dxa" w:w="2376"/>
          </w:tcPr>
          <w:p>
            <w:pPr>
              <w:spacing w:after="20"/>
            </w:pPr>
            <w:r/>
            <w:r>
              <w:rPr>
                <w:b w:val="0"/>
                <w:i w:val="0"/>
                <w:sz w:val="17"/>
              </w:rPr>
              <w:t>(d) Wildfire mitigation resource information</w:t>
            </w:r>
          </w:p>
        </w:tc>
        <w:tc>
          <w:tcPr>
            <w:tcW w:type="dxa" w:w="1656"/>
          </w:tcPr>
          <w:p>
            <w:pPr>
              <w:spacing w:after="20"/>
            </w:pPr>
            <w:r/>
            <w:r>
              <w:rPr>
                <w:b w:val="0"/>
                <w:i w:val="0"/>
                <w:sz w:val="17"/>
              </w:rPr>
              <w:t>Checklist Entry 3.1 only</w:t>
            </w:r>
          </w:p>
        </w:tc>
        <w:tc>
          <w:tcPr>
            <w:tcW w:type="dxa" w:w="1080"/>
          </w:tcPr>
          <w:p>
            <w:pPr>
              <w:spacing w:after="20"/>
            </w:pPr>
            <w:r/>
            <w:r>
              <w:rPr>
                <w:b w:val="0"/>
                <w:i w:val="0"/>
                <w:sz w:val="17"/>
              </w:rPr>
              <w:t>Absent</w:t>
            </w:r>
          </w:p>
        </w:tc>
        <w:tc>
          <w:tcPr>
            <w:tcW w:type="dxa" w:w="4536"/>
          </w:tcPr>
          <w:p>
            <w:pPr>
              <w:spacing w:after="20"/>
            </w:pPr>
            <w:r/>
            <w:r>
              <w:rPr>
                <w:b w:val="0"/>
                <w:i w:val="0"/>
                <w:sz w:val="17"/>
              </w:rPr>
              <w:t>Include, with references taken from DOI Guidance § 7.3.</w:t>
            </w:r>
          </w:p>
        </w:tc>
      </w:tr>
    </w:tbl>
    <w:p>
      <w:pPr>
        <w:spacing w:after="40"/>
      </w:pPr>
    </w:p>
    <w:p>
      <w:r>
        <w:rPr>
          <w:b/>
          <w:i w:val="0"/>
        </w:rPr>
        <w:t>Where it should go.</w:t>
      </w:r>
      <w:r>
        <w:rPr>
          <w:b w:val="0"/>
          <w:i w:val="0"/>
        </w:rPr>
        <w:t xml:space="preserve"> (i) A boxed section titled “IMPORTANT NOTICE REGARDING WILDFIRE COVERAGE” on page 1, immediately after the opening policy notice and before Section I. (ii) A mandatory companion notice (suggested MCP-WF-02 CO), delivered at inception and each renewal and listed in ¶ 1.6 as a mandatory Colorado form. (iii) Two new Declarations lines in ¶ 1.4 (wildfire sublimit / wildfire deductible). Draft text is in Appendix A-2.</w:t>
      </w:r>
    </w:p>
    <w:p>
      <w:pPr>
        <w:pStyle w:val="Heading1"/>
      </w:pPr>
      <w:r>
        <w:t>IV. Prioritized Gap Register</w:t>
      </w:r>
    </w:p>
    <w:p>
      <w:r>
        <w:rPr>
          <w:b w:val="0"/>
          <w:i w:val="0"/>
        </w:rPr>
        <w:t>The table below lists every gap from most to least critical. Detailed analysis of each gap, with fields (a) through (e), follows.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432"/>
            <w:shd w:val="clear" w:color="auto" w:fill="1F3864"/>
          </w:tcPr>
          <w:p>
            <w:r/>
            <w:r>
              <w:rPr>
                <w:b/>
                <w:color w:val="FFFFFF"/>
                <w:sz w:val="16"/>
              </w:rPr>
              <w:t>#</w:t>
            </w:r>
          </w:p>
        </w:tc>
        <w:tc>
          <w:tcPr>
            <w:tcW w:type="dxa" w:w="1080"/>
            <w:shd w:val="clear" w:color="auto" w:fill="1F3864"/>
          </w:tcPr>
          <w:p>
            <w:r/>
            <w:r>
              <w:rPr>
                <w:b/>
                <w:color w:val="FFFFFF"/>
                <w:sz w:val="16"/>
              </w:rPr>
              <w:t>Severity</w:t>
            </w:r>
          </w:p>
        </w:tc>
        <w:tc>
          <w:tcPr>
            <w:tcW w:type="dxa" w:w="1152"/>
            <w:shd w:val="clear" w:color="auto" w:fill="1F3864"/>
          </w:tcPr>
          <w:p>
            <w:r/>
            <w:r>
              <w:rPr>
                <w:b/>
                <w:color w:val="FFFFFF"/>
                <w:sz w:val="16"/>
              </w:rPr>
              <w:t>Type</w:t>
            </w:r>
          </w:p>
        </w:tc>
        <w:tc>
          <w:tcPr>
            <w:tcW w:type="dxa" w:w="2736"/>
            <w:shd w:val="clear" w:color="auto" w:fill="1F3864"/>
          </w:tcPr>
          <w:p>
            <w:r/>
            <w:r>
              <w:rPr>
                <w:b/>
                <w:color w:val="FFFFFF"/>
                <w:sz w:val="16"/>
              </w:rPr>
              <w:t>Form section</w:t>
            </w:r>
          </w:p>
        </w:tc>
        <w:tc>
          <w:tcPr>
            <w:tcW w:type="dxa" w:w="3384"/>
            <w:shd w:val="clear" w:color="auto" w:fill="1F3864"/>
          </w:tcPr>
          <w:p>
            <w:r/>
            <w:r>
              <w:rPr>
                <w:b/>
                <w:color w:val="FFFFFF"/>
                <w:sz w:val="16"/>
              </w:rPr>
              <w:t>Gap</w:t>
            </w:r>
          </w:p>
        </w:tc>
        <w:tc>
          <w:tcPr>
            <w:tcW w:type="dxa" w:w="864"/>
            <w:shd w:val="clear" w:color="auto" w:fill="1F3864"/>
          </w:tcPr>
          <w:p>
            <w:r/>
            <w:r>
              <w:rPr>
                <w:b/>
                <w:color w:val="FFFFFF"/>
                <w:sz w:val="16"/>
              </w:rPr>
              <w:t>Repeat?</w:t>
            </w:r>
          </w:p>
        </w:tc>
      </w:tr>
      <w:tr>
        <w:tc>
          <w:tcPr>
            <w:tcW w:type="dxa" w:w="432"/>
          </w:tcPr>
          <w:p>
            <w:pPr>
              <w:spacing w:after="20"/>
            </w:pPr>
            <w:r/>
            <w:r>
              <w:rPr>
                <w:b w:val="0"/>
                <w:i w:val="0"/>
                <w:sz w:val="16"/>
              </w:rPr>
              <w:t>1</w:t>
            </w:r>
          </w:p>
        </w:tc>
        <w:tc>
          <w:tcPr>
            <w:tcW w:type="dxa" w:w="1080"/>
            <w:shd w:val="clear" w:color="auto" w:fill="C00000"/>
          </w:tcPr>
          <w:p>
            <w:pPr>
              <w:spacing w:after="20"/>
            </w:pPr>
            <w:r>
              <w:rPr>
                <w:b/>
                <w:color w:val="FFFFFF"/>
              </w:rPr>
            </w:r>
            <w:r>
              <w:rPr>
                <w:b/>
                <w:i w:val="0"/>
                <w:color w:val="FFFFFF"/>
                <w:sz w:val="16"/>
              </w:rPr>
              <w:t>Critical</w:t>
            </w:r>
          </w:p>
        </w:tc>
        <w:tc>
          <w:tcPr>
            <w:tcW w:type="dxa" w:w="1152"/>
          </w:tcPr>
          <w:p>
            <w:pPr>
              <w:spacing w:after="20"/>
            </w:pPr>
            <w:r/>
            <w:r>
              <w:rPr>
                <w:b w:val="0"/>
                <w:i w:val="0"/>
                <w:sz w:val="16"/>
              </w:rPr>
              <w:t>Substantive</w:t>
            </w:r>
          </w:p>
        </w:tc>
        <w:tc>
          <w:tcPr>
            <w:tcW w:type="dxa" w:w="2736"/>
          </w:tcPr>
          <w:p>
            <w:pPr>
              <w:spacing w:after="20"/>
            </w:pPr>
            <w:r/>
            <w:r>
              <w:rPr>
                <w:b w:val="0"/>
                <w:i w:val="0"/>
                <w:sz w:val="16"/>
              </w:rPr>
              <w:t>VII, Cond. 12 (¶ 7.12) Nonrenewal</w:t>
            </w:r>
          </w:p>
        </w:tc>
        <w:tc>
          <w:tcPr>
            <w:tcW w:type="dxa" w:w="3384"/>
          </w:tcPr>
          <w:p>
            <w:pPr>
              <w:spacing w:after="20"/>
            </w:pPr>
            <w:r/>
            <w:r>
              <w:rPr>
                <w:b w:val="0"/>
                <w:i w:val="0"/>
                <w:sz w:val="16"/>
              </w:rPr>
              <w:t>Nonrenewal notice 30 days vs. 45-day minimum (repeat objection)</w:t>
            </w:r>
          </w:p>
        </w:tc>
        <w:tc>
          <w:tcPr>
            <w:tcW w:type="dxa" w:w="864"/>
          </w:tcPr>
          <w:p>
            <w:pPr>
              <w:spacing w:after="20"/>
            </w:pPr>
            <w:r/>
            <w:r>
              <w:rPr>
                <w:b w:val="0"/>
                <w:i w:val="0"/>
                <w:sz w:val="16"/>
              </w:rPr>
              <w:t>Yes</w:t>
            </w:r>
          </w:p>
        </w:tc>
      </w:tr>
      <w:tr>
        <w:tc>
          <w:tcPr>
            <w:tcW w:type="dxa" w:w="432"/>
          </w:tcPr>
          <w:p>
            <w:pPr>
              <w:spacing w:after="20"/>
            </w:pPr>
            <w:r/>
            <w:r>
              <w:rPr>
                <w:b w:val="0"/>
                <w:i w:val="0"/>
                <w:sz w:val="16"/>
              </w:rPr>
              <w:t>2</w:t>
            </w:r>
          </w:p>
        </w:tc>
        <w:tc>
          <w:tcPr>
            <w:tcW w:type="dxa" w:w="1080"/>
            <w:shd w:val="clear" w:color="auto" w:fill="C00000"/>
          </w:tcPr>
          <w:p>
            <w:pPr>
              <w:spacing w:after="20"/>
            </w:pPr>
            <w:r>
              <w:rPr>
                <w:b/>
                <w:color w:val="FFFFFF"/>
              </w:rPr>
            </w:r>
            <w:r>
              <w:rPr>
                <w:b/>
                <w:i w:val="0"/>
                <w:color w:val="FFFFFF"/>
                <w:sz w:val="16"/>
              </w:rPr>
              <w:t>Critical</w:t>
            </w:r>
          </w:p>
        </w:tc>
        <w:tc>
          <w:tcPr>
            <w:tcW w:type="dxa" w:w="1152"/>
          </w:tcPr>
          <w:p>
            <w:pPr>
              <w:spacing w:after="20"/>
            </w:pPr>
            <w:r/>
            <w:r>
              <w:rPr>
                <w:b w:val="0"/>
                <w:i w:val="0"/>
                <w:sz w:val="16"/>
              </w:rPr>
              <w:t>Substantive</w:t>
            </w:r>
          </w:p>
        </w:tc>
        <w:tc>
          <w:tcPr>
            <w:tcW w:type="dxa" w:w="2736"/>
          </w:tcPr>
          <w:p>
            <w:pPr>
              <w:spacing w:after="20"/>
            </w:pPr>
            <w:r/>
            <w:r>
              <w:rPr>
                <w:b w:val="0"/>
                <w:i w:val="0"/>
                <w:sz w:val="16"/>
              </w:rPr>
              <w:t>Entire form; new section before Sec. I; ¶ 1.4, 1.6</w:t>
            </w:r>
          </w:p>
        </w:tc>
        <w:tc>
          <w:tcPr>
            <w:tcW w:type="dxa" w:w="3384"/>
          </w:tcPr>
          <w:p>
            <w:pPr>
              <w:spacing w:after="20"/>
            </w:pPr>
            <w:r/>
            <w:r>
              <w:rPr>
                <w:b w:val="0"/>
                <w:i w:val="0"/>
                <w:sz w:val="16"/>
              </w:rPr>
              <w:t>No wildfire disclosure (repeat objection)</w:t>
            </w:r>
          </w:p>
        </w:tc>
        <w:tc>
          <w:tcPr>
            <w:tcW w:type="dxa" w:w="864"/>
          </w:tcPr>
          <w:p>
            <w:pPr>
              <w:spacing w:after="20"/>
            </w:pPr>
            <w:r/>
            <w:r>
              <w:rPr>
                <w:b w:val="0"/>
                <w:i w:val="0"/>
                <w:sz w:val="16"/>
              </w:rPr>
              <w:t>Yes</w:t>
            </w:r>
          </w:p>
        </w:tc>
      </w:tr>
      <w:tr>
        <w:tc>
          <w:tcPr>
            <w:tcW w:type="dxa" w:w="432"/>
          </w:tcPr>
          <w:p>
            <w:pPr>
              <w:spacing w:after="20"/>
            </w:pPr>
            <w:r/>
            <w:r>
              <w:rPr>
                <w:b w:val="0"/>
                <w:i w:val="0"/>
                <w:sz w:val="16"/>
              </w:rPr>
              <w:t>3</w:t>
            </w:r>
          </w:p>
        </w:tc>
        <w:tc>
          <w:tcPr>
            <w:tcW w:type="dxa" w:w="1080"/>
            <w:shd w:val="clear" w:color="auto" w:fill="C00000"/>
          </w:tcPr>
          <w:p>
            <w:pPr>
              <w:spacing w:after="20"/>
            </w:pPr>
            <w:r>
              <w:rPr>
                <w:b/>
                <w:color w:val="FFFFFF"/>
              </w:rPr>
            </w:r>
            <w:r>
              <w:rPr>
                <w:b/>
                <w:i w:val="0"/>
                <w:color w:val="FFFFFF"/>
                <w:sz w:val="16"/>
              </w:rPr>
              <w:t>Critical</w:t>
            </w:r>
          </w:p>
        </w:tc>
        <w:tc>
          <w:tcPr>
            <w:tcW w:type="dxa" w:w="1152"/>
          </w:tcPr>
          <w:p>
            <w:pPr>
              <w:spacing w:after="20"/>
            </w:pPr>
            <w:r/>
            <w:r>
              <w:rPr>
                <w:b w:val="0"/>
                <w:i w:val="0"/>
                <w:sz w:val="16"/>
              </w:rPr>
              <w:t>Procedural</w:t>
            </w:r>
          </w:p>
        </w:tc>
        <w:tc>
          <w:tcPr>
            <w:tcW w:type="dxa" w:w="2736"/>
          </w:tcPr>
          <w:p>
            <w:pPr>
              <w:spacing w:after="20"/>
            </w:pPr>
            <w:r/>
            <w:r>
              <w:rPr>
                <w:b w:val="0"/>
                <w:i w:val="0"/>
                <w:sz w:val="16"/>
              </w:rPr>
              <w:t>Entire form; filing package</w:t>
            </w:r>
          </w:p>
        </w:tc>
        <w:tc>
          <w:tcPr>
            <w:tcW w:type="dxa" w:w="3384"/>
          </w:tcPr>
          <w:p>
            <w:pPr>
              <w:spacing w:after="20"/>
            </w:pPr>
            <w:r/>
            <w:r>
              <w:rPr>
                <w:b w:val="0"/>
                <w:i w:val="0"/>
                <w:sz w:val="16"/>
              </w:rPr>
              <w:t>Readability certificate not yet obtained (filing prerequisite)</w:t>
            </w:r>
          </w:p>
        </w:tc>
        <w:tc>
          <w:tcPr>
            <w:tcW w:type="dxa" w:w="864"/>
          </w:tcPr>
          <w:p>
            <w:pPr>
              <w:spacing w:after="20"/>
            </w:pPr>
            <w:r/>
          </w:p>
        </w:tc>
      </w:tr>
      <w:tr>
        <w:tc>
          <w:tcPr>
            <w:tcW w:type="dxa" w:w="432"/>
          </w:tcPr>
          <w:p>
            <w:pPr>
              <w:spacing w:after="20"/>
            </w:pPr>
            <w:r/>
            <w:r>
              <w:rPr>
                <w:b w:val="0"/>
                <w:i w:val="0"/>
                <w:sz w:val="16"/>
              </w:rPr>
              <w:t>4</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VII, Cond. 6(g) (¶ 7.6(g))</w:t>
            </w:r>
          </w:p>
        </w:tc>
        <w:tc>
          <w:tcPr>
            <w:tcW w:type="dxa" w:w="3384"/>
          </w:tcPr>
          <w:p>
            <w:pPr>
              <w:spacing w:after="20"/>
            </w:pPr>
            <w:r/>
            <w:r>
              <w:rPr>
                <w:b w:val="0"/>
                <w:i w:val="0"/>
                <w:sz w:val="16"/>
              </w:rPr>
              <w:t>Proof of loss 30 days vs. 60-day minimum</w:t>
            </w:r>
          </w:p>
        </w:tc>
        <w:tc>
          <w:tcPr>
            <w:tcW w:type="dxa" w:w="864"/>
          </w:tcPr>
          <w:p>
            <w:pPr>
              <w:spacing w:after="20"/>
            </w:pPr>
            <w:r/>
          </w:p>
        </w:tc>
      </w:tr>
      <w:tr>
        <w:tc>
          <w:tcPr>
            <w:tcW w:type="dxa" w:w="432"/>
          </w:tcPr>
          <w:p>
            <w:pPr>
              <w:spacing w:after="20"/>
            </w:pPr>
            <w:r/>
            <w:r>
              <w:rPr>
                <w:b w:val="0"/>
                <w:i w:val="0"/>
                <w:sz w:val="16"/>
              </w:rPr>
              <w:t>5</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 1.4, 1.6; V, Cond. 1, 3 (¶ 5.1, 5.3)</w:t>
            </w:r>
          </w:p>
        </w:tc>
        <w:tc>
          <w:tcPr>
            <w:tcW w:type="dxa" w:w="3384"/>
          </w:tcPr>
          <w:p>
            <w:pPr>
              <w:spacing w:after="20"/>
            </w:pPr>
            <w:r/>
            <w:r>
              <w:rPr>
                <w:b w:val="0"/>
                <w:i w:val="0"/>
                <w:sz w:val="16"/>
              </w:rPr>
              <w:t>Replacement cost coverage not affirmatively offered</w:t>
            </w:r>
          </w:p>
        </w:tc>
        <w:tc>
          <w:tcPr>
            <w:tcW w:type="dxa" w:w="864"/>
          </w:tcPr>
          <w:p>
            <w:pPr>
              <w:spacing w:after="20"/>
            </w:pPr>
            <w:r/>
          </w:p>
        </w:tc>
      </w:tr>
      <w:tr>
        <w:tc>
          <w:tcPr>
            <w:tcW w:type="dxa" w:w="432"/>
          </w:tcPr>
          <w:p>
            <w:pPr>
              <w:spacing w:after="20"/>
            </w:pPr>
            <w:r/>
            <w:r>
              <w:rPr>
                <w:b w:val="0"/>
                <w:i w:val="0"/>
                <w:sz w:val="16"/>
              </w:rPr>
              <w:t>6</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VII, Cond. 12(a)–(b) (¶ 7.12)</w:t>
            </w:r>
          </w:p>
        </w:tc>
        <w:tc>
          <w:tcPr>
            <w:tcW w:type="dxa" w:w="3384"/>
          </w:tcPr>
          <w:p>
            <w:pPr>
              <w:spacing w:after="20"/>
            </w:pPr>
            <w:r/>
            <w:r>
              <w:rPr>
                <w:b w:val="0"/>
                <w:i w:val="0"/>
                <w:sz w:val="16"/>
              </w:rPr>
              <w:t>10-day cancellation for any reason in first 60 days, incl. renewals</w:t>
            </w:r>
          </w:p>
        </w:tc>
        <w:tc>
          <w:tcPr>
            <w:tcW w:type="dxa" w:w="864"/>
          </w:tcPr>
          <w:p>
            <w:pPr>
              <w:spacing w:after="20"/>
            </w:pPr>
            <w:r/>
          </w:p>
        </w:tc>
      </w:tr>
      <w:tr>
        <w:tc>
          <w:tcPr>
            <w:tcW w:type="dxa" w:w="432"/>
          </w:tcPr>
          <w:p>
            <w:pPr>
              <w:spacing w:after="20"/>
            </w:pPr>
            <w:r/>
            <w:r>
              <w:rPr>
                <w:b w:val="0"/>
                <w:i w:val="0"/>
                <w:sz w:val="16"/>
              </w:rPr>
              <w:t>7</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VII, Cond. 12 (¶ 7.12)</w:t>
            </w:r>
          </w:p>
        </w:tc>
        <w:tc>
          <w:tcPr>
            <w:tcW w:type="dxa" w:w="3384"/>
          </w:tcPr>
          <w:p>
            <w:pPr>
              <w:spacing w:after="20"/>
            </w:pPr>
            <w:r/>
            <w:r>
              <w:rPr>
                <w:b w:val="0"/>
                <w:i w:val="0"/>
                <w:sz w:val="16"/>
              </w:rPr>
              <w:t>Notices need not state reasons for cancellation/nonrenewal</w:t>
            </w:r>
          </w:p>
        </w:tc>
        <w:tc>
          <w:tcPr>
            <w:tcW w:type="dxa" w:w="864"/>
          </w:tcPr>
          <w:p>
            <w:pPr>
              <w:spacing w:after="20"/>
            </w:pPr>
            <w:r/>
          </w:p>
        </w:tc>
      </w:tr>
      <w:tr>
        <w:tc>
          <w:tcPr>
            <w:tcW w:type="dxa" w:w="432"/>
          </w:tcPr>
          <w:p>
            <w:pPr>
              <w:spacing w:after="20"/>
            </w:pPr>
            <w:r/>
            <w:r>
              <w:rPr>
                <w:b w:val="0"/>
                <w:i w:val="0"/>
                <w:sz w:val="16"/>
              </w:rPr>
              <w:t>8</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VII, Cond. 12 Delivery Method (¶ 7.12)</w:t>
            </w:r>
          </w:p>
        </w:tc>
        <w:tc>
          <w:tcPr>
            <w:tcW w:type="dxa" w:w="3384"/>
          </w:tcPr>
          <w:p>
            <w:pPr>
              <w:spacing w:after="20"/>
            </w:pPr>
            <w:r/>
            <w:r>
              <w:rPr>
                <w:b w:val="0"/>
                <w:i w:val="0"/>
                <w:sz w:val="16"/>
              </w:rPr>
              <w:t>“Regular mail” rather than first-class; no e-delivery consent</w:t>
            </w:r>
          </w:p>
        </w:tc>
        <w:tc>
          <w:tcPr>
            <w:tcW w:type="dxa" w:w="864"/>
          </w:tcPr>
          <w:p>
            <w:pPr>
              <w:spacing w:after="20"/>
            </w:pPr>
            <w:r/>
          </w:p>
        </w:tc>
      </w:tr>
      <w:tr>
        <w:tc>
          <w:tcPr>
            <w:tcW w:type="dxa" w:w="432"/>
          </w:tcPr>
          <w:p>
            <w:pPr>
              <w:spacing w:after="20"/>
            </w:pPr>
            <w:r/>
            <w:r>
              <w:rPr>
                <w:b w:val="0"/>
                <w:i w:val="0"/>
                <w:sz w:val="16"/>
              </w:rPr>
              <w:t>9</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VII, Cond. 9 Appraisal (¶ 7.9)</w:t>
            </w:r>
          </w:p>
        </w:tc>
        <w:tc>
          <w:tcPr>
            <w:tcW w:type="dxa" w:w="3384"/>
          </w:tcPr>
          <w:p>
            <w:pPr>
              <w:spacing w:after="20"/>
            </w:pPr>
            <w:r/>
            <w:r>
              <w:rPr>
                <w:b w:val="0"/>
                <w:i w:val="0"/>
                <w:sz w:val="16"/>
              </w:rPr>
              <w:t>Appraisal: no judge-appointed umpire after 15 days</w:t>
            </w:r>
          </w:p>
        </w:tc>
        <w:tc>
          <w:tcPr>
            <w:tcW w:type="dxa" w:w="864"/>
          </w:tcPr>
          <w:p>
            <w:pPr>
              <w:spacing w:after="20"/>
            </w:pPr>
            <w:r/>
          </w:p>
        </w:tc>
      </w:tr>
      <w:tr>
        <w:tc>
          <w:tcPr>
            <w:tcW w:type="dxa" w:w="432"/>
          </w:tcPr>
          <w:p>
            <w:pPr>
              <w:spacing w:after="20"/>
            </w:pPr>
            <w:r/>
            <w:r>
              <w:rPr>
                <w:b w:val="0"/>
                <w:i w:val="0"/>
                <w:sz w:val="16"/>
              </w:rPr>
              <w:t>10</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 Cond. 5 Coinsurance (¶ 5.5)</w:t>
            </w:r>
          </w:p>
        </w:tc>
        <w:tc>
          <w:tcPr>
            <w:tcW w:type="dxa" w:w="3384"/>
          </w:tcPr>
          <w:p>
            <w:pPr>
              <w:spacing w:after="20"/>
            </w:pPr>
            <w:r/>
            <w:r>
              <w:rPr>
                <w:b w:val="0"/>
                <w:i w:val="0"/>
                <w:sz w:val="16"/>
              </w:rPr>
              <w:t>Coinsurance: no plain-language explanation or $ example</w:t>
            </w:r>
          </w:p>
        </w:tc>
        <w:tc>
          <w:tcPr>
            <w:tcW w:type="dxa" w:w="864"/>
          </w:tcPr>
          <w:p>
            <w:pPr>
              <w:spacing w:after="20"/>
            </w:pPr>
            <w:r/>
          </w:p>
        </w:tc>
      </w:tr>
      <w:tr>
        <w:tc>
          <w:tcPr>
            <w:tcW w:type="dxa" w:w="432"/>
          </w:tcPr>
          <w:p>
            <w:pPr>
              <w:spacing w:after="20"/>
            </w:pPr>
            <w:r/>
            <w:r>
              <w:rPr>
                <w:b w:val="0"/>
                <w:i w:val="0"/>
                <w:sz w:val="16"/>
              </w:rPr>
              <w:t>11</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IV, Excl. 14 (¶ 4.14); ¶ 1.7</w:t>
            </w:r>
          </w:p>
        </w:tc>
        <w:tc>
          <w:tcPr>
            <w:tcW w:type="dxa" w:w="3384"/>
          </w:tcPr>
          <w:p>
            <w:pPr>
              <w:spacing w:after="20"/>
            </w:pPr>
            <w:r/>
            <w:r>
              <w:rPr>
                <w:b w:val="0"/>
                <w:i w:val="0"/>
                <w:sz w:val="16"/>
              </w:rPr>
              <w:t>TRIPRA disclosure lacks premium, federal share, deductible</w:t>
            </w:r>
          </w:p>
        </w:tc>
        <w:tc>
          <w:tcPr>
            <w:tcW w:type="dxa" w:w="864"/>
          </w:tcPr>
          <w:p>
            <w:pPr>
              <w:spacing w:after="20"/>
            </w:pPr>
            <w:r/>
          </w:p>
        </w:tc>
      </w:tr>
      <w:tr>
        <w:tc>
          <w:tcPr>
            <w:tcW w:type="dxa" w:w="432"/>
          </w:tcPr>
          <w:p>
            <w:pPr>
              <w:spacing w:after="20"/>
            </w:pPr>
            <w:r/>
            <w:r>
              <w:rPr>
                <w:b w:val="0"/>
                <w:i w:val="0"/>
                <w:sz w:val="16"/>
              </w:rPr>
              <w:t>12</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VII, Cond. 8 Mortgageholders (¶ 7.8)</w:t>
            </w:r>
          </w:p>
        </w:tc>
        <w:tc>
          <w:tcPr>
            <w:tcW w:type="dxa" w:w="3384"/>
          </w:tcPr>
          <w:p>
            <w:pPr>
              <w:spacing w:after="20"/>
            </w:pPr>
            <w:r/>
            <w:r>
              <w:rPr>
                <w:b w:val="0"/>
                <w:i w:val="0"/>
                <w:sz w:val="16"/>
              </w:rPr>
              <w:t>Mortgageholder nonrenewal 10 days / cancellation 30 days</w:t>
            </w:r>
          </w:p>
        </w:tc>
        <w:tc>
          <w:tcPr>
            <w:tcW w:type="dxa" w:w="864"/>
          </w:tcPr>
          <w:p>
            <w:pPr>
              <w:spacing w:after="20"/>
            </w:pPr>
            <w:r/>
          </w:p>
        </w:tc>
      </w:tr>
      <w:tr>
        <w:tc>
          <w:tcPr>
            <w:tcW w:type="dxa" w:w="432"/>
          </w:tcPr>
          <w:p>
            <w:pPr>
              <w:spacing w:after="20"/>
            </w:pPr>
            <w:r/>
            <w:r>
              <w:rPr>
                <w:b w:val="0"/>
                <w:i w:val="0"/>
                <w:sz w:val="16"/>
              </w:rPr>
              <w:t>13</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Substantive</w:t>
            </w:r>
          </w:p>
        </w:tc>
        <w:tc>
          <w:tcPr>
            <w:tcW w:type="dxa" w:w="2736"/>
          </w:tcPr>
          <w:p>
            <w:pPr>
              <w:spacing w:after="20"/>
            </w:pPr>
            <w:r/>
            <w:r>
              <w:rPr>
                <w:b w:val="0"/>
                <w:i w:val="0"/>
                <w:sz w:val="16"/>
              </w:rPr>
              <w:t>Declarations ¶ 1.7; ¶ 7.12 Return of Premium</w:t>
            </w:r>
          </w:p>
        </w:tc>
        <w:tc>
          <w:tcPr>
            <w:tcW w:type="dxa" w:w="3384"/>
          </w:tcPr>
          <w:p>
            <w:pPr>
              <w:spacing w:after="20"/>
            </w:pPr>
            <w:r/>
            <w:r>
              <w:rPr>
                <w:b w:val="0"/>
                <w:i w:val="0"/>
                <w:sz w:val="16"/>
              </w:rPr>
              <w:t>“Fully earned at inception” premium clause</w:t>
            </w:r>
          </w:p>
        </w:tc>
        <w:tc>
          <w:tcPr>
            <w:tcW w:type="dxa" w:w="864"/>
          </w:tcPr>
          <w:p>
            <w:pPr>
              <w:spacing w:after="20"/>
            </w:pPr>
            <w:r/>
          </w:p>
        </w:tc>
      </w:tr>
      <w:tr>
        <w:tc>
          <w:tcPr>
            <w:tcW w:type="dxa" w:w="432"/>
          </w:tcPr>
          <w:p>
            <w:pPr>
              <w:spacing w:after="20"/>
            </w:pPr>
            <w:r/>
            <w:r>
              <w:rPr>
                <w:b w:val="0"/>
                <w:i w:val="0"/>
                <w:sz w:val="16"/>
              </w:rPr>
              <w:t>14</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Procedural</w:t>
            </w:r>
          </w:p>
        </w:tc>
        <w:tc>
          <w:tcPr>
            <w:tcW w:type="dxa" w:w="2736"/>
          </w:tcPr>
          <w:p>
            <w:pPr>
              <w:spacing w:after="20"/>
            </w:pPr>
            <w:r/>
            <w:r>
              <w:rPr>
                <w:b w:val="0"/>
                <w:i w:val="0"/>
                <w:sz w:val="16"/>
              </w:rPr>
              <w:t>¶ 1.6; filing package</w:t>
            </w:r>
          </w:p>
        </w:tc>
        <w:tc>
          <w:tcPr>
            <w:tcW w:type="dxa" w:w="3384"/>
          </w:tcPr>
          <w:p>
            <w:pPr>
              <w:spacing w:after="20"/>
            </w:pPr>
            <w:r/>
            <w:r>
              <w:rPr>
                <w:b w:val="0"/>
                <w:i w:val="0"/>
                <w:sz w:val="16"/>
              </w:rPr>
              <w:t>Companion notices/endorsements not drafted or filed</w:t>
            </w:r>
          </w:p>
        </w:tc>
        <w:tc>
          <w:tcPr>
            <w:tcW w:type="dxa" w:w="864"/>
          </w:tcPr>
          <w:p>
            <w:pPr>
              <w:spacing w:after="20"/>
            </w:pPr>
            <w:r/>
          </w:p>
        </w:tc>
      </w:tr>
      <w:tr>
        <w:tc>
          <w:tcPr>
            <w:tcW w:type="dxa" w:w="432"/>
          </w:tcPr>
          <w:p>
            <w:pPr>
              <w:spacing w:after="20"/>
            </w:pPr>
            <w:r/>
            <w:r>
              <w:rPr>
                <w:b w:val="0"/>
                <w:i w:val="0"/>
                <w:sz w:val="16"/>
              </w:rPr>
              <w:t>15</w:t>
            </w:r>
          </w:p>
        </w:tc>
        <w:tc>
          <w:tcPr>
            <w:tcW w:type="dxa" w:w="1080"/>
            <w:shd w:val="clear" w:color="auto" w:fill="E26B0A"/>
          </w:tcPr>
          <w:p>
            <w:pPr>
              <w:spacing w:after="20"/>
            </w:pPr>
            <w:r>
              <w:rPr>
                <w:b/>
                <w:color w:val="FFFFFF"/>
              </w:rPr>
            </w:r>
            <w:r>
              <w:rPr>
                <w:b/>
                <w:i w:val="0"/>
                <w:color w:val="FFFFFF"/>
                <w:sz w:val="16"/>
              </w:rPr>
              <w:t>High</w:t>
            </w:r>
          </w:p>
        </w:tc>
        <w:tc>
          <w:tcPr>
            <w:tcW w:type="dxa" w:w="1152"/>
          </w:tcPr>
          <w:p>
            <w:pPr>
              <w:spacing w:after="20"/>
            </w:pPr>
            <w:r/>
            <w:r>
              <w:rPr>
                <w:b w:val="0"/>
                <w:i w:val="0"/>
                <w:sz w:val="16"/>
              </w:rPr>
              <w:t>Procedural</w:t>
            </w:r>
          </w:p>
        </w:tc>
        <w:tc>
          <w:tcPr>
            <w:tcW w:type="dxa" w:w="2736"/>
          </w:tcPr>
          <w:p>
            <w:pPr>
              <w:spacing w:after="20"/>
            </w:pPr>
            <w:r/>
            <w:r>
              <w:rPr>
                <w:b w:val="0"/>
                <w:i w:val="0"/>
                <w:sz w:val="16"/>
              </w:rPr>
              <w:t>Checklist §§ 3, 10, 12</w:t>
            </w:r>
          </w:p>
        </w:tc>
        <w:tc>
          <w:tcPr>
            <w:tcW w:type="dxa" w:w="3384"/>
          </w:tcPr>
          <w:p>
            <w:pPr>
              <w:spacing w:after="20"/>
            </w:pPr>
            <w:r/>
            <w:r>
              <w:rPr>
                <w:b w:val="0"/>
                <w:i w:val="0"/>
                <w:sz w:val="16"/>
              </w:rPr>
              <w:t>Checklist misstates prior objection history and counts</w:t>
            </w:r>
          </w:p>
        </w:tc>
        <w:tc>
          <w:tcPr>
            <w:tcW w:type="dxa" w:w="864"/>
          </w:tcPr>
          <w:p>
            <w:pPr>
              <w:spacing w:after="20"/>
            </w:pPr>
            <w:r/>
          </w:p>
        </w:tc>
      </w:tr>
      <w:tr>
        <w:tc>
          <w:tcPr>
            <w:tcW w:type="dxa" w:w="432"/>
          </w:tcPr>
          <w:p>
            <w:pPr>
              <w:spacing w:after="20"/>
            </w:pPr>
            <w:r/>
            <w:r>
              <w:rPr>
                <w:b w:val="0"/>
                <w:i w:val="0"/>
                <w:sz w:val="16"/>
              </w:rPr>
              <w:t>16</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Substantive</w:t>
            </w:r>
          </w:p>
        </w:tc>
        <w:tc>
          <w:tcPr>
            <w:tcW w:type="dxa" w:w="2736"/>
          </w:tcPr>
          <w:p>
            <w:pPr>
              <w:spacing w:after="20"/>
            </w:pPr>
            <w:r/>
            <w:r>
              <w:rPr>
                <w:b w:val="0"/>
                <w:i w:val="0"/>
                <w:sz w:val="16"/>
              </w:rPr>
              <w:t>VII, Cond. 15 (¶ 7.15)</w:t>
            </w:r>
          </w:p>
        </w:tc>
        <w:tc>
          <w:tcPr>
            <w:tcW w:type="dxa" w:w="3384"/>
          </w:tcPr>
          <w:p>
            <w:pPr>
              <w:spacing w:after="20"/>
            </w:pPr>
            <w:r/>
            <w:r>
              <w:rPr>
                <w:b w:val="0"/>
                <w:i w:val="0"/>
                <w:sz w:val="16"/>
              </w:rPr>
              <w:t>One-year suit limitation from date of loss</w:t>
            </w:r>
          </w:p>
        </w:tc>
        <w:tc>
          <w:tcPr>
            <w:tcW w:type="dxa" w:w="864"/>
          </w:tcPr>
          <w:p>
            <w:pPr>
              <w:spacing w:after="20"/>
            </w:pPr>
            <w:r/>
          </w:p>
        </w:tc>
      </w:tr>
      <w:tr>
        <w:tc>
          <w:tcPr>
            <w:tcW w:type="dxa" w:w="432"/>
          </w:tcPr>
          <w:p>
            <w:pPr>
              <w:spacing w:after="20"/>
            </w:pPr>
            <w:r/>
            <w:r>
              <w:rPr>
                <w:b w:val="0"/>
                <w:i w:val="0"/>
                <w:sz w:val="16"/>
              </w:rPr>
              <w:t>17</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Substantive</w:t>
            </w:r>
          </w:p>
        </w:tc>
        <w:tc>
          <w:tcPr>
            <w:tcW w:type="dxa" w:w="2736"/>
          </w:tcPr>
          <w:p>
            <w:pPr>
              <w:spacing w:after="20"/>
            </w:pPr>
            <w:r/>
            <w:r>
              <w:rPr>
                <w:b w:val="0"/>
                <w:i w:val="0"/>
                <w:sz w:val="16"/>
              </w:rPr>
              <w:t>¶¶ 4.9, 4.12, 4.14, 7.1</w:t>
            </w:r>
          </w:p>
        </w:tc>
        <w:tc>
          <w:tcPr>
            <w:tcW w:type="dxa" w:w="3384"/>
          </w:tcPr>
          <w:p>
            <w:pPr>
              <w:spacing w:after="20"/>
            </w:pPr>
            <w:r/>
            <w:r>
              <w:rPr>
                <w:b w:val="0"/>
                <w:i w:val="0"/>
                <w:sz w:val="16"/>
              </w:rPr>
              <w:t>Standard fire policy deviations (ensuing fire, co-insureds, etc.)</w:t>
            </w:r>
          </w:p>
        </w:tc>
        <w:tc>
          <w:tcPr>
            <w:tcW w:type="dxa" w:w="864"/>
          </w:tcPr>
          <w:p>
            <w:pPr>
              <w:spacing w:after="20"/>
            </w:pPr>
            <w:r/>
          </w:p>
        </w:tc>
      </w:tr>
      <w:tr>
        <w:tc>
          <w:tcPr>
            <w:tcW w:type="dxa" w:w="432"/>
          </w:tcPr>
          <w:p>
            <w:pPr>
              <w:spacing w:after="20"/>
            </w:pPr>
            <w:r/>
            <w:r>
              <w:rPr>
                <w:b w:val="0"/>
                <w:i w:val="0"/>
                <w:sz w:val="16"/>
              </w:rPr>
              <w:t>18</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Substantive</w:t>
            </w:r>
          </w:p>
        </w:tc>
        <w:tc>
          <w:tcPr>
            <w:tcW w:type="dxa" w:w="2736"/>
          </w:tcPr>
          <w:p>
            <w:pPr>
              <w:spacing w:after="20"/>
            </w:pPr>
            <w:r/>
            <w:r>
              <w:rPr>
                <w:b w:val="0"/>
                <w:i w:val="0"/>
                <w:sz w:val="16"/>
              </w:rPr>
              <w:t>¶ 2.1; V, Cond. 1 (¶ 5.1)</w:t>
            </w:r>
          </w:p>
        </w:tc>
        <w:tc>
          <w:tcPr>
            <w:tcW w:type="dxa" w:w="3384"/>
          </w:tcPr>
          <w:p>
            <w:pPr>
              <w:spacing w:after="20"/>
            </w:pPr>
            <w:r/>
            <w:r>
              <w:rPr>
                <w:b w:val="0"/>
                <w:i w:val="0"/>
                <w:sz w:val="16"/>
              </w:rPr>
              <w:t>Loss payment timing undefined; “satisfactory” proof of loss</w:t>
            </w:r>
          </w:p>
        </w:tc>
        <w:tc>
          <w:tcPr>
            <w:tcW w:type="dxa" w:w="864"/>
          </w:tcPr>
          <w:p>
            <w:pPr>
              <w:spacing w:after="20"/>
            </w:pPr>
            <w:r/>
          </w:p>
        </w:tc>
      </w:tr>
      <w:tr>
        <w:tc>
          <w:tcPr>
            <w:tcW w:type="dxa" w:w="432"/>
          </w:tcPr>
          <w:p>
            <w:pPr>
              <w:spacing w:after="20"/>
            </w:pPr>
            <w:r/>
            <w:r>
              <w:rPr>
                <w:b w:val="0"/>
                <w:i w:val="0"/>
                <w:sz w:val="16"/>
              </w:rPr>
              <w:t>19</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Substantive</w:t>
            </w:r>
          </w:p>
        </w:tc>
        <w:tc>
          <w:tcPr>
            <w:tcW w:type="dxa" w:w="2736"/>
          </w:tcPr>
          <w:p>
            <w:pPr>
              <w:spacing w:after="20"/>
            </w:pPr>
            <w:r/>
            <w:r>
              <w:rPr>
                <w:b w:val="0"/>
                <w:i w:val="0"/>
                <w:sz w:val="16"/>
              </w:rPr>
              <w:t>Declarations ¶ 1.5 vs. ¶ 3.4</w:t>
            </w:r>
          </w:p>
        </w:tc>
        <w:tc>
          <w:tcPr>
            <w:tcW w:type="dxa" w:w="3384"/>
          </w:tcPr>
          <w:p>
            <w:pPr>
              <w:spacing w:after="20"/>
            </w:pPr>
            <w:r/>
            <w:r>
              <w:rPr>
                <w:b w:val="0"/>
                <w:i w:val="0"/>
                <w:sz w:val="16"/>
              </w:rPr>
              <w:t>Sublimit schedule inconsistent with Section III</w:t>
            </w:r>
          </w:p>
        </w:tc>
        <w:tc>
          <w:tcPr>
            <w:tcW w:type="dxa" w:w="864"/>
          </w:tcPr>
          <w:p>
            <w:pPr>
              <w:spacing w:after="20"/>
            </w:pPr>
            <w:r/>
          </w:p>
        </w:tc>
      </w:tr>
      <w:tr>
        <w:tc>
          <w:tcPr>
            <w:tcW w:type="dxa" w:w="432"/>
          </w:tcPr>
          <w:p>
            <w:pPr>
              <w:spacing w:after="20"/>
            </w:pPr>
            <w:r/>
            <w:r>
              <w:rPr>
                <w:b w:val="0"/>
                <w:i w:val="0"/>
                <w:sz w:val="16"/>
              </w:rPr>
              <w:t>20</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Substantive</w:t>
            </w:r>
          </w:p>
        </w:tc>
        <w:tc>
          <w:tcPr>
            <w:tcW w:type="dxa" w:w="2736"/>
          </w:tcPr>
          <w:p>
            <w:pPr>
              <w:spacing w:after="20"/>
            </w:pPr>
            <w:r/>
            <w:r>
              <w:rPr>
                <w:b w:val="0"/>
                <w:i w:val="0"/>
                <w:sz w:val="16"/>
              </w:rPr>
              <w:t>¶ 4.2 vs. ¶¶ 6.1–6.3</w:t>
            </w:r>
          </w:p>
        </w:tc>
        <w:tc>
          <w:tcPr>
            <w:tcW w:type="dxa" w:w="3384"/>
          </w:tcPr>
          <w:p>
            <w:pPr>
              <w:spacing w:after="20"/>
            </w:pPr>
            <w:r/>
            <w:r>
              <w:rPr>
                <w:b w:val="0"/>
                <w:i w:val="0"/>
                <w:sz w:val="16"/>
              </w:rPr>
              <w:t>Volcanic action both covered and excluded</w:t>
            </w:r>
          </w:p>
        </w:tc>
        <w:tc>
          <w:tcPr>
            <w:tcW w:type="dxa" w:w="864"/>
          </w:tcPr>
          <w:p>
            <w:pPr>
              <w:spacing w:after="20"/>
            </w:pPr>
            <w:r/>
          </w:p>
        </w:tc>
      </w:tr>
      <w:tr>
        <w:tc>
          <w:tcPr>
            <w:tcW w:type="dxa" w:w="432"/>
          </w:tcPr>
          <w:p>
            <w:pPr>
              <w:spacing w:after="20"/>
            </w:pPr>
            <w:r/>
            <w:r>
              <w:rPr>
                <w:b w:val="0"/>
                <w:i w:val="0"/>
                <w:sz w:val="16"/>
              </w:rPr>
              <w:t>21</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Substantive</w:t>
            </w:r>
          </w:p>
        </w:tc>
        <w:tc>
          <w:tcPr>
            <w:tcW w:type="dxa" w:w="2736"/>
          </w:tcPr>
          <w:p>
            <w:pPr>
              <w:spacing w:after="20"/>
            </w:pPr>
            <w:r/>
            <w:r>
              <w:rPr>
                <w:b w:val="0"/>
                <w:i w:val="0"/>
                <w:sz w:val="16"/>
              </w:rPr>
              <w:t>¶ 1.4; ¶ 5.3; Sec. VIII</w:t>
            </w:r>
          </w:p>
        </w:tc>
        <w:tc>
          <w:tcPr>
            <w:tcW w:type="dxa" w:w="3384"/>
          </w:tcPr>
          <w:p>
            <w:pPr>
              <w:spacing w:after="20"/>
            </w:pPr>
            <w:r/>
            <w:r>
              <w:rPr>
                <w:b w:val="0"/>
                <w:i w:val="0"/>
                <w:sz w:val="16"/>
              </w:rPr>
              <w:t>Inconsistent ACV definitions; stock valuation conflict</w:t>
            </w:r>
          </w:p>
        </w:tc>
        <w:tc>
          <w:tcPr>
            <w:tcW w:type="dxa" w:w="864"/>
          </w:tcPr>
          <w:p>
            <w:pPr>
              <w:spacing w:after="20"/>
            </w:pPr>
            <w:r/>
          </w:p>
        </w:tc>
      </w:tr>
      <w:tr>
        <w:tc>
          <w:tcPr>
            <w:tcW w:type="dxa" w:w="432"/>
          </w:tcPr>
          <w:p>
            <w:pPr>
              <w:spacing w:after="20"/>
            </w:pPr>
            <w:r/>
            <w:r>
              <w:rPr>
                <w:b w:val="0"/>
                <w:i w:val="0"/>
                <w:sz w:val="16"/>
              </w:rPr>
              <w:t>22</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Procedural</w:t>
            </w:r>
          </w:p>
        </w:tc>
        <w:tc>
          <w:tcPr>
            <w:tcW w:type="dxa" w:w="2736"/>
          </w:tcPr>
          <w:p>
            <w:pPr>
              <w:spacing w:after="20"/>
            </w:pPr>
            <w:r/>
            <w:r>
              <w:rPr>
                <w:b w:val="0"/>
                <w:i w:val="0"/>
                <w:sz w:val="16"/>
              </w:rPr>
              <w:t>Filing package</w:t>
            </w:r>
          </w:p>
        </w:tc>
        <w:tc>
          <w:tcPr>
            <w:tcW w:type="dxa" w:w="3384"/>
          </w:tcPr>
          <w:p>
            <w:pPr>
              <w:spacing w:after="20"/>
            </w:pPr>
            <w:r/>
            <w:r>
              <w:rPr>
                <w:b w:val="0"/>
                <w:i w:val="0"/>
                <w:sz w:val="16"/>
              </w:rPr>
              <w:t>Statement of variability / ISO derivation inconsistent</w:t>
            </w:r>
          </w:p>
        </w:tc>
        <w:tc>
          <w:tcPr>
            <w:tcW w:type="dxa" w:w="864"/>
          </w:tcPr>
          <w:p>
            <w:pPr>
              <w:spacing w:after="20"/>
            </w:pPr>
            <w:r/>
          </w:p>
        </w:tc>
      </w:tr>
      <w:tr>
        <w:tc>
          <w:tcPr>
            <w:tcW w:type="dxa" w:w="432"/>
          </w:tcPr>
          <w:p>
            <w:pPr>
              <w:spacing w:after="20"/>
            </w:pPr>
            <w:r/>
            <w:r>
              <w:rPr>
                <w:b w:val="0"/>
                <w:i w:val="0"/>
                <w:sz w:val="16"/>
              </w:rPr>
              <w:t>23</w:t>
            </w:r>
          </w:p>
        </w:tc>
        <w:tc>
          <w:tcPr>
            <w:tcW w:type="dxa" w:w="1080"/>
            <w:shd w:val="clear" w:color="auto" w:fill="BF8F00"/>
          </w:tcPr>
          <w:p>
            <w:pPr>
              <w:spacing w:after="20"/>
            </w:pPr>
            <w:r>
              <w:rPr>
                <w:b/>
                <w:color w:val="FFFFFF"/>
              </w:rPr>
            </w:r>
            <w:r>
              <w:rPr>
                <w:b/>
                <w:i w:val="0"/>
                <w:color w:val="FFFFFF"/>
                <w:sz w:val="16"/>
              </w:rPr>
              <w:t>Medium</w:t>
            </w:r>
          </w:p>
        </w:tc>
        <w:tc>
          <w:tcPr>
            <w:tcW w:type="dxa" w:w="1152"/>
          </w:tcPr>
          <w:p>
            <w:pPr>
              <w:spacing w:after="20"/>
            </w:pPr>
            <w:r/>
            <w:r>
              <w:rPr>
                <w:b w:val="0"/>
                <w:i w:val="0"/>
                <w:sz w:val="16"/>
              </w:rPr>
              <w:t>Procedural</w:t>
            </w:r>
          </w:p>
        </w:tc>
        <w:tc>
          <w:tcPr>
            <w:tcW w:type="dxa" w:w="2736"/>
          </w:tcPr>
          <w:p>
            <w:pPr>
              <w:spacing w:after="20"/>
            </w:pPr>
            <w:r/>
            <w:r>
              <w:rPr>
                <w:b w:val="0"/>
                <w:i w:val="0"/>
                <w:sz w:val="16"/>
              </w:rPr>
              <w:t>Checklist; transmittal</w:t>
            </w:r>
          </w:p>
        </w:tc>
        <w:tc>
          <w:tcPr>
            <w:tcW w:type="dxa" w:w="3384"/>
          </w:tcPr>
          <w:p>
            <w:pPr>
              <w:spacing w:after="20"/>
            </w:pPr>
            <w:r/>
            <w:r>
              <w:rPr>
                <w:b w:val="0"/>
                <w:i w:val="0"/>
                <w:sz w:val="16"/>
              </w:rPr>
              <w:t>Confirm citations against current C.R.S./3 CCR 702-4</w:t>
            </w:r>
          </w:p>
        </w:tc>
        <w:tc>
          <w:tcPr>
            <w:tcW w:type="dxa" w:w="864"/>
          </w:tcPr>
          <w:p>
            <w:pPr>
              <w:spacing w:after="20"/>
            </w:pPr>
            <w:r/>
          </w:p>
        </w:tc>
      </w:tr>
      <w:tr>
        <w:tc>
          <w:tcPr>
            <w:tcW w:type="dxa" w:w="432"/>
          </w:tcPr>
          <w:p>
            <w:pPr>
              <w:spacing w:after="20"/>
            </w:pPr>
            <w:r/>
            <w:r>
              <w:rPr>
                <w:b w:val="0"/>
                <w:i w:val="0"/>
                <w:sz w:val="16"/>
              </w:rPr>
              <w:t>24</w:t>
            </w:r>
          </w:p>
        </w:tc>
        <w:tc>
          <w:tcPr>
            <w:tcW w:type="dxa" w:w="1080"/>
            <w:shd w:val="clear" w:color="auto" w:fill="548235"/>
          </w:tcPr>
          <w:p>
            <w:pPr>
              <w:spacing w:after="20"/>
            </w:pPr>
            <w:r>
              <w:rPr>
                <w:b/>
                <w:color w:val="FFFFFF"/>
              </w:rPr>
            </w:r>
            <w:r>
              <w:rPr>
                <w:b/>
                <w:i w:val="0"/>
                <w:color w:val="FFFFFF"/>
                <w:sz w:val="16"/>
              </w:rPr>
              <w:t>Low</w:t>
            </w:r>
          </w:p>
        </w:tc>
        <w:tc>
          <w:tcPr>
            <w:tcW w:type="dxa" w:w="1152"/>
          </w:tcPr>
          <w:p>
            <w:pPr>
              <w:spacing w:after="20"/>
            </w:pPr>
            <w:r/>
            <w:r>
              <w:rPr>
                <w:b w:val="0"/>
                <w:i w:val="0"/>
                <w:sz w:val="16"/>
              </w:rPr>
              <w:t>Substantive</w:t>
            </w:r>
          </w:p>
        </w:tc>
        <w:tc>
          <w:tcPr>
            <w:tcW w:type="dxa" w:w="2736"/>
          </w:tcPr>
          <w:p>
            <w:pPr>
              <w:spacing w:after="20"/>
            </w:pPr>
            <w:r/>
            <w:r>
              <w:rPr>
                <w:b w:val="0"/>
                <w:i w:val="0"/>
                <w:sz w:val="16"/>
              </w:rPr>
              <w:t>Sec. VIII; ¶¶ 4.12, 7.2, 7.14</w:t>
            </w:r>
          </w:p>
        </w:tc>
        <w:tc>
          <w:tcPr>
            <w:tcW w:type="dxa" w:w="3384"/>
          </w:tcPr>
          <w:p>
            <w:pPr>
              <w:spacing w:after="20"/>
            </w:pPr>
            <w:r/>
            <w:r>
              <w:rPr>
                <w:b w:val="0"/>
                <w:i w:val="0"/>
                <w:sz w:val="16"/>
              </w:rPr>
              <w:t>Undefined bold terms; cross-reference errors</w:t>
            </w:r>
          </w:p>
        </w:tc>
        <w:tc>
          <w:tcPr>
            <w:tcW w:type="dxa" w:w="864"/>
          </w:tcPr>
          <w:p>
            <w:pPr>
              <w:spacing w:after="20"/>
            </w:pPr>
            <w:r/>
          </w:p>
        </w:tc>
      </w:tr>
      <w:tr>
        <w:tc>
          <w:tcPr>
            <w:tcW w:type="dxa" w:w="432"/>
          </w:tcPr>
          <w:p>
            <w:pPr>
              <w:spacing w:after="20"/>
            </w:pPr>
            <w:r/>
            <w:r>
              <w:rPr>
                <w:b w:val="0"/>
                <w:i w:val="0"/>
                <w:sz w:val="16"/>
              </w:rPr>
              <w:t>25</w:t>
            </w:r>
          </w:p>
        </w:tc>
        <w:tc>
          <w:tcPr>
            <w:tcW w:type="dxa" w:w="1080"/>
            <w:shd w:val="clear" w:color="auto" w:fill="548235"/>
          </w:tcPr>
          <w:p>
            <w:pPr>
              <w:spacing w:after="20"/>
            </w:pPr>
            <w:r>
              <w:rPr>
                <w:b/>
                <w:color w:val="FFFFFF"/>
              </w:rPr>
            </w:r>
            <w:r>
              <w:rPr>
                <w:b/>
                <w:i w:val="0"/>
                <w:color w:val="FFFFFF"/>
                <w:sz w:val="16"/>
              </w:rPr>
              <w:t>Low</w:t>
            </w:r>
          </w:p>
        </w:tc>
        <w:tc>
          <w:tcPr>
            <w:tcW w:type="dxa" w:w="1152"/>
          </w:tcPr>
          <w:p>
            <w:pPr>
              <w:spacing w:after="20"/>
            </w:pPr>
            <w:r/>
            <w:r>
              <w:rPr>
                <w:b w:val="0"/>
                <w:i w:val="0"/>
                <w:sz w:val="16"/>
              </w:rPr>
              <w:t>Substantive</w:t>
            </w:r>
          </w:p>
        </w:tc>
        <w:tc>
          <w:tcPr>
            <w:tcW w:type="dxa" w:w="2736"/>
          </w:tcPr>
          <w:p>
            <w:pPr>
              <w:spacing w:after="20"/>
            </w:pPr>
            <w:r/>
            <w:r>
              <w:rPr>
                <w:b w:val="0"/>
                <w:i w:val="0"/>
                <w:sz w:val="16"/>
              </w:rPr>
              <w:t>VII, Cond. 4 (¶ 7.4)</w:t>
            </w:r>
          </w:p>
        </w:tc>
        <w:tc>
          <w:tcPr>
            <w:tcW w:type="dxa" w:w="3384"/>
          </w:tcPr>
          <w:p>
            <w:pPr>
              <w:spacing w:after="20"/>
            </w:pPr>
            <w:r/>
            <w:r>
              <w:rPr>
                <w:b w:val="0"/>
                <w:i w:val="0"/>
                <w:sz w:val="16"/>
              </w:rPr>
              <w:t>Other Insurance: pro rata vs. equal shares</w:t>
            </w:r>
          </w:p>
        </w:tc>
        <w:tc>
          <w:tcPr>
            <w:tcW w:type="dxa" w:w="864"/>
          </w:tcPr>
          <w:p>
            <w:pPr>
              <w:spacing w:after="20"/>
            </w:pPr>
            <w:r/>
          </w:p>
        </w:tc>
      </w:tr>
      <w:tr>
        <w:tc>
          <w:tcPr>
            <w:tcW w:type="dxa" w:w="432"/>
          </w:tcPr>
          <w:p>
            <w:pPr>
              <w:spacing w:after="20"/>
            </w:pPr>
            <w:r/>
            <w:r>
              <w:rPr>
                <w:b w:val="0"/>
                <w:i w:val="0"/>
                <w:sz w:val="16"/>
              </w:rPr>
              <w:t>26</w:t>
            </w:r>
          </w:p>
        </w:tc>
        <w:tc>
          <w:tcPr>
            <w:tcW w:type="dxa" w:w="1080"/>
            <w:shd w:val="clear" w:color="auto" w:fill="548235"/>
          </w:tcPr>
          <w:p>
            <w:pPr>
              <w:spacing w:after="20"/>
            </w:pPr>
            <w:r>
              <w:rPr>
                <w:b/>
                <w:color w:val="FFFFFF"/>
              </w:rPr>
            </w:r>
            <w:r>
              <w:rPr>
                <w:b/>
                <w:i w:val="0"/>
                <w:color w:val="FFFFFF"/>
                <w:sz w:val="16"/>
              </w:rPr>
              <w:t>Low</w:t>
            </w:r>
          </w:p>
        </w:tc>
        <w:tc>
          <w:tcPr>
            <w:tcW w:type="dxa" w:w="1152"/>
          </w:tcPr>
          <w:p>
            <w:pPr>
              <w:spacing w:after="20"/>
            </w:pPr>
            <w:r/>
            <w:r>
              <w:rPr>
                <w:b w:val="0"/>
                <w:i w:val="0"/>
                <w:sz w:val="16"/>
              </w:rPr>
              <w:t>Substantive</w:t>
            </w:r>
          </w:p>
        </w:tc>
        <w:tc>
          <w:tcPr>
            <w:tcW w:type="dxa" w:w="2736"/>
          </w:tcPr>
          <w:p>
            <w:pPr>
              <w:spacing w:after="20"/>
            </w:pPr>
            <w:r/>
            <w:r>
              <w:rPr>
                <w:b w:val="0"/>
                <w:i w:val="0"/>
                <w:sz w:val="16"/>
              </w:rPr>
              <w:t>VII, Cond. 14 (¶ 7.14)</w:t>
            </w:r>
          </w:p>
        </w:tc>
        <w:tc>
          <w:tcPr>
            <w:tcW w:type="dxa" w:w="3384"/>
          </w:tcPr>
          <w:p>
            <w:pPr>
              <w:spacing w:after="20"/>
            </w:pPr>
            <w:r/>
            <w:r>
              <w:rPr>
                <w:b w:val="0"/>
                <w:i w:val="0"/>
                <w:sz w:val="16"/>
              </w:rPr>
              <w:t>Subrogation waiver carve-out for negligent parties</w:t>
            </w:r>
          </w:p>
        </w:tc>
        <w:tc>
          <w:tcPr>
            <w:tcW w:type="dxa" w:w="864"/>
          </w:tcPr>
          <w:p>
            <w:pPr>
              <w:spacing w:after="20"/>
            </w:pPr>
            <w:r/>
          </w:p>
        </w:tc>
      </w:tr>
      <w:tr>
        <w:tc>
          <w:tcPr>
            <w:tcW w:type="dxa" w:w="432"/>
          </w:tcPr>
          <w:p>
            <w:pPr>
              <w:spacing w:after="20"/>
            </w:pPr>
            <w:r/>
            <w:r>
              <w:rPr>
                <w:b w:val="0"/>
                <w:i w:val="0"/>
                <w:sz w:val="16"/>
              </w:rPr>
              <w:t>27</w:t>
            </w:r>
          </w:p>
        </w:tc>
        <w:tc>
          <w:tcPr>
            <w:tcW w:type="dxa" w:w="1080"/>
            <w:shd w:val="clear" w:color="auto" w:fill="548235"/>
          </w:tcPr>
          <w:p>
            <w:pPr>
              <w:spacing w:after="20"/>
            </w:pPr>
            <w:r>
              <w:rPr>
                <w:b/>
                <w:color w:val="FFFFFF"/>
              </w:rPr>
            </w:r>
            <w:r>
              <w:rPr>
                <w:b/>
                <w:i w:val="0"/>
                <w:color w:val="FFFFFF"/>
                <w:sz w:val="16"/>
              </w:rPr>
              <w:t>Low</w:t>
            </w:r>
          </w:p>
        </w:tc>
        <w:tc>
          <w:tcPr>
            <w:tcW w:type="dxa" w:w="1152"/>
          </w:tcPr>
          <w:p>
            <w:pPr>
              <w:spacing w:after="20"/>
            </w:pPr>
            <w:r/>
            <w:r>
              <w:rPr>
                <w:b w:val="0"/>
                <w:i w:val="0"/>
                <w:sz w:val="16"/>
              </w:rPr>
              <w:t>Substantive</w:t>
            </w:r>
          </w:p>
        </w:tc>
        <w:tc>
          <w:tcPr>
            <w:tcW w:type="dxa" w:w="2736"/>
          </w:tcPr>
          <w:p>
            <w:pPr>
              <w:spacing w:after="20"/>
            </w:pPr>
            <w:r/>
            <w:r>
              <w:rPr>
                <w:b w:val="0"/>
                <w:i w:val="0"/>
                <w:sz w:val="16"/>
              </w:rPr>
              <w:t>¶ 1.8; end matter</w:t>
            </w:r>
          </w:p>
        </w:tc>
        <w:tc>
          <w:tcPr>
            <w:tcW w:type="dxa" w:w="3384"/>
          </w:tcPr>
          <w:p>
            <w:pPr>
              <w:spacing w:after="20"/>
            </w:pPr>
            <w:r/>
            <w:r>
              <w:rPr>
                <w:b w:val="0"/>
                <w:i w:val="0"/>
                <w:sz w:val="16"/>
              </w:rPr>
              <w:t>Countersignature validity condition</w:t>
            </w:r>
          </w:p>
        </w:tc>
        <w:tc>
          <w:tcPr>
            <w:tcW w:type="dxa" w:w="864"/>
          </w:tcPr>
          <w:p>
            <w:pPr>
              <w:spacing w:after="20"/>
            </w:pPr>
            <w:r/>
          </w:p>
        </w:tc>
      </w:tr>
      <w:tr>
        <w:tc>
          <w:tcPr>
            <w:tcW w:type="dxa" w:w="432"/>
          </w:tcPr>
          <w:p>
            <w:pPr>
              <w:spacing w:after="20"/>
            </w:pPr>
            <w:r/>
            <w:r>
              <w:rPr>
                <w:b w:val="0"/>
                <w:i w:val="0"/>
                <w:sz w:val="16"/>
              </w:rPr>
              <w:t>28</w:t>
            </w:r>
          </w:p>
        </w:tc>
        <w:tc>
          <w:tcPr>
            <w:tcW w:type="dxa" w:w="1080"/>
            <w:shd w:val="clear" w:color="auto" w:fill="548235"/>
          </w:tcPr>
          <w:p>
            <w:pPr>
              <w:spacing w:after="20"/>
            </w:pPr>
            <w:r>
              <w:rPr>
                <w:b/>
                <w:color w:val="FFFFFF"/>
              </w:rPr>
            </w:r>
            <w:r>
              <w:rPr>
                <w:b/>
                <w:i w:val="0"/>
                <w:color w:val="FFFFFF"/>
                <w:sz w:val="16"/>
              </w:rPr>
              <w:t>Low</w:t>
            </w:r>
          </w:p>
        </w:tc>
        <w:tc>
          <w:tcPr>
            <w:tcW w:type="dxa" w:w="1152"/>
          </w:tcPr>
          <w:p>
            <w:pPr>
              <w:spacing w:after="20"/>
            </w:pPr>
            <w:r/>
            <w:r>
              <w:rPr>
                <w:b w:val="0"/>
                <w:i w:val="0"/>
                <w:sz w:val="16"/>
              </w:rPr>
              <w:t>Substantive</w:t>
            </w:r>
          </w:p>
        </w:tc>
        <w:tc>
          <w:tcPr>
            <w:tcW w:type="dxa" w:w="2736"/>
          </w:tcPr>
          <w:p>
            <w:pPr>
              <w:spacing w:after="20"/>
            </w:pPr>
            <w:r/>
            <w:r>
              <w:rPr>
                <w:b w:val="0"/>
                <w:i w:val="0"/>
                <w:sz w:val="16"/>
              </w:rPr>
              <w:t>VII, Cond. 18 (¶ 7.18)</w:t>
            </w:r>
          </w:p>
        </w:tc>
        <w:tc>
          <w:tcPr>
            <w:tcW w:type="dxa" w:w="3384"/>
          </w:tcPr>
          <w:p>
            <w:pPr>
              <w:spacing w:after="20"/>
            </w:pPr>
            <w:r/>
            <w:r>
              <w:rPr>
                <w:b w:val="0"/>
                <w:i w:val="0"/>
                <w:sz w:val="16"/>
              </w:rPr>
              <w:t>Conformity clause is not a cure</w:t>
            </w:r>
          </w:p>
        </w:tc>
        <w:tc>
          <w:tcPr>
            <w:tcW w:type="dxa" w:w="864"/>
          </w:tcPr>
          <w:p>
            <w:pPr>
              <w:spacing w:after="20"/>
            </w:pPr>
            <w:r/>
          </w:p>
        </w:tc>
      </w:tr>
      <w:tr>
        <w:tc>
          <w:tcPr>
            <w:tcW w:type="dxa" w:w="432"/>
          </w:tcPr>
          <w:p>
            <w:pPr>
              <w:spacing w:after="20"/>
            </w:pPr>
            <w:r/>
            <w:r>
              <w:rPr>
                <w:b w:val="0"/>
                <w:i w:val="0"/>
                <w:sz w:val="16"/>
              </w:rPr>
              <w:t>29</w:t>
            </w:r>
          </w:p>
        </w:tc>
        <w:tc>
          <w:tcPr>
            <w:tcW w:type="dxa" w:w="1080"/>
            <w:shd w:val="clear" w:color="auto" w:fill="548235"/>
          </w:tcPr>
          <w:p>
            <w:pPr>
              <w:spacing w:after="20"/>
            </w:pPr>
            <w:r>
              <w:rPr>
                <w:b/>
                <w:color w:val="FFFFFF"/>
              </w:rPr>
            </w:r>
            <w:r>
              <w:rPr>
                <w:b/>
                <w:i w:val="0"/>
                <w:color w:val="FFFFFF"/>
                <w:sz w:val="16"/>
              </w:rPr>
              <w:t>Low</w:t>
            </w:r>
          </w:p>
        </w:tc>
        <w:tc>
          <w:tcPr>
            <w:tcW w:type="dxa" w:w="1152"/>
          </w:tcPr>
          <w:p>
            <w:pPr>
              <w:spacing w:after="20"/>
            </w:pPr>
            <w:r/>
            <w:r>
              <w:rPr>
                <w:b w:val="0"/>
                <w:i w:val="0"/>
                <w:sz w:val="16"/>
              </w:rPr>
              <w:t>Substantive</w:t>
            </w:r>
          </w:p>
        </w:tc>
        <w:tc>
          <w:tcPr>
            <w:tcW w:type="dxa" w:w="2736"/>
          </w:tcPr>
          <w:p>
            <w:pPr>
              <w:spacing w:after="20"/>
            </w:pPr>
            <w:r/>
            <w:r>
              <w:rPr>
                <w:b w:val="0"/>
                <w:i w:val="0"/>
                <w:sz w:val="16"/>
              </w:rPr>
              <w:t>VII, Cond. 11 (¶ 7.11)</w:t>
            </w:r>
          </w:p>
        </w:tc>
        <w:tc>
          <w:tcPr>
            <w:tcW w:type="dxa" w:w="3384"/>
          </w:tcPr>
          <w:p>
            <w:pPr>
              <w:spacing w:after="20"/>
            </w:pPr>
            <w:r/>
            <w:r>
              <w:rPr>
                <w:b w:val="0"/>
                <w:i w:val="0"/>
                <w:sz w:val="16"/>
              </w:rPr>
              <w:t>Vacancy condition understated in checklist</w:t>
            </w:r>
          </w:p>
        </w:tc>
        <w:tc>
          <w:tcPr>
            <w:tcW w:type="dxa" w:w="864"/>
          </w:tcPr>
          <w:p>
            <w:pPr>
              <w:spacing w:after="20"/>
            </w:pPr>
            <w:r/>
          </w:p>
        </w:tc>
      </w:tr>
    </w:tbl>
    <w:p>
      <w:pPr>
        <w:spacing w:after="40"/>
      </w:pPr>
    </w:p>
    <w:p>
      <w:pPr>
        <w:pStyle w:val="Heading2"/>
      </w:pPr>
      <w:r>
        <w:t>Detailed Gap Analysis</w:t>
      </w:r>
    </w:p>
    <w:p>
      <w:pPr>
        <w:pStyle w:val="Heading3"/>
      </w:pPr>
      <w:r>
        <w:t>Gap 1 — Nonrenewal notice period is 30 days; Colorado requires 45 days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C00000"/>
          </w:tcPr>
          <w:p>
            <w:pPr>
              <w:spacing w:after="40"/>
            </w:pPr>
            <w:r>
              <w:rPr>
                <w:b/>
                <w:color w:val="FFFFFF"/>
              </w:rPr>
            </w:r>
            <w:r>
              <w:rPr>
                <w:b/>
                <w:i w:val="0"/>
                <w:color w:val="FFFFFF"/>
                <w:sz w:val="19"/>
              </w:rPr>
              <w:t>Critical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YES — repeats MERI-2021-003</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12 (Cancellation and Nonrenewal), “Nonrenewal” paragraph (form ¶ 7.12).</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10-4-403(1)(b) (as quoted by the Division in its July 14, 2021 objection letter); C.R.S. § 10-4-110.8 (checklist Entry 5.2 cross-reference); Division Objection Letter, SERFF Filing MERI-2021-003 (July 14, 2021).</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The final January 2025 form states: “If we elect not to renew this policy, we will mail written notice of nonrenewal to the first Named Insured … </w:t>
            </w:r>
            <w:r>
              <w:rPr>
                <w:b/>
                <w:i w:val="0"/>
                <w:sz w:val="19"/>
              </w:rPr>
              <w:t>at least 30 days before the expiration date of this policy</w:t>
            </w:r>
            <w:r>
              <w:rPr>
                <w:b w:val="0"/>
                <w:i w:val="0"/>
                <w:sz w:val="19"/>
              </w:rPr>
              <w:t>. Notice of nonrenewal will be sent by regular mail.” That is fifteen days short of the statutory 45-day minimum and is, nearly word for word, the provision the Division objected to in MERI-2021-003. In that letter the Division stated that the 45-day period applies “regardless of premium size, policy limits, or insured classification” and “cannot be shortened or waived by contract, endorsement, or agreement.” Meridian’s corrected 45-day language (approved August 20, 2021) was not carried into the proprietary form.</w:t>
            </w:r>
          </w:p>
          <w:p>
            <w:pPr>
              <w:spacing w:after="40"/>
            </w:pPr>
            <w:r>
              <w:rPr>
                <w:b w:val="0"/>
                <w:i w:val="0"/>
                <w:sz w:val="19"/>
              </w:rPr>
              <w:t>We verified this provision specifically, as Ms. Brennan requested in her January 22 transmittal. The checklist (Entries 1.2 and 10.1) correctly flags it. The same paragraph also (i) omits any statement of reasons (Gap 7), (ii) uses “regular mail” (Gap 8), and (iii) the Mortgageholders condition gives only 10 days’ notice of nonrenewal (Gap 12). Condition 18 (Conformity to Statute) does not cure the defect: the Division reviews the text as filed and objected in 2021 to the same wording.</w:t>
            </w:r>
          </w:p>
        </w:tc>
      </w:tr>
      <w:tr>
        <w:tc>
          <w:tcPr>
            <w:tcW w:type="dxa" w:w="2232"/>
            <w:shd w:val="clear" w:color="auto" w:fill="D9E2F3"/>
          </w:tcPr>
          <w:p>
            <w:r/>
            <w:r>
              <w:rPr>
                <w:b/>
                <w:sz w:val="19"/>
              </w:rPr>
              <w:t>(d)/(e) Corrective action</w:t>
            </w:r>
          </w:p>
        </w:tc>
        <w:tc>
          <w:tcPr>
            <w:tcW w:type="dxa" w:w="7416"/>
          </w:tcPr>
          <w:p>
            <w:pPr>
              <w:spacing w:after="40"/>
            </w:pPr>
            <w:r/>
            <w:r>
              <w:rPr>
                <w:b w:val="0"/>
                <w:i w:val="0"/>
                <w:sz w:val="19"/>
              </w:rPr>
              <w:t>Replace the Nonrenewal paragraph with the Division’s own accepted wording, modified to add reasons and the delivery method (full text in Appendix A-1): “If we elect not to renew this policy, we will mail by first-class mail, or deliver electronically where permitted, written notice of nonrenewal stating the specific reason(s) for nonrenewal to the first Named Insured … at least forty-five (45) days before the expiration date of this policy.”</w:t>
            </w:r>
          </w:p>
          <w:p>
            <w:pPr>
              <w:spacing w:after="40"/>
              <w:ind w:left="216"/>
            </w:pPr>
            <w:r>
              <w:rPr>
                <w:b w:val="0"/>
                <w:i w:val="0"/>
                <w:sz w:val="19"/>
              </w:rPr>
              <w:t>• Search the revised form and every companion form, notice and system-generated letter template for “30 days” and “thirty” and conform them.</w:t>
            </w:r>
          </w:p>
          <w:p>
            <w:pPr>
              <w:spacing w:after="40"/>
              <w:ind w:left="216"/>
            </w:pPr>
            <w:r>
              <w:rPr>
                <w:b w:val="0"/>
                <w:i w:val="0"/>
                <w:sz w:val="19"/>
              </w:rPr>
              <w:t>• In the SERFF filing description and transmittal letter, state affirmatively that the form uses the 45-day nonrenewal period accepted by the Division in MERI-2021-003.</w:t>
            </w:r>
          </w:p>
          <w:p>
            <w:pPr>
              <w:spacing w:after="40"/>
              <w:ind w:left="216"/>
            </w:pPr>
            <w:r>
              <w:rPr>
                <w:b w:val="0"/>
                <w:i w:val="0"/>
                <w:sz w:val="19"/>
              </w:rPr>
              <w:t>• Add this item to Meridian’s Colorado pre-filing QC list for all future property filings.</w:t>
            </w:r>
          </w:p>
        </w:tc>
      </w:tr>
      <w:tr>
        <w:tc>
          <w:tcPr>
            <w:tcW w:type="dxa" w:w="2232"/>
            <w:shd w:val="clear" w:color="auto" w:fill="D9E2F3"/>
          </w:tcPr>
          <w:p>
            <w:r/>
            <w:r>
              <w:rPr>
                <w:b/>
                <w:sz w:val="19"/>
              </w:rPr>
              <w:t>Checklist status</w:t>
            </w:r>
          </w:p>
        </w:tc>
        <w:tc>
          <w:tcPr>
            <w:tcW w:type="dxa" w:w="7416"/>
          </w:tcPr>
          <w:p>
            <w:pPr>
              <w:spacing w:after="40"/>
            </w:pPr>
            <w:r/>
            <w:r>
              <w:rPr>
                <w:b w:val="0"/>
                <w:i w:val="0"/>
                <w:sz w:val="19"/>
              </w:rPr>
              <w:t>Entries 1.2, 5.2, 10.1 — Non-Compliant (agree).</w:t>
            </w:r>
          </w:p>
        </w:tc>
      </w:tr>
    </w:tbl>
    <w:p>
      <w:pPr>
        <w:spacing w:after="40"/>
      </w:pPr>
    </w:p>
    <w:p>
      <w:pPr>
        <w:pStyle w:val="Heading3"/>
      </w:pPr>
      <w:r>
        <w:t>Gap 2 — No wildfire coverage disclosure anywhere in the form</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C00000"/>
          </w:tcPr>
          <w:p>
            <w:pPr>
              <w:spacing w:after="40"/>
            </w:pPr>
            <w:r>
              <w:rPr>
                <w:b/>
                <w:color w:val="FFFFFF"/>
              </w:rPr>
            </w:r>
            <w:r>
              <w:rPr>
                <w:b/>
                <w:i w:val="0"/>
                <w:color w:val="FFFFFF"/>
                <w:sz w:val="19"/>
              </w:rPr>
              <w:t>Critical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YES — repeats MERI-2023-007</w:t>
            </w:r>
          </w:p>
        </w:tc>
      </w:tr>
      <w:tr>
        <w:tc>
          <w:tcPr>
            <w:tcW w:type="dxa" w:w="2232"/>
            <w:shd w:val="clear" w:color="auto" w:fill="D9E2F3"/>
          </w:tcPr>
          <w:p>
            <w:r/>
            <w:r>
              <w:rPr>
                <w:b/>
                <w:sz w:val="19"/>
              </w:rPr>
              <w:t>(a) Form section</w:t>
            </w:r>
          </w:p>
        </w:tc>
        <w:tc>
          <w:tcPr>
            <w:tcW w:type="dxa" w:w="7416"/>
          </w:tcPr>
          <w:p>
            <w:pPr>
              <w:spacing w:after="40"/>
            </w:pPr>
            <w:r/>
            <w:r>
              <w:rPr>
                <w:b w:val="0"/>
                <w:i w:val="0"/>
                <w:sz w:val="19"/>
              </w:rPr>
              <w:t>Entire form. No wildfire-specific section, notice, or Declarations entry exists; the word “wildfire” does not appear anywhere in the 38-page form. Fire is covered only through the general peril grants (¶ 6.1 Special Form; ¶ 6.2(a) Broad Form; ¶ 6.3(a) Basic Form). ¶ 1.6 (Endorsements Applicable) does not list any wildfire notice or the MCP-WF-01 endorsement.</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10-4-110.5; Division Objection Letter, SERFF Filing MERI-2023-007 (March 22, 2023); Colorado DOI Form Filing Guidance, § 7.3 (Wildfire Disclosures) (model language cited by the Division).</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Ms. Brennan’s concern is correct. The form as drafted does </w:t>
            </w:r>
            <w:r>
              <w:rPr>
                <w:b/>
                <w:i w:val="0"/>
                <w:sz w:val="19"/>
              </w:rPr>
              <w:t>not</w:t>
            </w:r>
            <w:r>
              <w:rPr>
                <w:b w:val="0"/>
                <w:i w:val="0"/>
                <w:sz w:val="19"/>
              </w:rPr>
              <w:t xml:space="preserve"> satisfy § 10-4-110.5. It presents exactly the situation the Division rejected in 2023, when it held that “the inclusion of fire as a covered peril does not, standing alone, satisfy the disclosure requirements of the statute” and that a “separate, specific disclosure … distinct from the general insuring agreement or covered causes of loss provisions” is required. Measured element by element (see Section III.B), every element is absent: (1) whether wildfire is covered; (2) wildfire-specific sublimits; (3) wildfire-specific exclusions or limitations; (4) wildfire-specific deductibles; (5) a clear and conspicuous plain-language statement of coverage status; and the two further elements listed in checklist Entry 3.1, namely (c) a wildfire-prone-area risk notice and (d) mitigation resource information.</w:t>
            </w:r>
          </w:p>
          <w:p>
            <w:pPr>
              <w:spacing w:after="40"/>
            </w:pPr>
            <w:r>
              <w:rPr>
                <w:b/>
                <w:i w:val="0"/>
                <w:sz w:val="19"/>
              </w:rPr>
              <w:t>Simply re-attaching MCP-WF-01 will not be enough.</w:t>
            </w:r>
            <w:r>
              <w:rPr>
                <w:b w:val="0"/>
                <w:i w:val="0"/>
                <w:sz w:val="19"/>
              </w:rPr>
              <w:t xml:space="preserve"> According to Meridian’s internal disposition notes, the 2023 endorsement covered four items: covered status, no separate sublimit, no separate deductible, and a bold plain-language notice. It was drafted for an ISO-based program. The proprietary form adds several limitations that bear directly on wildfire losses and that a policyholder would need to understand (Appendix B), including the 25%/$250,000 debris-removal cap, the actual-cash-value default, the 72-hour waiting period and 12-month cap on business income, the vacancy restrictions, the off-premises utility-failure exclusion (relevant to utility-initiated power shutoffs), the mudslide/mudflow exclusions (post-fire debris flows), and the absence of civil authority coverage for evacuation orders. The Division’s element (3) requires disclosure of “any conditions or circumstances under which wildfire coverage may not apply.”</w:t>
            </w:r>
          </w:p>
        </w:tc>
      </w:tr>
      <w:tr>
        <w:tc>
          <w:tcPr>
            <w:tcW w:type="dxa" w:w="2232"/>
            <w:shd w:val="clear" w:color="auto" w:fill="D9E2F3"/>
          </w:tcPr>
          <w:p>
            <w:r/>
            <w:r>
              <w:rPr>
                <w:b/>
                <w:sz w:val="19"/>
              </w:rPr>
              <w:t>(d)/(e) Corrective action</w:t>
            </w:r>
          </w:p>
        </w:tc>
        <w:tc>
          <w:tcPr>
            <w:tcW w:type="dxa" w:w="7416"/>
          </w:tcPr>
          <w:p>
            <w:pPr>
              <w:spacing w:after="40"/>
            </w:pPr>
            <w:r/>
            <w:r>
              <w:rPr>
                <w:b w:val="0"/>
                <w:i w:val="0"/>
                <w:sz w:val="19"/>
              </w:rPr>
              <w:t xml:space="preserve">Prepare a new Colorado wildfire disclosure and use </w:t>
            </w:r>
            <w:r>
              <w:rPr>
                <w:b/>
                <w:i w:val="0"/>
                <w:sz w:val="19"/>
              </w:rPr>
              <w:t>both</w:t>
            </w:r>
            <w:r>
              <w:rPr>
                <w:b w:val="0"/>
                <w:i w:val="0"/>
                <w:sz w:val="19"/>
              </w:rPr>
              <w:t xml:space="preserve"> placement methods the Division accepted in 2023 (draft text in Appendix A-2):</w:t>
            </w:r>
          </w:p>
          <w:p>
            <w:pPr>
              <w:spacing w:after="40"/>
              <w:ind w:left="216"/>
            </w:pPr>
            <w:r>
              <w:rPr>
                <w:b w:val="0"/>
                <w:i w:val="0"/>
                <w:sz w:val="19"/>
              </w:rPr>
              <w:t xml:space="preserve">• </w:t>
            </w:r>
            <w:r>
              <w:rPr>
                <w:b/>
                <w:i w:val="0"/>
                <w:sz w:val="19"/>
              </w:rPr>
              <w:t>In the form:</w:t>
            </w:r>
            <w:r>
              <w:rPr>
                <w:b w:val="0"/>
                <w:i w:val="0"/>
                <w:sz w:val="19"/>
              </w:rPr>
              <w:t xml:space="preserve"> insert a boxed, clearly labeled section titled “IMPORTANT NOTICE REGARDING WILDFIRE COVERAGE” on page 1, immediately after the opening policy notice and before Section I (Declarations). Set it apart from the surrounding text in bold type of at least 10 points.</w:t>
            </w:r>
          </w:p>
          <w:p>
            <w:pPr>
              <w:spacing w:after="40"/>
              <w:ind w:left="216"/>
            </w:pPr>
            <w:r>
              <w:rPr>
                <w:b w:val="0"/>
                <w:i w:val="0"/>
                <w:sz w:val="19"/>
              </w:rPr>
              <w:t xml:space="preserve">• </w:t>
            </w:r>
            <w:r>
              <w:rPr>
                <w:b/>
                <w:i w:val="0"/>
                <w:sz w:val="19"/>
              </w:rPr>
              <w:t>As a mandatory notice:</w:t>
            </w:r>
            <w:r>
              <w:rPr>
                <w:b w:val="0"/>
                <w:i w:val="0"/>
                <w:sz w:val="19"/>
              </w:rPr>
              <w:t xml:space="preserve"> file a companion notice (suggested number MCP-WF-02 CO) to be delivered at inception and at each renewal. List it in ¶ 1.6 as a mandatory form for every Colorado policy rather than as an optional endorsement.</w:t>
            </w:r>
          </w:p>
          <w:p>
            <w:pPr>
              <w:spacing w:after="40"/>
              <w:ind w:left="216"/>
            </w:pPr>
            <w:r>
              <w:rPr>
                <w:b w:val="0"/>
                <w:i w:val="0"/>
                <w:sz w:val="19"/>
              </w:rPr>
              <w:t xml:space="preserve">• </w:t>
            </w:r>
            <w:r>
              <w:rPr>
                <w:b/>
                <w:i w:val="0"/>
                <w:sz w:val="19"/>
              </w:rPr>
              <w:t>In the Declarations:</w:t>
            </w:r>
            <w:r>
              <w:rPr>
                <w:b w:val="0"/>
                <w:i w:val="0"/>
                <w:sz w:val="19"/>
              </w:rPr>
              <w:t xml:space="preserve"> add to ¶ 1.4 the lines “Wildfire-specific sublimit: None” and “Wildfire-specific deductible: None (policy deductible applies)”, or show the amounts where underwriting applies them.</w:t>
            </w:r>
          </w:p>
          <w:p>
            <w:pPr>
              <w:spacing w:after="40"/>
              <w:ind w:left="216"/>
            </w:pPr>
            <w:r>
              <w:rPr>
                <w:b w:val="0"/>
                <w:i w:val="0"/>
                <w:sz w:val="19"/>
              </w:rPr>
              <w:t>• Start from the DOI Guidance § 7.3 model language and cover every element in both the Division letter and checklist Entry 3.1.</w:t>
            </w:r>
          </w:p>
          <w:p>
            <w:pPr>
              <w:spacing w:after="40"/>
              <w:ind w:left="216"/>
            </w:pPr>
            <w:r>
              <w:rPr>
                <w:b w:val="0"/>
                <w:i w:val="0"/>
                <w:sz w:val="19"/>
              </w:rPr>
              <w:t>• File the notice in the same SERFF submission as a required attachment, and cite the MERI-2023-007 remediation in the transmittal.</w:t>
            </w:r>
          </w:p>
        </w:tc>
      </w:tr>
      <w:tr>
        <w:tc>
          <w:tcPr>
            <w:tcW w:type="dxa" w:w="2232"/>
            <w:shd w:val="clear" w:color="auto" w:fill="D9E2F3"/>
          </w:tcPr>
          <w:p>
            <w:r/>
            <w:r>
              <w:rPr>
                <w:b/>
                <w:sz w:val="19"/>
              </w:rPr>
              <w:t>Checklist status</w:t>
            </w:r>
          </w:p>
        </w:tc>
        <w:tc>
          <w:tcPr>
            <w:tcW w:type="dxa" w:w="7416"/>
          </w:tcPr>
          <w:p>
            <w:pPr>
              <w:spacing w:after="40"/>
            </w:pPr>
            <w:r/>
            <w:r>
              <w:rPr>
                <w:b w:val="0"/>
                <w:i w:val="0"/>
                <w:sz w:val="19"/>
              </w:rPr>
              <w:t>Entries 3.1, 10.2 — Non-Compliant (agree). The element list in the checklist differs from the Division’s letter; see Gap 15.</w:t>
            </w:r>
          </w:p>
        </w:tc>
      </w:tr>
    </w:tbl>
    <w:p>
      <w:pPr>
        <w:spacing w:after="40"/>
      </w:pPr>
    </w:p>
    <w:p>
      <w:pPr>
        <w:pStyle w:val="Heading3"/>
      </w:pPr>
      <w:r>
        <w:t>Gap 3 — Readability testing not performed; certificate is a SERFF filing prerequisite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C00000"/>
          </w:tcPr>
          <w:p>
            <w:pPr>
              <w:spacing w:after="40"/>
            </w:pPr>
            <w:r>
              <w:rPr>
                <w:b/>
                <w:color w:val="FFFFFF"/>
              </w:rPr>
            </w:r>
            <w:r>
              <w:rPr>
                <w:b/>
                <w:i w:val="0"/>
                <w:color w:val="FFFFFF"/>
                <w:sz w:val="19"/>
              </w:rPr>
              <w:t>Critical  (Procedural)</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Entire form (all 38 pages) and every new companion notice; SERFF filing package.</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3 CCR 702-4, Regulation 4-2-13 (Flesch Reading Ease of 40 or more, or Flesch-Kincaid Grade Level of 12 or lower; certificate or test score must accompany the filing).</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No readability score exists. Per the Division requirement described in the checklist and the transmittal, the filing cannot be accepted without a certificate, and Trenton Filing Services has said it cannot assemble the MERI-133318601 package without one. There is also a timing conflict. The checklist sets readability testing for completion “no later than February 15, 2025,” one day </w:t>
            </w:r>
            <w:r>
              <w:rPr>
                <w:b/>
                <w:i w:val="0"/>
                <w:sz w:val="19"/>
              </w:rPr>
              <w:t>after</w:t>
            </w:r>
            <w:r>
              <w:rPr>
                <w:b w:val="0"/>
                <w:i w:val="0"/>
                <w:sz w:val="19"/>
              </w:rPr>
              <w:t xml:space="preserve"> the February 14 target for the revised form. The certified score has to be run on the </w:t>
            </w:r>
            <w:r>
              <w:rPr>
                <w:b/>
                <w:i w:val="0"/>
                <w:sz w:val="19"/>
              </w:rPr>
              <w:t>final</w:t>
            </w:r>
            <w:r>
              <w:rPr>
                <w:b w:val="0"/>
                <w:i w:val="0"/>
                <w:sz w:val="19"/>
              </w:rPr>
              <w:t xml:space="preserve"> text, including the new wildfire, replacement cost, coinsurance and terrorism language. A score run on the current draft therefore cannot support the filing. The current text has very long sentences that are likely to depress the score (e.g., the Business Income measurement paragraph in ¶ 3.3, which is a single sentence of about 90 words; Exclusion 9; Exclusion 14; Condition 4 (Other Insurance)).</w:t>
            </w:r>
          </w:p>
        </w:tc>
      </w:tr>
      <w:tr>
        <w:tc>
          <w:tcPr>
            <w:tcW w:type="dxa" w:w="2232"/>
            <w:shd w:val="clear" w:color="auto" w:fill="D9E2F3"/>
          </w:tcPr>
          <w:p>
            <w:r/>
            <w:r>
              <w:rPr>
                <w:b/>
                <w:sz w:val="19"/>
              </w:rPr>
              <w:t>(d)/(e) Corrective action</w:t>
            </w:r>
          </w:p>
        </w:tc>
        <w:tc>
          <w:tcPr>
            <w:tcW w:type="dxa" w:w="7416"/>
          </w:tcPr>
          <w:p>
            <w:pPr>
              <w:spacing w:after="40"/>
              <w:ind w:left="216"/>
            </w:pPr>
            <w:r/>
            <w:r>
              <w:rPr>
                <w:b w:val="0"/>
                <w:i w:val="0"/>
                <w:sz w:val="19"/>
              </w:rPr>
              <w:t xml:space="preserve">• </w:t>
            </w:r>
            <w:r>
              <w:rPr>
                <w:b/>
                <w:i w:val="0"/>
                <w:sz w:val="19"/>
              </w:rPr>
              <w:t>By February 10:</w:t>
            </w:r>
            <w:r>
              <w:rPr>
                <w:b w:val="0"/>
                <w:i w:val="0"/>
                <w:sz w:val="19"/>
              </w:rPr>
              <w:t xml:space="preserve"> run a diagnostic Flesch and Flesch-Kincaid test on the current draft, section by section, so that plain-language fixes can be built into the February 14 revision.</w:t>
            </w:r>
          </w:p>
          <w:p>
            <w:pPr>
              <w:spacing w:after="40"/>
              <w:ind w:left="216"/>
            </w:pPr>
            <w:r>
              <w:rPr>
                <w:b w:val="0"/>
                <w:i w:val="0"/>
                <w:sz w:val="19"/>
              </w:rPr>
              <w:t xml:space="preserve">• </w:t>
            </w:r>
            <w:r>
              <w:rPr>
                <w:b/>
                <w:i w:val="0"/>
                <w:sz w:val="19"/>
              </w:rPr>
              <w:t>February 18–21:</w:t>
            </w:r>
            <w:r>
              <w:rPr>
                <w:b w:val="0"/>
                <w:i w:val="0"/>
                <w:sz w:val="19"/>
              </w:rPr>
              <w:t xml:space="preserve"> run the certified test on the frozen final form and all companion notices; document the method used (text tested, any exclusions such as captions and Declarations blanks); obtain an officer-signed certificate.</w:t>
            </w:r>
          </w:p>
          <w:p>
            <w:pPr>
              <w:spacing w:after="40"/>
              <w:ind w:left="216"/>
            </w:pPr>
            <w:r>
              <w:rPr>
                <w:b w:val="0"/>
                <w:i w:val="0"/>
                <w:sz w:val="19"/>
              </w:rPr>
              <w:t>• Deliver the certificate to Trenton by about February 24, leaving time to re-test if the score falls short.</w:t>
            </w:r>
          </w:p>
          <w:p>
            <w:pPr>
              <w:spacing w:after="40"/>
              <w:ind w:left="216"/>
            </w:pPr>
            <w:r>
              <w:rPr>
                <w:b w:val="0"/>
                <w:i w:val="0"/>
                <w:sz w:val="19"/>
              </w:rPr>
              <w:t>• Write the new disclosures at a low grade level from the start (short sentences, second person, question-and-answer headings).</w:t>
            </w:r>
          </w:p>
        </w:tc>
      </w:tr>
      <w:tr>
        <w:tc>
          <w:tcPr>
            <w:tcW w:type="dxa" w:w="2232"/>
            <w:shd w:val="clear" w:color="auto" w:fill="D9E2F3"/>
          </w:tcPr>
          <w:p>
            <w:r/>
            <w:r>
              <w:rPr>
                <w:b/>
                <w:sz w:val="19"/>
              </w:rPr>
              <w:t>Checklist status</w:t>
            </w:r>
          </w:p>
        </w:tc>
        <w:tc>
          <w:tcPr>
            <w:tcW w:type="dxa" w:w="7416"/>
          </w:tcPr>
          <w:p>
            <w:pPr>
              <w:spacing w:after="40"/>
            </w:pPr>
            <w:r/>
            <w:r>
              <w:rPr>
                <w:b w:val="0"/>
                <w:i w:val="0"/>
                <w:sz w:val="19"/>
              </w:rPr>
              <w:t>Entries 7.1, 11.1 — Not Yet Reviewed. Treat as an open Critical action item and move the target date earlier.</w:t>
            </w:r>
          </w:p>
        </w:tc>
      </w:tr>
    </w:tbl>
    <w:p>
      <w:pPr>
        <w:spacing w:after="40"/>
      </w:pPr>
    </w:p>
    <w:p>
      <w:pPr>
        <w:pStyle w:val="Heading3"/>
      </w:pPr>
      <w:r>
        <w:t>Gap 4 — Proof of loss deadline is 30 days; Colorado requires at least 60 days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6(g) (Duties in the Event of Loss or Damage) (¶ 7.6(g)); related: ¶ 2.1 (“no duty to pay … until we receive a satisfactory proof of loss”) and the closing sentence of ¶ 7.6 (failure to comply “may result in the denial of the claim”).</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10-4-105.2; C.R.S. § 10-4-105 (standard fire policy, 60-day proof of loss).</w:t>
            </w:r>
          </w:p>
        </w:tc>
      </w:tr>
      <w:tr>
        <w:tc>
          <w:tcPr>
            <w:tcW w:type="dxa" w:w="2232"/>
            <w:shd w:val="clear" w:color="auto" w:fill="D9E2F3"/>
          </w:tcPr>
          <w:p>
            <w:r/>
            <w:r>
              <w:rPr>
                <w:b/>
                <w:sz w:val="19"/>
              </w:rPr>
              <w:t>(c) Non-compliance</w:t>
            </w:r>
          </w:p>
        </w:tc>
        <w:tc>
          <w:tcPr>
            <w:tcW w:type="dxa" w:w="7416"/>
          </w:tcPr>
          <w:p>
            <w:pPr>
              <w:spacing w:after="40"/>
            </w:pPr>
            <w:r/>
            <w:r>
              <w:rPr>
                <w:b w:val="0"/>
                <w:i w:val="0"/>
                <w:sz w:val="19"/>
              </w:rPr>
              <w:t>¶ 7.6(g) requires the insured to “</w:t>
            </w:r>
            <w:r>
              <w:rPr>
                <w:b/>
                <w:i w:val="0"/>
                <w:sz w:val="19"/>
              </w:rPr>
              <w:t>Submit to us, within thirty (30) days after our written request, a signed, sworn proof of loss</w:t>
            </w:r>
            <w:r>
              <w:rPr>
                <w:b w:val="0"/>
                <w:i w:val="0"/>
                <w:sz w:val="19"/>
              </w:rPr>
              <w:t>.” That is half the statutory minimum. Because ¶ 7.6 states that non-compliance may lead to denial, the shorter deadline could be used to forfeit coverage, which is the outcome the statute prohibits. The form is also internally inconsistent: the mortgageholder receives 60 days to file a proof of loss (¶ 7.8(c)), but the Named Insured receives only 30.</w:t>
            </w:r>
          </w:p>
        </w:tc>
      </w:tr>
      <w:tr>
        <w:tc>
          <w:tcPr>
            <w:tcW w:type="dxa" w:w="2232"/>
            <w:shd w:val="clear" w:color="auto" w:fill="D9E2F3"/>
          </w:tcPr>
          <w:p>
            <w:r/>
            <w:r>
              <w:rPr>
                <w:b/>
                <w:sz w:val="19"/>
              </w:rPr>
              <w:t>(d)/(e) Corrective action</w:t>
            </w:r>
          </w:p>
        </w:tc>
        <w:tc>
          <w:tcPr>
            <w:tcW w:type="dxa" w:w="7416"/>
          </w:tcPr>
          <w:p>
            <w:pPr>
              <w:spacing w:after="40"/>
            </w:pPr>
            <w:r/>
            <w:r>
              <w:rPr>
                <w:b w:val="0"/>
                <w:i w:val="0"/>
                <w:sz w:val="19"/>
              </w:rPr>
              <w:t>Replace “within thirty (30) days” with “within sixty (60) days” in ¶ 7.6(g) (Appendix A-6). We also recommend that the written request be accompanied by the proof-of-loss form and a description of the information needed. Check that claim-system letter templates are updated to match.</w:t>
            </w:r>
          </w:p>
        </w:tc>
      </w:tr>
      <w:tr>
        <w:tc>
          <w:tcPr>
            <w:tcW w:type="dxa" w:w="2232"/>
            <w:shd w:val="clear" w:color="auto" w:fill="D9E2F3"/>
          </w:tcPr>
          <w:p>
            <w:r/>
            <w:r>
              <w:rPr>
                <w:b/>
                <w:sz w:val="19"/>
              </w:rPr>
              <w:t>Checklist status</w:t>
            </w:r>
          </w:p>
        </w:tc>
        <w:tc>
          <w:tcPr>
            <w:tcW w:type="dxa" w:w="7416"/>
          </w:tcPr>
          <w:p>
            <w:pPr>
              <w:spacing w:after="40"/>
            </w:pPr>
            <w:r/>
            <w:r>
              <w:rPr>
                <w:b w:val="0"/>
                <w:i w:val="0"/>
                <w:sz w:val="19"/>
              </w:rPr>
              <w:t>Entry 2.2 — Non-Compliant (agree).</w:t>
            </w:r>
          </w:p>
        </w:tc>
      </w:tr>
    </w:tbl>
    <w:p>
      <w:pPr>
        <w:spacing w:after="40"/>
      </w:pPr>
    </w:p>
    <w:p>
      <w:pPr>
        <w:pStyle w:val="Heading3"/>
      </w:pPr>
      <w:r>
        <w:t>Gap 5 — No affirmative offer of replacement cost coverage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 (but heightened-scrutiny area)</w:t>
            </w:r>
          </w:p>
        </w:tc>
      </w:tr>
      <w:tr>
        <w:tc>
          <w:tcPr>
            <w:tcW w:type="dxa" w:w="2232"/>
            <w:shd w:val="clear" w:color="auto" w:fill="D9E2F3"/>
          </w:tcPr>
          <w:p>
            <w:r/>
            <w:r>
              <w:rPr>
                <w:b/>
                <w:sz w:val="19"/>
              </w:rPr>
              <w:t>(a) Form section</w:t>
            </w:r>
          </w:p>
        </w:tc>
        <w:tc>
          <w:tcPr>
            <w:tcW w:type="dxa" w:w="7416"/>
          </w:tcPr>
          <w:p>
            <w:pPr>
              <w:spacing w:after="40"/>
            </w:pPr>
            <w:r/>
            <w:r>
              <w:rPr>
                <w:b w:val="0"/>
                <w:i w:val="0"/>
                <w:sz w:val="19"/>
              </w:rPr>
              <w:t>Declarations ¶ 1.4 (“Valuation: Actual Cash Value”); ¶ 1.6 (optional endorsement list); ¶ 2.1; Section V, Conditions 1 and 3 (¶¶ 5.1, 5.3, last paragraph: “Replacement Cost Valuation may be available by attachment of Endorsement MCP-RC-01, if issued. Refer to your agent or broker …”).</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10-4-110.4.</w:t>
            </w:r>
          </w:p>
        </w:tc>
      </w:tr>
      <w:tr>
        <w:tc>
          <w:tcPr>
            <w:tcW w:type="dxa" w:w="2232"/>
            <w:shd w:val="clear" w:color="auto" w:fill="D9E2F3"/>
          </w:tcPr>
          <w:p>
            <w:r/>
            <w:r>
              <w:rPr>
                <w:b/>
                <w:sz w:val="19"/>
              </w:rPr>
              <w:t>(c) Non-compliance</w:t>
            </w:r>
          </w:p>
        </w:tc>
        <w:tc>
          <w:tcPr>
            <w:tcW w:type="dxa" w:w="7416"/>
          </w:tcPr>
          <w:p>
            <w:pPr>
              <w:spacing w:after="40"/>
            </w:pPr>
            <w:r/>
            <w:r>
              <w:rPr>
                <w:b w:val="0"/>
                <w:i w:val="0"/>
                <w:sz w:val="19"/>
              </w:rPr>
              <w:t>Actual cash value is built into the form as the only valuation basis in five places (¶¶ 1.4, 2.1, 5.1, 5.3, and the ACV inventory and proof-of-loss items in ¶ 7.6). The only reference to replacement cost is a passive note that an endorsement “may be available … if issued.” The form does not describe replacement cost coverage, does not explain how it differs from ACV, and gives the insured no way to elect or decline it. The statute, as described in the checklist, requires a clear and conspicuous offer, made in the form or in a mandatory notice at inception and at each renewal, that allows the insured to affirmatively elect or decline. A reference to an optional endorsement does not meet that standard. This also matters for wildfire: total-loss wildfire claims settled at ACV leave insureds well short of rebuilding costs, and the Division is likely to read the valuation default alongside the wildfire disclosure.</w:t>
            </w:r>
          </w:p>
        </w:tc>
      </w:tr>
      <w:tr>
        <w:tc>
          <w:tcPr>
            <w:tcW w:type="dxa" w:w="2232"/>
            <w:shd w:val="clear" w:color="auto" w:fill="D9E2F3"/>
          </w:tcPr>
          <w:p>
            <w:r/>
            <w:r>
              <w:rPr>
                <w:b/>
                <w:sz w:val="19"/>
              </w:rPr>
              <w:t>(d)/(e) Corrective action</w:t>
            </w:r>
          </w:p>
        </w:tc>
        <w:tc>
          <w:tcPr>
            <w:tcW w:type="dxa" w:w="7416"/>
          </w:tcPr>
          <w:p>
            <w:pPr>
              <w:spacing w:after="40"/>
              <w:ind w:left="216"/>
            </w:pPr>
            <w:r/>
            <w:r>
              <w:rPr>
                <w:b w:val="0"/>
                <w:i w:val="0"/>
                <w:sz w:val="19"/>
              </w:rPr>
              <w:t>• Add a “REPLACEMENT COST COVERAGE OFFER” section or mandatory notice (Appendix A-3) that explains replacement cost and ACV with a short dollar illustration, gives a premium indication, and provides an election/rejection signature block.</w:t>
            </w:r>
          </w:p>
          <w:p>
            <w:pPr>
              <w:spacing w:after="40"/>
              <w:ind w:left="216"/>
            </w:pPr>
            <w:r>
              <w:rPr>
                <w:b w:val="0"/>
                <w:i w:val="0"/>
                <w:sz w:val="19"/>
              </w:rPr>
              <w:t>• Revise the ¶ 1.4 Valuation entry to show the basis selected, for example “[ ] Replacement Cost (Endorsement MCP-RC-01 attached) [ ] Actual Cash Value — Replacement Cost offered and declined on ____”.</w:t>
            </w:r>
          </w:p>
          <w:p>
            <w:pPr>
              <w:spacing w:after="40"/>
              <w:ind w:left="216"/>
            </w:pPr>
            <w:r>
              <w:rPr>
                <w:b w:val="0"/>
                <w:i w:val="0"/>
                <w:sz w:val="19"/>
              </w:rPr>
              <w:t>• Conform ¶¶ 2.1, 5.1 and 5.3 to “the valuation basis shown in the Declarations.”</w:t>
            </w:r>
          </w:p>
          <w:p>
            <w:pPr>
              <w:spacing w:after="40"/>
              <w:ind w:left="216"/>
            </w:pPr>
            <w:r>
              <w:rPr>
                <w:b w:val="0"/>
                <w:i w:val="0"/>
                <w:sz w:val="19"/>
              </w:rPr>
              <w:t>• Deliver the offer at inception and at each renewal, and keep signed elections on file.</w:t>
            </w:r>
          </w:p>
          <w:p>
            <w:pPr>
              <w:spacing w:after="40"/>
              <w:ind w:left="216"/>
            </w:pPr>
            <w:r>
              <w:rPr>
                <w:b w:val="0"/>
                <w:i w:val="0"/>
                <w:sz w:val="19"/>
              </w:rPr>
              <w:t>• File MCP-RC-01 in the same submission, or confirm that it is approved for use with MCP-2025-01 (see Gap 14).</w:t>
            </w:r>
          </w:p>
        </w:tc>
      </w:tr>
      <w:tr>
        <w:tc>
          <w:tcPr>
            <w:tcW w:type="dxa" w:w="2232"/>
            <w:shd w:val="clear" w:color="auto" w:fill="D9E2F3"/>
          </w:tcPr>
          <w:p>
            <w:r/>
            <w:r>
              <w:rPr>
                <w:b/>
                <w:sz w:val="19"/>
              </w:rPr>
              <w:t>Checklist status</w:t>
            </w:r>
          </w:p>
        </w:tc>
        <w:tc>
          <w:tcPr>
            <w:tcW w:type="dxa" w:w="7416"/>
          </w:tcPr>
          <w:p>
            <w:pPr>
              <w:spacing w:after="40"/>
            </w:pPr>
            <w:r/>
            <w:r>
              <w:rPr>
                <w:b w:val="0"/>
                <w:i w:val="0"/>
                <w:sz w:val="19"/>
              </w:rPr>
              <w:t>Entry 4.1 — Non-Compliant (agree).</w:t>
            </w:r>
          </w:p>
        </w:tc>
      </w:tr>
    </w:tbl>
    <w:p>
      <w:pPr>
        <w:spacing w:after="40"/>
      </w:pPr>
    </w:p>
    <w:p>
      <w:pPr>
        <w:pStyle w:val="Heading3"/>
      </w:pPr>
      <w:r>
        <w:t>Gap 6 — Insurer may cancel on 10 days’ notice for any reason during the first 60 days of a policy or of any renewal</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 (same Condition as repeat item)</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12, “Cancellation by Us,” paragraphs (a) and (b) (¶ 7.12).</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10-4-403(1)(a) (45 days’ notice for cancellation for reasons other than nonpayment; 10 days for nonpayment); § 10-4-110.8 (checklist Entry 5.2).</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The form sets up three tiers. Paragraph (a) allows cancellation on </w:t>
            </w:r>
            <w:r>
              <w:rPr>
                <w:b/>
                <w:i w:val="0"/>
                <w:sz w:val="19"/>
              </w:rPr>
              <w:t>10 days’</w:t>
            </w:r>
            <w:r>
              <w:rPr>
                <w:b w:val="0"/>
                <w:i w:val="0"/>
                <w:sz w:val="19"/>
              </w:rPr>
              <w:t xml:space="preserve"> notice for reasons other than nonpayment within the first 60 days. Paragraph (b) applies 45 days only “after the first 60 days of the policy period, or after the first 60 days of </w:t>
            </w:r>
            <w:r>
              <w:rPr>
                <w:b/>
                <w:i w:val="0"/>
                <w:sz w:val="19"/>
              </w:rPr>
              <w:t>any renewal period</w:t>
            </w:r>
            <w:r>
              <w:rPr>
                <w:b w:val="0"/>
                <w:i w:val="0"/>
                <w:sz w:val="19"/>
              </w:rPr>
              <w:t xml:space="preserve">.” Read together, Meridian could cancel a </w:t>
            </w:r>
            <w:r>
              <w:rPr>
                <w:b/>
                <w:i w:val="0"/>
                <w:sz w:val="19"/>
              </w:rPr>
              <w:t>renewal</w:t>
            </w:r>
            <w:r>
              <w:rPr>
                <w:b w:val="0"/>
                <w:i w:val="0"/>
                <w:sz w:val="19"/>
              </w:rPr>
              <w:t xml:space="preserve"> policy for any reason on 10 days’ notice during each renewal’s first 60 days. As described in the checklist, the Colorado requirement contains no new-business or underwriting-period exception. Checklist Entry 1.1 marks this “Compliant” and describes only two tiers (45 days and 10 days for nonpayment). That description does not match the final form and was probably assessed against the December 20, 2024 draft.</w:t>
            </w:r>
          </w:p>
        </w:tc>
      </w:tr>
      <w:tr>
        <w:tc>
          <w:tcPr>
            <w:tcW w:type="dxa" w:w="2232"/>
            <w:shd w:val="clear" w:color="auto" w:fill="D9E2F3"/>
          </w:tcPr>
          <w:p>
            <w:r/>
            <w:r>
              <w:rPr>
                <w:b/>
                <w:sz w:val="19"/>
              </w:rPr>
              <w:t>(d)/(e) Corrective action</w:t>
            </w:r>
          </w:p>
        </w:tc>
        <w:tc>
          <w:tcPr>
            <w:tcW w:type="dxa" w:w="7416"/>
          </w:tcPr>
          <w:p>
            <w:pPr>
              <w:spacing w:after="40"/>
            </w:pPr>
            <w:r/>
            <w:r>
              <w:rPr>
                <w:b w:val="0"/>
                <w:i w:val="0"/>
                <w:sz w:val="19"/>
              </w:rPr>
              <w:t>Delete paragraph (a) and the words “or after the first 60 days of any renewal period” from paragraph (b), leaving 45 days for any reason other than nonpayment and 10 days for nonpayment (Appendix A-1). If underwriting wants a new-business cancellation window, keep it only if counsel confirms that the current statutory text expressly allows one. Even then, limit it to new policies, never renewals, and use the statutory notice period.</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1.1 — marked Compliant; we revise to </w:t>
            </w:r>
            <w:r>
              <w:rPr>
                <w:b/>
                <w:i w:val="0"/>
                <w:sz w:val="19"/>
              </w:rPr>
              <w:t>Non-Compliant</w:t>
            </w:r>
            <w:r>
              <w:rPr>
                <w:b w:val="0"/>
                <w:i w:val="0"/>
                <w:sz w:val="19"/>
              </w:rPr>
              <w:t>.</w:t>
            </w:r>
          </w:p>
        </w:tc>
      </w:tr>
    </w:tbl>
    <w:p>
      <w:pPr>
        <w:spacing w:after="40"/>
      </w:pPr>
    </w:p>
    <w:p>
      <w:pPr>
        <w:pStyle w:val="Heading3"/>
      </w:pPr>
      <w:r>
        <w:t>Gap 7 — Cancellation and nonrenewal notices are not required to state reasons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 (same Condition as repeat item)</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12 (¶ 7.12), “Cancellation by Us” and “Nonrenewal.”</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10-4-403(2).</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The final form contains </w:t>
            </w:r>
            <w:r>
              <w:rPr>
                <w:b/>
                <w:i w:val="0"/>
                <w:sz w:val="19"/>
              </w:rPr>
              <w:t>no</w:t>
            </w:r>
            <w:r>
              <w:rPr>
                <w:b w:val="0"/>
                <w:i w:val="0"/>
                <w:sz w:val="19"/>
              </w:rPr>
              <w:t xml:space="preserve"> statement that a cancellation or nonrenewal notice will give the reason. Checklist Entry 1.3 quotes the language “will state the reason for cancellation or nonrenewal” and marks the item Compliant, but that language does not appear in the January 2025 edition. It was probably lost between the December 20 draft and the final form. A notice with no stated reason does not satisfy the statute.</w:t>
            </w:r>
          </w:p>
        </w:tc>
      </w:tr>
      <w:tr>
        <w:tc>
          <w:tcPr>
            <w:tcW w:type="dxa" w:w="2232"/>
            <w:shd w:val="clear" w:color="auto" w:fill="D9E2F3"/>
          </w:tcPr>
          <w:p>
            <w:r/>
            <w:r>
              <w:rPr>
                <w:b/>
                <w:sz w:val="19"/>
              </w:rPr>
              <w:t>(d)/(e) Corrective action</w:t>
            </w:r>
          </w:p>
        </w:tc>
        <w:tc>
          <w:tcPr>
            <w:tcW w:type="dxa" w:w="7416"/>
          </w:tcPr>
          <w:p>
            <w:pPr>
              <w:spacing w:after="40"/>
            </w:pPr>
            <w:r/>
            <w:r>
              <w:rPr>
                <w:b w:val="0"/>
                <w:i w:val="0"/>
                <w:sz w:val="19"/>
              </w:rPr>
              <w:t>Add to ¶ 7.12: “Any notice of cancellation or nonrenewal we send will state the specific reason or reasons for our action.” (Appendix A-1). Re-verify every other checklist entry that was assessed against the December 20 draft (Entries 1.1, 1.3, 1.5, 6.1, 8.2–8.5, 9.1, 9.2); our reconciliation is in Section VI.</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1.3 — marked Compliant; we revise to </w:t>
            </w:r>
            <w:r>
              <w:rPr>
                <w:b/>
                <w:i w:val="0"/>
                <w:sz w:val="19"/>
              </w:rPr>
              <w:t>Non-Compliant</w:t>
            </w:r>
            <w:r>
              <w:rPr>
                <w:b w:val="0"/>
                <w:i w:val="0"/>
                <w:sz w:val="19"/>
              </w:rPr>
              <w:t>.</w:t>
            </w:r>
          </w:p>
        </w:tc>
      </w:tr>
    </w:tbl>
    <w:p>
      <w:pPr>
        <w:spacing w:after="40"/>
      </w:pPr>
    </w:p>
    <w:p>
      <w:pPr>
        <w:pStyle w:val="Heading3"/>
      </w:pPr>
      <w:r>
        <w:t>Gap 8 — Notices sent by “regular mail”; no consented electronic delivery option</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 (same Condition as repeat item)</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12, “Delivery Method” and last sentence of “Nonrenewal” (¶ 7.12).</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10-4-403(4).</w:t>
            </w:r>
          </w:p>
        </w:tc>
      </w:tr>
      <w:tr>
        <w:tc>
          <w:tcPr>
            <w:tcW w:type="dxa" w:w="2232"/>
            <w:shd w:val="clear" w:color="auto" w:fill="D9E2F3"/>
          </w:tcPr>
          <w:p>
            <w:r/>
            <w:r>
              <w:rPr>
                <w:b/>
                <w:sz w:val="19"/>
              </w:rPr>
              <w:t>(c) Non-compliance</w:t>
            </w:r>
          </w:p>
        </w:tc>
        <w:tc>
          <w:tcPr>
            <w:tcW w:type="dxa" w:w="7416"/>
          </w:tcPr>
          <w:p>
            <w:pPr>
              <w:spacing w:after="40"/>
            </w:pPr>
            <w:r/>
            <w:r>
              <w:rPr>
                <w:b w:val="0"/>
                <w:i w:val="0"/>
                <w:sz w:val="19"/>
              </w:rPr>
              <w:t>The statute, as described in the checklist, requires first-class mail to the last known address, or electronic delivery where the policyholder has affirmatively consented. The form specifies “regular mail,” which could include standard or bulk mail, and deems delivery complete “upon deposit in the United States Mail.” It also has no electronic-delivery option. If Meridian’s operations send notices electronically in Colorado, those notices would have no basis in the policy. Because the 2021 objection involved this same Condition, examiners can be expected to read it closely.</w:t>
            </w:r>
          </w:p>
        </w:tc>
      </w:tr>
      <w:tr>
        <w:tc>
          <w:tcPr>
            <w:tcW w:type="dxa" w:w="2232"/>
            <w:shd w:val="clear" w:color="auto" w:fill="D9E2F3"/>
          </w:tcPr>
          <w:p>
            <w:r/>
            <w:r>
              <w:rPr>
                <w:b/>
                <w:sz w:val="19"/>
              </w:rPr>
              <w:t>(d)/(e) Corrective action</w:t>
            </w:r>
          </w:p>
        </w:tc>
        <w:tc>
          <w:tcPr>
            <w:tcW w:type="dxa" w:w="7416"/>
          </w:tcPr>
          <w:p>
            <w:pPr>
              <w:spacing w:after="40"/>
            </w:pPr>
            <w:r/>
            <w:r>
              <w:rPr>
                <w:b w:val="0"/>
                <w:i w:val="0"/>
                <w:sz w:val="19"/>
              </w:rPr>
              <w:t>Replace “regular mail” with “first-class mail” throughout ¶ 7.12. Add: “or, if the first Named Insured has affirmatively consented in writing or by electronic acknowledgment to receive notices electronically, by electronic delivery to the address so designated.” Keep proof-of-mailing language that is consistent with the statute (Appendix A-1). Confirm that an e-delivery consent process exists before relying on it.</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Entries 1.4, 5.2 — Potential Issue; we revise to </w:t>
            </w:r>
            <w:r>
              <w:rPr>
                <w:b/>
                <w:i w:val="0"/>
                <w:sz w:val="19"/>
              </w:rPr>
              <w:t>Non-Compliant</w:t>
            </w:r>
            <w:r>
              <w:rPr>
                <w:b w:val="0"/>
                <w:i w:val="0"/>
                <w:sz w:val="19"/>
              </w:rPr>
              <w:t xml:space="preserve"> (the wording departs from the statutory term).</w:t>
            </w:r>
          </w:p>
        </w:tc>
      </w:tr>
    </w:tbl>
    <w:p>
      <w:pPr>
        <w:spacing w:after="40"/>
      </w:pPr>
    </w:p>
    <w:p>
      <w:pPr>
        <w:pStyle w:val="Heading3"/>
      </w:pPr>
      <w:r>
        <w:t>Gap 9 — Appraisal clause lacks the required judicial umpire-selection fallback</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9 (Appraisal) (¶ 7.9).</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3 CCR 702-4, Regulation 4-2-28; C.R.S. § 10-4-105 (the standard fire policy appraisal clause provides for a judge to select the umpire).</w:t>
            </w:r>
          </w:p>
        </w:tc>
      </w:tr>
      <w:tr>
        <w:tc>
          <w:tcPr>
            <w:tcW w:type="dxa" w:w="2232"/>
            <w:shd w:val="clear" w:color="auto" w:fill="D9E2F3"/>
          </w:tcPr>
          <w:p>
            <w:r/>
            <w:r>
              <w:rPr>
                <w:b/>
                <w:sz w:val="19"/>
              </w:rPr>
              <w:t>(c) Non-compliance</w:t>
            </w:r>
          </w:p>
        </w:tc>
        <w:tc>
          <w:tcPr>
            <w:tcW w:type="dxa" w:w="7416"/>
          </w:tcPr>
          <w:p>
            <w:pPr>
              <w:spacing w:after="40"/>
            </w:pPr>
            <w:r/>
            <w:r>
              <w:rPr>
                <w:b w:val="0"/>
                <w:i w:val="0"/>
                <w:sz w:val="19"/>
              </w:rPr>
              <w:t>The form states: “The two appraisers will select an umpire. If they cannot agree on an umpire, the appraisers will attempt to resolve their differences and arrive at a mutually agreed-upon amount of loss.” That sentence does not just leave out the fallback; it sends a deadlock back to the same two appraisers who could not agree. That is the stalemate the regulation is designed to prevent. The regulation requires the specific language: “if the two appraisers fail to agree on an umpire within 15 days, either party may request that selection be made by a judge of a court having jurisdiction.”</w:t>
            </w:r>
          </w:p>
        </w:tc>
      </w:tr>
      <w:tr>
        <w:tc>
          <w:tcPr>
            <w:tcW w:type="dxa" w:w="2232"/>
            <w:shd w:val="clear" w:color="auto" w:fill="D9E2F3"/>
          </w:tcPr>
          <w:p>
            <w:r/>
            <w:r>
              <w:rPr>
                <w:b/>
                <w:sz w:val="19"/>
              </w:rPr>
              <w:t>(d)/(e) Corrective action</w:t>
            </w:r>
          </w:p>
        </w:tc>
        <w:tc>
          <w:tcPr>
            <w:tcW w:type="dxa" w:w="7416"/>
          </w:tcPr>
          <w:p>
            <w:pPr>
              <w:spacing w:after="40"/>
            </w:pPr>
            <w:r/>
            <w:r>
              <w:rPr>
                <w:b w:val="0"/>
                <w:i w:val="0"/>
                <w:sz w:val="19"/>
              </w:rPr>
              <w:t>Delete the “attempt to resolve their differences” sentence and insert the regulatory language verbatim (Appendix A-5). Also consider tolling the suit-limitation period while an appraisal is pending (see Gap 16).</w:t>
            </w:r>
          </w:p>
        </w:tc>
      </w:tr>
      <w:tr>
        <w:tc>
          <w:tcPr>
            <w:tcW w:type="dxa" w:w="2232"/>
            <w:shd w:val="clear" w:color="auto" w:fill="D9E2F3"/>
          </w:tcPr>
          <w:p>
            <w:r/>
            <w:r>
              <w:rPr>
                <w:b/>
                <w:sz w:val="19"/>
              </w:rPr>
              <w:t>Checklist status</w:t>
            </w:r>
          </w:p>
        </w:tc>
        <w:tc>
          <w:tcPr>
            <w:tcW w:type="dxa" w:w="7416"/>
          </w:tcPr>
          <w:p>
            <w:pPr>
              <w:spacing w:after="40"/>
            </w:pPr>
            <w:r/>
            <w:r>
              <w:rPr>
                <w:b w:val="0"/>
                <w:i w:val="0"/>
                <w:sz w:val="19"/>
              </w:rPr>
              <w:t>Entry 7.3 — Non-Compliant (agree).</w:t>
            </w:r>
          </w:p>
        </w:tc>
      </w:tr>
    </w:tbl>
    <w:p>
      <w:pPr>
        <w:spacing w:after="40"/>
      </w:pPr>
    </w:p>
    <w:p>
      <w:pPr>
        <w:pStyle w:val="Heading3"/>
      </w:pPr>
      <w:r>
        <w:t>Gap 10 — Coinsurance condition lacks plain-language explanation and numerical example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 Condition 5 (Coinsurance) (¶ 5.5); Declarations ¶ 1.4 (80% / 90% / 100% options).</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3 CCR 702-4, Regulation 4-2-22.</w:t>
            </w:r>
          </w:p>
        </w:tc>
      </w:tr>
      <w:tr>
        <w:tc>
          <w:tcPr>
            <w:tcW w:type="dxa" w:w="2232"/>
            <w:shd w:val="clear" w:color="auto" w:fill="D9E2F3"/>
          </w:tcPr>
          <w:p>
            <w:r/>
            <w:r>
              <w:rPr>
                <w:b/>
                <w:sz w:val="19"/>
              </w:rPr>
              <w:t>(c) Non-compliance</w:t>
            </w:r>
          </w:p>
        </w:tc>
        <w:tc>
          <w:tcPr>
            <w:tcW w:type="dxa" w:w="7416"/>
          </w:tcPr>
          <w:p>
            <w:pPr>
              <w:spacing w:after="40"/>
            </w:pPr>
            <w:r/>
            <w:r>
              <w:rPr>
                <w:b w:val="0"/>
                <w:i w:val="0"/>
                <w:sz w:val="19"/>
              </w:rPr>
              <w:t>The form gives only the formula and its defined terms. It has no plain-language explanation of the practical effect and no dollar example showing how underinsurance reduces recovery. The regulation requires both. The issue matters more because ACV is the default valuation basis (Gap 5) and because the target market (TIVs of $500,000 to $25,000,000) includes many risks whose values have risen sharply with construction-cost inflation, so a coinsurance penalty is a realistic outcome after a wildfire.</w:t>
            </w:r>
          </w:p>
        </w:tc>
      </w:tr>
      <w:tr>
        <w:tc>
          <w:tcPr>
            <w:tcW w:type="dxa" w:w="2232"/>
            <w:shd w:val="clear" w:color="auto" w:fill="D9E2F3"/>
          </w:tcPr>
          <w:p>
            <w:r/>
            <w:r>
              <w:rPr>
                <w:b/>
                <w:sz w:val="19"/>
              </w:rPr>
              <w:t>(d)/(e) Corrective action</w:t>
            </w:r>
          </w:p>
        </w:tc>
        <w:tc>
          <w:tcPr>
            <w:tcW w:type="dxa" w:w="7416"/>
          </w:tcPr>
          <w:p>
            <w:pPr>
              <w:spacing w:after="40"/>
            </w:pPr>
            <w:r/>
            <w:r>
              <w:rPr>
                <w:b w:val="0"/>
                <w:i w:val="0"/>
                <w:sz w:val="19"/>
              </w:rPr>
              <w:t>Add a boxed “What Coinsurance Means for You” explanation with a worked example after the formula in ¶ 5.5 (Appendix A-4). For instance: building value $1,000,000; 80% coinsurance; insurance required $800,000; insurance carried $600,000; loss $200,000; recovery = $600,000 ÷ $800,000 × $200,000 = $150,000, less the $5,000 deductible = $145,000. The insured bears $55,000. Add a second line showing full recovery when the limit carried is $800,000 or more.</w:t>
            </w:r>
          </w:p>
        </w:tc>
      </w:tr>
      <w:tr>
        <w:tc>
          <w:tcPr>
            <w:tcW w:type="dxa" w:w="2232"/>
            <w:shd w:val="clear" w:color="auto" w:fill="D9E2F3"/>
          </w:tcPr>
          <w:p>
            <w:r/>
            <w:r>
              <w:rPr>
                <w:b/>
                <w:sz w:val="19"/>
              </w:rPr>
              <w:t>Checklist status</w:t>
            </w:r>
          </w:p>
        </w:tc>
        <w:tc>
          <w:tcPr>
            <w:tcW w:type="dxa" w:w="7416"/>
          </w:tcPr>
          <w:p>
            <w:pPr>
              <w:spacing w:after="40"/>
            </w:pPr>
            <w:r/>
            <w:r>
              <w:rPr>
                <w:b w:val="0"/>
                <w:i w:val="0"/>
                <w:sz w:val="19"/>
              </w:rPr>
              <w:t>Entry 7.2 — Non-Compliant (agree).</w:t>
            </w:r>
          </w:p>
        </w:tc>
      </w:tr>
    </w:tbl>
    <w:p>
      <w:pPr>
        <w:spacing w:after="40"/>
      </w:pPr>
    </w:p>
    <w:p>
      <w:pPr>
        <w:pStyle w:val="Heading3"/>
      </w:pPr>
      <w:r>
        <w:t>Gap 11 — Terrorism disclosure and offer incomplete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IV, Exclusion 14 (Terrorism) (¶ 4.14); Declarations ¶ 1.7 (“Terrorism Premium (if applicable)”); ¶ 1.6; Section VIII definition of TRIPRA.</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10-4-706; 3 CCR 702-4, Regulation 4-2-41; Terrorism Risk Insurance Act of 2002, as extended by the Terrorism Risk Insurance Program Reauthorization Act of 2019 (Pub. L. 116-94).</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The form excludes certified acts of terrorism and says only that coverage “is available upon request and payment of additional premium” and that the insured “should consult with their agent or broker.” Regulation 4-2-41, as summarized in the checklist, requires a clear, conspicuous and timely disclosure of (i) the premium charged for terrorism coverage, (ii) the federal share of compensation, and (iii) the insurer deductible. None of these appears. An “upon request” statement is also not an offer made at the time of quotation and renewal, and the form has no way to record the insured’s selection or rejection. </w:t>
            </w:r>
            <w:r>
              <w:rPr>
                <w:b/>
                <w:i w:val="0"/>
                <w:sz w:val="19"/>
              </w:rPr>
              <w:t>Checklist Entry 6.1 marks this item “Compliant” even though its own notes list these missing elements, and Entry 7.5 leaves the companion regulation “Not Yet Reviewed.”</w:t>
            </w:r>
            <w:r>
              <w:rPr>
                <w:b w:val="0"/>
                <w:i w:val="0"/>
                <w:sz w:val="19"/>
              </w:rPr>
              <w:t xml:space="preserve"> A separate standard-fire-policy concern about the exclusion of ensuing fire is addressed in Gap 17.</w:t>
            </w:r>
          </w:p>
        </w:tc>
      </w:tr>
      <w:tr>
        <w:tc>
          <w:tcPr>
            <w:tcW w:type="dxa" w:w="2232"/>
            <w:shd w:val="clear" w:color="auto" w:fill="D9E2F3"/>
          </w:tcPr>
          <w:p>
            <w:r/>
            <w:r>
              <w:rPr>
                <w:b/>
                <w:sz w:val="19"/>
              </w:rPr>
              <w:t>(d)/(e) Corrective action</w:t>
            </w:r>
          </w:p>
        </w:tc>
        <w:tc>
          <w:tcPr>
            <w:tcW w:type="dxa" w:w="7416"/>
          </w:tcPr>
          <w:p>
            <w:pPr>
              <w:spacing w:after="40"/>
              <w:ind w:left="216"/>
            </w:pPr>
            <w:r/>
            <w:r>
              <w:rPr>
                <w:b w:val="0"/>
                <w:i w:val="0"/>
                <w:sz w:val="19"/>
              </w:rPr>
              <w:t>• Prepare a TRIPRA policyholder disclosure and selection/rejection notice (Appendix A-7) stating the terrorism premium, the federal share (80% of insured losses above the insurer deductible under the current program), the insurer deductible (20% of the insurer’s prior-year direct earned premium for TRIA-eligible lines), and the $100 billion annual program cap.</w:t>
            </w:r>
          </w:p>
          <w:p>
            <w:pPr>
              <w:spacing w:after="40"/>
              <w:ind w:left="216"/>
            </w:pPr>
            <w:r>
              <w:rPr>
                <w:b w:val="0"/>
                <w:i w:val="0"/>
                <w:sz w:val="19"/>
              </w:rPr>
              <w:t>• Deliver it at quotation and at each renewal, and list it in ¶ 1.6.</w:t>
            </w:r>
          </w:p>
          <w:p>
            <w:pPr>
              <w:spacing w:after="40"/>
              <w:ind w:left="216"/>
            </w:pPr>
            <w:r>
              <w:rPr>
                <w:b w:val="0"/>
                <w:i w:val="0"/>
                <w:sz w:val="19"/>
              </w:rPr>
              <w:t>• Show in ¶ 1.7 either the terrorism premium or “Terrorism coverage rejected.”</w:t>
            </w:r>
          </w:p>
          <w:p>
            <w:pPr>
              <w:spacing w:after="40"/>
              <w:ind w:left="216"/>
            </w:pPr>
            <w:r>
              <w:rPr>
                <w:b w:val="0"/>
                <w:i w:val="0"/>
                <w:sz w:val="19"/>
              </w:rPr>
              <w:t>• Revise ¶ 4.14 to state that the coverage is offered, not merely “available upon request.”</w:t>
            </w:r>
          </w:p>
          <w:p>
            <w:pPr>
              <w:spacing w:after="40"/>
              <w:ind w:left="216"/>
            </w:pPr>
            <w:r>
              <w:rPr>
                <w:b w:val="0"/>
                <w:i w:val="0"/>
                <w:sz w:val="19"/>
              </w:rPr>
              <w:t>• Confirm the program figures and the December 31, 2027 sunset against current Treasury guidance before filing.</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6.1 — marked Compliant; we revise to </w:t>
            </w:r>
            <w:r>
              <w:rPr>
                <w:b/>
                <w:i w:val="0"/>
                <w:sz w:val="19"/>
              </w:rPr>
              <w:t>Non-Compliant</w:t>
            </w:r>
            <w:r>
              <w:rPr>
                <w:b w:val="0"/>
                <w:i w:val="0"/>
                <w:sz w:val="19"/>
              </w:rPr>
              <w:t xml:space="preserve">. Entry 7.5 — Not Yet Reviewed; we revise to </w:t>
            </w:r>
            <w:r>
              <w:rPr>
                <w:b/>
                <w:i w:val="0"/>
                <w:sz w:val="19"/>
              </w:rPr>
              <w:t>Non-Compliant</w:t>
            </w:r>
            <w:r>
              <w:rPr>
                <w:b w:val="0"/>
                <w:i w:val="0"/>
                <w:sz w:val="19"/>
              </w:rPr>
              <w:t>.</w:t>
            </w:r>
          </w:p>
        </w:tc>
      </w:tr>
    </w:tbl>
    <w:p>
      <w:pPr>
        <w:spacing w:after="40"/>
      </w:pPr>
    </w:p>
    <w:p>
      <w:pPr>
        <w:pStyle w:val="Heading3"/>
      </w:pPr>
      <w:r>
        <w:t>Gap 12 — Mortgageholder receives only 10 days’ notice of nonrenewal and 30 days’ notice of cancellation</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Related to MERI-2021-003</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8 (Mortgageholders), last two paragraphs (¶ 7.8).</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10-4-403(1)(a)–(b) and § 10-4-110.8 (applicability to mortgageholders to be confirmed); C.R.S. § 10-4-105 (standard mortgage clause).</w:t>
            </w:r>
          </w:p>
        </w:tc>
      </w:tr>
      <w:tr>
        <w:tc>
          <w:tcPr>
            <w:tcW w:type="dxa" w:w="2232"/>
            <w:shd w:val="clear" w:color="auto" w:fill="D9E2F3"/>
          </w:tcPr>
          <w:p>
            <w:r/>
            <w:r>
              <w:rPr>
                <w:b/>
                <w:sz w:val="19"/>
              </w:rPr>
              <w:t>(c) Non-compliance</w:t>
            </w:r>
          </w:p>
        </w:tc>
        <w:tc>
          <w:tcPr>
            <w:tcW w:type="dxa" w:w="7416"/>
          </w:tcPr>
          <w:p>
            <w:pPr>
              <w:spacing w:after="40"/>
            </w:pPr>
            <w:r/>
            <w:r>
              <w:rPr>
                <w:b w:val="0"/>
                <w:i w:val="0"/>
                <w:sz w:val="19"/>
              </w:rPr>
              <w:t xml:space="preserve">The form gives the mortgageholder 10 days’ written notice before cancellation for nonpayment, </w:t>
            </w:r>
            <w:r>
              <w:rPr>
                <w:b/>
                <w:i w:val="0"/>
                <w:sz w:val="19"/>
              </w:rPr>
              <w:t>30 days</w:t>
            </w:r>
            <w:r>
              <w:rPr>
                <w:b w:val="0"/>
                <w:i w:val="0"/>
                <w:sz w:val="19"/>
              </w:rPr>
              <w:t xml:space="preserve"> before cancellation for any other reason, and </w:t>
            </w:r>
            <w:r>
              <w:rPr>
                <w:b/>
                <w:i w:val="0"/>
                <w:sz w:val="19"/>
              </w:rPr>
              <w:t>10 days</w:t>
            </w:r>
            <w:r>
              <w:rPr>
                <w:b w:val="0"/>
                <w:i w:val="0"/>
                <w:sz w:val="19"/>
              </w:rPr>
              <w:t xml:space="preserve"> before nonrenewal. The checklist does not address this clause. Whether or not the 45-day statute extends to mortgageholders, a 10-day nonrenewal figure in a filing from a carrier with a nonrenewal objection on record is very likely to draw the examiner’s attention. It is also inconsistent with the 45-day period owed to the insured, so a lender could receive notice weeks after the insured, which harms both.</w:t>
            </w:r>
          </w:p>
        </w:tc>
      </w:tr>
      <w:tr>
        <w:tc>
          <w:tcPr>
            <w:tcW w:type="dxa" w:w="2232"/>
            <w:shd w:val="clear" w:color="auto" w:fill="D9E2F3"/>
          </w:tcPr>
          <w:p>
            <w:r/>
            <w:r>
              <w:rPr>
                <w:b/>
                <w:sz w:val="19"/>
              </w:rPr>
              <w:t>(d)/(e) Corrective action</w:t>
            </w:r>
          </w:p>
        </w:tc>
        <w:tc>
          <w:tcPr>
            <w:tcW w:type="dxa" w:w="7416"/>
          </w:tcPr>
          <w:p>
            <w:pPr>
              <w:spacing w:after="40"/>
            </w:pPr>
            <w:r/>
            <w:r>
              <w:rPr>
                <w:b w:val="0"/>
                <w:i w:val="0"/>
                <w:sz w:val="19"/>
              </w:rPr>
              <w:t>Conform the mortgageholder notice periods to those owed to the Named Insured: 10 days for nonpayment, and 45 days for cancellation for any other reason and for nonrenewal (Appendix A-8). Confirm the current statutory text on mortgagee notice.</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13 — “Premiums are fully earned at inception” conflicts with the return-premium condition and cancellation rules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Declarations ¶ 1.7 (Premium Summary): “All premiums are fully earned at inception unless otherwise stated”; compare Section VII, Condition 12, “Return of Premium.”</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10-4-403 and 10-4-110.8 (cancellation framework); C.R.S. § 10-4-110 (prescribed conditions on inception and termination of coverage) (checklist Entry 5.1); rate/rule filing requirements (any minimum earned premium must be supported in the rate filing).</w:t>
            </w:r>
          </w:p>
        </w:tc>
      </w:tr>
      <w:tr>
        <w:tc>
          <w:tcPr>
            <w:tcW w:type="dxa" w:w="2232"/>
            <w:shd w:val="clear" w:color="auto" w:fill="D9E2F3"/>
          </w:tcPr>
          <w:p>
            <w:r/>
            <w:r>
              <w:rPr>
                <w:b/>
                <w:sz w:val="19"/>
              </w:rPr>
              <w:t>(c) Non-compliance</w:t>
            </w:r>
          </w:p>
        </w:tc>
        <w:tc>
          <w:tcPr>
            <w:tcW w:type="dxa" w:w="7416"/>
          </w:tcPr>
          <w:p>
            <w:pPr>
              <w:spacing w:after="40"/>
            </w:pPr>
            <w:r/>
            <w:r>
              <w:rPr>
                <w:b w:val="0"/>
                <w:i w:val="0"/>
                <w:sz w:val="19"/>
              </w:rPr>
              <w:t>If all premium is fully earned at inception, the insured is owed no refund when Meridian cancels mid-term. That contradicts ¶ 7.12, which promises a pro rata refund on insurer cancellation, and it undermines the Colorado cancellation protections. The conflict will be construed against Meridian, and the Division is likely to object to a fully-earned provision on a standard commercial property form unless a minimum earned premium rule has been filed and supported. Separately, ¶ 7.12 refers to a “customary short-rate table” that is neither attached nor identified.</w:t>
            </w:r>
          </w:p>
        </w:tc>
      </w:tr>
      <w:tr>
        <w:tc>
          <w:tcPr>
            <w:tcW w:type="dxa" w:w="2232"/>
            <w:shd w:val="clear" w:color="auto" w:fill="D9E2F3"/>
          </w:tcPr>
          <w:p>
            <w:r/>
            <w:r>
              <w:rPr>
                <w:b/>
                <w:sz w:val="19"/>
              </w:rPr>
              <w:t>(d)/(e) Corrective action</w:t>
            </w:r>
          </w:p>
        </w:tc>
        <w:tc>
          <w:tcPr>
            <w:tcW w:type="dxa" w:w="7416"/>
          </w:tcPr>
          <w:p>
            <w:pPr>
              <w:spacing w:after="40"/>
            </w:pPr>
            <w:r/>
            <w:r>
              <w:rPr>
                <w:b w:val="0"/>
                <w:i w:val="0"/>
                <w:sz w:val="19"/>
              </w:rPr>
              <w:t>Delete the fully-earned sentence or replace it with: “Premium is subject to adjustment and return as provided in Section VII, Condition 12.” If underwriting wants a minimum earned premium, limit it to cancellation requested by the insured and file it with the Northridge rate/rule filing. Attach or identify the short-rate table, or use pro rata in all cases.</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14 — Required companion notices and referenced endorsements are not drafted or included in the filing package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(Procedural)</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Declarations ¶ 1.6 (references Endorsements MCP-RC-01, MCP-AO-01, MCP-EQ-01, MCP-FL-01); ¶ 5.3; ¶ 4.14 (terrorism endorsement); SERFF package list at checklist Entry 11.2.</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3 CCR 702-4, Regulations 4-2-1 through 4-2-10 (complete filing; form identification); C.R.S. §§ 10-4-110.5, 10-4-110.4, 10-4-706 (notices that must accompany the policy).</w:t>
            </w:r>
          </w:p>
        </w:tc>
      </w:tr>
      <w:tr>
        <w:tc>
          <w:tcPr>
            <w:tcW w:type="dxa" w:w="2232"/>
            <w:shd w:val="clear" w:color="auto" w:fill="D9E2F3"/>
          </w:tcPr>
          <w:p>
            <w:r/>
            <w:r>
              <w:rPr>
                <w:b/>
                <w:sz w:val="19"/>
              </w:rPr>
              <w:t>(c) Non-compliance</w:t>
            </w:r>
          </w:p>
        </w:tc>
        <w:tc>
          <w:tcPr>
            <w:tcW w:type="dxa" w:w="7416"/>
          </w:tcPr>
          <w:p>
            <w:pPr>
              <w:spacing w:after="40"/>
            </w:pPr>
            <w:r/>
            <w:r>
              <w:rPr>
                <w:b w:val="0"/>
                <w:i w:val="0"/>
                <w:sz w:val="19"/>
              </w:rPr>
              <w:t>The fixes for Gaps 2, 5 and 11 depend on notices that do not yet exist: a wildfire disclosure notice, a replacement cost offer/election form, and a terrorism disclosure/selection form. The form also refers to four optional endorsements and a terrorism endorsement whose filing status for use with MCP-2025-01 is not documented. The MCP-WF-01 and MCP-RC-01 forms were approved, if at all, for the prior ISO-based program. The Entry 11.2 package checklist lists none of these companion forms.</w:t>
            </w:r>
          </w:p>
        </w:tc>
      </w:tr>
      <w:tr>
        <w:tc>
          <w:tcPr>
            <w:tcW w:type="dxa" w:w="2232"/>
            <w:shd w:val="clear" w:color="auto" w:fill="D9E2F3"/>
          </w:tcPr>
          <w:p>
            <w:r/>
            <w:r>
              <w:rPr>
                <w:b/>
                <w:sz w:val="19"/>
              </w:rPr>
              <w:t>(d)/(e) Corrective action</w:t>
            </w:r>
          </w:p>
        </w:tc>
        <w:tc>
          <w:tcPr>
            <w:tcW w:type="dxa" w:w="7416"/>
          </w:tcPr>
          <w:p>
            <w:pPr>
              <w:spacing w:after="40"/>
            </w:pPr>
            <w:r/>
            <w:r>
              <w:rPr>
                <w:b w:val="0"/>
                <w:i w:val="0"/>
                <w:sz w:val="19"/>
              </w:rPr>
              <w:t>Draft the three notices. For each referenced endorsement, either include it in the same SERFF submission or cite its approved SERFF tracking number and edition date, and confirm that its wording works with the proprietary form’s numbering and definitions. Add all of these to the Entry 11.2 list. In ¶ 1.6, separate “Mandatory Colorado forms (attached to every policy)” from “Optional endorsements.”</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Entries 7.4, 11.2 — Not Yet Reviewed; </w:t>
            </w:r>
            <w:r>
              <w:rPr>
                <w:b/>
                <w:i w:val="0"/>
                <w:sz w:val="19"/>
              </w:rPr>
              <w:t>expanded</w:t>
            </w:r>
            <w:r>
              <w:rPr>
                <w:b w:val="0"/>
                <w:i w:val="0"/>
                <w:sz w:val="19"/>
              </w:rPr>
              <w:t>.</w:t>
            </w:r>
          </w:p>
        </w:tc>
      </w:tr>
    </w:tbl>
    <w:p>
      <w:pPr>
        <w:spacing w:after="40"/>
      </w:pPr>
    </w:p>
    <w:p>
      <w:pPr>
        <w:pStyle w:val="Heading3"/>
      </w:pPr>
      <w:r>
        <w:t>Gap 15 — Prior-objection history in the checklist is inaccurate and should be corrected before anything goes to the Division</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E26B0A"/>
          </w:tcPr>
          <w:p>
            <w:pPr>
              <w:spacing w:after="40"/>
            </w:pPr>
            <w:r>
              <w:rPr>
                <w:b/>
                <w:color w:val="FFFFFF"/>
              </w:rPr>
            </w:r>
            <w:r>
              <w:rPr>
                <w:b/>
                <w:i w:val="0"/>
                <w:color w:val="FFFFFF"/>
                <w:sz w:val="19"/>
              </w:rPr>
              <w:t>High  (Procedural)</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Relates to both prior objections</w:t>
            </w:r>
          </w:p>
        </w:tc>
      </w:tr>
      <w:tr>
        <w:tc>
          <w:tcPr>
            <w:tcW w:type="dxa" w:w="2232"/>
            <w:shd w:val="clear" w:color="auto" w:fill="D9E2F3"/>
          </w:tcPr>
          <w:p>
            <w:r/>
            <w:r>
              <w:rPr>
                <w:b/>
                <w:sz w:val="19"/>
              </w:rPr>
              <w:t>(a) Form section</w:t>
            </w:r>
          </w:p>
        </w:tc>
        <w:tc>
          <w:tcPr>
            <w:tcW w:type="dxa" w:w="7416"/>
          </w:tcPr>
          <w:p>
            <w:pPr>
              <w:spacing w:after="40"/>
            </w:pPr>
            <w:r/>
            <w:r>
              <w:rPr>
                <w:b w:val="0"/>
                <w:i w:val="0"/>
                <w:sz w:val="19"/>
              </w:rPr>
              <w:t>Checklist Section 10 (Entries 10.1, 10.2), Entry 3.1, Section 12 summary table; supporting-documents item in Entry 11.2 (“prior filing history, copies of prior objection letters, and response letters”).</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Division Objection Letters dated July 14, 2021 (MERI-2021-003) and March 22, 2023 (MERI-2023-007); Meridian internal disposition notes (Jan. 15, 2025).</w:t>
            </w:r>
          </w:p>
        </w:tc>
      </w:tr>
      <w:tr>
        <w:tc>
          <w:tcPr>
            <w:tcW w:type="dxa" w:w="2232"/>
            <w:shd w:val="clear" w:color="auto" w:fill="D9E2F3"/>
          </w:tcPr>
          <w:p>
            <w:r/>
            <w:r>
              <w:rPr>
                <w:b/>
                <w:sz w:val="19"/>
              </w:rPr>
              <w:t>(c) Non-compliance</w:t>
            </w:r>
          </w:p>
        </w:tc>
        <w:tc>
          <w:tcPr>
            <w:tcW w:type="dxa" w:w="7416"/>
          </w:tcPr>
          <w:p>
            <w:pPr>
              <w:spacing w:after="40"/>
            </w:pPr>
            <w:r/>
            <w:r>
              <w:rPr>
                <w:b w:val="0"/>
                <w:i w:val="0"/>
                <w:sz w:val="19"/>
              </w:rPr>
              <w:t>Checklist Section 10 conflicts with the letters themselves on the facts a Division examiner will know best:</w:t>
            </w:r>
          </w:p>
          <w:p>
            <w:pPr>
              <w:spacing w:after="40"/>
              <w:ind w:left="216"/>
            </w:pPr>
            <w:r>
              <w:rPr>
                <w:b w:val="0"/>
                <w:i w:val="0"/>
                <w:sz w:val="19"/>
              </w:rPr>
              <w:t xml:space="preserve">• </w:t>
            </w:r>
            <w:r>
              <w:rPr>
                <w:b/>
                <w:i w:val="0"/>
                <w:sz w:val="19"/>
              </w:rPr>
              <w:t>MERI-2021-003:</w:t>
            </w:r>
            <w:r>
              <w:rPr>
                <w:b w:val="0"/>
                <w:i w:val="0"/>
                <w:sz w:val="19"/>
              </w:rPr>
              <w:t xml:space="preserve"> the checklist says the objection was dated August 12, 2021, signed by “Senior Analyst Karen Whitfield,” with approval in October 2021. The letter is dated </w:t>
            </w:r>
            <w:r>
              <w:rPr>
                <w:b/>
                <w:i w:val="0"/>
                <w:sz w:val="19"/>
              </w:rPr>
              <w:t>July 14, 2021</w:t>
            </w:r>
            <w:r>
              <w:rPr>
                <w:b w:val="0"/>
                <w:i w:val="0"/>
                <w:sz w:val="19"/>
              </w:rPr>
              <w:t xml:space="preserve">, signed by </w:t>
            </w:r>
            <w:r>
              <w:rPr>
                <w:b/>
                <w:i w:val="0"/>
                <w:sz w:val="19"/>
              </w:rPr>
              <w:t>Deputy Commissioner Janet Winslow</w:t>
            </w:r>
            <w:r>
              <w:rPr>
                <w:b w:val="0"/>
                <w:i w:val="0"/>
                <w:sz w:val="19"/>
              </w:rPr>
              <w:t xml:space="preserve">. Per the internal notes, the corrective filing was submitted August 5 and approved </w:t>
            </w:r>
            <w:r>
              <w:rPr>
                <w:b/>
                <w:i w:val="0"/>
                <w:sz w:val="19"/>
              </w:rPr>
              <w:t>August 20, 2021</w:t>
            </w:r>
            <w:r>
              <w:rPr>
                <w:b w:val="0"/>
                <w:i w:val="0"/>
                <w:sz w:val="19"/>
              </w:rPr>
              <w:t>. The filing was received by the Division June 7, 2021, not “filed July 2021.”</w:t>
            </w:r>
          </w:p>
          <w:p>
            <w:pPr>
              <w:spacing w:after="40"/>
              <w:ind w:left="216"/>
            </w:pPr>
            <w:r>
              <w:rPr>
                <w:b w:val="0"/>
                <w:i w:val="0"/>
                <w:sz w:val="19"/>
              </w:rPr>
              <w:t xml:space="preserve">• </w:t>
            </w:r>
            <w:r>
              <w:rPr>
                <w:b/>
                <w:i w:val="0"/>
                <w:sz w:val="19"/>
              </w:rPr>
              <w:t>MERI-2023-007:</w:t>
            </w:r>
            <w:r>
              <w:rPr>
                <w:b w:val="0"/>
                <w:i w:val="0"/>
                <w:sz w:val="19"/>
              </w:rPr>
              <w:t xml:space="preserve"> the checklist says the objection was dated April 18, 2023, cited “four required elements,” and was approved in June 2023. The letter is dated </w:t>
            </w:r>
            <w:r>
              <w:rPr>
                <w:b/>
                <w:i w:val="0"/>
                <w:sz w:val="19"/>
              </w:rPr>
              <w:t>March 22, 2023</w:t>
            </w:r>
            <w:r>
              <w:rPr>
                <w:b w:val="0"/>
                <w:i w:val="0"/>
                <w:sz w:val="19"/>
              </w:rPr>
              <w:t xml:space="preserve"> and lists </w:t>
            </w:r>
            <w:r>
              <w:rPr>
                <w:b/>
                <w:i w:val="0"/>
                <w:sz w:val="19"/>
              </w:rPr>
              <w:t>five</w:t>
            </w:r>
            <w:r>
              <w:rPr>
                <w:b w:val="0"/>
                <w:i w:val="0"/>
                <w:sz w:val="19"/>
              </w:rPr>
              <w:t xml:space="preserve"> elements. The resubmission was April 10, with approval </w:t>
            </w:r>
            <w:r>
              <w:rPr>
                <w:b/>
                <w:i w:val="0"/>
                <w:sz w:val="19"/>
              </w:rPr>
              <w:t>April 28, 2023</w:t>
            </w:r>
            <w:r>
              <w:rPr>
                <w:b w:val="0"/>
                <w:i w:val="0"/>
                <w:sz w:val="19"/>
              </w:rPr>
              <w:t>. The filing was received February 14, 2023.</w:t>
            </w:r>
          </w:p>
          <w:p>
            <w:pPr>
              <w:spacing w:after="40"/>
              <w:ind w:left="216"/>
            </w:pPr>
            <w:r>
              <w:rPr>
                <w:b w:val="0"/>
                <w:i w:val="0"/>
                <w:sz w:val="19"/>
              </w:rPr>
              <w:t>• The checklist’s § 10-4-110.5 element list (Entry 3.1: risk notice for wildfire-prone areas; mitigation resources) does not match the Division’s five elements (which include wildfire-specific exclusions/limitations and a plain-language status statement).</w:t>
            </w:r>
          </w:p>
          <w:p>
            <w:pPr>
              <w:spacing w:after="40"/>
              <w:ind w:left="216"/>
            </w:pPr>
            <w:r>
              <w:rPr>
                <w:b w:val="0"/>
                <w:i w:val="0"/>
                <w:sz w:val="19"/>
              </w:rPr>
              <w:t>• The Section 12 summary is arithmetically wrong. It reports 5 Non-Compliant entries but lists 6 (1.2, 2.2, 3.1, 4.1, 7.2, 7.3), and it totals 23 entries when the checklist contains 24.</w:t>
            </w:r>
          </w:p>
          <w:p>
            <w:pPr>
              <w:spacing w:after="40"/>
              <w:ind w:left="216"/>
            </w:pPr>
            <w:r>
              <w:rPr>
                <w:b w:val="0"/>
                <w:i w:val="0"/>
                <w:sz w:val="19"/>
              </w:rPr>
              <w:t>• The internal disposition notes cross-reference “Item 12” and “Item 8,” which do not match the checklist’s numbering (Entries 1.2 and 3.1).</w:t>
            </w:r>
          </w:p>
        </w:tc>
      </w:tr>
      <w:tr>
        <w:tc>
          <w:tcPr>
            <w:tcW w:type="dxa" w:w="2232"/>
            <w:shd w:val="clear" w:color="auto" w:fill="D9E2F3"/>
          </w:tcPr>
          <w:p>
            <w:r/>
            <w:r>
              <w:rPr>
                <w:b/>
                <w:sz w:val="19"/>
              </w:rPr>
              <w:t>(d)/(e) Corrective action</w:t>
            </w:r>
          </w:p>
        </w:tc>
        <w:tc>
          <w:tcPr>
            <w:tcW w:type="dxa" w:w="7416"/>
          </w:tcPr>
          <w:p>
            <w:pPr>
              <w:spacing w:after="40"/>
            </w:pPr>
            <w:r/>
            <w:r>
              <w:rPr>
                <w:b w:val="0"/>
                <w:i w:val="0"/>
                <w:sz w:val="19"/>
              </w:rPr>
              <w:t>Correct the checklist against the source letters before it is relied on or excerpted. Any filing history or remediation narrative submitted through SERFF should be drawn directly from the letters. Use the union of both element lists when drafting the wildfire disclosure (Gap 2). Re-issue the checklist as v2.0 with our revised statuses (Section VI).</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Entries 3.1, 10.1, 10.2, Section 12 — </w:t>
            </w:r>
            <w:r>
              <w:rPr>
                <w:b/>
                <w:i w:val="0"/>
                <w:sz w:val="19"/>
              </w:rPr>
              <w:t>corrections required</w:t>
            </w:r>
            <w:r>
              <w:rPr>
                <w:b w:val="0"/>
                <w:i w:val="0"/>
                <w:sz w:val="19"/>
              </w:rPr>
              <w:t>.</w:t>
            </w:r>
          </w:p>
        </w:tc>
      </w:tr>
    </w:tbl>
    <w:p>
      <w:pPr>
        <w:spacing w:after="40"/>
      </w:pPr>
    </w:p>
    <w:p>
      <w:pPr>
        <w:pStyle w:val="Heading3"/>
      </w:pPr>
      <w:r>
        <w:t>Gap 16 — One-year suit limitation running from the date of loss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15 (Legal Action Against Us) (¶ 7.15); interacts with ¶ 7.9 (appraisal does not affect the limitation).</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13-80-101(1)(a) (three-year limitation for contract actions); C.R.S. §§ 10-3-1115 and 10-3-1116 (statutory unreasonable delay/denial claims); C.R.S. § 10-4-105 (standard fire policy suit clause); checklist Entry 8.1.</w:t>
            </w:r>
          </w:p>
        </w:tc>
      </w:tr>
      <w:tr>
        <w:tc>
          <w:tcPr>
            <w:tcW w:type="dxa" w:w="2232"/>
            <w:shd w:val="clear" w:color="auto" w:fill="D9E2F3"/>
          </w:tcPr>
          <w:p>
            <w:r/>
            <w:r>
              <w:rPr>
                <w:b/>
                <w:sz w:val="19"/>
              </w:rPr>
              <w:t>(c) Non-compliance</w:t>
            </w:r>
          </w:p>
        </w:tc>
        <w:tc>
          <w:tcPr>
            <w:tcW w:type="dxa" w:w="7416"/>
          </w:tcPr>
          <w:p>
            <w:pPr>
              <w:spacing w:after="40"/>
            </w:pPr>
            <w:r/>
            <w:r>
              <w:rPr>
                <w:b w:val="0"/>
                <w:i w:val="0"/>
                <w:sz w:val="19"/>
              </w:rPr>
              <w:t>The clause requires suit within one year after the loss occurred, conditioned on “full compliance with all of the terms.” The general Colorado limitation for contract actions is three years. A one-year period that runs from the loss date, and not from denial, keeps running during adjustment and appraisal. In large wildfire losses, where debris removal, permitting and rebuilding take well over a year, the insured can lose the right to sue before the claim is resolved. The Division has emphasized policyholder protection after the Marshall Fire. The savings sentence (“amended to equal the minimum period of limitation permitted by such applicable law”) leaves the insured unable to tell from the form what the period actually is, which is itself a transparency concern. The clause also should not purport to limit statutory claims under §§ 10-3-1115/1116. Whether a one-year contractual period is enforceable in a Colorado commercial property policy is a question of Colorado contract law that we will confirm in a short follow-up research memo. Our recommendation does not depend on the answer: the Division may object regardless, and the clause invites litigation.</w:t>
            </w:r>
          </w:p>
        </w:tc>
      </w:tr>
      <w:tr>
        <w:tc>
          <w:tcPr>
            <w:tcW w:type="dxa" w:w="2232"/>
            <w:shd w:val="clear" w:color="auto" w:fill="D9E2F3"/>
          </w:tcPr>
          <w:p>
            <w:r/>
            <w:r>
              <w:rPr>
                <w:b/>
                <w:sz w:val="19"/>
              </w:rPr>
              <w:t>(d)/(e) Corrective action</w:t>
            </w:r>
          </w:p>
        </w:tc>
        <w:tc>
          <w:tcPr>
            <w:tcW w:type="dxa" w:w="7416"/>
          </w:tcPr>
          <w:p>
            <w:pPr>
              <w:spacing w:after="40"/>
            </w:pPr>
            <w:r/>
            <w:r>
              <w:rPr>
                <w:b w:val="0"/>
                <w:i w:val="0"/>
                <w:sz w:val="19"/>
              </w:rPr>
              <w:t>Extend the period to at least two years (preferably three, matching § 13-80-101) from the date of loss. Add tolling from the date notice of loss is given until the date Meridian issues a written coverage decision, and tolling during appraisal. State that the condition does not apply to claims under C.R.S. §§ 10-3-1115 and 10-3-1116. Keep the conformity sentence as a backstop only.</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8.1 — Not Yet Reviewed; we revise to </w:t>
            </w:r>
            <w:r>
              <w:rPr>
                <w:b/>
                <w:i w:val="0"/>
                <w:sz w:val="19"/>
              </w:rPr>
              <w:t>Potential Issue (recommend revision)</w:t>
            </w:r>
            <w:r>
              <w:rPr>
                <w:b w:val="0"/>
                <w:i w:val="0"/>
                <w:sz w:val="19"/>
              </w:rPr>
              <w:t>.</w:t>
            </w:r>
          </w:p>
        </w:tc>
      </w:tr>
    </w:tbl>
    <w:p>
      <w:pPr>
        <w:spacing w:after="40"/>
      </w:pPr>
    </w:p>
    <w:p>
      <w:pPr>
        <w:pStyle w:val="Heading3"/>
      </w:pPr>
      <w:r>
        <w:t>Gap 17 — Standard fire policy line-by-line: several provisions are less favorable than the statutory standard</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 4.14 (Terrorism, which excludes ensuing fire); ¶ 4.12 (Intentional Loss, which bars innocent co-insureds); ¶ 4.9 (absolute Mold exclusion); ¶ 7.1 (Concealment/Fraud voids from inception); ¶ 7.9 (Appraisal); ¶ 7.6(g) (Proof of loss); ¶ 5.1 (Loss Payment timing).</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10-4-105 (standard fire policy; deviations permitted only if at least as favorable to the insured); checklist Entry 2.1.</w:t>
            </w:r>
          </w:p>
        </w:tc>
      </w:tr>
      <w:tr>
        <w:tc>
          <w:tcPr>
            <w:tcW w:type="dxa" w:w="2232"/>
            <w:shd w:val="clear" w:color="auto" w:fill="D9E2F3"/>
          </w:tcPr>
          <w:p>
            <w:r/>
            <w:r>
              <w:rPr>
                <w:b/>
                <w:sz w:val="19"/>
              </w:rPr>
              <w:t>(c) Non-compliance</w:t>
            </w:r>
          </w:p>
        </w:tc>
        <w:tc>
          <w:tcPr>
            <w:tcW w:type="dxa" w:w="7416"/>
          </w:tcPr>
          <w:p>
            <w:pPr>
              <w:spacing w:after="40"/>
            </w:pPr>
            <w:r/>
            <w:r>
              <w:rPr>
                <w:b w:val="0"/>
                <w:i w:val="0"/>
                <w:sz w:val="19"/>
              </w:rPr>
              <w:t>We completed the line-by-line comparison that checklist Entry 2.1 left open. Proof of loss (Gap 4), appraisal (Gap 9) and loss-payment timing (Gap 18) are addressed separately. The remaining deviations that may be less favorable than the standard fire policy are:</w:t>
            </w:r>
          </w:p>
          <w:p>
            <w:pPr>
              <w:spacing w:after="40"/>
              <w:ind w:left="216"/>
            </w:pPr>
            <w:r>
              <w:rPr>
                <w:b w:val="0"/>
                <w:i w:val="0"/>
                <w:sz w:val="19"/>
              </w:rPr>
              <w:t xml:space="preserve">• </w:t>
            </w:r>
            <w:r>
              <w:rPr>
                <w:b/>
                <w:i w:val="0"/>
                <w:sz w:val="19"/>
              </w:rPr>
              <w:t>Ensuing fire from terrorism (¶ 4.14):</w:t>
            </w:r>
            <w:r>
              <w:rPr>
                <w:b w:val="0"/>
                <w:i w:val="0"/>
                <w:sz w:val="19"/>
              </w:rPr>
              <w:t xml:space="preserve"> the exclusion applies “including but not limited to fire.” The standard fire policy does not exclude terrorism. In standard-fire-policy states, ISO terrorism exclusions carve back fire following a certified act. Excluding that fire is likely less favorable than the statutory standard. By contrast, the form does carve back ensuing fire in Exclusions 2, 4, 7 and 15.</w:t>
            </w:r>
          </w:p>
          <w:p>
            <w:pPr>
              <w:spacing w:after="40"/>
              <w:ind w:left="216"/>
            </w:pPr>
            <w:r>
              <w:rPr>
                <w:b w:val="0"/>
                <w:i w:val="0"/>
                <w:sz w:val="19"/>
              </w:rPr>
              <w:t xml:space="preserve">• </w:t>
            </w:r>
            <w:r>
              <w:rPr>
                <w:b/>
                <w:i w:val="0"/>
                <w:sz w:val="19"/>
              </w:rPr>
              <w:t>Innocent co-insureds (¶ 4.12):</w:t>
            </w:r>
            <w:r>
              <w:rPr>
                <w:b w:val="0"/>
                <w:i w:val="0"/>
                <w:sz w:val="19"/>
              </w:rPr>
              <w:t xml:space="preserve"> “no insured is entitled to coverage … even insureds who did not commit or conspire to commit the act.” The standard fire policy ties forfeiture to “the insured’s” own conduct. Barring innocent co-insureds (for example, a partner or co-owner) is less favorable. The term “insured” is also undefined (Gap 24).</w:t>
            </w:r>
          </w:p>
          <w:p>
            <w:pPr>
              <w:spacing w:after="40"/>
              <w:ind w:left="216"/>
            </w:pPr>
            <w:r>
              <w:rPr>
                <w:b w:val="0"/>
                <w:i w:val="0"/>
                <w:sz w:val="19"/>
              </w:rPr>
              <w:t xml:space="preserve">• </w:t>
            </w:r>
            <w:r>
              <w:rPr>
                <w:b/>
                <w:i w:val="0"/>
                <w:sz w:val="19"/>
              </w:rPr>
              <w:t>Concealment/fraud (¶ 7.1):</w:t>
            </w:r>
            <w:r>
              <w:rPr>
                <w:b w:val="0"/>
                <w:i w:val="0"/>
                <w:sz w:val="19"/>
              </w:rPr>
              <w:t xml:space="preserve"> voiding the policy “from inception” and as to “all claims” for post-loss misconduct goes further than the standard, which voids the policy but does not expressly reach back to unwind earlier, unrelated paid claims.</w:t>
            </w:r>
          </w:p>
          <w:p>
            <w:pPr>
              <w:spacing w:after="40"/>
              <w:ind w:left="216"/>
            </w:pPr>
            <w:r>
              <w:rPr>
                <w:b w:val="0"/>
                <w:i w:val="0"/>
                <w:sz w:val="19"/>
              </w:rPr>
              <w:t xml:space="preserve">• </w:t>
            </w:r>
            <w:r>
              <w:rPr>
                <w:b/>
                <w:i w:val="0"/>
                <w:sz w:val="19"/>
              </w:rPr>
              <w:t>Mold (¶ 4.9):</w:t>
            </w:r>
            <w:r>
              <w:rPr>
                <w:b w:val="0"/>
                <w:i w:val="0"/>
                <w:sz w:val="19"/>
              </w:rPr>
              <w:t xml:space="preserve"> the exclusion is “absolute,” with no exception for mold that results from a covered fire or from firefighting water. Consider a limited carve-back for fire and extinguishment.</w:t>
            </w:r>
          </w:p>
        </w:tc>
      </w:tr>
      <w:tr>
        <w:tc>
          <w:tcPr>
            <w:tcW w:type="dxa" w:w="2232"/>
            <w:shd w:val="clear" w:color="auto" w:fill="D9E2F3"/>
          </w:tcPr>
          <w:p>
            <w:r/>
            <w:r>
              <w:rPr>
                <w:b/>
                <w:sz w:val="19"/>
              </w:rPr>
              <w:t>(d)/(e) Corrective action</w:t>
            </w:r>
          </w:p>
        </w:tc>
        <w:tc>
          <w:tcPr>
            <w:tcW w:type="dxa" w:w="7416"/>
          </w:tcPr>
          <w:p>
            <w:pPr>
              <w:spacing w:after="40"/>
            </w:pPr>
            <w:r/>
            <w:r>
              <w:rPr>
                <w:b w:val="0"/>
                <w:i w:val="0"/>
                <w:sz w:val="19"/>
              </w:rPr>
              <w:t>Add a fire-following carve-back to ¶ 4.14 (e.g., “However, if a certified act of terrorism results in fire, we will pay for the loss or damage caused by that fire,” subject to the TRIPRA cap). Limit ¶ 4.12 to the insured who committed or conspired in the act, with a carve-out protecting innocent co-insureds up to their interest. Limit ¶ 7.1 to voiding coverage for the claim involved, or from the date of the misconduct. Consider a fire/extinguishment carve-back in ¶ 4.9. Prepare a standard-fire-policy comparison exhibit for the filing, if the Division requests one.</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2.1 — Not Yet Reviewed; we revise to </w:t>
            </w:r>
            <w:r>
              <w:rPr>
                <w:b/>
                <w:i w:val="0"/>
                <w:sz w:val="19"/>
              </w:rPr>
              <w:t>Potential Issue</w:t>
            </w:r>
            <w:r>
              <w:rPr>
                <w:b w:val="0"/>
                <w:i w:val="0"/>
                <w:sz w:val="19"/>
              </w:rPr>
              <w:t>.</w:t>
            </w:r>
          </w:p>
        </w:tc>
      </w:tr>
    </w:tbl>
    <w:p>
      <w:pPr>
        <w:spacing w:after="40"/>
      </w:pPr>
    </w:p>
    <w:p>
      <w:pPr>
        <w:pStyle w:val="Heading3"/>
      </w:pPr>
      <w:r>
        <w:t>Gap 18 — Claim payment timing is undefined and keyed to a “satisfactory” proof of loss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 2.1 (“no duty to pay … until we receive a satisfactory proof of loss”); ¶ 5.1 (payment “within the time period required by applicable law” after a “complete and satisfactory proof of loss”).</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10-4-105 (standard fire policy: loss payable within 60 days after proof of loss and ascertainment of the loss); C.R.S. § 10-3-1104(1)(h) (unfair claim settlement practices); C.R.S. §§ 10-3-1115, 10-3-1116.</w:t>
            </w:r>
          </w:p>
        </w:tc>
      </w:tr>
      <w:tr>
        <w:tc>
          <w:tcPr>
            <w:tcW w:type="dxa" w:w="2232"/>
            <w:shd w:val="clear" w:color="auto" w:fill="D9E2F3"/>
          </w:tcPr>
          <w:p>
            <w:r/>
            <w:r>
              <w:rPr>
                <w:b/>
                <w:sz w:val="19"/>
              </w:rPr>
              <w:t>(c) Non-compliance</w:t>
            </w:r>
          </w:p>
        </w:tc>
        <w:tc>
          <w:tcPr>
            <w:tcW w:type="dxa" w:w="7416"/>
          </w:tcPr>
          <w:p>
            <w:pPr>
              <w:spacing w:after="40"/>
            </w:pPr>
            <w:r/>
            <w:r>
              <w:rPr>
                <w:b w:val="0"/>
                <w:i w:val="0"/>
                <w:sz w:val="19"/>
              </w:rPr>
              <w:t>The form never states when Meridian will pay. Its references to “applicable law” and a “satisfactory” proof of loss leave it to Meridian’s discretion when the payment obligation starts. That is less specific than the standard fire policy’s 60-day payment term and is the type of open-ended timing that unreasonable-delay claims target.</w:t>
            </w:r>
          </w:p>
        </w:tc>
      </w:tr>
      <w:tr>
        <w:tc>
          <w:tcPr>
            <w:tcW w:type="dxa" w:w="2232"/>
            <w:shd w:val="clear" w:color="auto" w:fill="D9E2F3"/>
          </w:tcPr>
          <w:p>
            <w:r/>
            <w:r>
              <w:rPr>
                <w:b/>
                <w:sz w:val="19"/>
              </w:rPr>
              <w:t>(d)/(e) Corrective action</w:t>
            </w:r>
          </w:p>
        </w:tc>
        <w:tc>
          <w:tcPr>
            <w:tcW w:type="dxa" w:w="7416"/>
          </w:tcPr>
          <w:p>
            <w:pPr>
              <w:spacing w:after="40"/>
            </w:pPr>
            <w:r/>
            <w:r>
              <w:rPr>
                <w:b w:val="0"/>
                <w:i w:val="0"/>
                <w:sz w:val="19"/>
              </w:rPr>
              <w:t>State a payment commitment, for example: “We will pay for covered loss or damage within 60 days after we receive your sworn proof of loss, if you have complied with all the terms of this Coverage Part and we have reached agreement with you on the amount of loss or an appraisal award has been made.” Replace “satisfactory” with “complete,” and commit to telling the insured in writing what additional information is needed.</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19 — Declarations sublimit schedule is incomplete and inconsistent with Section III</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Declarations ¶ 1.5 vs. Section III, ¶ 3.4(a)–(i).</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General filing requirement that limits and sublimits be clearly stated (checklist Entry 9.2); C.R.S. § 10-4-110 (description of coverage); 3 CCR 702-4, Regs. 4-2-1 to 4-2-10; C.R.S. § 10-4-110.5 (wildfire-relevant limits must be disclosed).</w:t>
            </w:r>
          </w:p>
        </w:tc>
      </w:tr>
      <w:tr>
        <w:tc>
          <w:tcPr>
            <w:tcW w:type="dxa" w:w="2232"/>
            <w:shd w:val="clear" w:color="auto" w:fill="D9E2F3"/>
          </w:tcPr>
          <w:p>
            <w:r/>
            <w:r>
              <w:rPr>
                <w:b/>
                <w:sz w:val="19"/>
              </w:rPr>
              <w:t>(c) Non-compliance</w:t>
            </w:r>
          </w:p>
        </w:tc>
        <w:tc>
          <w:tcPr>
            <w:tcW w:type="dxa" w:w="7416"/>
          </w:tcPr>
          <w:p>
            <w:pPr>
              <w:spacing w:after="40"/>
            </w:pPr>
            <w:r/>
            <w:r>
              <w:rPr>
                <w:b w:val="0"/>
                <w:i w:val="0"/>
                <w:sz w:val="19"/>
              </w:rPr>
              <w:t>Checklist Entry 9.2 says that “all sublimits are clearly stated in the form and in the Declarations template.” They are not:</w:t>
            </w:r>
          </w:p>
          <w:p>
            <w:pPr>
              <w:spacing w:after="40"/>
              <w:ind w:left="216"/>
            </w:pPr>
            <w:r>
              <w:rPr>
                <w:b w:val="0"/>
                <w:i w:val="0"/>
                <w:sz w:val="19"/>
              </w:rPr>
              <w:t xml:space="preserve">• </w:t>
            </w:r>
            <w:r>
              <w:rPr>
                <w:b/>
                <w:i w:val="0"/>
                <w:sz w:val="19"/>
              </w:rPr>
              <w:t>Ordinance or Law:</w:t>
            </w:r>
            <w:r>
              <w:rPr>
                <w:b w:val="0"/>
                <w:i w:val="0"/>
                <w:sz w:val="19"/>
              </w:rPr>
              <w:t xml:space="preserve"> the Declarations show “10% of Coverage A,” and the schedule states that sublimits are “included within” the limits unless otherwise stated. ¶ 3.4(e) adds a </w:t>
            </w:r>
            <w:r>
              <w:rPr>
                <w:b/>
                <w:i w:val="0"/>
                <w:sz w:val="19"/>
              </w:rPr>
              <w:t>$500,000 per-occurrence cap</w:t>
            </w:r>
            <w:r>
              <w:rPr>
                <w:b w:val="0"/>
                <w:i w:val="0"/>
                <w:sz w:val="19"/>
              </w:rPr>
              <w:t xml:space="preserve"> and states that the amount is “</w:t>
            </w:r>
            <w:r>
              <w:rPr>
                <w:b/>
                <w:i w:val="0"/>
                <w:sz w:val="19"/>
              </w:rPr>
              <w:t>in addition to</w:t>
            </w:r>
            <w:r>
              <w:rPr>
                <w:b w:val="0"/>
                <w:i w:val="0"/>
                <w:sz w:val="19"/>
              </w:rPr>
              <w:t>” the limit.</w:t>
            </w:r>
          </w:p>
          <w:p>
            <w:pPr>
              <w:spacing w:after="40"/>
              <w:ind w:left="216"/>
            </w:pPr>
            <w:r>
              <w:rPr>
                <w:b w:val="0"/>
                <w:i w:val="0"/>
                <w:sz w:val="19"/>
              </w:rPr>
              <w:t xml:space="preserve">• </w:t>
            </w:r>
            <w:r>
              <w:rPr>
                <w:b/>
                <w:i w:val="0"/>
                <w:sz w:val="19"/>
              </w:rPr>
              <w:t>Debris Removal:</w:t>
            </w:r>
            <w:r>
              <w:rPr>
                <w:b w:val="0"/>
                <w:i w:val="0"/>
                <w:sz w:val="19"/>
              </w:rPr>
              <w:t xml:space="preserve"> the Declarations base the 25% on the “amount of direct physical loss”; ¶ 3.4(a) bases it on the amount “</w:t>
            </w:r>
            <w:r>
              <w:rPr>
                <w:b/>
                <w:i w:val="0"/>
                <w:sz w:val="19"/>
              </w:rPr>
              <w:t>paid</w:t>
            </w:r>
            <w:r>
              <w:rPr>
                <w:b w:val="0"/>
                <w:i w:val="0"/>
                <w:sz w:val="19"/>
              </w:rPr>
              <w:t>”. The additional $25,000 per location and the 180-day reporting requirement are not scheduled.</w:t>
            </w:r>
          </w:p>
          <w:p>
            <w:pPr>
              <w:spacing w:after="40"/>
              <w:ind w:left="216"/>
            </w:pPr>
            <w:r>
              <w:rPr>
                <w:b w:val="0"/>
                <w:i w:val="0"/>
                <w:sz w:val="19"/>
              </w:rPr>
              <w:t xml:space="preserve">• </w:t>
            </w:r>
            <w:r>
              <w:rPr>
                <w:b/>
                <w:i w:val="0"/>
                <w:sz w:val="19"/>
              </w:rPr>
              <w:t>Not scheduled at all:</w:t>
            </w:r>
            <w:r>
              <w:rPr>
                <w:b w:val="0"/>
                <w:i w:val="0"/>
                <w:sz w:val="19"/>
              </w:rPr>
              <w:t xml:space="preserve"> Newly Acquired Property ($500,000 / 30 days), Personal Effects ($10,000), Valuable Papers ($25,000), Electronic Data ($50,000), Preservation of Property (30 days), and Pollutant Cleanup’s “in addition to” status.</w:t>
            </w:r>
          </w:p>
          <w:p>
            <w:pPr>
              <w:spacing w:after="40"/>
              <w:ind w:left="216"/>
            </w:pPr>
            <w:r>
              <w:rPr>
                <w:b w:val="0"/>
                <w:i w:val="0"/>
                <w:sz w:val="19"/>
              </w:rPr>
              <w:t>• Checklist Entry 9.1 cites the deductible as “Section V, Condition 4”; it is Condition 2 (¶ 5.2). Condition 4 is Recovered Property.</w:t>
            </w:r>
          </w:p>
        </w:tc>
      </w:tr>
      <w:tr>
        <w:tc>
          <w:tcPr>
            <w:tcW w:type="dxa" w:w="2232"/>
            <w:shd w:val="clear" w:color="auto" w:fill="D9E2F3"/>
          </w:tcPr>
          <w:p>
            <w:r/>
            <w:r>
              <w:rPr>
                <w:b/>
                <w:sz w:val="19"/>
              </w:rPr>
              <w:t>(d)/(e) Corrective action</w:t>
            </w:r>
          </w:p>
        </w:tc>
        <w:tc>
          <w:tcPr>
            <w:tcW w:type="dxa" w:w="7416"/>
          </w:tcPr>
          <w:p>
            <w:pPr>
              <w:spacing w:after="40"/>
            </w:pPr>
            <w:r/>
            <w:r>
              <w:rPr>
                <w:b w:val="0"/>
                <w:i w:val="0"/>
                <w:sz w:val="19"/>
              </w:rPr>
              <w:t>Rebuild ¶ 1.5 to list every Additional Coverage with its amount, its basis, and whether it is within or in addition to the limit, matching ¶ 3.4 exactly. Resolve the Ordinance or Law cap and its position (within or in addition). Carry the debris removal and ordinance figures into the wildfire disclosure.</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9.2 — marked Compliant; we revise to </w:t>
            </w:r>
            <w:r>
              <w:rPr>
                <w:b/>
                <w:i w:val="0"/>
                <w:sz w:val="19"/>
              </w:rPr>
              <w:t>Potential Issue</w:t>
            </w:r>
            <w:r>
              <w:rPr>
                <w:b w:val="0"/>
                <w:i w:val="0"/>
                <w:sz w:val="19"/>
              </w:rPr>
              <w:t>. Entry 9.1 — Compliant, citation correction only.</w:t>
            </w:r>
          </w:p>
        </w:tc>
      </w:tr>
    </w:tbl>
    <w:p>
      <w:pPr>
        <w:spacing w:after="40"/>
      </w:pPr>
    </w:p>
    <w:p>
      <w:pPr>
        <w:pStyle w:val="Heading3"/>
      </w:pPr>
      <w:r>
        <w:t>Gap 20 — Volcanic action listed as a covered peril but excluded under Earth Movement</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 6.1, ¶ 6.2(k), ¶ 6.3(k) (“volcanic action” covered) vs. ¶ 4.2 (Earth Movement excludes “volcanic eruption … airborne volcanic blast … volcanic ash … lava flow” with no carve-back).</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10-4-110 (description of coverage); Regulation 4-2-13 (readability/clarity); construction against the drafter.</w:t>
            </w:r>
          </w:p>
        </w:tc>
      </w:tr>
      <w:tr>
        <w:tc>
          <w:tcPr>
            <w:tcW w:type="dxa" w:w="2232"/>
            <w:shd w:val="clear" w:color="auto" w:fill="D9E2F3"/>
          </w:tcPr>
          <w:p>
            <w:r/>
            <w:r>
              <w:rPr>
                <w:b/>
                <w:sz w:val="19"/>
              </w:rPr>
              <w:t>(c) Non-compliance</w:t>
            </w:r>
          </w:p>
        </w:tc>
        <w:tc>
          <w:tcPr>
            <w:tcW w:type="dxa" w:w="7416"/>
          </w:tcPr>
          <w:p>
            <w:pPr>
              <w:spacing w:after="40"/>
            </w:pPr>
            <w:r/>
            <w:r>
              <w:rPr>
                <w:b w:val="0"/>
                <w:i w:val="0"/>
                <w:sz w:val="19"/>
              </w:rPr>
              <w:t>The form both grants and excludes the same peril. The ambiguity will be resolved against Meridian, and an examiner may question it because it makes the coverage description unreliable.</w:t>
            </w:r>
          </w:p>
        </w:tc>
      </w:tr>
      <w:tr>
        <w:tc>
          <w:tcPr>
            <w:tcW w:type="dxa" w:w="2232"/>
            <w:shd w:val="clear" w:color="auto" w:fill="D9E2F3"/>
          </w:tcPr>
          <w:p>
            <w:r/>
            <w:r>
              <w:rPr>
                <w:b/>
                <w:sz w:val="19"/>
              </w:rPr>
              <w:t>(d)/(e) Corrective action</w:t>
            </w:r>
          </w:p>
        </w:tc>
        <w:tc>
          <w:tcPr>
            <w:tcW w:type="dxa" w:w="7416"/>
          </w:tcPr>
          <w:p>
            <w:pPr>
              <w:spacing w:after="40"/>
            </w:pPr>
            <w:r/>
            <w:r>
              <w:rPr>
                <w:b w:val="0"/>
                <w:i w:val="0"/>
                <w:sz w:val="19"/>
              </w:rPr>
              <w:t>Add a carve-back to ¶ 4.2 (“This exclusion does not apply to volcanic action as described in Section VI …”) with a definition of volcanic action, or remove volcanic action from the peril lists.</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21 — Three inconsistent definitions of Actual Cash Value; stock valued at selling price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Declarations ¶ 1.4 (ACV “less a deduction for depreciation, physical wear and tear, and obsolescence”); ¶ 5.3 and Section VIII (depreciation “may include functional obsolescence and economic obsolescence, as applicable”); ¶ 5.3 (Stock valued at “selling price less discounts and expenses”).</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10-4-110.4 (valuation disclosure); C.R.S. § 10-4-110 (description of coverage); Regulation 4-2-13.</w:t>
            </w:r>
          </w:p>
        </w:tc>
      </w:tr>
      <w:tr>
        <w:tc>
          <w:tcPr>
            <w:tcW w:type="dxa" w:w="2232"/>
            <w:shd w:val="clear" w:color="auto" w:fill="D9E2F3"/>
          </w:tcPr>
          <w:p>
            <w:r/>
            <w:r>
              <w:rPr>
                <w:b/>
                <w:sz w:val="19"/>
              </w:rPr>
              <w:t>(c) Non-compliance</w:t>
            </w:r>
          </w:p>
        </w:tc>
        <w:tc>
          <w:tcPr>
            <w:tcW w:type="dxa" w:w="7416"/>
          </w:tcPr>
          <w:p>
            <w:pPr>
              <w:spacing w:after="40"/>
            </w:pPr>
            <w:r/>
            <w:r>
              <w:rPr>
                <w:b w:val="0"/>
                <w:i w:val="0"/>
                <w:sz w:val="19"/>
              </w:rPr>
              <w:t>The Declarations make obsolescence an automatic deduction. The body and the Definitions make it discretionary (“may include … as applicable”). The stock provision calls a selling-price measure “Actual Cash Value,” which is internally contradictory. Valuation is the most litigated issue in total-loss claims, and these inconsistencies would also weaken the replacement-cost offer, which depends on a clear explanation of what ACV means.</w:t>
            </w:r>
          </w:p>
        </w:tc>
      </w:tr>
      <w:tr>
        <w:tc>
          <w:tcPr>
            <w:tcW w:type="dxa" w:w="2232"/>
            <w:shd w:val="clear" w:color="auto" w:fill="D9E2F3"/>
          </w:tcPr>
          <w:p>
            <w:r/>
            <w:r>
              <w:rPr>
                <w:b/>
                <w:sz w:val="19"/>
              </w:rPr>
              <w:t>(d)/(e) Corrective action</w:t>
            </w:r>
          </w:p>
        </w:tc>
        <w:tc>
          <w:tcPr>
            <w:tcW w:type="dxa" w:w="7416"/>
          </w:tcPr>
          <w:p>
            <w:pPr>
              <w:spacing w:after="40"/>
            </w:pPr>
            <w:r/>
            <w:r>
              <w:rPr>
                <w:b w:val="0"/>
                <w:i w:val="0"/>
                <w:sz w:val="19"/>
              </w:rPr>
              <w:t>Use a single ACV definition in Section VIII and cross-reference it everywhere else. Decide whether stock is valued at selling price (which favors the insured) and label it as a separate valuation rule.</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22 — Statement of variability / ISO-derivation description must be reconciled</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(Procedural)</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Filing package (checklist Entries 7.4, 11.2).</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3 CCR 702-4, Regulations 4-2-1 through 4-2-10.</w:t>
            </w:r>
          </w:p>
        </w:tc>
      </w:tr>
      <w:tr>
        <w:tc>
          <w:tcPr>
            <w:tcW w:type="dxa" w:w="2232"/>
            <w:shd w:val="clear" w:color="auto" w:fill="D9E2F3"/>
          </w:tcPr>
          <w:p>
            <w:r/>
            <w:r>
              <w:rPr>
                <w:b/>
                <w:sz w:val="19"/>
              </w:rPr>
              <w:t>(c) Non-compliance</w:t>
            </w:r>
          </w:p>
        </w:tc>
        <w:tc>
          <w:tcPr>
            <w:tcW w:type="dxa" w:w="7416"/>
          </w:tcPr>
          <w:p>
            <w:pPr>
              <w:spacing w:after="40"/>
            </w:pPr>
            <w:r/>
            <w:r>
              <w:rPr>
                <w:b w:val="0"/>
                <w:i w:val="0"/>
                <w:sz w:val="19"/>
              </w:rPr>
              <w:t>The checklist describes the form as “not based on Insurance Services Office (ISO) forms, although certain provisions are modeled on ISO CP 00 10.” Meridian’s internal disposition notes state that the product team drafted it “based primarily on the existing ISO CP 00 10 template.” The deviation statement filed with the Division has to be accurate. Examiners commonly compare proprietary forms against CP 00 10 and CP 10 30, and less favorable departures (e.g., ACV default, 72-hour waiting period, absolute mold exclusion, narrowed subrogation waiver, equal-shares other insurance) should be disclosed rather than discovered. If ISO text was used, ISO licensing should also be confirmed.</w:t>
            </w:r>
          </w:p>
        </w:tc>
      </w:tr>
      <w:tr>
        <w:tc>
          <w:tcPr>
            <w:tcW w:type="dxa" w:w="2232"/>
            <w:shd w:val="clear" w:color="auto" w:fill="D9E2F3"/>
          </w:tcPr>
          <w:p>
            <w:r/>
            <w:r>
              <w:rPr>
                <w:b/>
                <w:sz w:val="19"/>
              </w:rPr>
              <w:t>(d)/(e) Corrective action</w:t>
            </w:r>
          </w:p>
        </w:tc>
        <w:tc>
          <w:tcPr>
            <w:tcW w:type="dxa" w:w="7416"/>
          </w:tcPr>
          <w:p>
            <w:pPr>
              <w:spacing w:after="40"/>
            </w:pPr>
            <w:r/>
            <w:r>
              <w:rPr>
                <w:b w:val="0"/>
                <w:i w:val="0"/>
                <w:sz w:val="19"/>
              </w:rPr>
              <w:t>Prepare a side-by-side deviation table against CP 00 10 and CP 10 30 that marks each broadening and each restriction. Make the filing description match it.</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7.4 — Not Yet Reviewed; </w:t>
            </w:r>
            <w:r>
              <w:rPr>
                <w:b/>
                <w:i w:val="0"/>
                <w:sz w:val="19"/>
              </w:rPr>
              <w:t>expanded</w:t>
            </w:r>
            <w:r>
              <w:rPr>
                <w:b w:val="0"/>
                <w:i w:val="0"/>
                <w:sz w:val="19"/>
              </w:rPr>
              <w:t>.</w:t>
            </w:r>
          </w:p>
        </w:tc>
      </w:tr>
    </w:tbl>
    <w:p>
      <w:pPr>
        <w:spacing w:after="40"/>
      </w:pPr>
    </w:p>
    <w:p>
      <w:pPr>
        <w:pStyle w:val="Heading3"/>
      </w:pPr>
      <w:r>
        <w:t>Gap 23 — Verify statutory citations against current official text before finalizing revisions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BF8F00"/>
          </w:tcPr>
          <w:p>
            <w:pPr>
              <w:spacing w:after="40"/>
            </w:pPr>
            <w:r>
              <w:rPr>
                <w:b/>
                <w:color w:val="FFFFFF"/>
              </w:rPr>
            </w:r>
            <w:r>
              <w:rPr>
                <w:b/>
                <w:i w:val="0"/>
                <w:color w:val="FFFFFF"/>
                <w:sz w:val="19"/>
              </w:rPr>
              <w:t>Medium  (Procedural)</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Checklist (all sections); revised form; transmittal letter.</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Title 10; 3 CCR 702-4.</w:t>
            </w:r>
          </w:p>
        </w:tc>
      </w:tr>
      <w:tr>
        <w:tc>
          <w:tcPr>
            <w:tcW w:type="dxa" w:w="2232"/>
            <w:shd w:val="clear" w:color="auto" w:fill="D9E2F3"/>
          </w:tcPr>
          <w:p>
            <w:r/>
            <w:r>
              <w:rPr>
                <w:b/>
                <w:sz w:val="19"/>
              </w:rPr>
              <w:t>(c) Non-compliance</w:t>
            </w:r>
          </w:p>
        </w:tc>
        <w:tc>
          <w:tcPr>
            <w:tcW w:type="dxa" w:w="7416"/>
          </w:tcPr>
          <w:p>
            <w:pPr>
              <w:spacing w:after="40"/>
            </w:pPr>
            <w:r/>
            <w:r>
              <w:rPr>
                <w:b w:val="0"/>
                <w:i w:val="0"/>
                <w:sz w:val="19"/>
              </w:rPr>
              <w:t>This analysis takes the requirements as described in the Division’s objection letters and the checklist. Some checklist descriptions should be confirmed against the current official text before the revised form and the transmittal cite them. For example, Colorado’s commercial-lines cancellation and nonrenewal rules are also codified at C.R.S. § 10-4-109.7, and § 10-4-110.8 is generally associated with homeowner’s insurance, while the checklist treats it as a fire-policy cross-reference. Requirement descriptions that the Division has not itself quoted (e.g., Entries 1.3–1.5, 4.1, 7.2–7.5) should also be checked against the regulation text.</w:t>
            </w:r>
          </w:p>
        </w:tc>
      </w:tr>
      <w:tr>
        <w:tc>
          <w:tcPr>
            <w:tcW w:type="dxa" w:w="2232"/>
            <w:shd w:val="clear" w:color="auto" w:fill="D9E2F3"/>
          </w:tcPr>
          <w:p>
            <w:r/>
            <w:r>
              <w:rPr>
                <w:b/>
                <w:sz w:val="19"/>
              </w:rPr>
              <w:t>(d)/(e) Corrective action</w:t>
            </w:r>
          </w:p>
        </w:tc>
        <w:tc>
          <w:tcPr>
            <w:tcW w:type="dxa" w:w="7416"/>
          </w:tcPr>
          <w:p>
            <w:pPr>
              <w:spacing w:after="40"/>
            </w:pPr>
            <w:r/>
            <w:r>
              <w:rPr>
                <w:b w:val="0"/>
                <w:i w:val="0"/>
                <w:sz w:val="19"/>
              </w:rPr>
              <w:t>We will complete a citation verification pass and provide a short table of confirmed citations by February 12. Cite authority in the transmittal the same way the Division’s own letters do.</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24 — Bold “defined” terms that are not defined; broken cross-references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548235"/>
          </w:tcPr>
          <w:p>
            <w:pPr>
              <w:spacing w:after="40"/>
            </w:pPr>
            <w:r>
              <w:rPr>
                <w:b/>
                <w:color w:val="FFFFFF"/>
              </w:rPr>
            </w:r>
            <w:r>
              <w:rPr>
                <w:b/>
                <w:i w:val="0"/>
                <w:color w:val="FFFFFF"/>
                <w:sz w:val="19"/>
              </w:rPr>
              <w:t>Low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VIII; ¶¶ 4.12, 7.2, 7.14 (“insured”); throughout (“policy period,” “business personal property,” “mold,” “tenant’s improvements and betterments,” “Coinsurance,” “Replacement Cost Valuation”).</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Regulation 4-2-13 (readability/clarity); construction against the drafter.</w:t>
            </w:r>
          </w:p>
        </w:tc>
      </w:tr>
      <w:tr>
        <w:tc>
          <w:tcPr>
            <w:tcW w:type="dxa" w:w="2232"/>
            <w:shd w:val="clear" w:color="auto" w:fill="D9E2F3"/>
          </w:tcPr>
          <w:p>
            <w:r/>
            <w:r>
              <w:rPr>
                <w:b/>
                <w:sz w:val="19"/>
              </w:rPr>
              <w:t>(c) Non-compliance</w:t>
            </w:r>
          </w:p>
        </w:tc>
        <w:tc>
          <w:tcPr>
            <w:tcW w:type="dxa" w:w="7416"/>
          </w:tcPr>
          <w:p>
            <w:pPr>
              <w:spacing w:after="40"/>
            </w:pPr>
            <w:r/>
            <w:r>
              <w:rPr>
                <w:b w:val="0"/>
                <w:i w:val="0"/>
                <w:sz w:val="19"/>
              </w:rPr>
              <w:t>The opening notice tells the reader that bold words “have special meaning” and refers to Section VIII. Several bold terms have no definition there. The most significant is “insured,” which drives the co-insured bar in ¶ 4.12. The definition of Named Insured refers to “Item 1 of the Declarations”; the Declarations are numbered ¶ 1.1. ¶ 2.2 lists Coverage C (Business Income) as “Covered Property.”</w:t>
            </w:r>
          </w:p>
        </w:tc>
      </w:tr>
      <w:tr>
        <w:tc>
          <w:tcPr>
            <w:tcW w:type="dxa" w:w="2232"/>
            <w:shd w:val="clear" w:color="auto" w:fill="D9E2F3"/>
          </w:tcPr>
          <w:p>
            <w:r/>
            <w:r>
              <w:rPr>
                <w:b/>
                <w:sz w:val="19"/>
              </w:rPr>
              <w:t>(d)/(e) Corrective action</w:t>
            </w:r>
          </w:p>
        </w:tc>
        <w:tc>
          <w:tcPr>
            <w:tcW w:type="dxa" w:w="7416"/>
          </w:tcPr>
          <w:p>
            <w:pPr>
              <w:spacing w:after="40"/>
            </w:pPr>
            <w:r/>
            <w:r>
              <w:rPr>
                <w:b w:val="0"/>
                <w:i w:val="0"/>
                <w:sz w:val="19"/>
              </w:rPr>
              <w:t>Add the missing definitions, correct the cross-references, and run a defined-terms consistency check on the revised form.</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25 — Other Insurance condition states two contradictory sharing methods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548235"/>
          </w:tcPr>
          <w:p>
            <w:pPr>
              <w:spacing w:after="40"/>
            </w:pPr>
            <w:r>
              <w:rPr>
                <w:b/>
                <w:color w:val="FFFFFF"/>
              </w:rPr>
            </w:r>
            <w:r>
              <w:rPr>
                <w:b/>
                <w:i w:val="0"/>
                <w:color w:val="FFFFFF"/>
                <w:sz w:val="19"/>
              </w:rPr>
              <w:t>Low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4 (¶ 7.4).</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 10-4-105 (standard fire policy pro rata clause); Regulation 4-2-13.</w:t>
            </w:r>
          </w:p>
        </w:tc>
      </w:tr>
      <w:tr>
        <w:tc>
          <w:tcPr>
            <w:tcW w:type="dxa" w:w="2232"/>
            <w:shd w:val="clear" w:color="auto" w:fill="D9E2F3"/>
          </w:tcPr>
          <w:p>
            <w:r/>
            <w:r>
              <w:rPr>
                <w:b/>
                <w:sz w:val="19"/>
              </w:rPr>
              <w:t>(c) Non-compliance</w:t>
            </w:r>
          </w:p>
        </w:tc>
        <w:tc>
          <w:tcPr>
            <w:tcW w:type="dxa" w:w="7416"/>
          </w:tcPr>
          <w:p>
            <w:pPr>
              <w:spacing w:after="40"/>
            </w:pPr>
            <w:r/>
            <w:r>
              <w:rPr>
                <w:b w:val="0"/>
                <w:i w:val="0"/>
                <w:sz w:val="19"/>
              </w:rPr>
              <w:t>The first paragraph applies pro rata sharing by limits. The third paragraph applies “contribution by equal shares” to other insurance written on the same basis, which describes almost every competing primary policy. The two methods produce different results.</w:t>
            </w:r>
          </w:p>
        </w:tc>
      </w:tr>
      <w:tr>
        <w:tc>
          <w:tcPr>
            <w:tcW w:type="dxa" w:w="2232"/>
            <w:shd w:val="clear" w:color="auto" w:fill="D9E2F3"/>
          </w:tcPr>
          <w:p>
            <w:r/>
            <w:r>
              <w:rPr>
                <w:b/>
                <w:sz w:val="19"/>
              </w:rPr>
              <w:t>(d)/(e) Corrective action</w:t>
            </w:r>
          </w:p>
        </w:tc>
        <w:tc>
          <w:tcPr>
            <w:tcW w:type="dxa" w:w="7416"/>
          </w:tcPr>
          <w:p>
            <w:pPr>
              <w:spacing w:after="40"/>
            </w:pPr>
            <w:r/>
            <w:r>
              <w:rPr>
                <w:b w:val="0"/>
                <w:i w:val="0"/>
                <w:sz w:val="19"/>
              </w:rPr>
              <w:t>Choose one method (pro rata by limits is consistent with the standard fire policy) and delete the other.</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26 — Subrogation waiver excludes negligent parties, which can defeat ordinary lease waivers</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548235"/>
          </w:tcPr>
          <w:p>
            <w:pPr>
              <w:spacing w:after="40"/>
            </w:pPr>
            <w:r>
              <w:rPr>
                <w:b/>
                <w:color w:val="FFFFFF"/>
              </w:rPr>
            </w:r>
            <w:r>
              <w:rPr>
                <w:b/>
                <w:i w:val="0"/>
                <w:color w:val="FFFFFF"/>
                <w:sz w:val="19"/>
              </w:rPr>
              <w:t>Low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14, second paragraph (¶ 7.14).</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General Colorado law (checklist Entry 8.4).</w:t>
            </w:r>
          </w:p>
        </w:tc>
      </w:tr>
      <w:tr>
        <w:tc>
          <w:tcPr>
            <w:tcW w:type="dxa" w:w="2232"/>
            <w:shd w:val="clear" w:color="auto" w:fill="D9E2F3"/>
          </w:tcPr>
          <w:p>
            <w:r/>
            <w:r>
              <w:rPr>
                <w:b/>
                <w:sz w:val="19"/>
              </w:rPr>
              <w:t>(c) Non-compliance</w:t>
            </w:r>
          </w:p>
        </w:tc>
        <w:tc>
          <w:tcPr>
            <w:tcW w:type="dxa" w:w="7416"/>
          </w:tcPr>
          <w:p>
            <w:pPr>
              <w:spacing w:after="40"/>
            </w:pPr>
            <w:r/>
            <w:r>
              <w:rPr>
                <w:b w:val="0"/>
                <w:i w:val="0"/>
                <w:sz w:val="19"/>
              </w:rPr>
              <w:t>Checklist Entry 8.4 describes the waiver as standard and “fully compliant” but leaves out the final sentence: the waiver “will not apply to any party that caused or contributed to the loss through its own negligence, unless the written waiver specifically includes such party.” Pre-loss waivers in leases and construction contracts exist to protect parties who may be negligent, so this sentence can leave the insured in breach of its contracts. It is not a statutory violation, but it is a material restriction compared with ISO that belongs in the deviation statement.</w:t>
            </w:r>
          </w:p>
        </w:tc>
      </w:tr>
      <w:tr>
        <w:tc>
          <w:tcPr>
            <w:tcW w:type="dxa" w:w="2232"/>
            <w:shd w:val="clear" w:color="auto" w:fill="D9E2F3"/>
          </w:tcPr>
          <w:p>
            <w:r/>
            <w:r>
              <w:rPr>
                <w:b/>
                <w:sz w:val="19"/>
              </w:rPr>
              <w:t>(d)/(e) Corrective action</w:t>
            </w:r>
          </w:p>
        </w:tc>
        <w:tc>
          <w:tcPr>
            <w:tcW w:type="dxa" w:w="7416"/>
          </w:tcPr>
          <w:p>
            <w:pPr>
              <w:spacing w:after="40"/>
            </w:pPr>
            <w:r/>
            <w:r>
              <w:rPr>
                <w:b w:val="0"/>
                <w:i w:val="0"/>
                <w:sz w:val="19"/>
              </w:rPr>
              <w:t>Delete the negligence sentence, or disclose it in the deviation statement and to producers.</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Entry 8.4 — Compliant (regulatory); </w:t>
            </w:r>
            <w:r>
              <w:rPr>
                <w:b/>
                <w:i w:val="0"/>
                <w:sz w:val="19"/>
              </w:rPr>
              <w:t>note commercial issue</w:t>
            </w:r>
            <w:r>
              <w:rPr>
                <w:b w:val="0"/>
                <w:i w:val="0"/>
                <w:sz w:val="19"/>
              </w:rPr>
              <w:t>.</w:t>
            </w:r>
          </w:p>
        </w:tc>
      </w:tr>
    </w:tbl>
    <w:p>
      <w:pPr>
        <w:spacing w:after="40"/>
      </w:pPr>
    </w:p>
    <w:p>
      <w:pPr>
        <w:pStyle w:val="Heading3"/>
      </w:pPr>
      <w:r>
        <w:t>Gap 27 — Policy “not valid unless countersigned”</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548235"/>
          </w:tcPr>
          <w:p>
            <w:pPr>
              <w:spacing w:after="40"/>
            </w:pPr>
            <w:r>
              <w:rPr>
                <w:b/>
                <w:color w:val="FFFFFF"/>
              </w:rPr>
            </w:r>
            <w:r>
              <w:rPr>
                <w:b/>
                <w:i w:val="0"/>
                <w:color w:val="FFFFFF"/>
                <w:sz w:val="19"/>
              </w:rPr>
              <w:t>Low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Declarations ¶ 1.8; end matter.</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C.R.S. Title 10 (we are not aware of a current Colorado countersignature requirement; to be confirmed in the citation pass).</w:t>
            </w:r>
          </w:p>
        </w:tc>
      </w:tr>
      <w:tr>
        <w:tc>
          <w:tcPr>
            <w:tcW w:type="dxa" w:w="2232"/>
            <w:shd w:val="clear" w:color="auto" w:fill="D9E2F3"/>
          </w:tcPr>
          <w:p>
            <w:r/>
            <w:r>
              <w:rPr>
                <w:b/>
                <w:sz w:val="19"/>
              </w:rPr>
              <w:t>(c) Non-compliance</w:t>
            </w:r>
          </w:p>
        </w:tc>
        <w:tc>
          <w:tcPr>
            <w:tcW w:type="dxa" w:w="7416"/>
          </w:tcPr>
          <w:p>
            <w:pPr>
              <w:spacing w:after="40"/>
            </w:pPr>
            <w:r/>
            <w:r>
              <w:rPr>
                <w:b w:val="0"/>
                <w:i w:val="0"/>
                <w:sz w:val="19"/>
              </w:rPr>
              <w:t>Making the validity of the policy depend on an administrative countersignature could be used to contest coverage when a signature was missed. It adds no regulatory value.</w:t>
            </w:r>
          </w:p>
        </w:tc>
      </w:tr>
      <w:tr>
        <w:tc>
          <w:tcPr>
            <w:tcW w:type="dxa" w:w="2232"/>
            <w:shd w:val="clear" w:color="auto" w:fill="D9E2F3"/>
          </w:tcPr>
          <w:p>
            <w:r/>
            <w:r>
              <w:rPr>
                <w:b/>
                <w:sz w:val="19"/>
              </w:rPr>
              <w:t>(d)/(e) Corrective action</w:t>
            </w:r>
          </w:p>
        </w:tc>
        <w:tc>
          <w:tcPr>
            <w:tcW w:type="dxa" w:w="7416"/>
          </w:tcPr>
          <w:p>
            <w:pPr>
              <w:spacing w:after="40"/>
            </w:pPr>
            <w:r/>
            <w:r>
              <w:rPr>
                <w:b w:val="0"/>
                <w:i w:val="0"/>
                <w:sz w:val="19"/>
              </w:rPr>
              <w:t>Delete the validity condition, or replace it with an execution statement that does not condition coverage.</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28 — Conformity-to-statute clause should not be relied on as a cure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548235"/>
          </w:tcPr>
          <w:p>
            <w:pPr>
              <w:spacing w:after="40"/>
            </w:pPr>
            <w:r>
              <w:rPr>
                <w:b/>
                <w:color w:val="FFFFFF"/>
              </w:rPr>
            </w:r>
            <w:r>
              <w:rPr>
                <w:b/>
                <w:i w:val="0"/>
                <w:color w:val="FFFFFF"/>
                <w:sz w:val="19"/>
              </w:rPr>
              <w:t>Low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18 (¶ 7.18).</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General filing practice; C.R.S. § 10-4-403 (Division position in MERI-2021-003).</w:t>
            </w:r>
          </w:p>
        </w:tc>
      </w:tr>
      <w:tr>
        <w:tc>
          <w:tcPr>
            <w:tcW w:type="dxa" w:w="2232"/>
            <w:shd w:val="clear" w:color="auto" w:fill="D9E2F3"/>
          </w:tcPr>
          <w:p>
            <w:r/>
            <w:r>
              <w:rPr>
                <w:b/>
                <w:sz w:val="19"/>
              </w:rPr>
              <w:t>(c) Non-compliance</w:t>
            </w:r>
          </w:p>
        </w:tc>
        <w:tc>
          <w:tcPr>
            <w:tcW w:type="dxa" w:w="7416"/>
          </w:tcPr>
          <w:p>
            <w:pPr>
              <w:spacing w:after="40"/>
            </w:pPr>
            <w:r/>
            <w:r>
              <w:rPr>
                <w:b w:val="0"/>
                <w:i w:val="0"/>
                <w:sz w:val="19"/>
              </w:rPr>
              <w:t>The clause is acceptable, but it does not make non-compliant text compliant for filing purposes. The Division reviews the filed language, and the 2021 objection shows it will object to the text as written. The clause also refers to “any other state,” although the form is limited to Colorado (¶ 7.5).</w:t>
            </w:r>
          </w:p>
        </w:tc>
      </w:tr>
      <w:tr>
        <w:tc>
          <w:tcPr>
            <w:tcW w:type="dxa" w:w="2232"/>
            <w:shd w:val="clear" w:color="auto" w:fill="D9E2F3"/>
          </w:tcPr>
          <w:p>
            <w:r/>
            <w:r>
              <w:rPr>
                <w:b/>
                <w:sz w:val="19"/>
              </w:rPr>
              <w:t>(d)/(e) Corrective action</w:t>
            </w:r>
          </w:p>
        </w:tc>
        <w:tc>
          <w:tcPr>
            <w:tcW w:type="dxa" w:w="7416"/>
          </w:tcPr>
          <w:p>
            <w:pPr>
              <w:spacing w:after="40"/>
            </w:pPr>
            <w:r/>
            <w:r>
              <w:rPr>
                <w:b w:val="0"/>
                <w:i w:val="0"/>
                <w:sz w:val="19"/>
              </w:rPr>
              <w:t>Keep it as a backstop, limit it to Colorado, and correct every substantive provision directly.</w:t>
            </w:r>
          </w:p>
        </w:tc>
      </w:tr>
      <w:tr>
        <w:tc>
          <w:tcPr>
            <w:tcW w:type="dxa" w:w="2232"/>
            <w:shd w:val="clear" w:color="auto" w:fill="D9E2F3"/>
          </w:tcPr>
          <w:p>
            <w:r/>
            <w:r>
              <w:rPr>
                <w:b/>
                <w:sz w:val="19"/>
              </w:rPr>
              <w:t>Checklist status</w:t>
            </w:r>
          </w:p>
        </w:tc>
        <w:tc>
          <w:tcPr>
            <w:tcW w:type="dxa" w:w="7416"/>
          </w:tcPr>
          <w:p>
            <w:pPr>
              <w:spacing w:after="40"/>
            </w:pPr>
            <w:r/>
            <w:r>
              <w:rPr>
                <w:b w:val="0"/>
                <w:i w:val="0"/>
                <w:sz w:val="19"/>
              </w:rPr>
              <w:t xml:space="preserve">Not addressed in checklist — </w:t>
            </w:r>
            <w:r>
              <w:rPr>
                <w:b/>
                <w:i w:val="0"/>
                <w:sz w:val="19"/>
              </w:rPr>
              <w:t>new item</w:t>
            </w:r>
            <w:r>
              <w:rPr>
                <w:b w:val="0"/>
                <w:i w:val="0"/>
                <w:sz w:val="19"/>
              </w:rPr>
              <w:t>.</w:t>
            </w:r>
          </w:p>
        </w:tc>
      </w:tr>
    </w:tbl>
    <w:p>
      <w:pPr>
        <w:spacing w:after="40"/>
      </w:pPr>
    </w:p>
    <w:p>
      <w:pPr>
        <w:pStyle w:val="Heading3"/>
      </w:pPr>
      <w:r>
        <w:t>Gap 29 — Vacancy condition is broader than the checklist describes; must be reflected in the wildfire disclosure</w:t>
      </w:r>
    </w:p>
    <w:tbl>
      <w:tblPr>
        <w:tblStyle w:val="TableGrid"/>
        <w:tblW w:type="auto" w:w="0"/>
        <w:tblLook w:firstColumn="1" w:firstRow="1" w:lastColumn="0" w:lastRow="0" w:noHBand="0" w:noVBand="1" w:val="04A0"/>
      </w:tblPr>
      <w:tblGrid>
        <w:gridCol w:w="4824"/>
        <w:gridCol w:w="4824"/>
      </w:tblGrid>
      <w:tr>
        <w:tc>
          <w:tcPr>
            <w:tcW w:type="dxa" w:w="2232"/>
            <w:shd w:val="clear" w:color="auto" w:fill="D9E2F3"/>
          </w:tcPr>
          <w:p>
            <w:r/>
            <w:r>
              <w:rPr>
                <w:b/>
                <w:sz w:val="19"/>
              </w:rPr>
              <w:t>Severity</w:t>
            </w:r>
          </w:p>
        </w:tc>
        <w:tc>
          <w:tcPr>
            <w:tcW w:type="dxa" w:w="7416"/>
            <w:shd w:val="clear" w:color="auto" w:fill="548235"/>
          </w:tcPr>
          <w:p>
            <w:pPr>
              <w:spacing w:after="40"/>
            </w:pPr>
            <w:r>
              <w:rPr>
                <w:b/>
                <w:color w:val="FFFFFF"/>
              </w:rPr>
            </w:r>
            <w:r>
              <w:rPr>
                <w:b/>
                <w:i w:val="0"/>
                <w:color w:val="FFFFFF"/>
                <w:sz w:val="19"/>
              </w:rPr>
              <w:t>Low  (Substantive)</w:t>
            </w:r>
          </w:p>
        </w:tc>
      </w:tr>
      <w:tr>
        <w:tc>
          <w:tcPr>
            <w:tcW w:type="dxa" w:w="2232"/>
            <w:shd w:val="clear" w:color="auto" w:fill="D9E2F3"/>
          </w:tcPr>
          <w:p>
            <w:r/>
            <w:r>
              <w:rPr>
                <w:b/>
                <w:sz w:val="19"/>
              </w:rPr>
              <w:t>Repeat of prior objection?</w:t>
            </w:r>
          </w:p>
        </w:tc>
        <w:tc>
          <w:tcPr>
            <w:tcW w:type="dxa" w:w="7416"/>
          </w:tcPr>
          <w:p>
            <w:pPr>
              <w:spacing w:after="40"/>
            </w:pPr>
            <w:r/>
            <w:r>
              <w:rPr>
                <w:b w:val="0"/>
                <w:i w:val="0"/>
                <w:sz w:val="19"/>
              </w:rPr>
              <w:t>No</w:t>
            </w:r>
          </w:p>
        </w:tc>
      </w:tr>
      <w:tr>
        <w:tc>
          <w:tcPr>
            <w:tcW w:type="dxa" w:w="2232"/>
            <w:shd w:val="clear" w:color="auto" w:fill="D9E2F3"/>
          </w:tcPr>
          <w:p>
            <w:r/>
            <w:r>
              <w:rPr>
                <w:b/>
                <w:sz w:val="19"/>
              </w:rPr>
              <w:t>(a) Form section</w:t>
            </w:r>
          </w:p>
        </w:tc>
        <w:tc>
          <w:tcPr>
            <w:tcW w:type="dxa" w:w="7416"/>
          </w:tcPr>
          <w:p>
            <w:pPr>
              <w:spacing w:after="40"/>
            </w:pPr>
            <w:r/>
            <w:r>
              <w:rPr>
                <w:b w:val="0"/>
                <w:i w:val="0"/>
                <w:sz w:val="19"/>
              </w:rPr>
              <w:t>Section VII, Condition 11 (¶ 7.11).</w:t>
            </w:r>
          </w:p>
        </w:tc>
      </w:tr>
      <w:tr>
        <w:tc>
          <w:tcPr>
            <w:tcW w:type="dxa" w:w="2232"/>
            <w:shd w:val="clear" w:color="auto" w:fill="D9E2F3"/>
          </w:tcPr>
          <w:p>
            <w:r/>
            <w:r>
              <w:rPr>
                <w:b/>
                <w:sz w:val="19"/>
              </w:rPr>
              <w:t>(b) Colorado requirement</w:t>
            </w:r>
          </w:p>
        </w:tc>
        <w:tc>
          <w:tcPr>
            <w:tcW w:type="dxa" w:w="7416"/>
          </w:tcPr>
          <w:p>
            <w:pPr>
              <w:spacing w:after="40"/>
            </w:pPr>
            <w:r/>
            <w:r>
              <w:rPr>
                <w:b w:val="0"/>
                <w:i w:val="0"/>
                <w:sz w:val="19"/>
              </w:rPr>
              <w:t>No specific Colorado vacancy mandate (checklist Entry 8.2); C.R.S. § 10-4-110.5 (limitations relevant to wildfire must be disclosed).</w:t>
            </w:r>
          </w:p>
        </w:tc>
      </w:tr>
      <w:tr>
        <w:tc>
          <w:tcPr>
            <w:tcW w:type="dxa" w:w="2232"/>
            <w:shd w:val="clear" w:color="auto" w:fill="D9E2F3"/>
          </w:tcPr>
          <w:p>
            <w:r/>
            <w:r>
              <w:rPr>
                <w:b/>
                <w:sz w:val="19"/>
              </w:rPr>
              <w:t>(c) Non-compliance</w:t>
            </w:r>
          </w:p>
        </w:tc>
        <w:tc>
          <w:tcPr>
            <w:tcW w:type="dxa" w:w="7416"/>
          </w:tcPr>
          <w:p>
            <w:pPr>
              <w:spacing w:after="40"/>
            </w:pPr>
            <w:r/>
            <w:r>
              <w:rPr>
                <w:b w:val="0"/>
                <w:i w:val="0"/>
                <w:sz w:val="19"/>
              </w:rPr>
              <w:t>Checklist Entry 8.2 describes only a 15% reduction. The clause also removes coverage entirely for vandalism, sprinkler leakage, building glass, water damage and theft after 60 days of vacancy. Seasonal and resort properties are common in Colorado’s mountain wildland-urban interface, and the seasonal carve-out deserves a plain-language explanation in the wildfire notice.</w:t>
            </w:r>
          </w:p>
        </w:tc>
      </w:tr>
      <w:tr>
        <w:tc>
          <w:tcPr>
            <w:tcW w:type="dxa" w:w="2232"/>
            <w:shd w:val="clear" w:color="auto" w:fill="D9E2F3"/>
          </w:tcPr>
          <w:p>
            <w:r/>
            <w:r>
              <w:rPr>
                <w:b/>
                <w:sz w:val="19"/>
              </w:rPr>
              <w:t>(d)/(e) Corrective action</w:t>
            </w:r>
          </w:p>
        </w:tc>
        <w:tc>
          <w:tcPr>
            <w:tcW w:type="dxa" w:w="7416"/>
          </w:tcPr>
          <w:p>
            <w:pPr>
              <w:spacing w:after="40"/>
            </w:pPr>
            <w:r/>
            <w:r>
              <w:rPr>
                <w:b w:val="0"/>
                <w:i w:val="0"/>
                <w:sz w:val="19"/>
              </w:rPr>
              <w:t>No change to the condition is required. Correct the checklist description and include the vacancy effects in the wildfire disclosure (Appendix B).</w:t>
            </w:r>
          </w:p>
        </w:tc>
      </w:tr>
      <w:tr>
        <w:tc>
          <w:tcPr>
            <w:tcW w:type="dxa" w:w="2232"/>
            <w:shd w:val="clear" w:color="auto" w:fill="D9E2F3"/>
          </w:tcPr>
          <w:p>
            <w:r/>
            <w:r>
              <w:rPr>
                <w:b/>
                <w:sz w:val="19"/>
              </w:rPr>
              <w:t>Checklist status</w:t>
            </w:r>
          </w:p>
        </w:tc>
        <w:tc>
          <w:tcPr>
            <w:tcW w:type="dxa" w:w="7416"/>
          </w:tcPr>
          <w:p>
            <w:pPr>
              <w:spacing w:after="40"/>
            </w:pPr>
            <w:r/>
            <w:r>
              <w:rPr>
                <w:b w:val="0"/>
                <w:i w:val="0"/>
                <w:sz w:val="19"/>
              </w:rPr>
              <w:t>Entry 8.2 — Compliant (agree), description corrected.</w:t>
            </w:r>
          </w:p>
        </w:tc>
      </w:tr>
    </w:tbl>
    <w:p>
      <w:pPr>
        <w:spacing w:after="40"/>
      </w:pPr>
    </w:p>
    <w:p>
      <w:pPr>
        <w:pStyle w:val="Heading1"/>
      </w:pPr>
      <w:r>
        <w:t>V. Procedural and Administrative Items Before SERFF Submission</w:t>
      </w:r>
    </w:p>
    <w:p>
      <w:r>
        <w:rPr>
          <w:b w:val="0"/>
          <w:i w:val="0"/>
        </w:rPr>
        <w:t>The following items must be closed before Trenton Filing Services can assemble and submit MERI-133318601. They are also in the gap register.</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4176"/>
            <w:shd w:val="clear" w:color="auto" w:fill="1F3864"/>
          </w:tcPr>
          <w:p>
            <w:r/>
            <w:r>
              <w:rPr>
                <w:b/>
                <w:color w:val="FFFFFF"/>
                <w:sz w:val="17"/>
              </w:rPr>
              <w:t>Item</w:t>
            </w:r>
          </w:p>
        </w:tc>
        <w:tc>
          <w:tcPr>
            <w:tcW w:type="dxa" w:w="936"/>
            <w:shd w:val="clear" w:color="auto" w:fill="1F3864"/>
          </w:tcPr>
          <w:p>
            <w:r/>
            <w:r>
              <w:rPr>
                <w:b/>
                <w:color w:val="FFFFFF"/>
                <w:sz w:val="17"/>
              </w:rPr>
              <w:t>Ref.</w:t>
            </w:r>
          </w:p>
        </w:tc>
        <w:tc>
          <w:tcPr>
            <w:tcW w:type="dxa" w:w="1008"/>
            <w:shd w:val="clear" w:color="auto" w:fill="1F3864"/>
          </w:tcPr>
          <w:p>
            <w:r/>
            <w:r>
              <w:rPr>
                <w:b/>
                <w:color w:val="FFFFFF"/>
                <w:sz w:val="17"/>
              </w:rPr>
              <w:t>Priority</w:t>
            </w:r>
          </w:p>
        </w:tc>
        <w:tc>
          <w:tcPr>
            <w:tcW w:type="dxa" w:w="1800"/>
            <w:shd w:val="clear" w:color="auto" w:fill="1F3864"/>
          </w:tcPr>
          <w:p>
            <w:r/>
            <w:r>
              <w:rPr>
                <w:b/>
                <w:color w:val="FFFFFF"/>
                <w:sz w:val="17"/>
              </w:rPr>
              <w:t>Owner (suggested)</w:t>
            </w:r>
          </w:p>
        </w:tc>
        <w:tc>
          <w:tcPr>
            <w:tcW w:type="dxa" w:w="1728"/>
            <w:shd w:val="clear" w:color="auto" w:fill="1F3864"/>
          </w:tcPr>
          <w:p>
            <w:r/>
            <w:r>
              <w:rPr>
                <w:b/>
                <w:color w:val="FFFFFF"/>
                <w:sz w:val="17"/>
              </w:rPr>
              <w:t>Target</w:t>
            </w:r>
          </w:p>
        </w:tc>
      </w:tr>
      <w:tr>
        <w:tc>
          <w:tcPr>
            <w:tcW w:type="dxa" w:w="4176"/>
          </w:tcPr>
          <w:p>
            <w:pPr>
              <w:spacing w:after="20"/>
            </w:pPr>
            <w:r/>
            <w:r>
              <w:rPr>
                <w:b w:val="0"/>
                <w:i w:val="0"/>
                <w:sz w:val="17"/>
              </w:rPr>
              <w:t>Readability certificate (Reg. 4-2-13) on final text, incl. all new notices</w:t>
            </w:r>
          </w:p>
        </w:tc>
        <w:tc>
          <w:tcPr>
            <w:tcW w:type="dxa" w:w="936"/>
          </w:tcPr>
          <w:p>
            <w:pPr>
              <w:spacing w:after="20"/>
            </w:pPr>
            <w:r/>
            <w:r>
              <w:rPr>
                <w:b w:val="0"/>
                <w:i w:val="0"/>
                <w:sz w:val="17"/>
              </w:rPr>
              <w:t>Gap 3</w:t>
            </w:r>
          </w:p>
        </w:tc>
        <w:tc>
          <w:tcPr>
            <w:tcW w:type="dxa" w:w="1008"/>
          </w:tcPr>
          <w:p>
            <w:pPr>
              <w:spacing w:after="20"/>
            </w:pPr>
            <w:r/>
            <w:r>
              <w:rPr>
                <w:b w:val="0"/>
                <w:i w:val="0"/>
                <w:sz w:val="17"/>
              </w:rPr>
              <w:t>Critical</w:t>
            </w:r>
          </w:p>
        </w:tc>
        <w:tc>
          <w:tcPr>
            <w:tcW w:type="dxa" w:w="1800"/>
          </w:tcPr>
          <w:p>
            <w:pPr>
              <w:spacing w:after="20"/>
            </w:pPr>
            <w:r/>
            <w:r>
              <w:rPr>
                <w:b w:val="0"/>
                <w:i w:val="0"/>
                <w:sz w:val="17"/>
              </w:rPr>
              <w:t>Meridian Compliance</w:t>
            </w:r>
          </w:p>
        </w:tc>
        <w:tc>
          <w:tcPr>
            <w:tcW w:type="dxa" w:w="1728"/>
          </w:tcPr>
          <w:p>
            <w:pPr>
              <w:spacing w:after="20"/>
            </w:pPr>
            <w:r/>
            <w:r>
              <w:rPr>
                <w:b w:val="0"/>
                <w:i w:val="0"/>
                <w:sz w:val="17"/>
              </w:rPr>
              <w:t>Diagnostic by Feb 10; certified by Feb 21</w:t>
            </w:r>
          </w:p>
        </w:tc>
      </w:tr>
      <w:tr>
        <w:tc>
          <w:tcPr>
            <w:tcW w:type="dxa" w:w="4176"/>
          </w:tcPr>
          <w:p>
            <w:pPr>
              <w:spacing w:after="20"/>
            </w:pPr>
            <w:r/>
            <w:r>
              <w:rPr>
                <w:b w:val="0"/>
                <w:i w:val="0"/>
                <w:sz w:val="17"/>
              </w:rPr>
              <w:t>Draft and file wildfire disclosure notice, RC offer/election form and TRIPRA disclosure/selection form; confirm filing status of MCP-RC-01, -AO-01, -EQ-01, -FL-01 and the terrorism endorsement</w:t>
            </w:r>
          </w:p>
        </w:tc>
        <w:tc>
          <w:tcPr>
            <w:tcW w:type="dxa" w:w="936"/>
          </w:tcPr>
          <w:p>
            <w:pPr>
              <w:spacing w:after="20"/>
            </w:pPr>
            <w:r/>
            <w:r>
              <w:rPr>
                <w:b w:val="0"/>
                <w:i w:val="0"/>
                <w:sz w:val="17"/>
              </w:rPr>
              <w:t>Gap 14</w:t>
            </w:r>
          </w:p>
        </w:tc>
        <w:tc>
          <w:tcPr>
            <w:tcW w:type="dxa" w:w="1008"/>
          </w:tcPr>
          <w:p>
            <w:pPr>
              <w:spacing w:after="20"/>
            </w:pPr>
            <w:r/>
            <w:r>
              <w:rPr>
                <w:b w:val="0"/>
                <w:i w:val="0"/>
                <w:sz w:val="17"/>
              </w:rPr>
              <w:t>High</w:t>
            </w:r>
          </w:p>
        </w:tc>
        <w:tc>
          <w:tcPr>
            <w:tcW w:type="dxa" w:w="1800"/>
          </w:tcPr>
          <w:p>
            <w:pPr>
              <w:spacing w:after="20"/>
            </w:pPr>
            <w:r/>
            <w:r>
              <w:rPr>
                <w:b w:val="0"/>
                <w:i w:val="0"/>
                <w:sz w:val="17"/>
              </w:rPr>
              <w:t>Meridian Product / H&amp;C review</w:t>
            </w:r>
          </w:p>
        </w:tc>
        <w:tc>
          <w:tcPr>
            <w:tcW w:type="dxa" w:w="1728"/>
          </w:tcPr>
          <w:p>
            <w:pPr>
              <w:spacing w:after="20"/>
            </w:pPr>
            <w:r/>
            <w:r>
              <w:rPr>
                <w:b w:val="0"/>
                <w:i w:val="0"/>
                <w:sz w:val="17"/>
              </w:rPr>
              <w:t>Feb 14</w:t>
            </w:r>
          </w:p>
        </w:tc>
      </w:tr>
      <w:tr>
        <w:tc>
          <w:tcPr>
            <w:tcW w:type="dxa" w:w="4176"/>
          </w:tcPr>
          <w:p>
            <w:pPr>
              <w:spacing w:after="20"/>
            </w:pPr>
            <w:r/>
            <w:r>
              <w:rPr>
                <w:b w:val="0"/>
                <w:i w:val="0"/>
                <w:sz w:val="17"/>
              </w:rPr>
              <w:t>Correct prior-objection history and checklist counts before any filing-history narrative is submitted</w:t>
            </w:r>
          </w:p>
        </w:tc>
        <w:tc>
          <w:tcPr>
            <w:tcW w:type="dxa" w:w="936"/>
          </w:tcPr>
          <w:p>
            <w:pPr>
              <w:spacing w:after="20"/>
            </w:pPr>
            <w:r/>
            <w:r>
              <w:rPr>
                <w:b w:val="0"/>
                <w:i w:val="0"/>
                <w:sz w:val="17"/>
              </w:rPr>
              <w:t>Gap 15</w:t>
            </w:r>
          </w:p>
        </w:tc>
        <w:tc>
          <w:tcPr>
            <w:tcW w:type="dxa" w:w="1008"/>
          </w:tcPr>
          <w:p>
            <w:pPr>
              <w:spacing w:after="20"/>
            </w:pPr>
            <w:r/>
            <w:r>
              <w:rPr>
                <w:b w:val="0"/>
                <w:i w:val="0"/>
                <w:sz w:val="17"/>
              </w:rPr>
              <w:t>High</w:t>
            </w:r>
          </w:p>
        </w:tc>
        <w:tc>
          <w:tcPr>
            <w:tcW w:type="dxa" w:w="1800"/>
          </w:tcPr>
          <w:p>
            <w:pPr>
              <w:spacing w:after="20"/>
            </w:pPr>
            <w:r/>
            <w:r>
              <w:rPr>
                <w:b w:val="0"/>
                <w:i w:val="0"/>
                <w:sz w:val="17"/>
              </w:rPr>
              <w:t>Meridian Compliance</w:t>
            </w:r>
          </w:p>
        </w:tc>
        <w:tc>
          <w:tcPr>
            <w:tcW w:type="dxa" w:w="1728"/>
          </w:tcPr>
          <w:p>
            <w:pPr>
              <w:spacing w:after="20"/>
            </w:pPr>
            <w:r/>
            <w:r>
              <w:rPr>
                <w:b w:val="0"/>
                <w:i w:val="0"/>
                <w:sz w:val="17"/>
              </w:rPr>
              <w:t>Feb 12</w:t>
            </w:r>
          </w:p>
        </w:tc>
      </w:tr>
      <w:tr>
        <w:tc>
          <w:tcPr>
            <w:tcW w:type="dxa" w:w="4176"/>
          </w:tcPr>
          <w:p>
            <w:pPr>
              <w:spacing w:after="20"/>
            </w:pPr>
            <w:r/>
            <w:r>
              <w:rPr>
                <w:b w:val="0"/>
                <w:i w:val="0"/>
                <w:sz w:val="17"/>
              </w:rPr>
              <w:t>Statement of variability / ISO deviation table</w:t>
            </w:r>
          </w:p>
        </w:tc>
        <w:tc>
          <w:tcPr>
            <w:tcW w:type="dxa" w:w="936"/>
          </w:tcPr>
          <w:p>
            <w:pPr>
              <w:spacing w:after="20"/>
            </w:pPr>
            <w:r/>
            <w:r>
              <w:rPr>
                <w:b w:val="0"/>
                <w:i w:val="0"/>
                <w:sz w:val="17"/>
              </w:rPr>
              <w:t>Gap 22</w:t>
            </w:r>
          </w:p>
        </w:tc>
        <w:tc>
          <w:tcPr>
            <w:tcW w:type="dxa" w:w="1008"/>
          </w:tcPr>
          <w:p>
            <w:pPr>
              <w:spacing w:after="20"/>
            </w:pPr>
            <w:r/>
            <w:r>
              <w:rPr>
                <w:b w:val="0"/>
                <w:i w:val="0"/>
                <w:sz w:val="17"/>
              </w:rPr>
              <w:t>Medium</w:t>
            </w:r>
          </w:p>
        </w:tc>
        <w:tc>
          <w:tcPr>
            <w:tcW w:type="dxa" w:w="1800"/>
          </w:tcPr>
          <w:p>
            <w:pPr>
              <w:spacing w:after="20"/>
            </w:pPr>
            <w:r/>
            <w:r>
              <w:rPr>
                <w:b w:val="0"/>
                <w:i w:val="0"/>
                <w:sz w:val="17"/>
              </w:rPr>
              <w:t>Meridian Product</w:t>
            </w:r>
          </w:p>
        </w:tc>
        <w:tc>
          <w:tcPr>
            <w:tcW w:type="dxa" w:w="1728"/>
          </w:tcPr>
          <w:p>
            <w:pPr>
              <w:spacing w:after="20"/>
            </w:pPr>
            <w:r/>
            <w:r>
              <w:rPr>
                <w:b w:val="0"/>
                <w:i w:val="0"/>
                <w:sz w:val="17"/>
              </w:rPr>
              <w:t>Feb 19</w:t>
            </w:r>
          </w:p>
        </w:tc>
      </w:tr>
      <w:tr>
        <w:tc>
          <w:tcPr>
            <w:tcW w:type="dxa" w:w="4176"/>
          </w:tcPr>
          <w:p>
            <w:pPr>
              <w:spacing w:after="20"/>
            </w:pPr>
            <w:r/>
            <w:r>
              <w:rPr>
                <w:b w:val="0"/>
                <w:i w:val="0"/>
                <w:sz w:val="17"/>
              </w:rPr>
              <w:t>Citation verification table</w:t>
            </w:r>
          </w:p>
        </w:tc>
        <w:tc>
          <w:tcPr>
            <w:tcW w:type="dxa" w:w="936"/>
          </w:tcPr>
          <w:p>
            <w:pPr>
              <w:spacing w:after="20"/>
            </w:pPr>
            <w:r/>
            <w:r>
              <w:rPr>
                <w:b w:val="0"/>
                <w:i w:val="0"/>
                <w:sz w:val="17"/>
              </w:rPr>
              <w:t>Gap 23</w:t>
            </w:r>
          </w:p>
        </w:tc>
        <w:tc>
          <w:tcPr>
            <w:tcW w:type="dxa" w:w="1008"/>
          </w:tcPr>
          <w:p>
            <w:pPr>
              <w:spacing w:after="20"/>
            </w:pPr>
            <w:r/>
            <w:r>
              <w:rPr>
                <w:b w:val="0"/>
                <w:i w:val="0"/>
                <w:sz w:val="17"/>
              </w:rPr>
              <w:t>Medium</w:t>
            </w:r>
          </w:p>
        </w:tc>
        <w:tc>
          <w:tcPr>
            <w:tcW w:type="dxa" w:w="1800"/>
          </w:tcPr>
          <w:p>
            <w:pPr>
              <w:spacing w:after="20"/>
            </w:pPr>
            <w:r/>
            <w:r>
              <w:rPr>
                <w:b w:val="0"/>
                <w:i w:val="0"/>
                <w:sz w:val="17"/>
              </w:rPr>
              <w:t>H&amp;C</w:t>
            </w:r>
          </w:p>
        </w:tc>
        <w:tc>
          <w:tcPr>
            <w:tcW w:type="dxa" w:w="1728"/>
          </w:tcPr>
          <w:p>
            <w:pPr>
              <w:spacing w:after="20"/>
            </w:pPr>
            <w:r/>
            <w:r>
              <w:rPr>
                <w:b w:val="0"/>
                <w:i w:val="0"/>
                <w:sz w:val="17"/>
              </w:rPr>
              <w:t>Feb 12</w:t>
            </w:r>
          </w:p>
        </w:tc>
      </w:tr>
      <w:tr>
        <w:tc>
          <w:tcPr>
            <w:tcW w:type="dxa" w:w="4176"/>
          </w:tcPr>
          <w:p>
            <w:pPr>
              <w:spacing w:after="20"/>
            </w:pPr>
            <w:r/>
            <w:r>
              <w:rPr>
                <w:b w:val="0"/>
                <w:i w:val="0"/>
                <w:sz w:val="17"/>
              </w:rPr>
              <w:t>Transmittal letter on letterhead, officer certification of compliance, form ID and edition date, type of insurance, intended use (Regs. 4-2-1 to 4-2-10). Transmittal should affirmatively describe how MERI-2021-003 and MERI-2023-007 have been addressed.</w:t>
            </w:r>
          </w:p>
        </w:tc>
        <w:tc>
          <w:tcPr>
            <w:tcW w:type="dxa" w:w="936"/>
          </w:tcPr>
          <w:p>
            <w:pPr>
              <w:spacing w:after="20"/>
            </w:pPr>
            <w:r/>
            <w:r>
              <w:rPr>
                <w:b w:val="0"/>
                <w:i w:val="0"/>
                <w:sz w:val="17"/>
              </w:rPr>
              <w:t>Entry 7.4</w:t>
            </w:r>
          </w:p>
        </w:tc>
        <w:tc>
          <w:tcPr>
            <w:tcW w:type="dxa" w:w="1008"/>
          </w:tcPr>
          <w:p>
            <w:pPr>
              <w:spacing w:after="20"/>
            </w:pPr>
            <w:r/>
            <w:r>
              <w:rPr>
                <w:b w:val="0"/>
                <w:i w:val="0"/>
                <w:sz w:val="17"/>
              </w:rPr>
              <w:t>Required</w:t>
            </w:r>
          </w:p>
        </w:tc>
        <w:tc>
          <w:tcPr>
            <w:tcW w:type="dxa" w:w="1800"/>
          </w:tcPr>
          <w:p>
            <w:pPr>
              <w:spacing w:after="20"/>
            </w:pPr>
            <w:r/>
            <w:r>
              <w:rPr>
                <w:b w:val="0"/>
                <w:i w:val="0"/>
                <w:sz w:val="17"/>
              </w:rPr>
              <w:t>Meridian Compliance</w:t>
            </w:r>
          </w:p>
        </w:tc>
        <w:tc>
          <w:tcPr>
            <w:tcW w:type="dxa" w:w="1728"/>
          </w:tcPr>
          <w:p>
            <w:pPr>
              <w:spacing w:after="20"/>
            </w:pPr>
            <w:r/>
            <w:r>
              <w:rPr>
                <w:b w:val="0"/>
                <w:i w:val="0"/>
                <w:sz w:val="17"/>
              </w:rPr>
              <w:t>Feb 24</w:t>
            </w:r>
          </w:p>
        </w:tc>
      </w:tr>
      <w:tr>
        <w:tc>
          <w:tcPr>
            <w:tcW w:type="dxa" w:w="4176"/>
          </w:tcPr>
          <w:p>
            <w:pPr>
              <w:spacing w:after="20"/>
            </w:pPr>
            <w:r/>
            <w:r>
              <w:rPr>
                <w:b w:val="0"/>
                <w:i w:val="0"/>
                <w:sz w:val="17"/>
              </w:rPr>
              <w:t>Coordinate with Northridge Actuarial rate filing (any minimum earned premium rule; terrorism premium; RC premium)</w:t>
            </w:r>
          </w:p>
        </w:tc>
        <w:tc>
          <w:tcPr>
            <w:tcW w:type="dxa" w:w="936"/>
          </w:tcPr>
          <w:p>
            <w:pPr>
              <w:spacing w:after="20"/>
            </w:pPr>
            <w:r/>
            <w:r>
              <w:rPr>
                <w:b w:val="0"/>
                <w:i w:val="0"/>
                <w:sz w:val="17"/>
              </w:rPr>
              <w:t>Gaps 5, 11, 13</w:t>
            </w:r>
          </w:p>
        </w:tc>
        <w:tc>
          <w:tcPr>
            <w:tcW w:type="dxa" w:w="1008"/>
          </w:tcPr>
          <w:p>
            <w:pPr>
              <w:spacing w:after="20"/>
            </w:pPr>
            <w:r/>
            <w:r>
              <w:rPr>
                <w:b w:val="0"/>
                <w:i w:val="0"/>
                <w:sz w:val="17"/>
              </w:rPr>
              <w:t>Required</w:t>
            </w:r>
          </w:p>
        </w:tc>
        <w:tc>
          <w:tcPr>
            <w:tcW w:type="dxa" w:w="1800"/>
          </w:tcPr>
          <w:p>
            <w:pPr>
              <w:spacing w:after="20"/>
            </w:pPr>
            <w:r/>
            <w:r>
              <w:rPr>
                <w:b w:val="0"/>
                <w:i w:val="0"/>
                <w:sz w:val="17"/>
              </w:rPr>
              <w:t>Meridian / Northridge</w:t>
            </w:r>
          </w:p>
        </w:tc>
        <w:tc>
          <w:tcPr>
            <w:tcW w:type="dxa" w:w="1728"/>
          </w:tcPr>
          <w:p>
            <w:pPr>
              <w:spacing w:after="20"/>
            </w:pPr>
            <w:r/>
            <w:r>
              <w:rPr>
                <w:b w:val="0"/>
                <w:i w:val="0"/>
                <w:sz w:val="17"/>
              </w:rPr>
              <w:t>Feb 21</w:t>
            </w:r>
          </w:p>
        </w:tc>
      </w:tr>
      <w:tr>
        <w:tc>
          <w:tcPr>
            <w:tcW w:type="dxa" w:w="4176"/>
          </w:tcPr>
          <w:p>
            <w:pPr>
              <w:spacing w:after="20"/>
            </w:pPr>
            <w:r/>
            <w:r>
              <w:rPr>
                <w:b w:val="0"/>
                <w:i w:val="0"/>
                <w:sz w:val="17"/>
              </w:rPr>
              <w:t>H&amp;C confirmatory review of the revised form (re-check every item, especially the two repeat items)</w:t>
            </w:r>
          </w:p>
        </w:tc>
        <w:tc>
          <w:tcPr>
            <w:tcW w:type="dxa" w:w="936"/>
          </w:tcPr>
          <w:p>
            <w:pPr>
              <w:spacing w:after="20"/>
            </w:pPr>
            <w:r/>
            <w:r>
              <w:rPr>
                <w:b w:val="0"/>
                <w:i w:val="0"/>
                <w:sz w:val="17"/>
              </w:rPr>
              <w:t>All</w:t>
            </w:r>
          </w:p>
        </w:tc>
        <w:tc>
          <w:tcPr>
            <w:tcW w:type="dxa" w:w="1008"/>
          </w:tcPr>
          <w:p>
            <w:pPr>
              <w:spacing w:after="20"/>
            </w:pPr>
            <w:r/>
            <w:r>
              <w:rPr>
                <w:b w:val="0"/>
                <w:i w:val="0"/>
                <w:sz w:val="17"/>
              </w:rPr>
              <w:t>Required</w:t>
            </w:r>
          </w:p>
        </w:tc>
        <w:tc>
          <w:tcPr>
            <w:tcW w:type="dxa" w:w="1800"/>
          </w:tcPr>
          <w:p>
            <w:pPr>
              <w:spacing w:after="20"/>
            </w:pPr>
            <w:r/>
            <w:r>
              <w:rPr>
                <w:b w:val="0"/>
                <w:i w:val="0"/>
                <w:sz w:val="17"/>
              </w:rPr>
              <w:t>H&amp;C</w:t>
            </w:r>
          </w:p>
        </w:tc>
        <w:tc>
          <w:tcPr>
            <w:tcW w:type="dxa" w:w="1728"/>
          </w:tcPr>
          <w:p>
            <w:pPr>
              <w:spacing w:after="20"/>
            </w:pPr>
            <w:r/>
            <w:r>
              <w:rPr>
                <w:b w:val="0"/>
                <w:i w:val="0"/>
                <w:sz w:val="17"/>
              </w:rPr>
              <w:t>Feb 17–19</w:t>
            </w:r>
          </w:p>
        </w:tc>
      </w:tr>
    </w:tbl>
    <w:p>
      <w:pPr>
        <w:spacing w:after="40"/>
      </w:pPr>
    </w:p>
    <w:p>
      <w:pPr>
        <w:pStyle w:val="Heading1"/>
      </w:pPr>
      <w:r>
        <w:t>VI. Checklist Reconciliation (Entry by Entry)</w:t>
      </w:r>
    </w:p>
    <w:p>
      <w:r>
        <w:rPr>
          <w:b w:val="0"/>
          <w:i w:val="0"/>
        </w:rPr>
        <w:t xml:space="preserve">Because some “Compliant” entries were assessed against the December 20, 2024 draft, we re-tested every entry against the final form. </w:t>
      </w:r>
      <w:r>
        <w:rPr>
          <w:b/>
          <w:i w:val="0"/>
        </w:rPr>
        <w:t>Bold</w:t>
      </w:r>
      <w:r>
        <w:rPr>
          <w:b w:val="0"/>
          <w:i w:val="0"/>
        </w:rPr>
        <w:t xml:space="preserve"> marks a status change.</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648"/>
            <w:shd w:val="clear" w:color="auto" w:fill="1F3864"/>
          </w:tcPr>
          <w:p>
            <w:r/>
            <w:r>
              <w:rPr>
                <w:b/>
                <w:color w:val="FFFFFF"/>
                <w:sz w:val="16"/>
              </w:rPr>
              <w:t>Entry</w:t>
            </w:r>
          </w:p>
        </w:tc>
        <w:tc>
          <w:tcPr>
            <w:tcW w:type="dxa" w:w="2160"/>
            <w:shd w:val="clear" w:color="auto" w:fill="1F3864"/>
          </w:tcPr>
          <w:p>
            <w:r/>
            <w:r>
              <w:rPr>
                <w:b/>
                <w:color w:val="FFFFFF"/>
                <w:sz w:val="16"/>
              </w:rPr>
              <w:t>Subject</w:t>
            </w:r>
          </w:p>
        </w:tc>
        <w:tc>
          <w:tcPr>
            <w:tcW w:type="dxa" w:w="1440"/>
            <w:shd w:val="clear" w:color="auto" w:fill="1F3864"/>
          </w:tcPr>
          <w:p>
            <w:r/>
            <w:r>
              <w:rPr>
                <w:b/>
                <w:color w:val="FFFFFF"/>
                <w:sz w:val="16"/>
              </w:rPr>
              <w:t>Checklist status</w:t>
            </w:r>
          </w:p>
        </w:tc>
        <w:tc>
          <w:tcPr>
            <w:tcW w:type="dxa" w:w="1512"/>
            <w:shd w:val="clear" w:color="auto" w:fill="1F3864"/>
          </w:tcPr>
          <w:p>
            <w:r/>
            <w:r>
              <w:rPr>
                <w:b/>
                <w:color w:val="FFFFFF"/>
                <w:sz w:val="16"/>
              </w:rPr>
              <w:t>H&amp;C status</w:t>
            </w:r>
          </w:p>
        </w:tc>
        <w:tc>
          <w:tcPr>
            <w:tcW w:type="dxa" w:w="3888"/>
            <w:shd w:val="clear" w:color="auto" w:fill="1F3864"/>
          </w:tcPr>
          <w:p>
            <w:r/>
            <w:r>
              <w:rPr>
                <w:b/>
                <w:color w:val="FFFFFF"/>
                <w:sz w:val="16"/>
              </w:rPr>
              <w:t>Comment</w:t>
            </w:r>
          </w:p>
        </w:tc>
      </w:tr>
      <w:tr>
        <w:tc>
          <w:tcPr>
            <w:tcW w:type="dxa" w:w="648"/>
          </w:tcPr>
          <w:p>
            <w:pPr>
              <w:spacing w:after="20"/>
            </w:pPr>
            <w:r/>
            <w:r>
              <w:rPr>
                <w:b w:val="0"/>
                <w:i w:val="0"/>
                <w:sz w:val="16"/>
              </w:rPr>
              <w:t>1.1</w:t>
            </w:r>
          </w:p>
        </w:tc>
        <w:tc>
          <w:tcPr>
            <w:tcW w:type="dxa" w:w="2160"/>
          </w:tcPr>
          <w:p>
            <w:pPr>
              <w:spacing w:after="20"/>
            </w:pPr>
            <w:r/>
            <w:r>
              <w:rPr>
                <w:b w:val="0"/>
                <w:i w:val="0"/>
                <w:sz w:val="16"/>
              </w:rPr>
              <w:t>Cancellation notice period</w:t>
            </w:r>
          </w:p>
        </w:tc>
        <w:tc>
          <w:tcPr>
            <w:tcW w:type="dxa" w:w="1440"/>
          </w:tcPr>
          <w:p>
            <w:pPr>
              <w:spacing w:after="20"/>
            </w:pPr>
            <w:r/>
            <w:r>
              <w:rPr>
                <w:b w:val="0"/>
                <w:i w:val="0"/>
                <w:sz w:val="16"/>
              </w:rPr>
              <w:t>Compliant</w:t>
            </w:r>
          </w:p>
        </w:tc>
        <w:tc>
          <w:tcPr>
            <w:tcW w:type="dxa" w:w="1512"/>
          </w:tcPr>
          <w:p>
            <w:pPr>
              <w:spacing w:after="20"/>
            </w:pPr>
            <w:r/>
            <w:r>
              <w:rPr>
                <w:b/>
                <w:i w:val="0"/>
                <w:sz w:val="16"/>
              </w:rPr>
              <w:t>Non-Compliant</w:t>
            </w:r>
          </w:p>
        </w:tc>
        <w:tc>
          <w:tcPr>
            <w:tcW w:type="dxa" w:w="3888"/>
          </w:tcPr>
          <w:p>
            <w:pPr>
              <w:spacing w:after="20"/>
            </w:pPr>
            <w:r/>
            <w:r>
              <w:rPr>
                <w:b w:val="0"/>
                <w:i w:val="0"/>
                <w:sz w:val="16"/>
              </w:rPr>
              <w:t>Final form adds a 10-day any-reason tier in the first 60 days of each policy and renewal (Gap 6).</w:t>
            </w:r>
          </w:p>
        </w:tc>
      </w:tr>
      <w:tr>
        <w:tc>
          <w:tcPr>
            <w:tcW w:type="dxa" w:w="648"/>
          </w:tcPr>
          <w:p>
            <w:pPr>
              <w:spacing w:after="20"/>
            </w:pPr>
            <w:r/>
            <w:r>
              <w:rPr>
                <w:b w:val="0"/>
                <w:i w:val="0"/>
                <w:sz w:val="16"/>
              </w:rPr>
              <w:t>1.2</w:t>
            </w:r>
          </w:p>
        </w:tc>
        <w:tc>
          <w:tcPr>
            <w:tcW w:type="dxa" w:w="2160"/>
          </w:tcPr>
          <w:p>
            <w:pPr>
              <w:spacing w:after="20"/>
            </w:pPr>
            <w:r/>
            <w:r>
              <w:rPr>
                <w:b w:val="0"/>
                <w:i w:val="0"/>
                <w:sz w:val="16"/>
              </w:rPr>
              <w:t>Nonrenewal notice period</w:t>
            </w:r>
          </w:p>
        </w:tc>
        <w:tc>
          <w:tcPr>
            <w:tcW w:type="dxa" w:w="1440"/>
          </w:tcPr>
          <w:p>
            <w:pPr>
              <w:spacing w:after="20"/>
            </w:pPr>
            <w:r/>
            <w:r>
              <w:rPr>
                <w:b w:val="0"/>
                <w:i w:val="0"/>
                <w:sz w:val="16"/>
              </w:rPr>
              <w:t>Non-Compliant</w:t>
            </w:r>
          </w:p>
        </w:tc>
        <w:tc>
          <w:tcPr>
            <w:tcW w:type="dxa" w:w="1512"/>
          </w:tcPr>
          <w:p>
            <w:pPr>
              <w:spacing w:after="20"/>
            </w:pPr>
            <w:r/>
            <w:r>
              <w:rPr>
                <w:b w:val="0"/>
                <w:i w:val="0"/>
                <w:sz w:val="16"/>
              </w:rPr>
              <w:t>Non-Compliant</w:t>
            </w:r>
          </w:p>
        </w:tc>
        <w:tc>
          <w:tcPr>
            <w:tcW w:type="dxa" w:w="3888"/>
          </w:tcPr>
          <w:p>
            <w:pPr>
              <w:spacing w:after="20"/>
            </w:pPr>
            <w:r/>
            <w:r>
              <w:rPr>
                <w:b w:val="0"/>
                <w:i w:val="0"/>
                <w:sz w:val="16"/>
              </w:rPr>
              <w:t>Confirmed; repeat of MERI-2021-003 (Gap 1).</w:t>
            </w:r>
          </w:p>
        </w:tc>
      </w:tr>
      <w:tr>
        <w:tc>
          <w:tcPr>
            <w:tcW w:type="dxa" w:w="648"/>
          </w:tcPr>
          <w:p>
            <w:pPr>
              <w:spacing w:after="20"/>
            </w:pPr>
            <w:r/>
            <w:r>
              <w:rPr>
                <w:b w:val="0"/>
                <w:i w:val="0"/>
                <w:sz w:val="16"/>
              </w:rPr>
              <w:t>1.3</w:t>
            </w:r>
          </w:p>
        </w:tc>
        <w:tc>
          <w:tcPr>
            <w:tcW w:type="dxa" w:w="2160"/>
          </w:tcPr>
          <w:p>
            <w:pPr>
              <w:spacing w:after="20"/>
            </w:pPr>
            <w:r/>
            <w:r>
              <w:rPr>
                <w:b w:val="0"/>
                <w:i w:val="0"/>
                <w:sz w:val="16"/>
              </w:rPr>
              <w:t>Reasons for cancellation / nonrenewal</w:t>
            </w:r>
          </w:p>
        </w:tc>
        <w:tc>
          <w:tcPr>
            <w:tcW w:type="dxa" w:w="1440"/>
          </w:tcPr>
          <w:p>
            <w:pPr>
              <w:spacing w:after="20"/>
            </w:pPr>
            <w:r/>
            <w:r>
              <w:rPr>
                <w:b w:val="0"/>
                <w:i w:val="0"/>
                <w:sz w:val="16"/>
              </w:rPr>
              <w:t>Compliant</w:t>
            </w:r>
          </w:p>
        </w:tc>
        <w:tc>
          <w:tcPr>
            <w:tcW w:type="dxa" w:w="1512"/>
          </w:tcPr>
          <w:p>
            <w:pPr>
              <w:spacing w:after="20"/>
            </w:pPr>
            <w:r/>
            <w:r>
              <w:rPr>
                <w:b/>
                <w:i w:val="0"/>
                <w:sz w:val="16"/>
              </w:rPr>
              <w:t>Non-Compliant</w:t>
            </w:r>
          </w:p>
        </w:tc>
        <w:tc>
          <w:tcPr>
            <w:tcW w:type="dxa" w:w="3888"/>
          </w:tcPr>
          <w:p>
            <w:pPr>
              <w:spacing w:after="20"/>
            </w:pPr>
            <w:r/>
            <w:r>
              <w:rPr>
                <w:b w:val="0"/>
                <w:i w:val="0"/>
                <w:sz w:val="16"/>
              </w:rPr>
              <w:t>Quoted “will state the reason” language is not in the final form (Gap 7).</w:t>
            </w:r>
          </w:p>
        </w:tc>
      </w:tr>
      <w:tr>
        <w:tc>
          <w:tcPr>
            <w:tcW w:type="dxa" w:w="648"/>
          </w:tcPr>
          <w:p>
            <w:pPr>
              <w:spacing w:after="20"/>
            </w:pPr>
            <w:r/>
            <w:r>
              <w:rPr>
                <w:b w:val="0"/>
                <w:i w:val="0"/>
                <w:sz w:val="16"/>
              </w:rPr>
              <w:t>1.4</w:t>
            </w:r>
          </w:p>
        </w:tc>
        <w:tc>
          <w:tcPr>
            <w:tcW w:type="dxa" w:w="2160"/>
          </w:tcPr>
          <w:p>
            <w:pPr>
              <w:spacing w:after="20"/>
            </w:pPr>
            <w:r/>
            <w:r>
              <w:rPr>
                <w:b w:val="0"/>
                <w:i w:val="0"/>
                <w:sz w:val="16"/>
              </w:rPr>
              <w:t>Notice delivery method</w:t>
            </w:r>
          </w:p>
        </w:tc>
        <w:tc>
          <w:tcPr>
            <w:tcW w:type="dxa" w:w="1440"/>
          </w:tcPr>
          <w:p>
            <w:pPr>
              <w:spacing w:after="20"/>
            </w:pPr>
            <w:r/>
            <w:r>
              <w:rPr>
                <w:b w:val="0"/>
                <w:i w:val="0"/>
                <w:sz w:val="16"/>
              </w:rPr>
              <w:t>Potential Issue</w:t>
            </w:r>
          </w:p>
        </w:tc>
        <w:tc>
          <w:tcPr>
            <w:tcW w:type="dxa" w:w="1512"/>
          </w:tcPr>
          <w:p>
            <w:pPr>
              <w:spacing w:after="20"/>
            </w:pPr>
            <w:r/>
            <w:r>
              <w:rPr>
                <w:b/>
                <w:i w:val="0"/>
                <w:sz w:val="16"/>
              </w:rPr>
              <w:t>Non-Compliant</w:t>
            </w:r>
          </w:p>
        </w:tc>
        <w:tc>
          <w:tcPr>
            <w:tcW w:type="dxa" w:w="3888"/>
          </w:tcPr>
          <w:p>
            <w:pPr>
              <w:spacing w:after="20"/>
            </w:pPr>
            <w:r/>
            <w:r>
              <w:rPr>
                <w:b w:val="0"/>
                <w:i w:val="0"/>
                <w:sz w:val="16"/>
              </w:rPr>
              <w:t>“Regular mail”; no consented e-delivery (Gap 8).</w:t>
            </w:r>
          </w:p>
        </w:tc>
      </w:tr>
      <w:tr>
        <w:tc>
          <w:tcPr>
            <w:tcW w:type="dxa" w:w="648"/>
          </w:tcPr>
          <w:p>
            <w:pPr>
              <w:spacing w:after="20"/>
            </w:pPr>
            <w:r/>
            <w:r>
              <w:rPr>
                <w:b w:val="0"/>
                <w:i w:val="0"/>
                <w:sz w:val="16"/>
              </w:rPr>
              <w:t>1.5</w:t>
            </w:r>
          </w:p>
        </w:tc>
        <w:tc>
          <w:tcPr>
            <w:tcW w:type="dxa" w:w="2160"/>
          </w:tcPr>
          <w:p>
            <w:pPr>
              <w:spacing w:after="20"/>
            </w:pPr>
            <w:r/>
            <w:r>
              <w:rPr>
                <w:b w:val="0"/>
                <w:i w:val="0"/>
                <w:sz w:val="16"/>
              </w:rPr>
              <w:t>Nonpayment cancellation</w:t>
            </w:r>
          </w:p>
        </w:tc>
        <w:tc>
          <w:tcPr>
            <w:tcW w:type="dxa" w:w="1440"/>
          </w:tcPr>
          <w:p>
            <w:pPr>
              <w:spacing w:after="20"/>
            </w:pPr>
            <w:r/>
            <w:r>
              <w:rPr>
                <w:b w:val="0"/>
                <w:i w:val="0"/>
                <w:sz w:val="16"/>
              </w:rPr>
              <w:t>Compliant</w:t>
            </w:r>
          </w:p>
        </w:tc>
        <w:tc>
          <w:tcPr>
            <w:tcW w:type="dxa" w:w="1512"/>
          </w:tcPr>
          <w:p>
            <w:pPr>
              <w:spacing w:after="20"/>
            </w:pPr>
            <w:r/>
            <w:r>
              <w:rPr>
                <w:b w:val="0"/>
                <w:i w:val="0"/>
                <w:sz w:val="16"/>
              </w:rPr>
              <w:t>Compliant</w:t>
            </w:r>
          </w:p>
        </w:tc>
        <w:tc>
          <w:tcPr>
            <w:tcW w:type="dxa" w:w="3888"/>
          </w:tcPr>
          <w:p>
            <w:pPr>
              <w:spacing w:after="20"/>
            </w:pPr>
            <w:r/>
            <w:r>
              <w:rPr>
                <w:b w:val="0"/>
                <w:i w:val="0"/>
                <w:sz w:val="16"/>
              </w:rPr>
              <w:t>Form: mail notice “at least 10 days before the effective date.” The checklist’s quotation differs from the final text but the effect is equivalent.</w:t>
            </w:r>
          </w:p>
        </w:tc>
      </w:tr>
      <w:tr>
        <w:tc>
          <w:tcPr>
            <w:tcW w:type="dxa" w:w="648"/>
          </w:tcPr>
          <w:p>
            <w:pPr>
              <w:spacing w:after="20"/>
            </w:pPr>
            <w:r/>
            <w:r>
              <w:rPr>
                <w:b w:val="0"/>
                <w:i w:val="0"/>
                <w:sz w:val="16"/>
              </w:rPr>
              <w:t>2.1</w:t>
            </w:r>
          </w:p>
        </w:tc>
        <w:tc>
          <w:tcPr>
            <w:tcW w:type="dxa" w:w="2160"/>
          </w:tcPr>
          <w:p>
            <w:pPr>
              <w:spacing w:after="20"/>
            </w:pPr>
            <w:r/>
            <w:r>
              <w:rPr>
                <w:b w:val="0"/>
                <w:i w:val="0"/>
                <w:sz w:val="16"/>
              </w:rPr>
              <w:t>Standard fire policy provisions</w:t>
            </w:r>
          </w:p>
        </w:tc>
        <w:tc>
          <w:tcPr>
            <w:tcW w:type="dxa" w:w="1440"/>
          </w:tcPr>
          <w:p>
            <w:pPr>
              <w:spacing w:after="20"/>
            </w:pPr>
            <w:r/>
            <w:r>
              <w:rPr>
                <w:b w:val="0"/>
                <w:i w:val="0"/>
                <w:sz w:val="16"/>
              </w:rPr>
              <w:t>Not Yet Reviewed</w:t>
            </w:r>
          </w:p>
        </w:tc>
        <w:tc>
          <w:tcPr>
            <w:tcW w:type="dxa" w:w="1512"/>
          </w:tcPr>
          <w:p>
            <w:pPr>
              <w:spacing w:after="20"/>
            </w:pPr>
            <w:r/>
            <w:r>
              <w:rPr>
                <w:b/>
                <w:i w:val="0"/>
                <w:sz w:val="16"/>
              </w:rPr>
              <w:t>Potential Issue</w:t>
            </w:r>
          </w:p>
        </w:tc>
        <w:tc>
          <w:tcPr>
            <w:tcW w:type="dxa" w:w="3888"/>
          </w:tcPr>
          <w:p>
            <w:pPr>
              <w:spacing w:after="20"/>
            </w:pPr>
            <w:r/>
            <w:r>
              <w:rPr>
                <w:b w:val="0"/>
                <w:i w:val="0"/>
                <w:sz w:val="16"/>
              </w:rPr>
              <w:t>Line-by-line completed; deviations at Gaps 4, 9, 17, 18, 25.</w:t>
            </w:r>
          </w:p>
        </w:tc>
      </w:tr>
      <w:tr>
        <w:tc>
          <w:tcPr>
            <w:tcW w:type="dxa" w:w="648"/>
          </w:tcPr>
          <w:p>
            <w:pPr>
              <w:spacing w:after="20"/>
            </w:pPr>
            <w:r/>
            <w:r>
              <w:rPr>
                <w:b w:val="0"/>
                <w:i w:val="0"/>
                <w:sz w:val="16"/>
              </w:rPr>
              <w:t>2.2</w:t>
            </w:r>
          </w:p>
        </w:tc>
        <w:tc>
          <w:tcPr>
            <w:tcW w:type="dxa" w:w="2160"/>
          </w:tcPr>
          <w:p>
            <w:pPr>
              <w:spacing w:after="20"/>
            </w:pPr>
            <w:r/>
            <w:r>
              <w:rPr>
                <w:b w:val="0"/>
                <w:i w:val="0"/>
                <w:sz w:val="16"/>
              </w:rPr>
              <w:t>Proof of loss (60 days)</w:t>
            </w:r>
          </w:p>
        </w:tc>
        <w:tc>
          <w:tcPr>
            <w:tcW w:type="dxa" w:w="1440"/>
          </w:tcPr>
          <w:p>
            <w:pPr>
              <w:spacing w:after="20"/>
            </w:pPr>
            <w:r/>
            <w:r>
              <w:rPr>
                <w:b w:val="0"/>
                <w:i w:val="0"/>
                <w:sz w:val="16"/>
              </w:rPr>
              <w:t>Non-Compliant</w:t>
            </w:r>
          </w:p>
        </w:tc>
        <w:tc>
          <w:tcPr>
            <w:tcW w:type="dxa" w:w="1512"/>
          </w:tcPr>
          <w:p>
            <w:pPr>
              <w:spacing w:after="20"/>
            </w:pPr>
            <w:r/>
            <w:r>
              <w:rPr>
                <w:b w:val="0"/>
                <w:i w:val="0"/>
                <w:sz w:val="16"/>
              </w:rPr>
              <w:t>Non-Compliant</w:t>
            </w:r>
          </w:p>
        </w:tc>
        <w:tc>
          <w:tcPr>
            <w:tcW w:type="dxa" w:w="3888"/>
          </w:tcPr>
          <w:p>
            <w:pPr>
              <w:spacing w:after="20"/>
            </w:pPr>
            <w:r/>
            <w:r>
              <w:rPr>
                <w:b w:val="0"/>
                <w:i w:val="0"/>
                <w:sz w:val="16"/>
              </w:rPr>
              <w:t>Confirmed (Gap 4).</w:t>
            </w:r>
          </w:p>
        </w:tc>
      </w:tr>
      <w:tr>
        <w:tc>
          <w:tcPr>
            <w:tcW w:type="dxa" w:w="648"/>
          </w:tcPr>
          <w:p>
            <w:pPr>
              <w:spacing w:after="20"/>
            </w:pPr>
            <w:r/>
            <w:r>
              <w:rPr>
                <w:b w:val="0"/>
                <w:i w:val="0"/>
                <w:sz w:val="16"/>
              </w:rPr>
              <w:t>3.1</w:t>
            </w:r>
          </w:p>
        </w:tc>
        <w:tc>
          <w:tcPr>
            <w:tcW w:type="dxa" w:w="2160"/>
          </w:tcPr>
          <w:p>
            <w:pPr>
              <w:spacing w:after="20"/>
            </w:pPr>
            <w:r/>
            <w:r>
              <w:rPr>
                <w:b w:val="0"/>
                <w:i w:val="0"/>
                <w:sz w:val="16"/>
              </w:rPr>
              <w:t>Wildfire disclosure</w:t>
            </w:r>
          </w:p>
        </w:tc>
        <w:tc>
          <w:tcPr>
            <w:tcW w:type="dxa" w:w="1440"/>
          </w:tcPr>
          <w:p>
            <w:pPr>
              <w:spacing w:after="20"/>
            </w:pPr>
            <w:r/>
            <w:r>
              <w:rPr>
                <w:b w:val="0"/>
                <w:i w:val="0"/>
                <w:sz w:val="16"/>
              </w:rPr>
              <w:t>Non-Compliant</w:t>
            </w:r>
          </w:p>
        </w:tc>
        <w:tc>
          <w:tcPr>
            <w:tcW w:type="dxa" w:w="1512"/>
          </w:tcPr>
          <w:p>
            <w:pPr>
              <w:spacing w:after="20"/>
            </w:pPr>
            <w:r/>
            <w:r>
              <w:rPr>
                <w:b w:val="0"/>
                <w:i w:val="0"/>
                <w:sz w:val="16"/>
              </w:rPr>
              <w:t>Non-Compliant</w:t>
            </w:r>
          </w:p>
        </w:tc>
        <w:tc>
          <w:tcPr>
            <w:tcW w:type="dxa" w:w="3888"/>
          </w:tcPr>
          <w:p>
            <w:pPr>
              <w:spacing w:after="20"/>
            </w:pPr>
            <w:r/>
            <w:r>
              <w:rPr>
                <w:b w:val="0"/>
                <w:i w:val="0"/>
                <w:sz w:val="16"/>
              </w:rPr>
              <w:t>Confirmed; repeat of MERI-2023-007 (Gap 2). Element list differs from the Division letter (Gap 15).</w:t>
            </w:r>
          </w:p>
        </w:tc>
      </w:tr>
      <w:tr>
        <w:tc>
          <w:tcPr>
            <w:tcW w:type="dxa" w:w="648"/>
          </w:tcPr>
          <w:p>
            <w:pPr>
              <w:spacing w:after="20"/>
            </w:pPr>
            <w:r/>
            <w:r>
              <w:rPr>
                <w:b w:val="0"/>
                <w:i w:val="0"/>
                <w:sz w:val="16"/>
              </w:rPr>
              <w:t>4.1</w:t>
            </w:r>
          </w:p>
        </w:tc>
        <w:tc>
          <w:tcPr>
            <w:tcW w:type="dxa" w:w="2160"/>
          </w:tcPr>
          <w:p>
            <w:pPr>
              <w:spacing w:after="20"/>
            </w:pPr>
            <w:r/>
            <w:r>
              <w:rPr>
                <w:b w:val="0"/>
                <w:i w:val="0"/>
                <w:sz w:val="16"/>
              </w:rPr>
              <w:t>Replacement cost offer</w:t>
            </w:r>
          </w:p>
        </w:tc>
        <w:tc>
          <w:tcPr>
            <w:tcW w:type="dxa" w:w="1440"/>
          </w:tcPr>
          <w:p>
            <w:pPr>
              <w:spacing w:after="20"/>
            </w:pPr>
            <w:r/>
            <w:r>
              <w:rPr>
                <w:b w:val="0"/>
                <w:i w:val="0"/>
                <w:sz w:val="16"/>
              </w:rPr>
              <w:t>Non-Compliant</w:t>
            </w:r>
          </w:p>
        </w:tc>
        <w:tc>
          <w:tcPr>
            <w:tcW w:type="dxa" w:w="1512"/>
          </w:tcPr>
          <w:p>
            <w:pPr>
              <w:spacing w:after="20"/>
            </w:pPr>
            <w:r/>
            <w:r>
              <w:rPr>
                <w:b w:val="0"/>
                <w:i w:val="0"/>
                <w:sz w:val="16"/>
              </w:rPr>
              <w:t>Non-Compliant</w:t>
            </w:r>
          </w:p>
        </w:tc>
        <w:tc>
          <w:tcPr>
            <w:tcW w:type="dxa" w:w="3888"/>
          </w:tcPr>
          <w:p>
            <w:pPr>
              <w:spacing w:after="20"/>
            </w:pPr>
            <w:r/>
            <w:r>
              <w:rPr>
                <w:b w:val="0"/>
                <w:i w:val="0"/>
                <w:sz w:val="16"/>
              </w:rPr>
              <w:t>Confirmed (Gap 5).</w:t>
            </w:r>
          </w:p>
        </w:tc>
      </w:tr>
      <w:tr>
        <w:tc>
          <w:tcPr>
            <w:tcW w:type="dxa" w:w="648"/>
          </w:tcPr>
          <w:p>
            <w:pPr>
              <w:spacing w:after="20"/>
            </w:pPr>
            <w:r/>
            <w:r>
              <w:rPr>
                <w:b w:val="0"/>
                <w:i w:val="0"/>
                <w:sz w:val="16"/>
              </w:rPr>
              <w:t>5.1</w:t>
            </w:r>
          </w:p>
        </w:tc>
        <w:tc>
          <w:tcPr>
            <w:tcW w:type="dxa" w:w="2160"/>
          </w:tcPr>
          <w:p>
            <w:pPr>
              <w:spacing w:after="20"/>
            </w:pPr>
            <w:r/>
            <w:r>
              <w:rPr>
                <w:b w:val="0"/>
                <w:i w:val="0"/>
                <w:sz w:val="16"/>
              </w:rPr>
              <w:t>General fire policy provisions</w:t>
            </w:r>
          </w:p>
        </w:tc>
        <w:tc>
          <w:tcPr>
            <w:tcW w:type="dxa" w:w="1440"/>
          </w:tcPr>
          <w:p>
            <w:pPr>
              <w:spacing w:after="20"/>
            </w:pPr>
            <w:r/>
            <w:r>
              <w:rPr>
                <w:b w:val="0"/>
                <w:i w:val="0"/>
                <w:sz w:val="16"/>
              </w:rPr>
              <w:t>Not Yet Reviewed</w:t>
            </w:r>
          </w:p>
        </w:tc>
        <w:tc>
          <w:tcPr>
            <w:tcW w:type="dxa" w:w="1512"/>
          </w:tcPr>
          <w:p>
            <w:pPr>
              <w:spacing w:after="20"/>
            </w:pPr>
            <w:r/>
            <w:r>
              <w:rPr>
                <w:b/>
                <w:i w:val="0"/>
                <w:sz w:val="16"/>
              </w:rPr>
              <w:t>Potential Issue</w:t>
            </w:r>
          </w:p>
        </w:tc>
        <w:tc>
          <w:tcPr>
            <w:tcW w:type="dxa" w:w="3888"/>
          </w:tcPr>
          <w:p>
            <w:pPr>
              <w:spacing w:after="20"/>
            </w:pPr>
            <w:r/>
            <w:r>
              <w:rPr>
                <w:b w:val="0"/>
                <w:i w:val="0"/>
                <w:sz w:val="16"/>
              </w:rPr>
              <w:t>Insurer name, domicile, NAIC code and form number present. Issues at Gaps 13, 19, 20, 21, 24, 27.</w:t>
            </w:r>
          </w:p>
        </w:tc>
      </w:tr>
      <w:tr>
        <w:tc>
          <w:tcPr>
            <w:tcW w:type="dxa" w:w="648"/>
          </w:tcPr>
          <w:p>
            <w:pPr>
              <w:spacing w:after="20"/>
            </w:pPr>
            <w:r/>
            <w:r>
              <w:rPr>
                <w:b w:val="0"/>
                <w:i w:val="0"/>
                <w:sz w:val="16"/>
              </w:rPr>
              <w:t>5.2</w:t>
            </w:r>
          </w:p>
        </w:tc>
        <w:tc>
          <w:tcPr>
            <w:tcW w:type="dxa" w:w="2160"/>
          </w:tcPr>
          <w:p>
            <w:pPr>
              <w:spacing w:after="20"/>
            </w:pPr>
            <w:r/>
            <w:r>
              <w:rPr>
                <w:b w:val="0"/>
                <w:i w:val="0"/>
                <w:sz w:val="16"/>
              </w:rPr>
              <w:t>Cancellation/nonrenewal (cross-ref.)</w:t>
            </w:r>
          </w:p>
        </w:tc>
        <w:tc>
          <w:tcPr>
            <w:tcW w:type="dxa" w:w="1440"/>
          </w:tcPr>
          <w:p>
            <w:pPr>
              <w:spacing w:after="20"/>
            </w:pPr>
            <w:r/>
            <w:r>
              <w:rPr>
                <w:b w:val="0"/>
                <w:i w:val="0"/>
                <w:sz w:val="16"/>
              </w:rPr>
              <w:t>Potential Issue</w:t>
            </w:r>
          </w:p>
        </w:tc>
        <w:tc>
          <w:tcPr>
            <w:tcW w:type="dxa" w:w="1512"/>
          </w:tcPr>
          <w:p>
            <w:pPr>
              <w:spacing w:after="20"/>
            </w:pPr>
            <w:r/>
            <w:r>
              <w:rPr>
                <w:b/>
                <w:i w:val="0"/>
                <w:sz w:val="16"/>
              </w:rPr>
              <w:t>Non-Compliant</w:t>
            </w:r>
          </w:p>
        </w:tc>
        <w:tc>
          <w:tcPr>
            <w:tcW w:type="dxa" w:w="3888"/>
          </w:tcPr>
          <w:p>
            <w:pPr>
              <w:spacing w:after="20"/>
            </w:pPr>
            <w:r/>
            <w:r>
              <w:rPr>
                <w:b w:val="0"/>
                <w:i w:val="0"/>
                <w:sz w:val="16"/>
              </w:rPr>
              <w:t>Follows Gaps 1, 6, 7, 8, 12; citation to be confirmed (Gap 23).</w:t>
            </w:r>
          </w:p>
        </w:tc>
      </w:tr>
      <w:tr>
        <w:tc>
          <w:tcPr>
            <w:tcW w:type="dxa" w:w="648"/>
          </w:tcPr>
          <w:p>
            <w:pPr>
              <w:spacing w:after="20"/>
            </w:pPr>
            <w:r/>
            <w:r>
              <w:rPr>
                <w:b w:val="0"/>
                <w:i w:val="0"/>
                <w:sz w:val="16"/>
              </w:rPr>
              <w:t>6.1</w:t>
            </w:r>
          </w:p>
        </w:tc>
        <w:tc>
          <w:tcPr>
            <w:tcW w:type="dxa" w:w="2160"/>
          </w:tcPr>
          <w:p>
            <w:pPr>
              <w:spacing w:after="20"/>
            </w:pPr>
            <w:r/>
            <w:r>
              <w:rPr>
                <w:b w:val="0"/>
                <w:i w:val="0"/>
                <w:sz w:val="16"/>
              </w:rPr>
              <w:t>TRIPRA terrorism coverage</w:t>
            </w:r>
          </w:p>
        </w:tc>
        <w:tc>
          <w:tcPr>
            <w:tcW w:type="dxa" w:w="1440"/>
          </w:tcPr>
          <w:p>
            <w:pPr>
              <w:spacing w:after="20"/>
            </w:pPr>
            <w:r/>
            <w:r>
              <w:rPr>
                <w:b w:val="0"/>
                <w:i w:val="0"/>
                <w:sz w:val="16"/>
              </w:rPr>
              <w:t>Compliant</w:t>
            </w:r>
          </w:p>
        </w:tc>
        <w:tc>
          <w:tcPr>
            <w:tcW w:type="dxa" w:w="1512"/>
          </w:tcPr>
          <w:p>
            <w:pPr>
              <w:spacing w:after="20"/>
            </w:pPr>
            <w:r/>
            <w:r>
              <w:rPr>
                <w:b/>
                <w:i w:val="0"/>
                <w:sz w:val="16"/>
              </w:rPr>
              <w:t>Non-Compliant</w:t>
            </w:r>
          </w:p>
        </w:tc>
        <w:tc>
          <w:tcPr>
            <w:tcW w:type="dxa" w:w="3888"/>
          </w:tcPr>
          <w:p>
            <w:pPr>
              <w:spacing w:after="20"/>
            </w:pPr>
            <w:r/>
            <w:r>
              <w:rPr>
                <w:b w:val="0"/>
                <w:i w:val="0"/>
                <w:sz w:val="16"/>
              </w:rPr>
              <w:t>Its own notes list the missing elements (Gap 11).</w:t>
            </w:r>
          </w:p>
        </w:tc>
      </w:tr>
      <w:tr>
        <w:tc>
          <w:tcPr>
            <w:tcW w:type="dxa" w:w="648"/>
          </w:tcPr>
          <w:p>
            <w:pPr>
              <w:spacing w:after="20"/>
            </w:pPr>
            <w:r/>
            <w:r>
              <w:rPr>
                <w:b w:val="0"/>
                <w:i w:val="0"/>
                <w:sz w:val="16"/>
              </w:rPr>
              <w:t>7.1</w:t>
            </w:r>
          </w:p>
        </w:tc>
        <w:tc>
          <w:tcPr>
            <w:tcW w:type="dxa" w:w="2160"/>
          </w:tcPr>
          <w:p>
            <w:pPr>
              <w:spacing w:after="20"/>
            </w:pPr>
            <w:r/>
            <w:r>
              <w:rPr>
                <w:b w:val="0"/>
                <w:i w:val="0"/>
                <w:sz w:val="16"/>
              </w:rPr>
              <w:t>Readability (Reg. 4-2-13)</w:t>
            </w:r>
          </w:p>
        </w:tc>
        <w:tc>
          <w:tcPr>
            <w:tcW w:type="dxa" w:w="1440"/>
          </w:tcPr>
          <w:p>
            <w:pPr>
              <w:spacing w:after="20"/>
            </w:pPr>
            <w:r/>
            <w:r>
              <w:rPr>
                <w:b w:val="0"/>
                <w:i w:val="0"/>
                <w:sz w:val="16"/>
              </w:rPr>
              <w:t>Not Yet Reviewed</w:t>
            </w:r>
          </w:p>
        </w:tc>
        <w:tc>
          <w:tcPr>
            <w:tcW w:type="dxa" w:w="1512"/>
          </w:tcPr>
          <w:p>
            <w:pPr>
              <w:spacing w:after="20"/>
            </w:pPr>
            <w:r/>
            <w:r>
              <w:rPr>
                <w:b/>
                <w:i w:val="0"/>
                <w:sz w:val="16"/>
              </w:rPr>
              <w:t>Open — Critical</w:t>
            </w:r>
          </w:p>
        </w:tc>
        <w:tc>
          <w:tcPr>
            <w:tcW w:type="dxa" w:w="3888"/>
          </w:tcPr>
          <w:p>
            <w:pPr>
              <w:spacing w:after="20"/>
            </w:pPr>
            <w:r/>
            <w:r>
              <w:rPr>
                <w:b w:val="0"/>
                <w:i w:val="0"/>
                <w:sz w:val="16"/>
              </w:rPr>
              <w:t>Filing prerequisite; timeline conflict (Gap 3).</w:t>
            </w:r>
          </w:p>
        </w:tc>
      </w:tr>
      <w:tr>
        <w:tc>
          <w:tcPr>
            <w:tcW w:type="dxa" w:w="648"/>
          </w:tcPr>
          <w:p>
            <w:pPr>
              <w:spacing w:after="20"/>
            </w:pPr>
            <w:r/>
            <w:r>
              <w:rPr>
                <w:b w:val="0"/>
                <w:i w:val="0"/>
                <w:sz w:val="16"/>
              </w:rPr>
              <w:t>7.2</w:t>
            </w:r>
          </w:p>
        </w:tc>
        <w:tc>
          <w:tcPr>
            <w:tcW w:type="dxa" w:w="2160"/>
          </w:tcPr>
          <w:p>
            <w:pPr>
              <w:spacing w:after="20"/>
            </w:pPr>
            <w:r/>
            <w:r>
              <w:rPr>
                <w:b w:val="0"/>
                <w:i w:val="0"/>
                <w:sz w:val="16"/>
              </w:rPr>
              <w:t>Coinsurance explanation (Reg. 4-2-22)</w:t>
            </w:r>
          </w:p>
        </w:tc>
        <w:tc>
          <w:tcPr>
            <w:tcW w:type="dxa" w:w="1440"/>
          </w:tcPr>
          <w:p>
            <w:pPr>
              <w:spacing w:after="20"/>
            </w:pPr>
            <w:r/>
            <w:r>
              <w:rPr>
                <w:b w:val="0"/>
                <w:i w:val="0"/>
                <w:sz w:val="16"/>
              </w:rPr>
              <w:t>Non-Compliant</w:t>
            </w:r>
          </w:p>
        </w:tc>
        <w:tc>
          <w:tcPr>
            <w:tcW w:type="dxa" w:w="1512"/>
          </w:tcPr>
          <w:p>
            <w:pPr>
              <w:spacing w:after="20"/>
            </w:pPr>
            <w:r/>
            <w:r>
              <w:rPr>
                <w:b w:val="0"/>
                <w:i w:val="0"/>
                <w:sz w:val="16"/>
              </w:rPr>
              <w:t>Non-Compliant</w:t>
            </w:r>
          </w:p>
        </w:tc>
        <w:tc>
          <w:tcPr>
            <w:tcW w:type="dxa" w:w="3888"/>
          </w:tcPr>
          <w:p>
            <w:pPr>
              <w:spacing w:after="20"/>
            </w:pPr>
            <w:r/>
            <w:r>
              <w:rPr>
                <w:b w:val="0"/>
                <w:i w:val="0"/>
                <w:sz w:val="16"/>
              </w:rPr>
              <w:t>Confirmed (Gap 10).</w:t>
            </w:r>
          </w:p>
        </w:tc>
      </w:tr>
      <w:tr>
        <w:tc>
          <w:tcPr>
            <w:tcW w:type="dxa" w:w="648"/>
          </w:tcPr>
          <w:p>
            <w:pPr>
              <w:spacing w:after="20"/>
            </w:pPr>
            <w:r/>
            <w:r>
              <w:rPr>
                <w:b w:val="0"/>
                <w:i w:val="0"/>
                <w:sz w:val="16"/>
              </w:rPr>
              <w:t>7.3</w:t>
            </w:r>
          </w:p>
        </w:tc>
        <w:tc>
          <w:tcPr>
            <w:tcW w:type="dxa" w:w="2160"/>
          </w:tcPr>
          <w:p>
            <w:pPr>
              <w:spacing w:after="20"/>
            </w:pPr>
            <w:r/>
            <w:r>
              <w:rPr>
                <w:b w:val="0"/>
                <w:i w:val="0"/>
                <w:sz w:val="16"/>
              </w:rPr>
              <w:t>Appraisal umpire (Reg. 4-2-28)</w:t>
            </w:r>
          </w:p>
        </w:tc>
        <w:tc>
          <w:tcPr>
            <w:tcW w:type="dxa" w:w="1440"/>
          </w:tcPr>
          <w:p>
            <w:pPr>
              <w:spacing w:after="20"/>
            </w:pPr>
            <w:r/>
            <w:r>
              <w:rPr>
                <w:b w:val="0"/>
                <w:i w:val="0"/>
                <w:sz w:val="16"/>
              </w:rPr>
              <w:t>Non-Compliant</w:t>
            </w:r>
          </w:p>
        </w:tc>
        <w:tc>
          <w:tcPr>
            <w:tcW w:type="dxa" w:w="1512"/>
          </w:tcPr>
          <w:p>
            <w:pPr>
              <w:spacing w:after="20"/>
            </w:pPr>
            <w:r/>
            <w:r>
              <w:rPr>
                <w:b w:val="0"/>
                <w:i w:val="0"/>
                <w:sz w:val="16"/>
              </w:rPr>
              <w:t>Non-Compliant</w:t>
            </w:r>
          </w:p>
        </w:tc>
        <w:tc>
          <w:tcPr>
            <w:tcW w:type="dxa" w:w="3888"/>
          </w:tcPr>
          <w:p>
            <w:pPr>
              <w:spacing w:after="20"/>
            </w:pPr>
            <w:r/>
            <w:r>
              <w:rPr>
                <w:b w:val="0"/>
                <w:i w:val="0"/>
                <w:sz w:val="16"/>
              </w:rPr>
              <w:t>Confirmed; form actively directs a deadlock (Gap 9).</w:t>
            </w:r>
          </w:p>
        </w:tc>
      </w:tr>
      <w:tr>
        <w:tc>
          <w:tcPr>
            <w:tcW w:type="dxa" w:w="648"/>
          </w:tcPr>
          <w:p>
            <w:pPr>
              <w:spacing w:after="20"/>
            </w:pPr>
            <w:r/>
            <w:r>
              <w:rPr>
                <w:b w:val="0"/>
                <w:i w:val="0"/>
                <w:sz w:val="16"/>
              </w:rPr>
              <w:t>7.4</w:t>
            </w:r>
          </w:p>
        </w:tc>
        <w:tc>
          <w:tcPr>
            <w:tcW w:type="dxa" w:w="2160"/>
          </w:tcPr>
          <w:p>
            <w:pPr>
              <w:spacing w:after="20"/>
            </w:pPr>
            <w:r/>
            <w:r>
              <w:rPr>
                <w:b w:val="0"/>
                <w:i w:val="0"/>
                <w:sz w:val="16"/>
              </w:rPr>
              <w:t>Filing procedural requirements</w:t>
            </w:r>
          </w:p>
        </w:tc>
        <w:tc>
          <w:tcPr>
            <w:tcW w:type="dxa" w:w="1440"/>
          </w:tcPr>
          <w:p>
            <w:pPr>
              <w:spacing w:after="20"/>
            </w:pPr>
            <w:r/>
            <w:r>
              <w:rPr>
                <w:b w:val="0"/>
                <w:i w:val="0"/>
                <w:sz w:val="16"/>
              </w:rPr>
              <w:t>Not Yet Reviewed</w:t>
            </w:r>
          </w:p>
        </w:tc>
        <w:tc>
          <w:tcPr>
            <w:tcW w:type="dxa" w:w="1512"/>
          </w:tcPr>
          <w:p>
            <w:pPr>
              <w:spacing w:after="20"/>
            </w:pPr>
            <w:r/>
            <w:r>
              <w:rPr>
                <w:b/>
                <w:i w:val="0"/>
                <w:sz w:val="16"/>
              </w:rPr>
              <w:t>Open — Procedural</w:t>
            </w:r>
          </w:p>
        </w:tc>
        <w:tc>
          <w:tcPr>
            <w:tcW w:type="dxa" w:w="3888"/>
          </w:tcPr>
          <w:p>
            <w:pPr>
              <w:spacing w:after="20"/>
            </w:pPr>
            <w:r/>
            <w:r>
              <w:rPr>
                <w:b w:val="0"/>
                <w:i w:val="0"/>
                <w:sz w:val="16"/>
              </w:rPr>
              <w:t>See Section V; Gaps 14, 15, 22.</w:t>
            </w:r>
          </w:p>
        </w:tc>
      </w:tr>
      <w:tr>
        <w:tc>
          <w:tcPr>
            <w:tcW w:type="dxa" w:w="648"/>
          </w:tcPr>
          <w:p>
            <w:pPr>
              <w:spacing w:after="20"/>
            </w:pPr>
            <w:r/>
            <w:r>
              <w:rPr>
                <w:b w:val="0"/>
                <w:i w:val="0"/>
                <w:sz w:val="16"/>
              </w:rPr>
              <w:t>7.5</w:t>
            </w:r>
          </w:p>
        </w:tc>
        <w:tc>
          <w:tcPr>
            <w:tcW w:type="dxa" w:w="2160"/>
          </w:tcPr>
          <w:p>
            <w:pPr>
              <w:spacing w:after="20"/>
            </w:pPr>
            <w:r/>
            <w:r>
              <w:rPr>
                <w:b w:val="0"/>
                <w:i w:val="0"/>
                <w:sz w:val="16"/>
              </w:rPr>
              <w:t>Terrorism disclosure (Reg. 4-2-41)</w:t>
            </w:r>
          </w:p>
        </w:tc>
        <w:tc>
          <w:tcPr>
            <w:tcW w:type="dxa" w:w="1440"/>
          </w:tcPr>
          <w:p>
            <w:pPr>
              <w:spacing w:after="20"/>
            </w:pPr>
            <w:r/>
            <w:r>
              <w:rPr>
                <w:b w:val="0"/>
                <w:i w:val="0"/>
                <w:sz w:val="16"/>
              </w:rPr>
              <w:t>Not Yet Reviewed</w:t>
            </w:r>
          </w:p>
        </w:tc>
        <w:tc>
          <w:tcPr>
            <w:tcW w:type="dxa" w:w="1512"/>
          </w:tcPr>
          <w:p>
            <w:pPr>
              <w:spacing w:after="20"/>
            </w:pPr>
            <w:r/>
            <w:r>
              <w:rPr>
                <w:b/>
                <w:i w:val="0"/>
                <w:sz w:val="16"/>
              </w:rPr>
              <w:t>Non-Compliant</w:t>
            </w:r>
          </w:p>
        </w:tc>
        <w:tc>
          <w:tcPr>
            <w:tcW w:type="dxa" w:w="3888"/>
          </w:tcPr>
          <w:p>
            <w:pPr>
              <w:spacing w:after="20"/>
            </w:pPr>
            <w:r/>
            <w:r>
              <w:rPr>
                <w:b w:val="0"/>
                <w:i w:val="0"/>
                <w:sz w:val="16"/>
              </w:rPr>
              <w:t>Premium, federal share and insurer deductible missing (Gap 11).</w:t>
            </w:r>
          </w:p>
        </w:tc>
      </w:tr>
      <w:tr>
        <w:tc>
          <w:tcPr>
            <w:tcW w:type="dxa" w:w="648"/>
          </w:tcPr>
          <w:p>
            <w:pPr>
              <w:spacing w:after="20"/>
            </w:pPr>
            <w:r/>
            <w:r>
              <w:rPr>
                <w:b w:val="0"/>
                <w:i w:val="0"/>
                <w:sz w:val="16"/>
              </w:rPr>
              <w:t>8.1</w:t>
            </w:r>
          </w:p>
        </w:tc>
        <w:tc>
          <w:tcPr>
            <w:tcW w:type="dxa" w:w="2160"/>
          </w:tcPr>
          <w:p>
            <w:pPr>
              <w:spacing w:after="20"/>
            </w:pPr>
            <w:r/>
            <w:r>
              <w:rPr>
                <w:b w:val="0"/>
                <w:i w:val="0"/>
                <w:sz w:val="16"/>
              </w:rPr>
              <w:t>Suit limitation</w:t>
            </w:r>
          </w:p>
        </w:tc>
        <w:tc>
          <w:tcPr>
            <w:tcW w:type="dxa" w:w="1440"/>
          </w:tcPr>
          <w:p>
            <w:pPr>
              <w:spacing w:after="20"/>
            </w:pPr>
            <w:r/>
            <w:r>
              <w:rPr>
                <w:b w:val="0"/>
                <w:i w:val="0"/>
                <w:sz w:val="16"/>
              </w:rPr>
              <w:t>Not Yet Reviewed</w:t>
            </w:r>
          </w:p>
        </w:tc>
        <w:tc>
          <w:tcPr>
            <w:tcW w:type="dxa" w:w="1512"/>
          </w:tcPr>
          <w:p>
            <w:pPr>
              <w:spacing w:after="20"/>
            </w:pPr>
            <w:r/>
            <w:r>
              <w:rPr>
                <w:b/>
                <w:i w:val="0"/>
                <w:sz w:val="16"/>
              </w:rPr>
              <w:t>Potential Issue</w:t>
            </w:r>
          </w:p>
        </w:tc>
        <w:tc>
          <w:tcPr>
            <w:tcW w:type="dxa" w:w="3888"/>
          </w:tcPr>
          <w:p>
            <w:pPr>
              <w:spacing w:after="20"/>
            </w:pPr>
            <w:r/>
            <w:r>
              <w:rPr>
                <w:b w:val="0"/>
                <w:i w:val="0"/>
                <w:sz w:val="16"/>
              </w:rPr>
              <w:t>Recommend revision (Gap 16).</w:t>
            </w:r>
          </w:p>
        </w:tc>
      </w:tr>
      <w:tr>
        <w:tc>
          <w:tcPr>
            <w:tcW w:type="dxa" w:w="648"/>
          </w:tcPr>
          <w:p>
            <w:pPr>
              <w:spacing w:after="20"/>
            </w:pPr>
            <w:r/>
            <w:r>
              <w:rPr>
                <w:b w:val="0"/>
                <w:i w:val="0"/>
                <w:sz w:val="16"/>
              </w:rPr>
              <w:t>8.2</w:t>
            </w:r>
          </w:p>
        </w:tc>
        <w:tc>
          <w:tcPr>
            <w:tcW w:type="dxa" w:w="2160"/>
          </w:tcPr>
          <w:p>
            <w:pPr>
              <w:spacing w:after="20"/>
            </w:pPr>
            <w:r/>
            <w:r>
              <w:rPr>
                <w:b w:val="0"/>
                <w:i w:val="0"/>
                <w:sz w:val="16"/>
              </w:rPr>
              <w:t>Vacancy</w:t>
            </w:r>
          </w:p>
        </w:tc>
        <w:tc>
          <w:tcPr>
            <w:tcW w:type="dxa" w:w="1440"/>
          </w:tcPr>
          <w:p>
            <w:pPr>
              <w:spacing w:after="20"/>
            </w:pPr>
            <w:r/>
            <w:r>
              <w:rPr>
                <w:b w:val="0"/>
                <w:i w:val="0"/>
                <w:sz w:val="16"/>
              </w:rPr>
              <w:t>Compliant</w:t>
            </w:r>
          </w:p>
        </w:tc>
        <w:tc>
          <w:tcPr>
            <w:tcW w:type="dxa" w:w="1512"/>
          </w:tcPr>
          <w:p>
            <w:pPr>
              <w:spacing w:after="20"/>
            </w:pPr>
            <w:r/>
            <w:r>
              <w:rPr>
                <w:b w:val="0"/>
                <w:i w:val="0"/>
                <w:sz w:val="16"/>
              </w:rPr>
              <w:t>Compliant</w:t>
            </w:r>
          </w:p>
        </w:tc>
        <w:tc>
          <w:tcPr>
            <w:tcW w:type="dxa" w:w="3888"/>
          </w:tcPr>
          <w:p>
            <w:pPr>
              <w:spacing w:after="20"/>
            </w:pPr>
            <w:r/>
            <w:r>
              <w:rPr>
                <w:b w:val="0"/>
                <w:i w:val="0"/>
                <w:sz w:val="16"/>
              </w:rPr>
              <w:t>Description incomplete; disclose in wildfire notice (Gap 29).</w:t>
            </w:r>
          </w:p>
        </w:tc>
      </w:tr>
      <w:tr>
        <w:tc>
          <w:tcPr>
            <w:tcW w:type="dxa" w:w="648"/>
          </w:tcPr>
          <w:p>
            <w:pPr>
              <w:spacing w:after="20"/>
            </w:pPr>
            <w:r/>
            <w:r>
              <w:rPr>
                <w:b w:val="0"/>
                <w:i w:val="0"/>
                <w:sz w:val="16"/>
              </w:rPr>
              <w:t>8.3</w:t>
            </w:r>
          </w:p>
        </w:tc>
        <w:tc>
          <w:tcPr>
            <w:tcW w:type="dxa" w:w="2160"/>
          </w:tcPr>
          <w:p>
            <w:pPr>
              <w:spacing w:after="20"/>
            </w:pPr>
            <w:r/>
            <w:r>
              <w:rPr>
                <w:b w:val="0"/>
                <w:i w:val="0"/>
                <w:sz w:val="16"/>
              </w:rPr>
              <w:t>Anti-concurrent causation</w:t>
            </w:r>
          </w:p>
        </w:tc>
        <w:tc>
          <w:tcPr>
            <w:tcW w:type="dxa" w:w="1440"/>
          </w:tcPr>
          <w:p>
            <w:pPr>
              <w:spacing w:after="20"/>
            </w:pPr>
            <w:r/>
            <w:r>
              <w:rPr>
                <w:b w:val="0"/>
                <w:i w:val="0"/>
                <w:sz w:val="16"/>
              </w:rPr>
              <w:t>Compliant</w:t>
            </w:r>
          </w:p>
        </w:tc>
        <w:tc>
          <w:tcPr>
            <w:tcW w:type="dxa" w:w="1512"/>
          </w:tcPr>
          <w:p>
            <w:pPr>
              <w:spacing w:after="20"/>
            </w:pPr>
            <w:r/>
            <w:r>
              <w:rPr>
                <w:b w:val="0"/>
                <w:i w:val="0"/>
                <w:sz w:val="16"/>
              </w:rPr>
              <w:t>Compliant</w:t>
            </w:r>
          </w:p>
        </w:tc>
        <w:tc>
          <w:tcPr>
            <w:tcW w:type="dxa" w:w="3888"/>
          </w:tcPr>
          <w:p>
            <w:pPr>
              <w:spacing w:after="20"/>
            </w:pPr>
            <w:r/>
            <w:r>
              <w:rPr>
                <w:b w:val="0"/>
                <w:i w:val="0"/>
                <w:sz w:val="16"/>
              </w:rPr>
              <w:t>Must be described in the wildfire disclosure; ensuing-fire concern at Gap 17.</w:t>
            </w:r>
          </w:p>
        </w:tc>
      </w:tr>
      <w:tr>
        <w:tc>
          <w:tcPr>
            <w:tcW w:type="dxa" w:w="648"/>
          </w:tcPr>
          <w:p>
            <w:pPr>
              <w:spacing w:after="20"/>
            </w:pPr>
            <w:r/>
            <w:r>
              <w:rPr>
                <w:b w:val="0"/>
                <w:i w:val="0"/>
                <w:sz w:val="16"/>
              </w:rPr>
              <w:t>8.4</w:t>
            </w:r>
          </w:p>
        </w:tc>
        <w:tc>
          <w:tcPr>
            <w:tcW w:type="dxa" w:w="2160"/>
          </w:tcPr>
          <w:p>
            <w:pPr>
              <w:spacing w:after="20"/>
            </w:pPr>
            <w:r/>
            <w:r>
              <w:rPr>
                <w:b w:val="0"/>
                <w:i w:val="0"/>
                <w:sz w:val="16"/>
              </w:rPr>
              <w:t>Subrogation</w:t>
            </w:r>
          </w:p>
        </w:tc>
        <w:tc>
          <w:tcPr>
            <w:tcW w:type="dxa" w:w="1440"/>
          </w:tcPr>
          <w:p>
            <w:pPr>
              <w:spacing w:after="20"/>
            </w:pPr>
            <w:r/>
            <w:r>
              <w:rPr>
                <w:b w:val="0"/>
                <w:i w:val="0"/>
                <w:sz w:val="16"/>
              </w:rPr>
              <w:t>Compliant</w:t>
            </w:r>
          </w:p>
        </w:tc>
        <w:tc>
          <w:tcPr>
            <w:tcW w:type="dxa" w:w="1512"/>
          </w:tcPr>
          <w:p>
            <w:pPr>
              <w:spacing w:after="20"/>
            </w:pPr>
            <w:r/>
            <w:r>
              <w:rPr>
                <w:b w:val="0"/>
                <w:i w:val="0"/>
                <w:sz w:val="16"/>
              </w:rPr>
              <w:t>Compliant</w:t>
            </w:r>
          </w:p>
        </w:tc>
        <w:tc>
          <w:tcPr>
            <w:tcW w:type="dxa" w:w="3888"/>
          </w:tcPr>
          <w:p>
            <w:pPr>
              <w:spacing w:after="20"/>
            </w:pPr>
            <w:r/>
            <w:r>
              <w:rPr>
                <w:b w:val="0"/>
                <w:i w:val="0"/>
                <w:sz w:val="16"/>
              </w:rPr>
              <w:t>Negligence carve-out omitted from the checklist description (Gap 26).</w:t>
            </w:r>
          </w:p>
        </w:tc>
      </w:tr>
      <w:tr>
        <w:tc>
          <w:tcPr>
            <w:tcW w:type="dxa" w:w="648"/>
          </w:tcPr>
          <w:p>
            <w:pPr>
              <w:spacing w:after="20"/>
            </w:pPr>
            <w:r/>
            <w:r>
              <w:rPr>
                <w:b w:val="0"/>
                <w:i w:val="0"/>
                <w:sz w:val="16"/>
              </w:rPr>
              <w:t>8.5</w:t>
            </w:r>
          </w:p>
        </w:tc>
        <w:tc>
          <w:tcPr>
            <w:tcW w:type="dxa" w:w="2160"/>
          </w:tcPr>
          <w:p>
            <w:pPr>
              <w:spacing w:after="20"/>
            </w:pPr>
            <w:r/>
            <w:r>
              <w:rPr>
                <w:b w:val="0"/>
                <w:i w:val="0"/>
                <w:sz w:val="16"/>
              </w:rPr>
              <w:t>Liberalization</w:t>
            </w:r>
          </w:p>
        </w:tc>
        <w:tc>
          <w:tcPr>
            <w:tcW w:type="dxa" w:w="1440"/>
          </w:tcPr>
          <w:p>
            <w:pPr>
              <w:spacing w:after="20"/>
            </w:pPr>
            <w:r/>
            <w:r>
              <w:rPr>
                <w:b w:val="0"/>
                <w:i w:val="0"/>
                <w:sz w:val="16"/>
              </w:rPr>
              <w:t>Compliant</w:t>
            </w:r>
          </w:p>
        </w:tc>
        <w:tc>
          <w:tcPr>
            <w:tcW w:type="dxa" w:w="1512"/>
          </w:tcPr>
          <w:p>
            <w:pPr>
              <w:spacing w:after="20"/>
            </w:pPr>
            <w:r/>
            <w:r>
              <w:rPr>
                <w:b w:val="0"/>
                <w:i w:val="0"/>
                <w:sz w:val="16"/>
              </w:rPr>
              <w:t>Compliant</w:t>
            </w:r>
          </w:p>
        </w:tc>
        <w:tc>
          <w:tcPr>
            <w:tcW w:type="dxa" w:w="3888"/>
          </w:tcPr>
          <w:p>
            <w:pPr>
              <w:spacing w:after="20"/>
            </w:pPr>
            <w:r/>
            <w:r>
              <w:rPr>
                <w:b w:val="0"/>
                <w:i w:val="0"/>
                <w:sz w:val="16"/>
              </w:rPr>
              <w:t>Final form also applies the clause to revisions made within 45 days before inception and excludes revisions made by endorsement. Acceptable.</w:t>
            </w:r>
          </w:p>
        </w:tc>
      </w:tr>
      <w:tr>
        <w:tc>
          <w:tcPr>
            <w:tcW w:type="dxa" w:w="648"/>
          </w:tcPr>
          <w:p>
            <w:pPr>
              <w:spacing w:after="20"/>
            </w:pPr>
            <w:r/>
            <w:r>
              <w:rPr>
                <w:b w:val="0"/>
                <w:i w:val="0"/>
                <w:sz w:val="16"/>
              </w:rPr>
              <w:t>9.1</w:t>
            </w:r>
          </w:p>
        </w:tc>
        <w:tc>
          <w:tcPr>
            <w:tcW w:type="dxa" w:w="2160"/>
          </w:tcPr>
          <w:p>
            <w:pPr>
              <w:spacing w:after="20"/>
            </w:pPr>
            <w:r/>
            <w:r>
              <w:rPr>
                <w:b w:val="0"/>
                <w:i w:val="0"/>
                <w:sz w:val="16"/>
              </w:rPr>
              <w:t>Deductible options</w:t>
            </w:r>
          </w:p>
        </w:tc>
        <w:tc>
          <w:tcPr>
            <w:tcW w:type="dxa" w:w="1440"/>
          </w:tcPr>
          <w:p>
            <w:pPr>
              <w:spacing w:after="20"/>
            </w:pPr>
            <w:r/>
            <w:r>
              <w:rPr>
                <w:b w:val="0"/>
                <w:i w:val="0"/>
                <w:sz w:val="16"/>
              </w:rPr>
              <w:t>Compliant</w:t>
            </w:r>
          </w:p>
        </w:tc>
        <w:tc>
          <w:tcPr>
            <w:tcW w:type="dxa" w:w="1512"/>
          </w:tcPr>
          <w:p>
            <w:pPr>
              <w:spacing w:after="20"/>
            </w:pPr>
            <w:r/>
            <w:r>
              <w:rPr>
                <w:b w:val="0"/>
                <w:i w:val="0"/>
                <w:sz w:val="16"/>
              </w:rPr>
              <w:t>Compliant</w:t>
            </w:r>
          </w:p>
        </w:tc>
        <w:tc>
          <w:tcPr>
            <w:tcW w:type="dxa" w:w="3888"/>
          </w:tcPr>
          <w:p>
            <w:pPr>
              <w:spacing w:after="20"/>
            </w:pPr>
            <w:r/>
            <w:r>
              <w:rPr>
                <w:b w:val="0"/>
                <w:i w:val="0"/>
                <w:sz w:val="16"/>
              </w:rPr>
              <w:t>Citation should be Condition 2 (¶ 5.2), not Condition 4. The wildfire notice must state that no separate wildfire deductible applies.</w:t>
            </w:r>
          </w:p>
        </w:tc>
      </w:tr>
      <w:tr>
        <w:tc>
          <w:tcPr>
            <w:tcW w:type="dxa" w:w="648"/>
          </w:tcPr>
          <w:p>
            <w:pPr>
              <w:spacing w:after="20"/>
            </w:pPr>
            <w:r/>
            <w:r>
              <w:rPr>
                <w:b w:val="0"/>
                <w:i w:val="0"/>
                <w:sz w:val="16"/>
              </w:rPr>
              <w:t>9.2</w:t>
            </w:r>
          </w:p>
        </w:tc>
        <w:tc>
          <w:tcPr>
            <w:tcW w:type="dxa" w:w="2160"/>
          </w:tcPr>
          <w:p>
            <w:pPr>
              <w:spacing w:after="20"/>
            </w:pPr>
            <w:r/>
            <w:r>
              <w:rPr>
                <w:b w:val="0"/>
                <w:i w:val="0"/>
                <w:sz w:val="16"/>
              </w:rPr>
              <w:t>Additional coverages and sublimits</w:t>
            </w:r>
          </w:p>
        </w:tc>
        <w:tc>
          <w:tcPr>
            <w:tcW w:type="dxa" w:w="1440"/>
          </w:tcPr>
          <w:p>
            <w:pPr>
              <w:spacing w:after="20"/>
            </w:pPr>
            <w:r/>
            <w:r>
              <w:rPr>
                <w:b w:val="0"/>
                <w:i w:val="0"/>
                <w:sz w:val="16"/>
              </w:rPr>
              <w:t>Compliant</w:t>
            </w:r>
          </w:p>
        </w:tc>
        <w:tc>
          <w:tcPr>
            <w:tcW w:type="dxa" w:w="1512"/>
          </w:tcPr>
          <w:p>
            <w:pPr>
              <w:spacing w:after="20"/>
            </w:pPr>
            <w:r/>
            <w:r>
              <w:rPr>
                <w:b/>
                <w:i w:val="0"/>
                <w:sz w:val="16"/>
              </w:rPr>
              <w:t>Potential Issue</w:t>
            </w:r>
          </w:p>
        </w:tc>
        <w:tc>
          <w:tcPr>
            <w:tcW w:type="dxa" w:w="3888"/>
          </w:tcPr>
          <w:p>
            <w:pPr>
              <w:spacing w:after="20"/>
            </w:pPr>
            <w:r/>
            <w:r>
              <w:rPr>
                <w:b w:val="0"/>
                <w:i w:val="0"/>
                <w:sz w:val="16"/>
              </w:rPr>
              <w:t>Declarations and Section III conflict (Gap 19).</w:t>
            </w:r>
          </w:p>
        </w:tc>
      </w:tr>
    </w:tbl>
    <w:p>
      <w:pPr>
        <w:spacing w:after="40"/>
      </w:pP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168"/>
            <w:shd w:val="clear" w:color="auto" w:fill="1F3864"/>
          </w:tcPr>
          <w:p>
            <w:r/>
            <w:r>
              <w:rPr>
                <w:b/>
                <w:color w:val="FFFFFF"/>
                <w:sz w:val="18"/>
              </w:rPr>
              <w:t>Status</w:t>
            </w:r>
          </w:p>
        </w:tc>
        <w:tc>
          <w:tcPr>
            <w:tcW w:type="dxa" w:w="3168"/>
            <w:shd w:val="clear" w:color="auto" w:fill="1F3864"/>
          </w:tcPr>
          <w:p>
            <w:r/>
            <w:r>
              <w:rPr>
                <w:b/>
                <w:color w:val="FFFFFF"/>
                <w:sz w:val="18"/>
              </w:rPr>
              <w:t>Checklist v1.0</w:t>
            </w:r>
          </w:p>
        </w:tc>
        <w:tc>
          <w:tcPr>
            <w:tcW w:type="dxa" w:w="3312"/>
            <w:shd w:val="clear" w:color="auto" w:fill="1F3864"/>
          </w:tcPr>
          <w:p>
            <w:r/>
            <w:r>
              <w:rPr>
                <w:b/>
                <w:color w:val="FFFFFF"/>
                <w:sz w:val="18"/>
              </w:rPr>
              <w:t>H&amp;C revised</w:t>
            </w:r>
          </w:p>
        </w:tc>
      </w:tr>
      <w:tr>
        <w:tc>
          <w:tcPr>
            <w:tcW w:type="dxa" w:w="3168"/>
          </w:tcPr>
          <w:p>
            <w:pPr>
              <w:spacing w:after="20"/>
            </w:pPr>
            <w:r/>
            <w:r>
              <w:rPr>
                <w:b w:val="0"/>
                <w:i w:val="0"/>
                <w:sz w:val="18"/>
              </w:rPr>
              <w:t>Compliant</w:t>
            </w:r>
          </w:p>
        </w:tc>
        <w:tc>
          <w:tcPr>
            <w:tcW w:type="dxa" w:w="3168"/>
          </w:tcPr>
          <w:p>
            <w:pPr>
              <w:spacing w:after="20"/>
            </w:pPr>
            <w:r/>
            <w:r>
              <w:rPr>
                <w:b w:val="0"/>
                <w:i w:val="0"/>
                <w:sz w:val="18"/>
              </w:rPr>
              <w:t>10</w:t>
            </w:r>
          </w:p>
        </w:tc>
        <w:tc>
          <w:tcPr>
            <w:tcW w:type="dxa" w:w="3312"/>
          </w:tcPr>
          <w:p>
            <w:pPr>
              <w:spacing w:after="20"/>
            </w:pPr>
            <w:r/>
            <w:r>
              <w:rPr>
                <w:b w:val="0"/>
                <w:i w:val="0"/>
                <w:sz w:val="18"/>
              </w:rPr>
              <w:t>6</w:t>
            </w:r>
          </w:p>
        </w:tc>
      </w:tr>
      <w:tr>
        <w:tc>
          <w:tcPr>
            <w:tcW w:type="dxa" w:w="3168"/>
          </w:tcPr>
          <w:p>
            <w:pPr>
              <w:spacing w:after="20"/>
            </w:pPr>
            <w:r/>
            <w:r>
              <w:rPr>
                <w:b w:val="0"/>
                <w:i w:val="0"/>
                <w:sz w:val="18"/>
              </w:rPr>
              <w:t>Potential Issue</w:t>
            </w:r>
          </w:p>
        </w:tc>
        <w:tc>
          <w:tcPr>
            <w:tcW w:type="dxa" w:w="3168"/>
          </w:tcPr>
          <w:p>
            <w:pPr>
              <w:spacing w:after="20"/>
            </w:pPr>
            <w:r/>
            <w:r>
              <w:rPr>
                <w:b w:val="0"/>
                <w:i w:val="0"/>
                <w:sz w:val="18"/>
              </w:rPr>
              <w:t>2</w:t>
            </w:r>
          </w:p>
        </w:tc>
        <w:tc>
          <w:tcPr>
            <w:tcW w:type="dxa" w:w="3312"/>
          </w:tcPr>
          <w:p>
            <w:pPr>
              <w:spacing w:after="20"/>
            </w:pPr>
            <w:r/>
            <w:r>
              <w:rPr>
                <w:b w:val="0"/>
                <w:i w:val="0"/>
                <w:sz w:val="18"/>
              </w:rPr>
              <w:t>4</w:t>
            </w:r>
          </w:p>
        </w:tc>
      </w:tr>
      <w:tr>
        <w:tc>
          <w:tcPr>
            <w:tcW w:type="dxa" w:w="3168"/>
          </w:tcPr>
          <w:p>
            <w:pPr>
              <w:spacing w:after="20"/>
            </w:pPr>
            <w:r/>
            <w:r>
              <w:rPr>
                <w:b w:val="0"/>
                <w:i w:val="0"/>
                <w:sz w:val="18"/>
              </w:rPr>
              <w:t>Non-Compliant</w:t>
            </w:r>
          </w:p>
        </w:tc>
        <w:tc>
          <w:tcPr>
            <w:tcW w:type="dxa" w:w="3168"/>
          </w:tcPr>
          <w:p>
            <w:pPr>
              <w:spacing w:after="20"/>
            </w:pPr>
            <w:r/>
            <w:r>
              <w:rPr>
                <w:b w:val="0"/>
                <w:i w:val="0"/>
                <w:sz w:val="18"/>
              </w:rPr>
              <w:t>6 (checklist summary says 5)</w:t>
            </w:r>
          </w:p>
        </w:tc>
        <w:tc>
          <w:tcPr>
            <w:tcW w:type="dxa" w:w="3312"/>
          </w:tcPr>
          <w:p>
            <w:pPr>
              <w:spacing w:after="20"/>
            </w:pPr>
            <w:r/>
            <w:r>
              <w:rPr>
                <w:b w:val="0"/>
                <w:i w:val="0"/>
                <w:sz w:val="18"/>
              </w:rPr>
              <w:t>12</w:t>
            </w:r>
          </w:p>
        </w:tc>
      </w:tr>
      <w:tr>
        <w:tc>
          <w:tcPr>
            <w:tcW w:type="dxa" w:w="3168"/>
          </w:tcPr>
          <w:p>
            <w:pPr>
              <w:spacing w:after="20"/>
            </w:pPr>
            <w:r/>
            <w:r>
              <w:rPr>
                <w:b w:val="0"/>
                <w:i w:val="0"/>
                <w:sz w:val="18"/>
              </w:rPr>
              <w:t>Not Yet Reviewed / Open</w:t>
            </w:r>
          </w:p>
        </w:tc>
        <w:tc>
          <w:tcPr>
            <w:tcW w:type="dxa" w:w="3168"/>
          </w:tcPr>
          <w:p>
            <w:pPr>
              <w:spacing w:after="20"/>
            </w:pPr>
            <w:r/>
            <w:r>
              <w:rPr>
                <w:b w:val="0"/>
                <w:i w:val="0"/>
                <w:sz w:val="18"/>
              </w:rPr>
              <w:t>6</w:t>
            </w:r>
          </w:p>
        </w:tc>
        <w:tc>
          <w:tcPr>
            <w:tcW w:type="dxa" w:w="3312"/>
          </w:tcPr>
          <w:p>
            <w:pPr>
              <w:spacing w:after="20"/>
            </w:pPr>
            <w:r/>
            <w:r>
              <w:rPr>
                <w:b w:val="0"/>
                <w:i w:val="0"/>
                <w:sz w:val="18"/>
              </w:rPr>
              <w:t>2 (both procedural: 7.1, 7.4)</w:t>
            </w:r>
          </w:p>
        </w:tc>
      </w:tr>
      <w:tr>
        <w:tc>
          <w:tcPr>
            <w:tcW w:type="dxa" w:w="3168"/>
          </w:tcPr>
          <w:p>
            <w:pPr>
              <w:spacing w:after="20"/>
            </w:pPr>
            <w:r/>
            <w:r>
              <w:rPr>
                <w:b w:val="0"/>
                <w:i w:val="0"/>
                <w:sz w:val="18"/>
              </w:rPr>
              <w:t>Total entries</w:t>
            </w:r>
          </w:p>
        </w:tc>
        <w:tc>
          <w:tcPr>
            <w:tcW w:type="dxa" w:w="3168"/>
          </w:tcPr>
          <w:p>
            <w:pPr>
              <w:spacing w:after="20"/>
            </w:pPr>
            <w:r/>
            <w:r>
              <w:rPr>
                <w:b w:val="0"/>
                <w:i w:val="0"/>
                <w:sz w:val="18"/>
              </w:rPr>
              <w:t>24 (checklist summary says 23)</w:t>
            </w:r>
          </w:p>
        </w:tc>
        <w:tc>
          <w:tcPr>
            <w:tcW w:type="dxa" w:w="3312"/>
          </w:tcPr>
          <w:p>
            <w:pPr>
              <w:spacing w:after="20"/>
            </w:pPr>
            <w:r/>
            <w:r>
              <w:rPr>
                <w:b w:val="0"/>
                <w:i w:val="0"/>
                <w:sz w:val="18"/>
              </w:rPr>
              <w:t>24</w:t>
            </w:r>
          </w:p>
        </w:tc>
      </w:tr>
    </w:tbl>
    <w:p>
      <w:pPr>
        <w:spacing w:after="40"/>
      </w:pPr>
    </w:p>
    <w:p>
      <w:r>
        <w:rPr>
          <w:b w:val="0"/>
          <w:i/>
          <w:sz w:val="18"/>
        </w:rPr>
        <w:t>Entries 10.1, 10.2 and 11.1–11.3 are tracking items. They are addressed in Sections III and V and in Gap 15.</w:t>
      </w:r>
    </w:p>
    <w:p>
      <w:pPr>
        <w:pStyle w:val="Heading1"/>
      </w:pPr>
      <w:r>
        <w:t>VII. Requirements and Issues Not Captured in the Checklist</w:t>
      </w:r>
    </w:p>
    <w:p>
      <w:r>
        <w:rPr>
          <w:b w:val="0"/>
          <w:i w:val="0"/>
        </w:rPr>
        <w:t>Ms. Brennan asked us to flag Colorado requirements missing from the checklist. The following items are not addressed there:</w:t>
      </w:r>
    </w:p>
    <w:p>
      <w:pPr>
        <w:pStyle w:val="ListBullet"/>
        <w:spacing w:after="40"/>
      </w:pPr>
      <w:r>
        <w:rPr>
          <w:b w:val="0"/>
          <w:i w:val="0"/>
        </w:rPr>
        <w:t>Mortgageholder notice periods for cancellation and nonrenewal (Gap 12).</w:t>
      </w:r>
    </w:p>
    <w:p>
      <w:pPr>
        <w:pStyle w:val="ListBullet"/>
        <w:spacing w:after="40"/>
      </w:pPr>
      <w:r>
        <w:rPr>
          <w:b w:val="0"/>
          <w:i w:val="0"/>
        </w:rPr>
        <w:t>“Fully earned at inception” premium language and the unidentified short-rate table (Gap 13).</w:t>
      </w:r>
    </w:p>
    <w:p>
      <w:pPr>
        <w:pStyle w:val="ListBullet"/>
        <w:spacing w:after="40"/>
      </w:pPr>
      <w:r>
        <w:rPr>
          <w:b w:val="0"/>
          <w:i w:val="0"/>
        </w:rPr>
        <w:t>Claim-payment timing and the “satisfactory proof of loss” trigger, viewed against the standard fire policy, the Unfair Claims Settlement Practices provisions (C.R.S. § 10-3-1104(1)(h)) and statutory unreasonable delay/denial exposure (C.R.S. §§ 10-3-1115, -1116) (Gap 18). The suit-limitation clause should also exclude these statutory claims (Gap 16).</w:t>
      </w:r>
    </w:p>
    <w:p>
      <w:pPr>
        <w:pStyle w:val="ListBullet"/>
        <w:spacing w:after="40"/>
      </w:pPr>
      <w:r>
        <w:rPr>
          <w:b w:val="0"/>
          <w:i w:val="0"/>
        </w:rPr>
        <w:t>Standard fire policy deviations: terrorism exclusion of ensuing fire, the innocent co-insured bar, fraud voiding from inception, and the absolute mold exclusion (Gap 17).</w:t>
      </w:r>
    </w:p>
    <w:p>
      <w:pPr>
        <w:pStyle w:val="ListBullet"/>
        <w:spacing w:after="40"/>
      </w:pPr>
      <w:r>
        <w:rPr>
          <w:b w:val="0"/>
          <w:i w:val="0"/>
        </w:rPr>
        <w:t>Wildfire-relevant limitations that the § 10-4-110.5 disclosure must identify, which go beyond what the 2023 MCP-WF-01 endorsement addressed (Gap 2; Appendix B).</w:t>
      </w:r>
    </w:p>
    <w:p>
      <w:pPr>
        <w:pStyle w:val="ListBullet"/>
        <w:spacing w:after="40"/>
      </w:pPr>
      <w:r>
        <w:rPr>
          <w:b w:val="0"/>
          <w:i w:val="0"/>
        </w:rPr>
        <w:t>Internal consistency of limits, perils and valuation: Declarations vs. Section III sublimits, volcanic action, and the ACV definitions (Gaps 19–21).</w:t>
      </w:r>
    </w:p>
    <w:p>
      <w:pPr>
        <w:pStyle w:val="ListBullet"/>
        <w:spacing w:after="40"/>
      </w:pPr>
      <w:r>
        <w:rPr>
          <w:b w:val="0"/>
          <w:i w:val="0"/>
        </w:rPr>
        <w:t>Companion notices and endorsements required to complete the filing (Gap 14), and accuracy of the ISO-deviation statement (Gap 22).</w:t>
      </w:r>
    </w:p>
    <w:p>
      <w:pPr>
        <w:pStyle w:val="ListBullet"/>
        <w:spacing w:after="40"/>
      </w:pPr>
      <w:r>
        <w:rPr>
          <w:b w:val="0"/>
          <w:i w:val="0"/>
        </w:rPr>
        <w:t>Verification of statutory citations against current official text, including C.R.S. § 10-4-109.7 (commercial cancellation/nonrenewal) (Gap 23).</w:t>
      </w:r>
    </w:p>
    <w:p>
      <w:pPr>
        <w:pStyle w:val="ListBullet"/>
        <w:spacing w:after="40"/>
      </w:pPr>
      <w:r>
        <w:rPr>
          <w:b w:val="0"/>
          <w:i w:val="0"/>
        </w:rPr>
        <w:t>Drafting items: undefined bold terms, other insurance, subrogation waiver, countersignature, scope of the conformity clause (Gaps 24–28).</w:t>
      </w:r>
    </w:p>
    <w:p>
      <w:pPr>
        <w:pStyle w:val="ListBullet"/>
        <w:spacing w:after="40"/>
      </w:pPr>
      <w:r>
        <w:rPr>
          <w:b w:val="0"/>
          <w:i w:val="0"/>
        </w:rPr>
        <w:t>Note: Colorado follows a notice-prejudice approach to late-notice defenses. The form’s statement that non-compliance with loss duties may lead to denial “as permitted by applicable law” (¶ 7.6) is acceptable and should be kept, not strengthened.</w:t>
      </w:r>
    </w:p>
    <w:p>
      <w:pPr>
        <w:pStyle w:val="Heading1"/>
      </w:pPr>
      <w:r>
        <w:t>VIII. Decisions Needed and Revised Critical Path</w:t>
      </w:r>
    </w:p>
    <w:p>
      <w:r>
        <w:rPr>
          <w:b/>
          <w:i w:val="0"/>
        </w:rPr>
        <w:t>Business decisions needed from Meridian by February 10</w:t>
      </w:r>
      <w:r>
        <w:rPr>
          <w:b w:val="0"/>
          <w:i w:val="0"/>
        </w:rPr>
        <w:t xml:space="preserve"> (each affects drafting):</w:t>
      </w:r>
    </w:p>
    <w:p>
      <w:pPr>
        <w:spacing w:after="60"/>
        <w:ind w:left="360"/>
      </w:pPr>
      <w:r>
        <w:rPr>
          <w:b w:val="0"/>
          <w:i w:val="0"/>
        </w:rPr>
        <w:t>1.  Wildfire disclosure format: we recommend both an in-form section and a mandatory notice (Gap 2).</w:t>
      </w:r>
    </w:p>
    <w:p>
      <w:pPr>
        <w:spacing w:after="60"/>
        <w:ind w:left="360"/>
      </w:pPr>
      <w:r>
        <w:rPr>
          <w:b w:val="0"/>
          <w:i w:val="0"/>
        </w:rPr>
        <w:t>2.  Replacement cost: whether RC is offered at a premium through MCP-RC-01 with signed rejection, or made the default valuation (Gap 5).</w:t>
      </w:r>
    </w:p>
    <w:p>
      <w:pPr>
        <w:spacing w:after="60"/>
        <w:ind w:left="360"/>
      </w:pPr>
      <w:r>
        <w:rPr>
          <w:b w:val="0"/>
          <w:i w:val="0"/>
        </w:rPr>
        <w:t>3.  Suit limitation period: two or three years, with tolling (Gap 16).</w:t>
      </w:r>
    </w:p>
    <w:p>
      <w:pPr>
        <w:spacing w:after="60"/>
        <w:ind w:left="360"/>
      </w:pPr>
      <w:r>
        <w:rPr>
          <w:b w:val="0"/>
          <w:i w:val="0"/>
        </w:rPr>
        <w:t>4.  Whether underwriting needs any minimum earned premium (Gap 13) or new-business cancellation window (Gap 6). Both would require rate/rule support, and the cancellation window also requires confirmation that the statute allows it.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val="clear" w:color="auto" w:fill="1F3864"/>
          </w:tcPr>
          <w:p>
            <w:r/>
            <w:r>
              <w:rPr>
                <w:b/>
                <w:color w:val="FFFFFF"/>
                <w:sz w:val="17"/>
              </w:rPr>
              <w:t>Date</w:t>
            </w:r>
          </w:p>
        </w:tc>
        <w:tc>
          <w:tcPr>
            <w:tcW w:type="dxa" w:w="6048"/>
            <w:shd w:val="clear" w:color="auto" w:fill="1F3864"/>
          </w:tcPr>
          <w:p>
            <w:r/>
            <w:r>
              <w:rPr>
                <w:b/>
                <w:color w:val="FFFFFF"/>
                <w:sz w:val="17"/>
              </w:rPr>
              <w:t>Milestone</w:t>
            </w:r>
          </w:p>
        </w:tc>
        <w:tc>
          <w:tcPr>
            <w:tcW w:type="dxa" w:w="2160"/>
            <w:shd w:val="clear" w:color="auto" w:fill="1F3864"/>
          </w:tcPr>
          <w:p>
            <w:r/>
            <w:r>
              <w:rPr>
                <w:b/>
                <w:color w:val="FFFFFF"/>
                <w:sz w:val="17"/>
              </w:rPr>
              <w:t>Owner</w:t>
            </w:r>
          </w:p>
        </w:tc>
      </w:tr>
      <w:tr>
        <w:tc>
          <w:tcPr>
            <w:tcW w:type="dxa" w:w="1440"/>
          </w:tcPr>
          <w:p>
            <w:pPr>
              <w:spacing w:after="20"/>
            </w:pPr>
            <w:r/>
            <w:r>
              <w:rPr>
                <w:b w:val="0"/>
                <w:i w:val="0"/>
                <w:sz w:val="17"/>
              </w:rPr>
              <w:t>Fri Feb 7</w:t>
            </w:r>
          </w:p>
        </w:tc>
        <w:tc>
          <w:tcPr>
            <w:tcW w:type="dxa" w:w="6048"/>
          </w:tcPr>
          <w:p>
            <w:pPr>
              <w:spacing w:after="20"/>
            </w:pPr>
            <w:r/>
            <w:r>
              <w:rPr>
                <w:b w:val="0"/>
                <w:i w:val="0"/>
                <w:sz w:val="17"/>
              </w:rPr>
              <w:t>H&amp;C gap analysis delivered (this document)</w:t>
            </w:r>
          </w:p>
        </w:tc>
        <w:tc>
          <w:tcPr>
            <w:tcW w:type="dxa" w:w="2160"/>
          </w:tcPr>
          <w:p>
            <w:pPr>
              <w:spacing w:after="20"/>
            </w:pPr>
            <w:r/>
            <w:r>
              <w:rPr>
                <w:b w:val="0"/>
                <w:i w:val="0"/>
                <w:sz w:val="17"/>
              </w:rPr>
              <w:t>H&amp;C</w:t>
            </w:r>
          </w:p>
        </w:tc>
      </w:tr>
      <w:tr>
        <w:tc>
          <w:tcPr>
            <w:tcW w:type="dxa" w:w="1440"/>
          </w:tcPr>
          <w:p>
            <w:pPr>
              <w:spacing w:after="20"/>
            </w:pPr>
            <w:r/>
            <w:r>
              <w:rPr>
                <w:b w:val="0"/>
                <w:i w:val="0"/>
                <w:sz w:val="17"/>
              </w:rPr>
              <w:t>Mon Feb 10</w:t>
            </w:r>
          </w:p>
        </w:tc>
        <w:tc>
          <w:tcPr>
            <w:tcW w:type="dxa" w:w="6048"/>
          </w:tcPr>
          <w:p>
            <w:pPr>
              <w:spacing w:after="20"/>
            </w:pPr>
            <w:r/>
            <w:r>
              <w:rPr>
                <w:b w:val="0"/>
                <w:i w:val="0"/>
                <w:sz w:val="17"/>
              </w:rPr>
              <w:t>Walk-through call; Meridian business decisions; diagnostic readability test</w:t>
            </w:r>
          </w:p>
        </w:tc>
        <w:tc>
          <w:tcPr>
            <w:tcW w:type="dxa" w:w="2160"/>
          </w:tcPr>
          <w:p>
            <w:pPr>
              <w:spacing w:after="20"/>
            </w:pPr>
            <w:r/>
            <w:r>
              <w:rPr>
                <w:b w:val="0"/>
                <w:i w:val="0"/>
                <w:sz w:val="17"/>
              </w:rPr>
              <w:t>Meridian / H&amp;C</w:t>
            </w:r>
          </w:p>
        </w:tc>
      </w:tr>
      <w:tr>
        <w:tc>
          <w:tcPr>
            <w:tcW w:type="dxa" w:w="1440"/>
          </w:tcPr>
          <w:p>
            <w:pPr>
              <w:spacing w:after="20"/>
            </w:pPr>
            <w:r/>
            <w:r>
              <w:rPr>
                <w:b w:val="0"/>
                <w:i w:val="0"/>
                <w:sz w:val="17"/>
              </w:rPr>
              <w:t>Wed Feb 12</w:t>
            </w:r>
          </w:p>
        </w:tc>
        <w:tc>
          <w:tcPr>
            <w:tcW w:type="dxa" w:w="6048"/>
          </w:tcPr>
          <w:p>
            <w:pPr>
              <w:spacing w:after="20"/>
            </w:pPr>
            <w:r/>
            <w:r>
              <w:rPr>
                <w:b w:val="0"/>
                <w:i w:val="0"/>
                <w:sz w:val="17"/>
              </w:rPr>
              <w:t>H&amp;C citation verification table; corrected checklist v2.0 (Meridian)</w:t>
            </w:r>
          </w:p>
        </w:tc>
        <w:tc>
          <w:tcPr>
            <w:tcW w:type="dxa" w:w="2160"/>
          </w:tcPr>
          <w:p>
            <w:pPr>
              <w:spacing w:after="20"/>
            </w:pPr>
            <w:r/>
            <w:r>
              <w:rPr>
                <w:b w:val="0"/>
                <w:i w:val="0"/>
                <w:sz w:val="17"/>
              </w:rPr>
              <w:t>H&amp;C / Meridian</w:t>
            </w:r>
          </w:p>
        </w:tc>
      </w:tr>
      <w:tr>
        <w:tc>
          <w:tcPr>
            <w:tcW w:type="dxa" w:w="1440"/>
          </w:tcPr>
          <w:p>
            <w:pPr>
              <w:spacing w:after="20"/>
            </w:pPr>
            <w:r/>
            <w:r>
              <w:rPr>
                <w:b w:val="0"/>
                <w:i w:val="0"/>
                <w:sz w:val="17"/>
              </w:rPr>
              <w:t>Fri Feb 14</w:t>
            </w:r>
          </w:p>
        </w:tc>
        <w:tc>
          <w:tcPr>
            <w:tcW w:type="dxa" w:w="6048"/>
          </w:tcPr>
          <w:p>
            <w:pPr>
              <w:spacing w:after="20"/>
            </w:pPr>
            <w:r/>
            <w:r>
              <w:rPr>
                <w:b w:val="0"/>
                <w:i w:val="0"/>
                <w:sz w:val="17"/>
              </w:rPr>
              <w:t>Revised form and all companion notices</w:t>
            </w:r>
          </w:p>
        </w:tc>
        <w:tc>
          <w:tcPr>
            <w:tcW w:type="dxa" w:w="2160"/>
          </w:tcPr>
          <w:p>
            <w:pPr>
              <w:spacing w:after="20"/>
            </w:pPr>
            <w:r/>
            <w:r>
              <w:rPr>
                <w:b w:val="0"/>
                <w:i w:val="0"/>
                <w:sz w:val="17"/>
              </w:rPr>
              <w:t>Meridian Product (Chicago)</w:t>
            </w:r>
          </w:p>
        </w:tc>
      </w:tr>
      <w:tr>
        <w:tc>
          <w:tcPr>
            <w:tcW w:type="dxa" w:w="1440"/>
          </w:tcPr>
          <w:p>
            <w:pPr>
              <w:spacing w:after="20"/>
            </w:pPr>
            <w:r/>
            <w:r>
              <w:rPr>
                <w:b w:val="0"/>
                <w:i w:val="0"/>
                <w:sz w:val="17"/>
              </w:rPr>
              <w:t>Feb 17–19</w:t>
            </w:r>
          </w:p>
        </w:tc>
        <w:tc>
          <w:tcPr>
            <w:tcW w:type="dxa" w:w="6048"/>
          </w:tcPr>
          <w:p>
            <w:pPr>
              <w:spacing w:after="20"/>
            </w:pPr>
            <w:r/>
            <w:r>
              <w:rPr>
                <w:b w:val="0"/>
                <w:i w:val="0"/>
                <w:sz w:val="17"/>
              </w:rPr>
              <w:t>H&amp;C confirmatory review of revised text</w:t>
            </w:r>
          </w:p>
        </w:tc>
        <w:tc>
          <w:tcPr>
            <w:tcW w:type="dxa" w:w="2160"/>
          </w:tcPr>
          <w:p>
            <w:pPr>
              <w:spacing w:after="20"/>
            </w:pPr>
            <w:r/>
            <w:r>
              <w:rPr>
                <w:b w:val="0"/>
                <w:i w:val="0"/>
                <w:sz w:val="17"/>
              </w:rPr>
              <w:t>H&amp;C</w:t>
            </w:r>
          </w:p>
        </w:tc>
      </w:tr>
      <w:tr>
        <w:tc>
          <w:tcPr>
            <w:tcW w:type="dxa" w:w="1440"/>
          </w:tcPr>
          <w:p>
            <w:pPr>
              <w:spacing w:after="20"/>
            </w:pPr>
            <w:r/>
            <w:r>
              <w:rPr>
                <w:b w:val="0"/>
                <w:i w:val="0"/>
                <w:sz w:val="17"/>
              </w:rPr>
              <w:t>Feb 19–21</w:t>
            </w:r>
          </w:p>
        </w:tc>
        <w:tc>
          <w:tcPr>
            <w:tcW w:type="dxa" w:w="6048"/>
          </w:tcPr>
          <w:p>
            <w:pPr>
              <w:spacing w:after="20"/>
            </w:pPr>
            <w:r/>
            <w:r>
              <w:rPr>
                <w:b w:val="0"/>
                <w:i w:val="0"/>
                <w:sz w:val="17"/>
              </w:rPr>
              <w:t>Certified readability test on frozen final text; officer certificate</w:t>
            </w:r>
          </w:p>
        </w:tc>
        <w:tc>
          <w:tcPr>
            <w:tcW w:type="dxa" w:w="2160"/>
          </w:tcPr>
          <w:p>
            <w:pPr>
              <w:spacing w:after="20"/>
            </w:pPr>
            <w:r/>
            <w:r>
              <w:rPr>
                <w:b w:val="0"/>
                <w:i w:val="0"/>
                <w:sz w:val="17"/>
              </w:rPr>
              <w:t>Meridian Compliance</w:t>
            </w:r>
          </w:p>
        </w:tc>
      </w:tr>
      <w:tr>
        <w:tc>
          <w:tcPr>
            <w:tcW w:type="dxa" w:w="1440"/>
          </w:tcPr>
          <w:p>
            <w:pPr>
              <w:spacing w:after="20"/>
            </w:pPr>
            <w:r/>
            <w:r>
              <w:rPr>
                <w:b w:val="0"/>
                <w:i w:val="0"/>
                <w:sz w:val="17"/>
              </w:rPr>
              <w:t>Mon Feb 24</w:t>
            </w:r>
          </w:p>
        </w:tc>
        <w:tc>
          <w:tcPr>
            <w:tcW w:type="dxa" w:w="6048"/>
          </w:tcPr>
          <w:p>
            <w:pPr>
              <w:spacing w:after="20"/>
            </w:pPr>
            <w:r/>
            <w:r>
              <w:rPr>
                <w:b w:val="0"/>
                <w:i w:val="0"/>
                <w:sz w:val="17"/>
              </w:rPr>
              <w:t>Complete package to Trenton Filing Services</w:t>
            </w:r>
          </w:p>
        </w:tc>
        <w:tc>
          <w:tcPr>
            <w:tcW w:type="dxa" w:w="2160"/>
          </w:tcPr>
          <w:p>
            <w:pPr>
              <w:spacing w:after="20"/>
            </w:pPr>
            <w:r/>
            <w:r>
              <w:rPr>
                <w:b w:val="0"/>
                <w:i w:val="0"/>
                <w:sz w:val="17"/>
              </w:rPr>
              <w:t>Meridian Compliance</w:t>
            </w:r>
          </w:p>
        </w:tc>
      </w:tr>
      <w:tr>
        <w:tc>
          <w:tcPr>
            <w:tcW w:type="dxa" w:w="1440"/>
          </w:tcPr>
          <w:p>
            <w:pPr>
              <w:spacing w:after="20"/>
            </w:pPr>
            <w:r/>
            <w:r>
              <w:rPr>
                <w:b w:val="0"/>
                <w:i w:val="0"/>
                <w:sz w:val="17"/>
              </w:rPr>
              <w:t>Sat Mar 1</w:t>
            </w:r>
          </w:p>
        </w:tc>
        <w:tc>
          <w:tcPr>
            <w:tcW w:type="dxa" w:w="6048"/>
          </w:tcPr>
          <w:p>
            <w:pPr>
              <w:spacing w:after="20"/>
            </w:pPr>
            <w:r/>
            <w:r>
              <w:rPr>
                <w:b w:val="0"/>
                <w:i w:val="0"/>
                <w:sz w:val="17"/>
              </w:rPr>
              <w:t>SERFF submission (MERI-133318601). Because March 1, 2025 is a Saturday, confirm Trenton’s availability or target Friday, February 28.</w:t>
            </w:r>
          </w:p>
        </w:tc>
        <w:tc>
          <w:tcPr>
            <w:tcW w:type="dxa" w:w="2160"/>
          </w:tcPr>
          <w:p>
            <w:pPr>
              <w:spacing w:after="20"/>
            </w:pPr>
            <w:r/>
            <w:r>
              <w:rPr>
                <w:b w:val="0"/>
                <w:i w:val="0"/>
                <w:sz w:val="17"/>
              </w:rPr>
              <w:t>Trenton</w:t>
            </w:r>
          </w:p>
        </w:tc>
      </w:tr>
      <w:tr>
        <w:tc>
          <w:tcPr>
            <w:tcW w:type="dxa" w:w="1440"/>
          </w:tcPr>
          <w:p>
            <w:pPr>
              <w:spacing w:after="20"/>
            </w:pPr>
            <w:r/>
            <w:r>
              <w:rPr>
                <w:b w:val="0"/>
                <w:i w:val="0"/>
                <w:sz w:val="17"/>
              </w:rPr>
              <w:t>Tue Apr 15</w:t>
            </w:r>
          </w:p>
        </w:tc>
        <w:tc>
          <w:tcPr>
            <w:tcW w:type="dxa" w:w="6048"/>
          </w:tcPr>
          <w:p>
            <w:pPr>
              <w:spacing w:after="20"/>
            </w:pPr>
            <w:r/>
            <w:r>
              <w:rPr>
                <w:b w:val="0"/>
                <w:i w:val="0"/>
                <w:sz w:val="17"/>
              </w:rPr>
              <w:t>Requested effective date</w:t>
            </w:r>
          </w:p>
        </w:tc>
        <w:tc>
          <w:tcPr>
            <w:tcW w:type="dxa" w:w="2160"/>
          </w:tcPr>
          <w:p>
            <w:pPr>
              <w:spacing w:after="20"/>
            </w:pPr>
            <w:r/>
            <w:r>
              <w:rPr>
                <w:b w:val="0"/>
                <w:i w:val="0"/>
                <w:sz w:val="17"/>
              </w:rPr>
              <w:t>—</w:t>
            </w:r>
          </w:p>
        </w:tc>
      </w:tr>
    </w:tbl>
    <w:p>
      <w:pPr>
        <w:spacing w:after="40"/>
      </w:pPr>
    </w:p>
    <w:p>
      <w:r>
        <w:rPr>
          <w:b w:val="0"/>
          <w:i w:val="0"/>
        </w:rPr>
        <w:t>The April 15 effective date leaves about six weeks for Division review. Any objection would put that date at risk, so it matters that the first submission is clean on the two repeat items.</w:t>
      </w:r>
    </w:p>
    <w:p>
      <w:r>
        <w:br w:type="page"/>
      </w:r>
    </w:p>
    <w:p>
      <w:pPr>
        <w:pStyle w:val="Heading1"/>
      </w:pPr>
      <w:r>
        <w:t>Appendix A — Proposed Replacement and New Language</w:t>
      </w:r>
    </w:p>
    <w:p>
      <w:r>
        <w:rPr>
          <w:b w:val="0"/>
          <w:i/>
        </w:rPr>
        <w:t>The drafts below are starting points for Meridian’s product team. They should be conformed to the form’s defined terms, tested for readability, and reviewed by H&amp;C in the February 17–19 confirmatory review. Bracketed items require Meridian input.</w:t>
      </w:r>
    </w:p>
    <w:p>
      <w:pPr>
        <w:pStyle w:val="Heading2"/>
      </w:pPr>
      <w:r>
        <w:t>A-1. Section VII, Condition 12 — Cancellation and Nonrenewal (replace in full) [Gaps 1, 6, 7, 8]</w:t>
      </w:r>
    </w:p>
    <w:p>
      <w:pPr>
        <w:ind w:left="576" w:right="432"/>
        <w:pBdr>
          <w:left w:val="single" w:sz="12" w:space="8" w:color="8EAADB"/>
        </w:pBdr>
      </w:pPr>
      <w:r>
        <w:rPr>
          <w:b/>
          <w:i w:val="0"/>
        </w:rPr>
        <w:t>Cancellation by the Named Insured.</w:t>
      </w:r>
      <w:r>
        <w:rPr>
          <w:b w:val="0"/>
          <w:i w:val="0"/>
        </w:rPr>
        <w:t xml:space="preserve"> The first Named Insured shown in the Declarations may cancel this policy by mailing or delivering advance written notice of cancellation to us. Cancellation will be effective on the later of the date stated in the notice or the date we receive it.</w:t>
      </w:r>
    </w:p>
    <w:p>
      <w:pPr>
        <w:ind w:left="576" w:right="432"/>
        <w:pBdr>
          <w:left w:val="single" w:sz="12" w:space="8" w:color="8EAADB"/>
        </w:pBdr>
      </w:pPr>
      <w:r>
        <w:rPr>
          <w:b/>
          <w:i w:val="0"/>
        </w:rPr>
        <w:t>Cancellation by Us.</w:t>
      </w:r>
      <w:r>
        <w:rPr>
          <w:b w:val="0"/>
          <w:i w:val="0"/>
        </w:rPr>
        <w:t xml:space="preserve"> We may cancel this policy by mailing or delivering written notice of cancellation to the first Named Insured: (a) at least </w:t>
      </w:r>
      <w:r>
        <w:rPr>
          <w:b/>
          <w:i w:val="0"/>
        </w:rPr>
        <w:t>ten (10) days</w:t>
      </w:r>
      <w:r>
        <w:rPr>
          <w:b w:val="0"/>
          <w:i w:val="0"/>
        </w:rPr>
        <w:t xml:space="preserve"> before the effective date of cancellation, if we cancel for nonpayment of premium; or (b) at least </w:t>
      </w:r>
      <w:r>
        <w:rPr>
          <w:b/>
          <w:i w:val="0"/>
        </w:rPr>
        <w:t>forty-five (45) days</w:t>
      </w:r>
      <w:r>
        <w:rPr>
          <w:b w:val="0"/>
          <w:i w:val="0"/>
        </w:rPr>
        <w:t xml:space="preserve"> before the effective date of cancellation, if we cancel for any other reason.</w:t>
      </w:r>
    </w:p>
    <w:p>
      <w:pPr>
        <w:ind w:left="576" w:right="432"/>
        <w:pBdr>
          <w:left w:val="single" w:sz="12" w:space="8" w:color="8EAADB"/>
        </w:pBdr>
      </w:pPr>
      <w:r>
        <w:rPr>
          <w:b/>
          <w:i w:val="0"/>
        </w:rPr>
        <w:t>Nonrenewal.</w:t>
      </w:r>
      <w:r>
        <w:rPr>
          <w:b w:val="0"/>
          <w:i w:val="0"/>
        </w:rPr>
        <w:t xml:space="preserve"> If we elect not to renew this policy, we will mail or deliver written notice of nonrenewal to the first Named Insured at least </w:t>
      </w:r>
      <w:r>
        <w:rPr>
          <w:b/>
          <w:i w:val="0"/>
        </w:rPr>
        <w:t>forty-five (45) days</w:t>
      </w:r>
      <w:r>
        <w:rPr>
          <w:b w:val="0"/>
          <w:i w:val="0"/>
        </w:rPr>
        <w:t xml:space="preserve"> before the expiration date of this policy.</w:t>
      </w:r>
    </w:p>
    <w:p>
      <w:pPr>
        <w:ind w:left="576" w:right="432"/>
        <w:pBdr>
          <w:left w:val="single" w:sz="12" w:space="8" w:color="8EAADB"/>
        </w:pBdr>
      </w:pPr>
      <w:r>
        <w:rPr>
          <w:b/>
          <w:i w:val="0"/>
        </w:rPr>
        <w:t>Reasons.</w:t>
      </w:r>
      <w:r>
        <w:rPr>
          <w:b w:val="0"/>
          <w:i w:val="0"/>
        </w:rPr>
        <w:t xml:space="preserve"> Any notice of cancellation or nonrenewal we send will state the specific reason or reasons for our action.</w:t>
      </w:r>
    </w:p>
    <w:p>
      <w:pPr>
        <w:ind w:left="576" w:right="432"/>
        <w:pBdr>
          <w:left w:val="single" w:sz="12" w:space="8" w:color="8EAADB"/>
        </w:pBdr>
      </w:pPr>
      <w:r>
        <w:rPr>
          <w:b/>
          <w:i w:val="0"/>
        </w:rPr>
        <w:t>How Notice Is Sent.</w:t>
      </w:r>
      <w:r>
        <w:rPr>
          <w:b w:val="0"/>
          <w:i w:val="0"/>
        </w:rPr>
        <w:t xml:space="preserve"> We will send notice of cancellation or nonrenewal by </w:t>
      </w:r>
      <w:r>
        <w:rPr>
          <w:b/>
          <w:i w:val="0"/>
        </w:rPr>
        <w:t>first-class mail</w:t>
      </w:r>
      <w:r>
        <w:rPr>
          <w:b w:val="0"/>
          <w:i w:val="0"/>
        </w:rPr>
        <w:t xml:space="preserve"> to the first Named Insured at the last mailing address known to us, or, if the first Named Insured has affirmatively consented in writing or by electronic acknowledgment to receive notices electronically, by electronic delivery to the electronic address so designated. Proof of mailing or of electronic transmission will be sufficient proof of notice.</w:t>
      </w:r>
    </w:p>
    <w:p>
      <w:pPr>
        <w:ind w:left="576" w:right="432"/>
        <w:pBdr>
          <w:left w:val="single" w:sz="12" w:space="8" w:color="8EAADB"/>
        </w:pBdr>
      </w:pPr>
      <w:r>
        <w:rPr>
          <w:b/>
          <w:i w:val="0"/>
        </w:rPr>
        <w:t>Return of Premium.</w:t>
      </w:r>
      <w:r>
        <w:rPr>
          <w:b w:val="0"/>
          <w:i w:val="0"/>
        </w:rPr>
        <w:t xml:space="preserve"> If we cancel, we will refund the unearned premium on a pro rata basis. If the first Named Insured cancels, we will refund the unearned premium [on a pro rata basis] [computed under the short-rate table attached as Schedule __]. We will return any refund due within [__] days after the effective date of cancellation.</w:t>
      </w:r>
    </w:p>
    <w:p>
      <w:pPr>
        <w:pStyle w:val="Heading2"/>
      </w:pPr>
      <w:r>
        <w:t>A-2. IMPORTANT NOTICE REGARDING WILDFIRE COVERAGE (new boxed section on page 1, before Section I; also issue as mandatory notice MCP-WF-02 CO at inception and each renewal) [Gap 2]</w:t>
      </w:r>
    </w:p>
    <w:p>
      <w:r>
        <w:rPr>
          <w:b w:val="0"/>
          <w:i/>
          <w:sz w:val="18"/>
        </w:rPr>
        <w:t>Format: bordered box; heading in all capitals; bold text no smaller than 10-point (we recommend 11-point); plain language. Conform to the model language in DOI Form Filing Guidance § 7.3 before finalizing.</w:t>
      </w:r>
    </w:p>
    <w:p>
      <w:pPr>
        <w:ind w:left="576" w:right="432"/>
        <w:pBdr>
          <w:left w:val="single" w:sz="12" w:space="8" w:color="8EAADB"/>
        </w:pBdr>
      </w:pPr>
      <w:r>
        <w:rPr>
          <w:b/>
          <w:i w:val="0"/>
        </w:rPr>
        <w:t>IMPORTANT NOTICE REGARDING WILDFIRE COVERAGE — PLEASE READ CAREFULLY</w:t>
      </w:r>
    </w:p>
    <w:p>
      <w:pPr>
        <w:ind w:left="576" w:right="432"/>
        <w:pBdr>
          <w:left w:val="single" w:sz="12" w:space="8" w:color="8EAADB"/>
        </w:pBdr>
      </w:pPr>
      <w:r>
        <w:rPr>
          <w:b/>
          <w:i w:val="0"/>
        </w:rPr>
        <w:t>1. Does this policy cover wildfire?</w:t>
      </w:r>
      <w:r>
        <w:rPr>
          <w:b w:val="0"/>
          <w:i w:val="0"/>
        </w:rPr>
        <w:t xml:space="preserve"> </w:t>
      </w:r>
      <w:r>
        <w:rPr>
          <w:b/>
          <w:i w:val="0"/>
        </w:rPr>
        <w:t>Yes.</w:t>
      </w:r>
      <w:r>
        <w:rPr>
          <w:b w:val="0"/>
          <w:i w:val="0"/>
        </w:rPr>
        <w:t xml:space="preserve"> This policy covers direct physical loss or damage caused by fire, including wildfire, to Covered Property at the described premises, whether you selected the Basic, Broad or Special Causes of Loss form.</w:t>
      </w:r>
    </w:p>
    <w:p>
      <w:pPr>
        <w:ind w:left="576" w:right="432"/>
        <w:pBdr>
          <w:left w:val="single" w:sz="12" w:space="8" w:color="8EAADB"/>
        </w:pBdr>
      </w:pPr>
      <w:r>
        <w:rPr>
          <w:b/>
          <w:i w:val="0"/>
        </w:rPr>
        <w:t>2. Is there a special limit for wildfire?</w:t>
      </w:r>
      <w:r>
        <w:rPr>
          <w:b w:val="0"/>
          <w:i w:val="0"/>
        </w:rPr>
        <w:t xml:space="preserve"> </w:t>
      </w:r>
      <w:r>
        <w:rPr>
          <w:b/>
          <w:i w:val="0"/>
        </w:rPr>
        <w:t>No.</w:t>
      </w:r>
      <w:r>
        <w:rPr>
          <w:b w:val="0"/>
          <w:i w:val="0"/>
        </w:rPr>
        <w:t xml:space="preserve"> There is no sublimit that applies only to wildfire [unless one is shown in the Declarations]. Your Limits of Insurance apply. Some limits that apply to every covered loss can matter a great deal in a wildfire: Debris Removal is limited to 25% of the loss we pay, up to $250,000 per occurrence, plus up to $25,000 more per location; increased costs to meet building codes are limited to 10% of your Building limit, up to $500,000; and Business Income is paid for no more than 12 months and does not start until 72 hours after the damage.</w:t>
      </w:r>
    </w:p>
    <w:p>
      <w:pPr>
        <w:ind w:left="576" w:right="432"/>
        <w:pBdr>
          <w:left w:val="single" w:sz="12" w:space="8" w:color="8EAADB"/>
        </w:pBdr>
      </w:pPr>
      <w:r>
        <w:rPr>
          <w:b/>
          <w:i w:val="0"/>
        </w:rPr>
        <w:t>3. Is there a special deductible for wildfire?</w:t>
      </w:r>
      <w:r>
        <w:rPr>
          <w:b w:val="0"/>
          <w:i w:val="0"/>
        </w:rPr>
        <w:t xml:space="preserve"> </w:t>
      </w:r>
      <w:r>
        <w:rPr>
          <w:b/>
          <w:i w:val="0"/>
        </w:rPr>
        <w:t>No.</w:t>
      </w:r>
      <w:r>
        <w:rPr>
          <w:b w:val="0"/>
          <w:i w:val="0"/>
        </w:rPr>
        <w:t xml:space="preserve"> There is no separate wildfire deductible [unless one is shown in the Declarations]. Your policy deductible shown in the Declarations applies to each occurrence.</w:t>
      </w:r>
    </w:p>
    <w:p>
      <w:pPr>
        <w:ind w:left="576" w:right="432"/>
        <w:pBdr>
          <w:left w:val="single" w:sz="12" w:space="8" w:color="8EAADB"/>
        </w:pBdr>
      </w:pPr>
      <w:r>
        <w:rPr>
          <w:b/>
          <w:i w:val="0"/>
        </w:rPr>
        <w:t>4. When might a wildfire loss not be fully paid?</w:t>
      </w:r>
      <w:r>
        <w:rPr>
          <w:b w:val="0"/>
          <w:i w:val="0"/>
        </w:rPr>
        <w:t xml:space="preserve"> Please review these parts of your policy: (a) </w:t>
      </w:r>
      <w:r>
        <w:rPr>
          <w:b/>
          <w:i w:val="0"/>
        </w:rPr>
        <w:t>Valuation:</w:t>
      </w:r>
      <w:r>
        <w:rPr>
          <w:b w:val="0"/>
          <w:i w:val="0"/>
        </w:rPr>
        <w:t xml:space="preserve"> unless you buy Replacement Cost coverage, we pay Actual Cash Value, which deducts depreciation, so we may pay less than it costs to rebuild; (b) </w:t>
      </w:r>
      <w:r>
        <w:rPr>
          <w:b/>
          <w:i w:val="0"/>
        </w:rPr>
        <w:t>Coinsurance:</w:t>
      </w:r>
      <w:r>
        <w:rPr>
          <w:b w:val="0"/>
          <w:i w:val="0"/>
        </w:rPr>
        <w:t xml:space="preserve"> if your limit is too low compared with the value of your property, your payment will be reduced (see the example in Section V, Condition 5); (c) </w:t>
      </w:r>
      <w:r>
        <w:rPr>
          <w:b/>
          <w:i w:val="0"/>
        </w:rPr>
        <w:t>Vacancy:</w:t>
      </w:r>
      <w:r>
        <w:rPr>
          <w:b w:val="0"/>
          <w:i w:val="0"/>
        </w:rPr>
        <w:t xml:space="preserve"> if your building has been vacant for more than 60 days, some losses are not covered and other payments are reduced by 15%; (d) </w:t>
      </w:r>
      <w:r>
        <w:rPr>
          <w:b/>
          <w:i w:val="0"/>
        </w:rPr>
        <w:t>Power outages:</w:t>
      </w:r>
      <w:r>
        <w:rPr>
          <w:b w:val="0"/>
          <w:i w:val="0"/>
        </w:rPr>
        <w:t xml:space="preserve"> loss caused by a utility power shut-off that happens away from your premises is not covered unless it causes a covered loss at your premises; (e) </w:t>
      </w:r>
      <w:r>
        <w:rPr>
          <w:b/>
          <w:i w:val="0"/>
        </w:rPr>
        <w:t>Mudslides and mudflows</w:t>
      </w:r>
      <w:r>
        <w:rPr>
          <w:b w:val="0"/>
          <w:i w:val="0"/>
        </w:rPr>
        <w:t xml:space="preserve">, including those that follow a wildfire, are not covered; (f) </w:t>
      </w:r>
      <w:r>
        <w:rPr>
          <w:b/>
          <w:i w:val="0"/>
        </w:rPr>
        <w:t>Evacuation orders:</w:t>
      </w:r>
      <w:r>
        <w:rPr>
          <w:b w:val="0"/>
          <w:i w:val="0"/>
        </w:rPr>
        <w:t xml:space="preserve"> this policy does not include Civil Authority coverage for lost income when authorities prevent access to your premises [unless added by endorsement]; (g) the 72-hour waiting period and the 12-month limit on Business Income.</w:t>
      </w:r>
    </w:p>
    <w:p>
      <w:pPr>
        <w:ind w:left="576" w:right="432"/>
        <w:pBdr>
          <w:left w:val="single" w:sz="12" w:space="8" w:color="8EAADB"/>
        </w:pBdr>
      </w:pPr>
      <w:r>
        <w:rPr>
          <w:b/>
          <w:i w:val="0"/>
        </w:rPr>
        <w:t>5. Is your property in a wildfire risk area?</w:t>
      </w:r>
      <w:r>
        <w:rPr>
          <w:b w:val="0"/>
          <w:i w:val="0"/>
        </w:rPr>
        <w:t xml:space="preserve"> If your property is in or near an area that Colorado or local fire authorities have identified as having elevated wildfire risk, your risk of loss may be higher. Ask your agent to review your limits, your valuation basis and whether the endorsements listed in the Declarations meet your needs.</w:t>
      </w:r>
    </w:p>
    <w:p>
      <w:pPr>
        <w:ind w:left="576" w:right="432"/>
        <w:pBdr>
          <w:left w:val="single" w:sz="12" w:space="8" w:color="8EAADB"/>
        </w:pBdr>
      </w:pPr>
      <w:r>
        <w:rPr>
          <w:b/>
          <w:i w:val="0"/>
        </w:rPr>
        <w:t>6. Where can you get help reducing wildfire risk?</w:t>
      </w:r>
      <w:r>
        <w:rPr>
          <w:b w:val="0"/>
          <w:i w:val="0"/>
        </w:rPr>
        <w:t xml:space="preserve"> [Insert the state-sponsored mitigation resources identified in DOI Guidance § 7.3, with contact information.] Your agent or Meridian can also provide information on steps such as defensible space and ember-resistant construction.</w:t>
      </w:r>
    </w:p>
    <w:p>
      <w:pPr>
        <w:ind w:left="576" w:right="432"/>
        <w:pBdr>
          <w:left w:val="single" w:sz="12" w:space="8" w:color="8EAADB"/>
        </w:pBdr>
      </w:pPr>
      <w:r>
        <w:rPr>
          <w:b/>
          <w:i w:val="0"/>
        </w:rPr>
        <w:t>Your wildfire coverage status:</w:t>
      </w:r>
      <w:r>
        <w:rPr>
          <w:b w:val="0"/>
          <w:i w:val="0"/>
        </w:rPr>
        <w:t xml:space="preserve"> Wildfire is a </w:t>
      </w:r>
      <w:r>
        <w:rPr>
          <w:b/>
          <w:i w:val="0"/>
        </w:rPr>
        <w:t>COVERED</w:t>
      </w:r>
      <w:r>
        <w:rPr>
          <w:b w:val="0"/>
          <w:i w:val="0"/>
        </w:rPr>
        <w:t xml:space="preserve"> cause of loss. Wildfire sublimit: </w:t>
      </w:r>
      <w:r>
        <w:rPr>
          <w:b/>
          <w:i w:val="0"/>
        </w:rPr>
        <w:t>[None]</w:t>
      </w:r>
      <w:r>
        <w:rPr>
          <w:b w:val="0"/>
          <w:i w:val="0"/>
        </w:rPr>
        <w:t xml:space="preserve">. Wildfire deductible: </w:t>
      </w:r>
      <w:r>
        <w:rPr>
          <w:b/>
          <w:i w:val="0"/>
        </w:rPr>
        <w:t>[None — policy deductible applies]</w:t>
      </w:r>
      <w:r>
        <w:rPr>
          <w:b w:val="0"/>
          <w:i w:val="0"/>
        </w:rPr>
        <w:t>.</w:t>
      </w:r>
    </w:p>
    <w:p>
      <w:pPr>
        <w:pStyle w:val="Heading2"/>
      </w:pPr>
      <w:r>
        <w:t>A-3. Replacement Cost Coverage Offer (new mandatory notice and Declarations change) [Gap 5]</w:t>
      </w:r>
    </w:p>
    <w:p>
      <w:pPr>
        <w:ind w:left="576" w:right="432"/>
        <w:pBdr>
          <w:left w:val="single" w:sz="12" w:space="8" w:color="8EAADB"/>
        </w:pBdr>
      </w:pPr>
      <w:r>
        <w:rPr>
          <w:b/>
          <w:i w:val="0"/>
        </w:rPr>
        <w:t>IMPORTANT: OFFER OF REPLACEMENT COST COVERAGE.</w:t>
      </w:r>
      <w:r>
        <w:rPr>
          <w:b w:val="0"/>
          <w:i w:val="0"/>
        </w:rPr>
        <w:t xml:space="preserve"> This policy pays </w:t>
      </w:r>
      <w:r>
        <w:rPr>
          <w:b/>
          <w:i w:val="0"/>
        </w:rPr>
        <w:t>Actual Cash Value</w:t>
      </w:r>
      <w:r>
        <w:rPr>
          <w:b w:val="0"/>
          <w:i w:val="0"/>
        </w:rPr>
        <w:t xml:space="preserve"> unless you choose </w:t>
      </w:r>
      <w:r>
        <w:rPr>
          <w:b/>
          <w:i w:val="0"/>
        </w:rPr>
        <w:t>Replacement Cost</w:t>
      </w:r>
      <w:r>
        <w:rPr>
          <w:b w:val="0"/>
          <w:i w:val="0"/>
        </w:rPr>
        <w:t>. Actual Cash Value is the cost to replace your property minus depreciation. Replacement Cost pays the cost to repair or replace your property with new property of like kind and quality, without a deduction for depreciation, subject to the terms of Endorsement MCP-RC-01.</w:t>
      </w:r>
    </w:p>
    <w:p>
      <w:pPr>
        <w:ind w:left="576" w:right="432"/>
        <w:pBdr>
          <w:left w:val="single" w:sz="12" w:space="8" w:color="8EAADB"/>
        </w:pBdr>
      </w:pPr>
      <w:r>
        <w:rPr>
          <w:b/>
          <w:i w:val="0"/>
        </w:rPr>
        <w:t>Example:</w:t>
      </w:r>
      <w:r>
        <w:rPr>
          <w:b w:val="0"/>
          <w:i w:val="0"/>
        </w:rPr>
        <w:t xml:space="preserve"> A 15-year-old roof that would cost $100,000 to replace today is destroyed by a covered fire. If the roof has depreciated 50%, Actual Cash Value would pay about $50,000 before your deductible. Replacement Cost would pay up to $100,000 before your deductible once the roof is replaced.</w:t>
      </w:r>
    </w:p>
    <w:p>
      <w:pPr>
        <w:ind w:left="576" w:right="432"/>
        <w:pBdr>
          <w:left w:val="single" w:sz="12" w:space="8" w:color="8EAADB"/>
        </w:pBdr>
      </w:pPr>
      <w:r>
        <w:rPr>
          <w:b w:val="0"/>
          <w:i w:val="0"/>
        </w:rPr>
        <w:t>We offer Replacement Cost coverage for an additional premium of [$____ / ___%]. Please indicate your choice:  [ ] I ELECT Replacement Cost coverage.   [ ] I DECLINE Replacement Cost coverage and accept Actual Cash Value.   Signature of first Named Insured: ________  Date: ______</w:t>
      </w:r>
    </w:p>
    <w:p>
      <w:pPr>
        <w:ind w:left="576" w:right="432"/>
        <w:pBdr>
          <w:left w:val="single" w:sz="12" w:space="8" w:color="8EAADB"/>
        </w:pBdr>
      </w:pPr>
      <w:r>
        <w:rPr>
          <w:b/>
          <w:i w:val="0"/>
        </w:rPr>
        <w:t>Declarations ¶ 1.4, Valuation:</w:t>
      </w:r>
      <w:r>
        <w:rPr>
          <w:b w:val="0"/>
          <w:i w:val="0"/>
        </w:rPr>
        <w:t xml:space="preserve"> [ ] Replacement Cost (Endorsement MCP-RC-01 attached)   [ ] Actual Cash Value (Replacement Cost offered on ____ and declined).</w:t>
      </w:r>
    </w:p>
    <w:p>
      <w:pPr>
        <w:pStyle w:val="Heading2"/>
      </w:pPr>
      <w:r>
        <w:t>A-4. Section V, Condition 5 — Coinsurance explanation and example (insert after the formula) [Gap 10]</w:t>
      </w:r>
    </w:p>
    <w:p>
      <w:pPr>
        <w:ind w:left="576" w:right="432"/>
        <w:pBdr>
          <w:left w:val="single" w:sz="12" w:space="8" w:color="8EAADB"/>
        </w:pBdr>
      </w:pPr>
      <w:r>
        <w:rPr>
          <w:b/>
          <w:i w:val="0"/>
        </w:rPr>
        <w:t>What coinsurance means for you.</w:t>
      </w:r>
      <w:r>
        <w:rPr>
          <w:b w:val="0"/>
          <w:i w:val="0"/>
        </w:rPr>
        <w:t xml:space="preserve"> Coinsurance requires you to insure your property for at least a set percentage of its value (80%, 90% or 100%, as shown in the Declarations). If your limit is lower than that amount, you are underinsured, and we will pay only part of any loss. You will bear the rest.</w:t>
      </w:r>
    </w:p>
    <w:p>
      <w:pPr>
        <w:ind w:left="576" w:right="432"/>
        <w:pBdr>
          <w:left w:val="single" w:sz="12" w:space="8" w:color="8EAADB"/>
        </w:pBdr>
      </w:pPr>
      <w:r>
        <w:rPr>
          <w:b/>
          <w:i w:val="0"/>
        </w:rPr>
        <w:t>Example (80% coinsurance):</w:t>
      </w:r>
      <w:r>
        <w:rPr>
          <w:b w:val="0"/>
          <w:i w:val="0"/>
        </w:rPr>
        <w:t xml:space="preserve"> Your building is worth $1,000,000 at the time of loss, so you must carry at least $800,000 (80% × $1,000,000). You carry a limit of $600,000. A fire causes $200,000 of damage. Your deductible is $5,000.</w:t>
      </w:r>
    </w:p>
    <w:p>
      <w:pPr>
        <w:ind w:left="576" w:right="432"/>
        <w:pBdr>
          <w:left w:val="single" w:sz="12" w:space="8" w:color="8EAADB"/>
        </w:pBdr>
      </w:pPr>
      <w:r>
        <w:rPr>
          <w:b w:val="0"/>
          <w:i w:val="0"/>
        </w:rPr>
        <w:t xml:space="preserve">$600,000 (carried) ÷ $800,000 (required) = 0.75.  0.75 × $200,000 = $150,000.  $150,000 − $5,000 deductible = </w:t>
      </w:r>
      <w:r>
        <w:rPr>
          <w:b/>
          <w:i w:val="0"/>
        </w:rPr>
        <w:t>$145,000 paid.</w:t>
      </w:r>
      <w:r>
        <w:rPr>
          <w:b w:val="0"/>
          <w:i w:val="0"/>
        </w:rPr>
        <w:t xml:space="preserve"> You bear the remaining </w:t>
      </w:r>
      <w:r>
        <w:rPr>
          <w:b/>
          <w:i w:val="0"/>
        </w:rPr>
        <w:t>$55,000</w:t>
      </w:r>
      <w:r>
        <w:rPr>
          <w:b w:val="0"/>
          <w:i w:val="0"/>
        </w:rPr>
        <w:t xml:space="preserve"> ($50,000 coinsurance penalty plus the $5,000 deductible).</w:t>
      </w:r>
    </w:p>
    <w:p>
      <w:pPr>
        <w:ind w:left="576" w:right="432"/>
        <w:pBdr>
          <w:left w:val="single" w:sz="12" w:space="8" w:color="8EAADB"/>
        </w:pBdr>
      </w:pPr>
      <w:r>
        <w:rPr>
          <w:b w:val="0"/>
          <w:i w:val="0"/>
        </w:rPr>
        <w:t>If you had carried $800,000 or more, we would have paid $195,000 ($200,000 minus the $5,000 deductible).</w:t>
      </w:r>
    </w:p>
    <w:p>
      <w:pPr>
        <w:pStyle w:val="Heading2"/>
      </w:pPr>
      <w:r>
        <w:t>A-5. Section VII, Condition 9 — Appraisal (replace umpire sentences) [Gap 9]</w:t>
      </w:r>
    </w:p>
    <w:p>
      <w:pPr>
        <w:ind w:left="576" w:right="432"/>
        <w:pBdr>
          <w:left w:val="single" w:sz="12" w:space="8" w:color="8EAADB"/>
        </w:pBdr>
      </w:pPr>
      <w:r>
        <w:rPr>
          <w:b w:val="0"/>
          <w:i w:val="0"/>
        </w:rPr>
        <w:t xml:space="preserve">Each party will select a competent and impartial appraiser within 20 days after receiving a written demand for appraisal. The two appraisers will select an umpire. </w:t>
      </w:r>
      <w:r>
        <w:rPr>
          <w:b/>
          <w:i w:val="0"/>
        </w:rPr>
        <w:t>If the two appraisers fail to agree on an umpire within 15 days, either party may request that selection be made by a judge of a court having jurisdiction.</w:t>
      </w:r>
      <w:r>
        <w:rPr>
          <w:b w:val="0"/>
          <w:i w:val="0"/>
        </w:rPr>
        <w:t xml:space="preserve"> [Delete: “If they cannot agree on an umpire, the appraisers will attempt to resolve their differences and arrive at a mutually agreed-upon amount of loss.”]</w:t>
      </w:r>
    </w:p>
    <w:p>
      <w:pPr>
        <w:pStyle w:val="Heading2"/>
      </w:pPr>
      <w:r>
        <w:t>A-6. Section VII, Condition 6(g) — Proof of loss [Gap 4]</w:t>
      </w:r>
    </w:p>
    <w:p>
      <w:pPr>
        <w:ind w:left="576" w:right="432"/>
        <w:pBdr>
          <w:left w:val="single" w:sz="12" w:space="8" w:color="8EAADB"/>
        </w:pBdr>
      </w:pPr>
      <w:r>
        <w:rPr>
          <w:b w:val="0"/>
          <w:i w:val="0"/>
        </w:rPr>
        <w:t xml:space="preserve">(g) Send us a signed, sworn proof of loss containing the information we request to settle the claim. </w:t>
      </w:r>
      <w:r>
        <w:rPr>
          <w:b/>
          <w:i w:val="0"/>
        </w:rPr>
        <w:t>You must submit the proof of loss within sixty (60) days after our written request.</w:t>
      </w:r>
      <w:r>
        <w:rPr>
          <w:b w:val="0"/>
          <w:i w:val="0"/>
        </w:rPr>
        <w:t xml:space="preserve"> We will provide the form with our request and tell you what information we need.</w:t>
      </w:r>
    </w:p>
    <w:p>
      <w:pPr>
        <w:pStyle w:val="Heading2"/>
      </w:pPr>
      <w:r>
        <w:t>A-7. TRIPRA Policyholder Disclosure and Selection (outline of new mandatory notice) [Gap 11]</w:t>
      </w:r>
    </w:p>
    <w:p>
      <w:pPr>
        <w:ind w:left="576" w:right="432"/>
        <w:pBdr>
          <w:left w:val="single" w:sz="12" w:space="8" w:color="8EAADB"/>
        </w:pBdr>
      </w:pPr>
      <w:r>
        <w:rPr>
          <w:b w:val="0"/>
          <w:i w:val="0"/>
        </w:rPr>
        <w:t xml:space="preserve">(1) Coverage for certified acts of terrorism is offered to you under this policy for a premium of </w:t>
      </w:r>
      <w:r>
        <w:rPr>
          <w:b/>
          <w:i w:val="0"/>
        </w:rPr>
        <w:t>$[____]</w:t>
      </w:r>
      <w:r>
        <w:rPr>
          <w:b w:val="0"/>
          <w:i w:val="0"/>
        </w:rPr>
        <w:t xml:space="preserve">, which is [__]% of your total premium; (2) under the federal Terrorism Risk Insurance Act, as extended, the United States Government will pay </w:t>
      </w:r>
      <w:r>
        <w:rPr>
          <w:b/>
          <w:i w:val="0"/>
        </w:rPr>
        <w:t>80%</w:t>
      </w:r>
      <w:r>
        <w:rPr>
          <w:b w:val="0"/>
          <w:i w:val="0"/>
        </w:rPr>
        <w:t xml:space="preserve"> of covered terrorism losses above the insurer deductible; (3) Meridian’s insurer deductible under the program is </w:t>
      </w:r>
      <w:r>
        <w:rPr>
          <w:b/>
          <w:i w:val="0"/>
        </w:rPr>
        <w:t>20%</w:t>
      </w:r>
      <w:r>
        <w:rPr>
          <w:b w:val="0"/>
          <w:i w:val="0"/>
        </w:rPr>
        <w:t xml:space="preserve"> of its prior-year direct earned premium for covered lines; (4) the program caps total federal and insurer liability at </w:t>
      </w:r>
      <w:r>
        <w:rPr>
          <w:b/>
          <w:i w:val="0"/>
        </w:rPr>
        <w:t>$100 billion</w:t>
      </w:r>
      <w:r>
        <w:rPr>
          <w:b w:val="0"/>
          <w:i w:val="0"/>
        </w:rPr>
        <w:t xml:space="preserve"> per program year, and amounts above the cap may be reduced; (5) selection: [ ] I ACCEPT terrorism coverage for $____  [ ] I REJECT terrorism coverage. Signature/Date. Confirm the figures against current Treasury guidance before filing.</w:t>
      </w:r>
    </w:p>
    <w:p>
      <w:pPr>
        <w:ind w:left="576" w:right="432"/>
        <w:pBdr>
          <w:left w:val="single" w:sz="12" w:space="8" w:color="8EAADB"/>
        </w:pBdr>
      </w:pPr>
      <w:r>
        <w:rPr>
          <w:b w:val="0"/>
          <w:i w:val="0"/>
        </w:rPr>
        <w:t>Add to ¶ 4.14: “However, if a certified act of terrorism results in fire, we will pay for the loss or damage caused by that fire, subject to the limits described in the Terrorism Disclosure.” (Gap 17)</w:t>
      </w:r>
    </w:p>
    <w:p>
      <w:pPr>
        <w:pStyle w:val="Heading2"/>
      </w:pPr>
      <w:r>
        <w:t>A-8. Section VII, Condition 8 — Mortgageholder notice (replace last two paragraphs) [Gap 12]</w:t>
      </w:r>
    </w:p>
    <w:p>
      <w:pPr>
        <w:ind w:left="576" w:right="432"/>
        <w:pBdr>
          <w:left w:val="single" w:sz="12" w:space="8" w:color="8EAADB"/>
        </w:pBdr>
      </w:pPr>
      <w:r>
        <w:rPr>
          <w:b w:val="0"/>
          <w:i w:val="0"/>
        </w:rPr>
        <w:t xml:space="preserve">We will give the mortgageholder written notice at least </w:t>
      </w:r>
      <w:r>
        <w:rPr>
          <w:b/>
          <w:i w:val="0"/>
        </w:rPr>
        <w:t>10 days</w:t>
      </w:r>
      <w:r>
        <w:rPr>
          <w:b w:val="0"/>
          <w:i w:val="0"/>
        </w:rPr>
        <w:t xml:space="preserve"> before cancellation for nonpayment of premium and at least </w:t>
      </w:r>
      <w:r>
        <w:rPr>
          <w:b/>
          <w:i w:val="0"/>
        </w:rPr>
        <w:t>45 days</w:t>
      </w:r>
      <w:r>
        <w:rPr>
          <w:b w:val="0"/>
          <w:i w:val="0"/>
        </w:rPr>
        <w:t xml:space="preserve"> before cancellation for any other reason. If we elect not to renew this policy, we will give the mortgageholder written notice at least </w:t>
      </w:r>
      <w:r>
        <w:rPr>
          <w:b/>
          <w:i w:val="0"/>
        </w:rPr>
        <w:t>45 days</w:t>
      </w:r>
      <w:r>
        <w:rPr>
          <w:b w:val="0"/>
          <w:i w:val="0"/>
        </w:rPr>
        <w:t xml:space="preserve"> before the expiration date of this policy.</w:t>
      </w:r>
    </w:p>
    <w:p>
      <w:pPr>
        <w:pStyle w:val="Heading1"/>
      </w:pPr>
      <w:r>
        <w:t>Appendix B — Inventory of Form Provisions Relevant to Wildfire Losses (for the § 10-4-110.5 Disclosure)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944"/>
            <w:shd w:val="clear" w:color="auto" w:fill="1F3864"/>
          </w:tcPr>
          <w:p>
            <w:r/>
            <w:r>
              <w:rPr>
                <w:b/>
                <w:color w:val="FFFFFF"/>
                <w:sz w:val="17"/>
              </w:rPr>
              <w:t>Form reference</w:t>
            </w:r>
          </w:p>
        </w:tc>
        <w:tc>
          <w:tcPr>
            <w:tcW w:type="dxa" w:w="5040"/>
            <w:shd w:val="clear" w:color="auto" w:fill="1F3864"/>
          </w:tcPr>
          <w:p>
            <w:r/>
            <w:r>
              <w:rPr>
                <w:b/>
                <w:color w:val="FFFFFF"/>
                <w:sz w:val="17"/>
              </w:rPr>
              <w:t>Provision</w:t>
            </w:r>
          </w:p>
        </w:tc>
        <w:tc>
          <w:tcPr>
            <w:tcW w:type="dxa" w:w="2664"/>
            <w:shd w:val="clear" w:color="auto" w:fill="1F3864"/>
          </w:tcPr>
          <w:p>
            <w:r/>
            <w:r>
              <w:rPr>
                <w:b/>
                <w:color w:val="FFFFFF"/>
                <w:sz w:val="17"/>
              </w:rPr>
              <w:t>Disclosure category</w:t>
            </w:r>
          </w:p>
        </w:tc>
      </w:tr>
      <w:tr>
        <w:tc>
          <w:tcPr>
            <w:tcW w:type="dxa" w:w="1944"/>
          </w:tcPr>
          <w:p>
            <w:pPr>
              <w:spacing w:after="20"/>
            </w:pPr>
            <w:r/>
            <w:r>
              <w:rPr>
                <w:b w:val="0"/>
                <w:i w:val="0"/>
                <w:sz w:val="17"/>
              </w:rPr>
              <w:t>¶¶ 6.1, 6.2(a), 6.3(a)</w:t>
            </w:r>
          </w:p>
        </w:tc>
        <w:tc>
          <w:tcPr>
            <w:tcW w:type="dxa" w:w="5040"/>
          </w:tcPr>
          <w:p>
            <w:pPr>
              <w:spacing w:after="20"/>
            </w:pPr>
            <w:r/>
            <w:r>
              <w:rPr>
                <w:b w:val="0"/>
                <w:i w:val="0"/>
                <w:sz w:val="17"/>
              </w:rPr>
              <w:t>Fire is a covered peril under all three causes-of-loss forms</w:t>
            </w:r>
          </w:p>
        </w:tc>
        <w:tc>
          <w:tcPr>
            <w:tcW w:type="dxa" w:w="2664"/>
          </w:tcPr>
          <w:p>
            <w:pPr>
              <w:spacing w:after="20"/>
            </w:pPr>
            <w:r/>
            <w:r>
              <w:rPr>
                <w:b w:val="0"/>
                <w:i w:val="0"/>
                <w:sz w:val="17"/>
              </w:rPr>
              <w:t>Coverage status: COVERED</w:t>
            </w:r>
          </w:p>
        </w:tc>
      </w:tr>
      <w:tr>
        <w:tc>
          <w:tcPr>
            <w:tcW w:type="dxa" w:w="1944"/>
          </w:tcPr>
          <w:p>
            <w:pPr>
              <w:spacing w:after="20"/>
            </w:pPr>
            <w:r/>
            <w:r>
              <w:rPr>
                <w:b w:val="0"/>
                <w:i w:val="0"/>
                <w:sz w:val="17"/>
              </w:rPr>
              <w:t>¶ 1.4; ¶ 5.3; ¶ 2.1</w:t>
            </w:r>
          </w:p>
        </w:tc>
        <w:tc>
          <w:tcPr>
            <w:tcW w:type="dxa" w:w="5040"/>
          </w:tcPr>
          <w:p>
            <w:pPr>
              <w:spacing w:after="20"/>
            </w:pPr>
            <w:r/>
            <w:r>
              <w:rPr>
                <w:b w:val="0"/>
                <w:i w:val="0"/>
                <w:sz w:val="17"/>
              </w:rPr>
              <w:t>Actual Cash Value default valuation</w:t>
            </w:r>
          </w:p>
        </w:tc>
        <w:tc>
          <w:tcPr>
            <w:tcW w:type="dxa" w:w="2664"/>
          </w:tcPr>
          <w:p>
            <w:pPr>
              <w:spacing w:after="20"/>
            </w:pPr>
            <w:r/>
            <w:r>
              <w:rPr>
                <w:b w:val="0"/>
                <w:i w:val="0"/>
                <w:sz w:val="17"/>
              </w:rPr>
              <w:t>Limitation — underpayment relative to rebuild cost</w:t>
            </w:r>
          </w:p>
        </w:tc>
      </w:tr>
      <w:tr>
        <w:tc>
          <w:tcPr>
            <w:tcW w:type="dxa" w:w="1944"/>
          </w:tcPr>
          <w:p>
            <w:pPr>
              <w:spacing w:after="20"/>
            </w:pPr>
            <w:r/>
            <w:r>
              <w:rPr>
                <w:b w:val="0"/>
                <w:i w:val="0"/>
                <w:sz w:val="17"/>
              </w:rPr>
              <w:t>¶ 5.5</w:t>
            </w:r>
          </w:p>
        </w:tc>
        <w:tc>
          <w:tcPr>
            <w:tcW w:type="dxa" w:w="5040"/>
          </w:tcPr>
          <w:p>
            <w:pPr>
              <w:spacing w:after="20"/>
            </w:pPr>
            <w:r/>
            <w:r>
              <w:rPr>
                <w:b w:val="0"/>
                <w:i w:val="0"/>
                <w:sz w:val="17"/>
              </w:rPr>
              <w:t>Coinsurance 80/90/100%</w:t>
            </w:r>
          </w:p>
        </w:tc>
        <w:tc>
          <w:tcPr>
            <w:tcW w:type="dxa" w:w="2664"/>
          </w:tcPr>
          <w:p>
            <w:pPr>
              <w:spacing w:after="20"/>
            </w:pPr>
            <w:r/>
            <w:r>
              <w:rPr>
                <w:b w:val="0"/>
                <w:i w:val="0"/>
                <w:sz w:val="17"/>
              </w:rPr>
              <w:t>Limitation — penalty if underinsured (rising rebuild costs)</w:t>
            </w:r>
          </w:p>
        </w:tc>
      </w:tr>
      <w:tr>
        <w:tc>
          <w:tcPr>
            <w:tcW w:type="dxa" w:w="1944"/>
          </w:tcPr>
          <w:p>
            <w:pPr>
              <w:spacing w:after="20"/>
            </w:pPr>
            <w:r/>
            <w:r>
              <w:rPr>
                <w:b w:val="0"/>
                <w:i w:val="0"/>
                <w:sz w:val="17"/>
              </w:rPr>
              <w:t>¶ 5.2</w:t>
            </w:r>
          </w:p>
        </w:tc>
        <w:tc>
          <w:tcPr>
            <w:tcW w:type="dxa" w:w="5040"/>
          </w:tcPr>
          <w:p>
            <w:pPr>
              <w:spacing w:after="20"/>
            </w:pPr>
            <w:r/>
            <w:r>
              <w:rPr>
                <w:b w:val="0"/>
                <w:i w:val="0"/>
                <w:sz w:val="17"/>
              </w:rPr>
              <w:t>Single per-occurrence deductible; no wildfire deductible</w:t>
            </w:r>
          </w:p>
        </w:tc>
        <w:tc>
          <w:tcPr>
            <w:tcW w:type="dxa" w:w="2664"/>
          </w:tcPr>
          <w:p>
            <w:pPr>
              <w:spacing w:after="20"/>
            </w:pPr>
            <w:r/>
            <w:r>
              <w:rPr>
                <w:b w:val="0"/>
                <w:i w:val="0"/>
                <w:sz w:val="17"/>
              </w:rPr>
              <w:t>Deductible disclosure: none wildfire-specific</w:t>
            </w:r>
          </w:p>
        </w:tc>
      </w:tr>
      <w:tr>
        <w:tc>
          <w:tcPr>
            <w:tcW w:type="dxa" w:w="1944"/>
          </w:tcPr>
          <w:p>
            <w:pPr>
              <w:spacing w:after="20"/>
            </w:pPr>
            <w:r/>
            <w:r>
              <w:rPr>
                <w:b w:val="0"/>
                <w:i w:val="0"/>
                <w:sz w:val="17"/>
              </w:rPr>
              <w:t>¶ 1.5; ¶ 3.4(a)</w:t>
            </w:r>
          </w:p>
        </w:tc>
        <w:tc>
          <w:tcPr>
            <w:tcW w:type="dxa" w:w="5040"/>
          </w:tcPr>
          <w:p>
            <w:pPr>
              <w:spacing w:after="20"/>
            </w:pPr>
            <w:r/>
            <w:r>
              <w:rPr>
                <w:b w:val="0"/>
                <w:i w:val="0"/>
                <w:sz w:val="17"/>
              </w:rPr>
              <w:t>Debris removal 25% of loss paid, max $250,000 + $25,000 per location; 180-day reporting</w:t>
            </w:r>
          </w:p>
        </w:tc>
        <w:tc>
          <w:tcPr>
            <w:tcW w:type="dxa" w:w="2664"/>
          </w:tcPr>
          <w:p>
            <w:pPr>
              <w:spacing w:after="20"/>
            </w:pPr>
            <w:r/>
            <w:r>
              <w:rPr>
                <w:b w:val="0"/>
                <w:i w:val="0"/>
                <w:sz w:val="17"/>
              </w:rPr>
              <w:t>Sublimit / condition — critical in total-loss fires</w:t>
            </w:r>
          </w:p>
        </w:tc>
      </w:tr>
      <w:tr>
        <w:tc>
          <w:tcPr>
            <w:tcW w:type="dxa" w:w="1944"/>
          </w:tcPr>
          <w:p>
            <w:pPr>
              <w:spacing w:after="20"/>
            </w:pPr>
            <w:r/>
            <w:r>
              <w:rPr>
                <w:b w:val="0"/>
                <w:i w:val="0"/>
                <w:sz w:val="17"/>
              </w:rPr>
              <w:t>¶ 3.4(e); ¶ 4.1</w:t>
            </w:r>
          </w:p>
        </w:tc>
        <w:tc>
          <w:tcPr>
            <w:tcW w:type="dxa" w:w="5040"/>
          </w:tcPr>
          <w:p>
            <w:pPr>
              <w:spacing w:after="20"/>
            </w:pPr>
            <w:r/>
            <w:r>
              <w:rPr>
                <w:b w:val="0"/>
                <w:i w:val="0"/>
                <w:sz w:val="17"/>
              </w:rPr>
              <w:t>Ordinance or law 10% of Coverage A, max $500,000; ordinance exclusion otherwise</w:t>
            </w:r>
          </w:p>
        </w:tc>
        <w:tc>
          <w:tcPr>
            <w:tcW w:type="dxa" w:w="2664"/>
          </w:tcPr>
          <w:p>
            <w:pPr>
              <w:spacing w:after="20"/>
            </w:pPr>
            <w:r/>
            <w:r>
              <w:rPr>
                <w:b w:val="0"/>
                <w:i w:val="0"/>
                <w:sz w:val="17"/>
              </w:rPr>
              <w:t>Sublimit — code upgrades after rebuild</w:t>
            </w:r>
          </w:p>
        </w:tc>
      </w:tr>
      <w:tr>
        <w:tc>
          <w:tcPr>
            <w:tcW w:type="dxa" w:w="1944"/>
          </w:tcPr>
          <w:p>
            <w:pPr>
              <w:spacing w:after="20"/>
            </w:pPr>
            <w:r/>
            <w:r>
              <w:rPr>
                <w:b w:val="0"/>
                <w:i w:val="0"/>
                <w:sz w:val="17"/>
              </w:rPr>
              <w:t>¶ 3.3; Sec. VIII</w:t>
            </w:r>
          </w:p>
        </w:tc>
        <w:tc>
          <w:tcPr>
            <w:tcW w:type="dxa" w:w="5040"/>
          </w:tcPr>
          <w:p>
            <w:pPr>
              <w:spacing w:after="20"/>
            </w:pPr>
            <w:r/>
            <w:r>
              <w:rPr>
                <w:b w:val="0"/>
                <w:i w:val="0"/>
                <w:sz w:val="17"/>
              </w:rPr>
              <w:t>Business Income: 72-hour waiting period; 12-month maximum; ordinance delays excluded; 30-day extended BI</w:t>
            </w:r>
          </w:p>
        </w:tc>
        <w:tc>
          <w:tcPr>
            <w:tcW w:type="dxa" w:w="2664"/>
          </w:tcPr>
          <w:p>
            <w:pPr>
              <w:spacing w:after="20"/>
            </w:pPr>
            <w:r/>
            <w:r>
              <w:rPr>
                <w:b w:val="0"/>
                <w:i w:val="0"/>
                <w:sz w:val="17"/>
              </w:rPr>
              <w:t>Limitation</w:t>
            </w:r>
          </w:p>
        </w:tc>
      </w:tr>
      <w:tr>
        <w:tc>
          <w:tcPr>
            <w:tcW w:type="dxa" w:w="1944"/>
          </w:tcPr>
          <w:p>
            <w:pPr>
              <w:spacing w:after="20"/>
            </w:pPr>
            <w:r/>
            <w:r>
              <w:rPr>
                <w:b w:val="0"/>
                <w:i w:val="0"/>
                <w:sz w:val="17"/>
              </w:rPr>
              <w:t>(absent)</w:t>
            </w:r>
          </w:p>
        </w:tc>
        <w:tc>
          <w:tcPr>
            <w:tcW w:type="dxa" w:w="5040"/>
          </w:tcPr>
          <w:p>
            <w:pPr>
              <w:spacing w:after="20"/>
            </w:pPr>
            <w:r/>
            <w:r>
              <w:rPr>
                <w:b w:val="0"/>
                <w:i w:val="0"/>
                <w:sz w:val="17"/>
              </w:rPr>
              <w:t>No Civil Authority or ingress/egress coverage</w:t>
            </w:r>
          </w:p>
        </w:tc>
        <w:tc>
          <w:tcPr>
            <w:tcW w:type="dxa" w:w="2664"/>
          </w:tcPr>
          <w:p>
            <w:pPr>
              <w:spacing w:after="20"/>
            </w:pPr>
            <w:r/>
            <w:r>
              <w:rPr>
                <w:b w:val="0"/>
                <w:i w:val="0"/>
                <w:sz w:val="17"/>
              </w:rPr>
              <w:t>Limitation — evacuation orders</w:t>
            </w:r>
          </w:p>
        </w:tc>
      </w:tr>
      <w:tr>
        <w:tc>
          <w:tcPr>
            <w:tcW w:type="dxa" w:w="1944"/>
          </w:tcPr>
          <w:p>
            <w:pPr>
              <w:spacing w:after="20"/>
            </w:pPr>
            <w:r/>
            <w:r>
              <w:rPr>
                <w:b w:val="0"/>
                <w:i w:val="0"/>
                <w:sz w:val="17"/>
              </w:rPr>
              <w:t>¶ 4.5</w:t>
            </w:r>
          </w:p>
        </w:tc>
        <w:tc>
          <w:tcPr>
            <w:tcW w:type="dxa" w:w="5040"/>
          </w:tcPr>
          <w:p>
            <w:pPr>
              <w:spacing w:after="20"/>
            </w:pPr>
            <w:r/>
            <w:r>
              <w:rPr>
                <w:b w:val="0"/>
                <w:i w:val="0"/>
                <w:sz w:val="17"/>
              </w:rPr>
              <w:t>Off-premises utility failure excluded (e.g., utility-initiated power shutoffs)</w:t>
            </w:r>
          </w:p>
        </w:tc>
        <w:tc>
          <w:tcPr>
            <w:tcW w:type="dxa" w:w="2664"/>
          </w:tcPr>
          <w:p>
            <w:pPr>
              <w:spacing w:after="20"/>
            </w:pPr>
            <w:r/>
            <w:r>
              <w:rPr>
                <w:b w:val="0"/>
                <w:i w:val="0"/>
                <w:sz w:val="17"/>
              </w:rPr>
              <w:t>Exclusion</w:t>
            </w:r>
          </w:p>
        </w:tc>
      </w:tr>
      <w:tr>
        <w:tc>
          <w:tcPr>
            <w:tcW w:type="dxa" w:w="1944"/>
          </w:tcPr>
          <w:p>
            <w:pPr>
              <w:spacing w:after="20"/>
            </w:pPr>
            <w:r/>
            <w:r>
              <w:rPr>
                <w:b w:val="0"/>
                <w:i w:val="0"/>
                <w:sz w:val="17"/>
              </w:rPr>
              <w:t>¶ 4.2; ¶ 4.7(b)</w:t>
            </w:r>
          </w:p>
        </w:tc>
        <w:tc>
          <w:tcPr>
            <w:tcW w:type="dxa" w:w="5040"/>
          </w:tcPr>
          <w:p>
            <w:pPr>
              <w:spacing w:after="20"/>
            </w:pPr>
            <w:r/>
            <w:r>
              <w:rPr>
                <w:b w:val="0"/>
                <w:i w:val="0"/>
                <w:sz w:val="17"/>
              </w:rPr>
              <w:t>Mudslide/mudflow and earth movement excluded (post-fire debris flows)</w:t>
            </w:r>
          </w:p>
        </w:tc>
        <w:tc>
          <w:tcPr>
            <w:tcW w:type="dxa" w:w="2664"/>
          </w:tcPr>
          <w:p>
            <w:pPr>
              <w:spacing w:after="20"/>
            </w:pPr>
            <w:r/>
            <w:r>
              <w:rPr>
                <w:b w:val="0"/>
                <w:i w:val="0"/>
                <w:sz w:val="17"/>
              </w:rPr>
              <w:t>Exclusion</w:t>
            </w:r>
          </w:p>
        </w:tc>
      </w:tr>
      <w:tr>
        <w:tc>
          <w:tcPr>
            <w:tcW w:type="dxa" w:w="1944"/>
          </w:tcPr>
          <w:p>
            <w:pPr>
              <w:spacing w:after="20"/>
            </w:pPr>
            <w:r/>
            <w:r>
              <w:rPr>
                <w:b w:val="0"/>
                <w:i w:val="0"/>
                <w:sz w:val="17"/>
              </w:rPr>
              <w:t>¶ 7.11</w:t>
            </w:r>
          </w:p>
        </w:tc>
        <w:tc>
          <w:tcPr>
            <w:tcW w:type="dxa" w:w="5040"/>
          </w:tcPr>
          <w:p>
            <w:pPr>
              <w:spacing w:after="20"/>
            </w:pPr>
            <w:r/>
            <w:r>
              <w:rPr>
                <w:b w:val="0"/>
                <w:i w:val="0"/>
                <w:sz w:val="17"/>
              </w:rPr>
              <w:t>Vacancy &gt; 60 days: vandalism, sprinkler leakage, glass, water, theft excluded; other losses reduced 15%</w:t>
            </w:r>
          </w:p>
        </w:tc>
        <w:tc>
          <w:tcPr>
            <w:tcW w:type="dxa" w:w="2664"/>
          </w:tcPr>
          <w:p>
            <w:pPr>
              <w:spacing w:after="20"/>
            </w:pPr>
            <w:r/>
            <w:r>
              <w:rPr>
                <w:b w:val="0"/>
                <w:i w:val="0"/>
                <w:sz w:val="17"/>
              </w:rPr>
              <w:t>Limitation</w:t>
            </w:r>
          </w:p>
        </w:tc>
      </w:tr>
      <w:tr>
        <w:tc>
          <w:tcPr>
            <w:tcW w:type="dxa" w:w="1944"/>
          </w:tcPr>
          <w:p>
            <w:pPr>
              <w:spacing w:after="20"/>
            </w:pPr>
            <w:r/>
            <w:r>
              <w:rPr>
                <w:b w:val="0"/>
                <w:i w:val="0"/>
                <w:sz w:val="17"/>
              </w:rPr>
              <w:t>¶ 4.0</w:t>
            </w:r>
          </w:p>
        </w:tc>
        <w:tc>
          <w:tcPr>
            <w:tcW w:type="dxa" w:w="5040"/>
          </w:tcPr>
          <w:p>
            <w:pPr>
              <w:spacing w:after="20"/>
            </w:pPr>
            <w:r/>
            <w:r>
              <w:rPr>
                <w:b w:val="0"/>
                <w:i w:val="0"/>
                <w:sz w:val="17"/>
              </w:rPr>
              <w:t>Anti-concurrent causation preamble</w:t>
            </w:r>
          </w:p>
        </w:tc>
        <w:tc>
          <w:tcPr>
            <w:tcW w:type="dxa" w:w="2664"/>
          </w:tcPr>
          <w:p>
            <w:pPr>
              <w:spacing w:after="20"/>
            </w:pPr>
            <w:r/>
            <w:r>
              <w:rPr>
                <w:b w:val="0"/>
                <w:i w:val="0"/>
                <w:sz w:val="17"/>
              </w:rPr>
              <w:t>Limitation — explain in plain language</w:t>
            </w:r>
          </w:p>
        </w:tc>
      </w:tr>
      <w:tr>
        <w:tc>
          <w:tcPr>
            <w:tcW w:type="dxa" w:w="1944"/>
          </w:tcPr>
          <w:p>
            <w:pPr>
              <w:spacing w:after="20"/>
            </w:pPr>
            <w:r/>
            <w:r>
              <w:rPr>
                <w:b w:val="0"/>
                <w:i w:val="0"/>
                <w:sz w:val="17"/>
              </w:rPr>
              <w:t>¶ 4.3</w:t>
            </w:r>
          </w:p>
        </w:tc>
        <w:tc>
          <w:tcPr>
            <w:tcW w:type="dxa" w:w="5040"/>
          </w:tcPr>
          <w:p>
            <w:pPr>
              <w:spacing w:after="20"/>
            </w:pPr>
            <w:r/>
            <w:r>
              <w:rPr>
                <w:b w:val="0"/>
                <w:i w:val="0"/>
                <w:sz w:val="17"/>
              </w:rPr>
              <w:t>Governmental action exclusion, with exception for destruction to prevent spread of fire</w:t>
            </w:r>
          </w:p>
        </w:tc>
        <w:tc>
          <w:tcPr>
            <w:tcW w:type="dxa" w:w="2664"/>
          </w:tcPr>
          <w:p>
            <w:pPr>
              <w:spacing w:after="20"/>
            </w:pPr>
            <w:r/>
            <w:r>
              <w:rPr>
                <w:b w:val="0"/>
                <w:i w:val="0"/>
                <w:sz w:val="17"/>
              </w:rPr>
              <w:t>Exclusion (with fire carve-back)</w:t>
            </w:r>
          </w:p>
        </w:tc>
      </w:tr>
      <w:tr>
        <w:tc>
          <w:tcPr>
            <w:tcW w:type="dxa" w:w="1944"/>
          </w:tcPr>
          <w:p>
            <w:pPr>
              <w:spacing w:after="20"/>
            </w:pPr>
            <w:r/>
            <w:r>
              <w:rPr>
                <w:b w:val="0"/>
                <w:i w:val="0"/>
                <w:sz w:val="17"/>
              </w:rPr>
              <w:t>¶ 4.8</w:t>
            </w:r>
          </w:p>
        </w:tc>
        <w:tc>
          <w:tcPr>
            <w:tcW w:type="dxa" w:w="5040"/>
          </w:tcPr>
          <w:p>
            <w:pPr>
              <w:spacing w:after="20"/>
            </w:pPr>
            <w:r/>
            <w:r>
              <w:rPr>
                <w:b w:val="0"/>
                <w:i w:val="0"/>
                <w:sz w:val="17"/>
              </w:rPr>
              <w:t>Neglect to preserve property at and after a loss</w:t>
            </w:r>
          </w:p>
        </w:tc>
        <w:tc>
          <w:tcPr>
            <w:tcW w:type="dxa" w:w="2664"/>
          </w:tcPr>
          <w:p>
            <w:pPr>
              <w:spacing w:after="20"/>
            </w:pPr>
            <w:r/>
            <w:r>
              <w:rPr>
                <w:b w:val="0"/>
                <w:i w:val="0"/>
                <w:sz w:val="17"/>
              </w:rPr>
              <w:t>Exclusion / duty</w:t>
            </w:r>
          </w:p>
        </w:tc>
      </w:tr>
      <w:tr>
        <w:tc>
          <w:tcPr>
            <w:tcW w:type="dxa" w:w="1944"/>
          </w:tcPr>
          <w:p>
            <w:pPr>
              <w:spacing w:after="20"/>
            </w:pPr>
            <w:r/>
            <w:r>
              <w:rPr>
                <w:b w:val="0"/>
                <w:i w:val="0"/>
                <w:sz w:val="17"/>
              </w:rPr>
              <w:t>¶ 3.4(b)</w:t>
            </w:r>
          </w:p>
        </w:tc>
        <w:tc>
          <w:tcPr>
            <w:tcW w:type="dxa" w:w="5040"/>
          </w:tcPr>
          <w:p>
            <w:pPr>
              <w:spacing w:after="20"/>
            </w:pPr>
            <w:r/>
            <w:r>
              <w:rPr>
                <w:b w:val="0"/>
                <w:i w:val="0"/>
                <w:sz w:val="17"/>
              </w:rPr>
              <w:t>Preservation of property: 30 days while moved to safety</w:t>
            </w:r>
          </w:p>
        </w:tc>
        <w:tc>
          <w:tcPr>
            <w:tcW w:type="dxa" w:w="2664"/>
          </w:tcPr>
          <w:p>
            <w:pPr>
              <w:spacing w:after="20"/>
            </w:pPr>
            <w:r/>
            <w:r>
              <w:rPr>
                <w:b w:val="0"/>
                <w:i w:val="0"/>
                <w:sz w:val="17"/>
              </w:rPr>
              <w:t>Coverage — useful to disclose (evacuating property)</w:t>
            </w:r>
          </w:p>
        </w:tc>
      </w:tr>
      <w:tr>
        <w:tc>
          <w:tcPr>
            <w:tcW w:type="dxa" w:w="1944"/>
          </w:tcPr>
          <w:p>
            <w:pPr>
              <w:spacing w:after="20"/>
            </w:pPr>
            <w:r/>
            <w:r>
              <w:rPr>
                <w:b w:val="0"/>
                <w:i w:val="0"/>
                <w:sz w:val="17"/>
              </w:rPr>
              <w:t>¶ 7.15</w:t>
            </w:r>
          </w:p>
        </w:tc>
        <w:tc>
          <w:tcPr>
            <w:tcW w:type="dxa" w:w="5040"/>
          </w:tcPr>
          <w:p>
            <w:pPr>
              <w:spacing w:after="20"/>
            </w:pPr>
            <w:r/>
            <w:r>
              <w:rPr>
                <w:b w:val="0"/>
                <w:i w:val="0"/>
                <w:sz w:val="17"/>
              </w:rPr>
              <w:t>One-year suit limitation from date of loss</w:t>
            </w:r>
          </w:p>
        </w:tc>
        <w:tc>
          <w:tcPr>
            <w:tcW w:type="dxa" w:w="2664"/>
          </w:tcPr>
          <w:p>
            <w:pPr>
              <w:spacing w:after="20"/>
            </w:pPr>
            <w:r/>
            <w:r>
              <w:rPr>
                <w:b w:val="0"/>
                <w:i w:val="0"/>
                <w:sz w:val="17"/>
              </w:rPr>
              <w:t>Condition — recommend revision (Gap 16)</w:t>
            </w:r>
          </w:p>
        </w:tc>
      </w:tr>
    </w:tbl>
    <w:p>
      <w:pPr>
        <w:spacing w:after="40"/>
      </w:pPr>
    </w:p>
    <w:p/>
    <w:p>
      <w:pPr>
        <w:jc w:val="center"/>
      </w:pPr>
      <w:r>
        <w:rPr>
          <w:b w:val="0"/>
          <w:i w:val="0"/>
        </w:rPr>
        <w:t>* * *</w:t>
      </w:r>
    </w:p>
    <w:p>
      <w:r>
        <w:rPr>
          <w:b w:val="0"/>
          <w:i/>
          <w:sz w:val="18"/>
        </w:rPr>
        <w:t>This analysis is based solely on the materials identified on page 1 and is provided to Meridian Casualty Insurance Company for its use in preparing the Colorado filing of Form MCP-2025-01. We would be glad to walk through any item with Ms. Brennan, Mr. Kaminski or Ms. Voss.</w:t>
      </w:r>
    </w:p>
    <w:p>
      <w:r>
        <w:rPr>
          <w:b/>
          <w:i w:val="0"/>
        </w:rPr>
        <w:t>Hargrove &amp; Calloway LLP</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sz w:val="16"/>
      </w:rPr>
      <w:t>Privileged &amp; Confidential — Attorney-Client Communication / Attorney Work Product — H&amp;C Compliance Gap Analysis, Form MCP-2025-01</w:t>
    </w:r>
    <w:r>
      <w:rPr>
        <w:sz w:val="16"/>
      </w:rPr>
      <w:t xml:space="preserv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