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32"/>
        </w:rPr>
        <w:t>COVERAGE TERM SHEET AND ASSESSMENT</w:t>
      </w:r>
    </w:p>
    <w:p>
      <w:pPr>
        <w:spacing w:after="40"/>
        <w:jc w:val="center"/>
      </w:pPr>
      <w:r>
        <w:rPr>
          <w:b/>
          <w:i w:val="0"/>
          <w:sz w:val="24"/>
        </w:rPr>
        <w:t>Ridgepoint Casualty &amp; Indemnity Company Reservation of Rights Letter dated March 7, 2025</w:t>
      </w:r>
    </w:p>
    <w:p>
      <w:pPr>
        <w:spacing w:after="160"/>
        <w:jc w:val="center"/>
      </w:pPr>
      <w:r>
        <w:rPr>
          <w:b w:val="0"/>
          <w:i w:val="0"/>
          <w:sz w:val="19"/>
        </w:rPr>
        <w:t>Insured: Greenleaf Manufacturing, Inc. | Policy No. CGL-OH-2023-88741 | Claim No. RCI-2025-CGL-04417 | Date of Loss: January 14, 2025</w:t>
      </w:r>
    </w:p>
    <w:tbl>
      <w:tblPr>
        <w:tblStyle w:val="TableGrid"/>
        <w:tblW w:type="auto" w:w="0"/>
        <w:jc w:val="center"/>
        <w:tblLayout w:type="fixed"/>
        <w:tblLook w:firstColumn="1" w:firstRow="1" w:lastColumn="0" w:lastRow="0" w:noHBand="0" w:noVBand="1" w:val="04A0"/>
      </w:tblPr>
      <w:tblGrid>
        <w:gridCol w:w="4968"/>
        <w:gridCol w:w="4968"/>
      </w:tblGrid>
      <w:tr>
        <w:tc>
          <w:tcPr>
            <w:tcW w:type="dxa" w:w="2160"/>
            <w:shd w:val="clear" w:color="auto" w:fill="E8EEF5"/>
          </w:tcPr>
          <w:p>
            <w:pPr>
              <w:spacing w:after="20"/>
            </w:pPr>
            <w:r/>
            <w:r>
              <w:rPr>
                <w:b w:val="0"/>
                <w:i w:val="0"/>
                <w:sz w:val="18"/>
              </w:rPr>
              <w:t>To</w:t>
            </w:r>
          </w:p>
        </w:tc>
        <w:tc>
          <w:tcPr>
            <w:tcW w:type="dxa" w:w="7776"/>
          </w:tcPr>
          <w:p>
            <w:pPr>
              <w:spacing w:after="20"/>
            </w:pPr>
            <w:r/>
            <w:r>
              <w:rPr>
                <w:b w:val="0"/>
                <w:i w:val="0"/>
                <w:sz w:val="18"/>
              </w:rPr>
              <w:t>Priya Nandakumar, Esq., General Counsel, Greenleaf Manufacturing, Inc. (for onward briefing of Harold R. Vincennes, CEO, and the executive team)</w:t>
            </w:r>
          </w:p>
        </w:tc>
      </w:tr>
      <w:tr>
        <w:tc>
          <w:tcPr>
            <w:tcW w:type="dxa" w:w="2160"/>
            <w:shd w:val="clear" w:color="auto" w:fill="E8EEF5"/>
          </w:tcPr>
          <w:p>
            <w:pPr>
              <w:spacing w:after="20"/>
            </w:pPr>
            <w:r/>
            <w:r>
              <w:rPr>
                <w:b w:val="0"/>
                <w:i w:val="0"/>
                <w:sz w:val="18"/>
              </w:rPr>
              <w:t>From</w:t>
            </w:r>
          </w:p>
        </w:tc>
        <w:tc>
          <w:tcPr>
            <w:tcW w:type="dxa" w:w="7776"/>
          </w:tcPr>
          <w:p>
            <w:pPr>
              <w:spacing w:after="20"/>
            </w:pPr>
            <w:r/>
            <w:r>
              <w:rPr>
                <w:b w:val="0"/>
                <w:i w:val="0"/>
                <w:sz w:val="18"/>
              </w:rPr>
              <w:t>Blackhall &amp; Mosier LLP (Jordan K. Blackhall / Leena Chadha) — draft for partner review</w:t>
            </w:r>
          </w:p>
        </w:tc>
      </w:tr>
      <w:tr>
        <w:tc>
          <w:tcPr>
            <w:tcW w:type="dxa" w:w="2160"/>
            <w:shd w:val="clear" w:color="auto" w:fill="E8EEF5"/>
          </w:tcPr>
          <w:p>
            <w:pPr>
              <w:spacing w:after="20"/>
            </w:pPr>
            <w:r/>
            <w:r>
              <w:rPr>
                <w:b w:val="0"/>
                <w:i w:val="0"/>
                <w:sz w:val="18"/>
              </w:rPr>
              <w:t>Date</w:t>
            </w:r>
          </w:p>
        </w:tc>
        <w:tc>
          <w:tcPr>
            <w:tcW w:type="dxa" w:w="7776"/>
          </w:tcPr>
          <w:p>
            <w:pPr>
              <w:spacing w:after="20"/>
            </w:pPr>
            <w:r/>
            <w:r>
              <w:rPr>
                <w:b w:val="0"/>
                <w:i w:val="0"/>
                <w:sz w:val="18"/>
              </w:rPr>
              <w:t>March 10, 2025 (all deadline calculations run from this date)</w:t>
            </w:r>
          </w:p>
        </w:tc>
      </w:tr>
      <w:tr>
        <w:tc>
          <w:tcPr>
            <w:tcW w:type="dxa" w:w="2160"/>
            <w:shd w:val="clear" w:color="auto" w:fill="E8EEF5"/>
          </w:tcPr>
          <w:p>
            <w:pPr>
              <w:spacing w:after="20"/>
            </w:pPr>
            <w:r/>
            <w:r>
              <w:rPr>
                <w:b w:val="0"/>
                <w:i w:val="0"/>
                <w:sz w:val="18"/>
              </w:rPr>
              <w:t>Documents reviewed</w:t>
            </w:r>
          </w:p>
        </w:tc>
        <w:tc>
          <w:tcPr>
            <w:tcW w:type="dxa" w:w="7776"/>
          </w:tcPr>
          <w:p>
            <w:pPr>
              <w:spacing w:after="20"/>
            </w:pPr>
            <w:r/>
            <w:r>
              <w:rPr>
                <w:b w:val="0"/>
                <w:i w:val="0"/>
                <w:sz w:val="18"/>
              </w:rPr>
              <w:t>(1) Ridgepoint ROR letter, Rebecca Truesdale, Esq., Stanhope Aldrich LLP, dated March 7, 2025, received March 8, 2025, with Exhibit A (Declarations Page); (2) Greenleaf Office of General Counsel Policy Declarations Page Summary (current as of July 1, 2024); (3) Complaint, Espinoza et al. v. Greenleaf Manufacturing, Inc., Case No. 2025-CV-01938 (Summit Cty. C.P., filed Feb. 21, 2025); (4) Buckeye Cold Storage, LLC demand letter, Lisa Falcone, Esq., Falcone &amp; Riggs, P.A., dated Feb. 10, 2025; (5) P. Nandakumar email to J. Blackhall dated March 10, 2025.</w:t>
            </w:r>
          </w:p>
        </w:tc>
      </w:tr>
      <w:tr>
        <w:tc>
          <w:tcPr>
            <w:tcW w:type="dxa" w:w="2160"/>
            <w:shd w:val="clear" w:color="auto" w:fill="E8EEF5"/>
          </w:tcPr>
          <w:p>
            <w:pPr>
              <w:spacing w:after="20"/>
            </w:pPr>
            <w:r/>
            <w:r>
              <w:rPr>
                <w:b w:val="0"/>
                <w:i w:val="0"/>
                <w:sz w:val="18"/>
              </w:rPr>
              <w:t>Not yet reviewed</w:t>
            </w:r>
          </w:p>
        </w:tc>
        <w:tc>
          <w:tcPr>
            <w:tcW w:type="dxa" w:w="7776"/>
          </w:tcPr>
          <w:p>
            <w:pPr>
              <w:spacing w:after="20"/>
            </w:pPr>
            <w:r/>
            <w:r>
              <w:rPr>
                <w:b w:val="0"/>
                <w:i w:val="0"/>
                <w:sz w:val="18"/>
              </w:rPr>
              <w:t>The full certified Policy (coverage form, Section IV Conditions and endorsement text), the Master Staffing Agreement dated March 1, 2023, the OSHA citation file, and any umbrella/excess or Ohio stop-gap employer’s liability policy. Several conclusions below are expressly conditioned on obtaining these.</w:t>
            </w:r>
          </w:p>
        </w:tc>
      </w:tr>
    </w:tbl>
    <w:p>
      <w:pPr>
        <w:spacing w:after="40"/>
      </w:pPr>
    </w:p>
    <w:p>
      <w:pPr>
        <w:pStyle w:val="Heading1"/>
      </w:pPr>
      <w:r>
        <w:t>1. Bottom Line (Executive Summary)</w:t>
      </w:r>
    </w:p>
    <w:p>
      <w:pPr>
        <w:pStyle w:val="ListBullet"/>
        <w:spacing w:after="40"/>
      </w:pPr>
      <w:r>
        <w:rPr>
          <w:b/>
          <w:i w:val="0"/>
        </w:rPr>
        <w:t>The ROR is not a denial.</w:t>
      </w:r>
      <w:r>
        <w:rPr>
          <w:b w:val="0"/>
          <w:i w:val="0"/>
        </w:rPr>
        <w:t xml:space="preserve"> Ridgepoint has agreed to defend the Espinoza suit through panel counsel it selected (Hargrove Lipton &amp; Sears LLP, Columbus) under a full reservation of rights. It asserts </w:t>
      </w:r>
      <w:r>
        <w:rPr>
          <w:b/>
          <w:i w:val="0"/>
        </w:rPr>
        <w:t>six numbered coverage defenses</w:t>
      </w:r>
      <w:r>
        <w:rPr>
          <w:b w:val="0"/>
          <w:i w:val="0"/>
        </w:rPr>
        <w:t xml:space="preserve"> (ROR §V.A–F) plus a punitive-damages reservation, the Self-Insured Retention (SIR) precondition, a proof-of-loss condition, cooperation demands, and a general catch-all reservation.</w:t>
      </w:r>
    </w:p>
    <w:p>
      <w:pPr>
        <w:pStyle w:val="ListBullet"/>
        <w:spacing w:after="40"/>
      </w:pPr>
      <w:r>
        <w:rPr>
          <w:b/>
          <w:i w:val="0"/>
        </w:rPr>
        <w:t>The exposure gap is the headline.</w:t>
      </w:r>
      <w:r>
        <w:rPr>
          <w:b w:val="0"/>
          <w:i w:val="0"/>
        </w:rPr>
        <w:t xml:space="preserve"> Combined demands total </w:t>
      </w:r>
      <w:r>
        <w:rPr>
          <w:b/>
          <w:i w:val="0"/>
        </w:rPr>
        <w:t>$39.85 million</w:t>
      </w:r>
      <w:r>
        <w:rPr>
          <w:b w:val="0"/>
          <w:i w:val="0"/>
        </w:rPr>
        <w:t xml:space="preserve"> ($38.5M Espinoza + $1.35M Buckeye) against a </w:t>
      </w:r>
      <w:r>
        <w:rPr>
          <w:b/>
          <w:i w:val="0"/>
        </w:rPr>
        <w:t>$5,000,000 each-occurrence limit</w:t>
      </w:r>
      <w:r>
        <w:rPr>
          <w:b w:val="0"/>
          <w:i w:val="0"/>
        </w:rPr>
        <w:t xml:space="preserve"> (the $10M general aggregate does not help because this is almost certainly a single occurrence) and a </w:t>
      </w:r>
      <w:r>
        <w:rPr>
          <w:b/>
          <w:i w:val="0"/>
        </w:rPr>
        <w:t>$250,000 SIR</w:t>
      </w:r>
      <w:r>
        <w:rPr>
          <w:b w:val="0"/>
          <w:i w:val="0"/>
        </w:rPr>
        <w:t>. Even if every coverage defense failed, Greenleaf would retain at least ~$34.85M of the face demands, including $12M of punitive damages that Ohio law makes uninsurable.</w:t>
      </w:r>
    </w:p>
    <w:p>
      <w:pPr>
        <w:pStyle w:val="ListBullet"/>
        <w:spacing w:after="40"/>
      </w:pPr>
      <w:r>
        <w:rPr>
          <w:b/>
          <w:i w:val="0"/>
        </w:rPr>
        <w:t>Defenses with real teeth:</w:t>
      </w:r>
      <w:r>
        <w:rPr>
          <w:b w:val="0"/>
          <w:i w:val="0"/>
        </w:rPr>
        <w:t xml:space="preserve"> (1) the manuscript Employer’s Liability Exclusion RCI-EXCL-2024-011, which on its terms reaches workers “furnished to the insured by a staffing … agency” and therefore threatens coverage for the entire Espinoza suit (all nine workers and, derivatively, the three consortium claims); (2) the punitive-damages reservation (R.C. 3937.182 bars liability coverage for punitive damages); (3) Exclusion a. (expected or intended injury) as to indemnity for any judgment on the R.C. 2745.01 intentional-tort count; and (4) the contractual liability limitation (CG 21 39) for any indemnity Greenleaf owes StaffBridge under MSA §9.2 — currently contingent because StaffBridge has not tendered.</w:t>
      </w:r>
    </w:p>
    <w:p>
      <w:pPr>
        <w:pStyle w:val="ListBullet"/>
        <w:spacing w:after="40"/>
      </w:pPr>
      <w:r>
        <w:rPr>
          <w:b/>
          <w:i w:val="0"/>
        </w:rPr>
        <w:t>Fact-dependent defense:</w:t>
      </w:r>
      <w:r>
        <w:rPr>
          <w:b w:val="0"/>
          <w:i w:val="0"/>
        </w:rPr>
        <w:t xml:space="preserve"> the Known Loss / Prior Knowledge Exclusion (RCI-EXCL-2024-018). Ridgepoint’s own chronology undercuts it — the OSHA citation issued </w:t>
      </w:r>
      <w:r>
        <w:rPr>
          <w:b/>
          <w:i w:val="0"/>
        </w:rPr>
        <w:t>September 5, 2024, after the July 1, 2024 inception</w:t>
      </w:r>
      <w:r>
        <w:rPr>
          <w:b w:val="0"/>
          <w:i w:val="0"/>
        </w:rPr>
        <w:t xml:space="preserve"> — but the Espinoza complaint (¶¶28, 78–79) alleges the maintenance deficiency and internal reports pre-dated the citation. This is where discovery in the tort case could feed Ridgepoint’s coverage case.</w:t>
      </w:r>
    </w:p>
    <w:p>
      <w:pPr>
        <w:pStyle w:val="ListBullet"/>
        <w:spacing w:after="40"/>
      </w:pPr>
      <w:r>
        <w:rPr>
          <w:b/>
          <w:i w:val="0"/>
        </w:rPr>
        <w:t>“Kitchen sink” reservations:</w:t>
      </w:r>
      <w:r>
        <w:rPr>
          <w:b w:val="0"/>
          <w:i w:val="0"/>
        </w:rPr>
        <w:t xml:space="preserve"> late notice (telephonic notice in </w:t>
      </w:r>
      <w:r>
        <w:rPr>
          <w:b/>
          <w:i w:val="0"/>
        </w:rPr>
        <w:t>3 days</w:t>
      </w:r>
      <w:r>
        <w:rPr>
          <w:b w:val="0"/>
          <w:i w:val="0"/>
        </w:rPr>
        <w:t xml:space="preserve">, written notice in </w:t>
      </w:r>
      <w:r>
        <w:rPr>
          <w:b/>
          <w:i w:val="0"/>
        </w:rPr>
        <w:t>8 days</w:t>
      </w:r>
      <w:r>
        <w:rPr>
          <w:b w:val="0"/>
          <w:i w:val="0"/>
        </w:rPr>
        <w:t xml:space="preserve"> — not credible, and Ohio requires prejudice); total pollution exclusion as applied to blast, debris, burn and crush injuries and structural damage (weak), though it has some force for smoke-inhalation injury (Tulley) and the $148,000 smoke/soot inventory-spoilage component of Buckeye’s demand.</w:t>
      </w:r>
    </w:p>
    <w:p>
      <w:pPr>
        <w:pStyle w:val="ListBullet"/>
        <w:spacing w:after="40"/>
      </w:pPr>
      <w:r>
        <w:rPr>
          <w:b/>
          <w:i w:val="0"/>
        </w:rPr>
        <w:t>The ROR contains material errors and internal contradictions that should be put on the record now:</w:t>
      </w:r>
      <w:r>
        <w:rPr>
          <w:b w:val="0"/>
          <w:i w:val="0"/>
        </w:rPr>
        <w:t xml:space="preserve"> (i) it states a </w:t>
      </w:r>
      <w:r>
        <w:rPr>
          <w:b/>
          <w:i w:val="0"/>
        </w:rPr>
        <w:t>60-day</w:t>
      </w:r>
      <w:r>
        <w:rPr>
          <w:b w:val="0"/>
          <w:i w:val="0"/>
        </w:rPr>
        <w:t xml:space="preserve"> sworn proof-of-loss deadline (</w:t>
      </w:r>
      <w:r>
        <w:rPr>
          <w:b/>
          <w:i w:val="0"/>
        </w:rPr>
        <w:t>March 15, 2025</w:t>
      </w:r>
      <w:r>
        <w:rPr>
          <w:b w:val="0"/>
          <w:i w:val="0"/>
        </w:rPr>
        <w:t xml:space="preserve">) while its own block quote of Condition 2.a. says </w:t>
      </w:r>
      <w:r>
        <w:rPr>
          <w:b/>
          <w:i w:val="0"/>
        </w:rPr>
        <w:t>90 days</w:t>
      </w:r>
      <w:r>
        <w:rPr>
          <w:b w:val="0"/>
          <w:i w:val="0"/>
        </w:rPr>
        <w:t xml:space="preserve"> (</w:t>
      </w:r>
      <w:r>
        <w:rPr>
          <w:b/>
          <w:i w:val="0"/>
        </w:rPr>
        <w:t>April 14, 2025</w:t>
      </w:r>
      <w:r>
        <w:rPr>
          <w:b w:val="0"/>
          <w:i w:val="0"/>
        </w:rPr>
        <w:t>); (ii) it says the duty to defend does not arise until the SIR is exhausted, yet it has appointed defense counsel before any SIR payment; (iii) its quotation of the SIR endorsement (defense costs erode the SIR) conflicts with Greenleaf’s declarations summary (defense costs do not erode the SIR); (iv) it identifies the policy form as CG 00 01 12 07 while its own Exhibit A and Greenleaf’s summary say CG 00 01 04 13; and (v) its quotation of the manuscript Employer’s Liability Exclusion differs from the wording in Greenleaf’s summary.</w:t>
      </w:r>
    </w:p>
    <w:p>
      <w:pPr>
        <w:pStyle w:val="ListBullet"/>
        <w:spacing w:after="40"/>
      </w:pPr>
      <w:r>
        <w:rPr>
          <w:b/>
          <w:i w:val="0"/>
        </w:rPr>
        <w:t>Most likely outcome on current facts:</w:t>
      </w:r>
      <w:r>
        <w:rPr>
          <w:b w:val="0"/>
          <w:i w:val="0"/>
        </w:rPr>
        <w:t xml:space="preserve"> if the manuscript employer’s liability exclusion is enforced as written, Ridgepoint’s realistic indemnity obligation shrinks to the Buckeye property claim (roughly $1.1M after the SIR, less any smoke/soot carve-out), and Greenleaf faces the Espinoza suit essentially uninsured under this Policy. Ridgepoint can be expected to defend Espinoza under reservation for now (Ohio requires defense of the entire suit while any claim is arguably covered) and to file, or threaten, a declaratory judgment action on the exclusion.</w:t>
      </w:r>
    </w:p>
    <w:p>
      <w:pPr>
        <w:pStyle w:val="ListBullet"/>
        <w:spacing w:after="40"/>
      </w:pPr>
      <w:r>
        <w:rPr>
          <w:b/>
          <w:i w:val="0"/>
        </w:rPr>
        <w:t>Immediate priorities (next 14 days):</w:t>
      </w:r>
      <w:r>
        <w:rPr>
          <w:b w:val="0"/>
          <w:i w:val="0"/>
        </w:rPr>
        <w:t xml:space="preserve"> (1) written response to Ms. Truesdale disputing the 60-day proof-of-loss period and demanding clarification of the SIR/defense position (send by </w:t>
      </w:r>
      <w:r>
        <w:rPr>
          <w:b/>
          <w:i w:val="0"/>
        </w:rPr>
        <w:t>March 12</w:t>
      </w:r>
      <w:r>
        <w:rPr>
          <w:b w:val="0"/>
          <w:i w:val="0"/>
        </w:rPr>
        <w:t xml:space="preserve">); (2) confirm the Espinoza answer is filed or an extension obtained before </w:t>
      </w:r>
      <w:r>
        <w:rPr>
          <w:b/>
          <w:i w:val="0"/>
        </w:rPr>
        <w:t>March 21, 2025</w:t>
      </w:r>
      <w:r>
        <w:rPr>
          <w:b w:val="0"/>
          <w:i w:val="0"/>
        </w:rPr>
        <w:t xml:space="preserve"> (conservative date; see §2); (3) respond to Buckeye or confirm Ridgepoint has done so (30-day response window runs on or about </w:t>
      </w:r>
      <w:r>
        <w:rPr>
          <w:b/>
          <w:i w:val="0"/>
        </w:rPr>
        <w:t>March 12, 2025</w:t>
      </w:r>
      <w:r>
        <w:rPr>
          <w:b w:val="0"/>
          <w:i w:val="0"/>
        </w:rPr>
        <w:t xml:space="preserve">); (4) give immediate notice to every umbrella/excess carrier and any Ohio stop-gap employer’s liability carrier, and tender to StaffBridge and its carriers; (5) submit a protective sworn statement of loss on or before </w:t>
      </w:r>
      <w:r>
        <w:rPr>
          <w:b/>
          <w:i w:val="0"/>
        </w:rPr>
        <w:t>Friday, March 14, 2025</w:t>
      </w:r>
      <w:r>
        <w:rPr>
          <w:b w:val="0"/>
          <w:i w:val="0"/>
        </w:rPr>
        <w:t xml:space="preserve"> under reservation, so the 60/90-day dispute never becomes a forfeiture issue.</w:t>
      </w:r>
    </w:p>
    <w:p>
      <w:pPr>
        <w:pStyle w:val="Heading1"/>
      </w:pPr>
      <w:r>
        <w:t>2. Critical Deadlines and Immediate Action Items</w:t>
      </w:r>
    </w:p>
    <w:p>
      <w:r>
        <w:rPr>
          <w:b w:val="0"/>
          <w:i/>
          <w:sz w:val="18"/>
        </w:rPr>
        <w:t>Dates computed from the documents. “Conservative” dates assume the earliest plausible trigger; confirm the service and receipt dates against the certified-mail return receipts.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656"/>
            <w:shd w:val="clear" w:color="auto" w:fill="1F3A5F"/>
          </w:tcPr>
          <w:p>
            <w:r/>
            <w:r>
              <w:rPr>
                <w:b/>
                <w:i w:val="0"/>
                <w:color w:val="FFFFFF"/>
                <w:sz w:val="17"/>
              </w:rPr>
              <w:t>Date</w:t>
            </w:r>
          </w:p>
        </w:tc>
        <w:tc>
          <w:tcPr>
            <w:tcW w:type="dxa" w:w="3168"/>
            <w:shd w:val="clear" w:color="auto" w:fill="1F3A5F"/>
          </w:tcPr>
          <w:p>
            <w:r/>
            <w:r>
              <w:rPr>
                <w:b/>
                <w:i w:val="0"/>
                <w:color w:val="FFFFFF"/>
                <w:sz w:val="17"/>
              </w:rPr>
              <w:t>Deadline / event</w:t>
            </w:r>
          </w:p>
        </w:tc>
        <w:tc>
          <w:tcPr>
            <w:tcW w:type="dxa" w:w="1440"/>
            <w:shd w:val="clear" w:color="auto" w:fill="1F3A5F"/>
          </w:tcPr>
          <w:p>
            <w:r/>
            <w:r>
              <w:rPr>
                <w:b/>
                <w:i w:val="0"/>
                <w:color w:val="FFFFFF"/>
                <w:sz w:val="17"/>
              </w:rPr>
              <w:t>Source</w:t>
            </w:r>
          </w:p>
        </w:tc>
        <w:tc>
          <w:tcPr>
            <w:tcW w:type="dxa" w:w="3672"/>
            <w:shd w:val="clear" w:color="auto" w:fill="1F3A5F"/>
          </w:tcPr>
          <w:p>
            <w:r/>
            <w:r>
              <w:rPr>
                <w:b/>
                <w:i w:val="0"/>
                <w:color w:val="FFFFFF"/>
                <w:sz w:val="17"/>
              </w:rPr>
              <w:t>Recommended action</w:t>
            </w:r>
          </w:p>
        </w:tc>
      </w:tr>
      <w:tr>
        <w:tc>
          <w:tcPr>
            <w:tcW w:type="dxa" w:w="1656"/>
          </w:tcPr>
          <w:p>
            <w:pPr>
              <w:spacing w:after="20"/>
            </w:pPr>
            <w:r/>
            <w:r>
              <w:rPr>
                <w:b w:val="0"/>
                <w:i w:val="0"/>
                <w:sz w:val="17"/>
              </w:rPr>
              <w:t>ASAP (requested, no date)</w:t>
            </w:r>
          </w:p>
        </w:tc>
        <w:tc>
          <w:tcPr>
            <w:tcW w:type="dxa" w:w="3168"/>
          </w:tcPr>
          <w:p>
            <w:pPr>
              <w:spacing w:after="20"/>
            </w:pPr>
            <w:r/>
            <w:r>
              <w:rPr>
                <w:b w:val="0"/>
                <w:i w:val="0"/>
                <w:sz w:val="17"/>
              </w:rPr>
              <w:t>Written acknowledgment of receipt of the ROR.</w:t>
            </w:r>
          </w:p>
        </w:tc>
        <w:tc>
          <w:tcPr>
            <w:tcW w:type="dxa" w:w="1440"/>
          </w:tcPr>
          <w:p>
            <w:pPr>
              <w:spacing w:after="20"/>
            </w:pPr>
            <w:r/>
            <w:r>
              <w:rPr>
                <w:b w:val="0"/>
                <w:i w:val="0"/>
                <w:sz w:val="17"/>
              </w:rPr>
              <w:t>ROR §VIII</w:t>
            </w:r>
          </w:p>
        </w:tc>
        <w:tc>
          <w:tcPr>
            <w:tcW w:type="dxa" w:w="3672"/>
          </w:tcPr>
          <w:p>
            <w:pPr>
              <w:spacing w:after="20"/>
            </w:pPr>
            <w:r/>
            <w:r>
              <w:rPr>
                <w:b w:val="0"/>
                <w:i w:val="0"/>
                <w:sz w:val="17"/>
              </w:rPr>
              <w:t>Acknowledge receipt (received Sat., March 8, 2025, by email and certified mail) in the response letter, expressly without accepting any coverage position.</w:t>
            </w:r>
          </w:p>
        </w:tc>
      </w:tr>
      <w:tr>
        <w:tc>
          <w:tcPr>
            <w:tcW w:type="dxa" w:w="1656"/>
          </w:tcPr>
          <w:p>
            <w:pPr>
              <w:spacing w:after="20"/>
            </w:pPr>
            <w:r/>
            <w:r>
              <w:rPr>
                <w:b w:val="0"/>
                <w:i w:val="0"/>
                <w:sz w:val="17"/>
              </w:rPr>
              <w:t>Wed., March 12, 2025 (est.)</w:t>
            </w:r>
          </w:p>
        </w:tc>
        <w:tc>
          <w:tcPr>
            <w:tcW w:type="dxa" w:w="3168"/>
          </w:tcPr>
          <w:p>
            <w:pPr>
              <w:spacing w:after="20"/>
            </w:pPr>
            <w:r/>
            <w:r>
              <w:rPr>
                <w:b w:val="0"/>
                <w:i w:val="0"/>
                <w:sz w:val="17"/>
              </w:rPr>
              <w:t>Buckeye’s 30-day window for a “substantive written response or satisfactory settlement proposal” before suit in Summit County C.P. Runs from receipt of the Feb. 10, 2025 letter (sent by email and certified mail); if received by email Feb. 10, day 30 is March 12.</w:t>
            </w:r>
          </w:p>
        </w:tc>
        <w:tc>
          <w:tcPr>
            <w:tcW w:type="dxa" w:w="1440"/>
          </w:tcPr>
          <w:p>
            <w:pPr>
              <w:spacing w:after="20"/>
            </w:pPr>
            <w:r/>
            <w:r>
              <w:rPr>
                <w:b w:val="0"/>
                <w:i w:val="0"/>
                <w:sz w:val="17"/>
              </w:rPr>
              <w:t>Buckeye demand, p. 3</w:t>
            </w:r>
          </w:p>
        </w:tc>
        <w:tc>
          <w:tcPr>
            <w:tcW w:type="dxa" w:w="3672"/>
          </w:tcPr>
          <w:p>
            <w:pPr>
              <w:spacing w:after="20"/>
            </w:pPr>
            <w:r/>
            <w:r>
              <w:rPr>
                <w:b w:val="0"/>
                <w:i w:val="0"/>
                <w:sz w:val="17"/>
              </w:rPr>
              <w:t>Not addressed in the ROR. Confirm in writing today whether Ridgepoint (which has the demand, ROR §III.B) will respond. If not, send a holding response to Ms. Falcone (acknowledge, confirm tender to insurer, request engineering/refrigeration reports, request 60-day standstill). No admission and no settlement offer without Ridgepoint’s written consent (voluntary-payments condition, ROR §VII).</w:t>
            </w:r>
          </w:p>
        </w:tc>
      </w:tr>
      <w:tr>
        <w:tc>
          <w:tcPr>
            <w:tcW w:type="dxa" w:w="1656"/>
          </w:tcPr>
          <w:p>
            <w:pPr>
              <w:spacing w:after="20"/>
            </w:pPr>
            <w:r/>
            <w:r>
              <w:rPr>
                <w:b w:val="0"/>
                <w:i w:val="0"/>
                <w:sz w:val="17"/>
              </w:rPr>
              <w:t>Fri., March 14, 2025 (recommended)</w:t>
            </w:r>
          </w:p>
        </w:tc>
        <w:tc>
          <w:tcPr>
            <w:tcW w:type="dxa" w:w="3168"/>
          </w:tcPr>
          <w:p>
            <w:pPr>
              <w:spacing w:after="20"/>
            </w:pPr>
            <w:r/>
            <w:r>
              <w:rPr>
                <w:b w:val="0"/>
                <w:i w:val="0"/>
                <w:sz w:val="17"/>
              </w:rPr>
              <w:t>Protective submission of sworn statement/proof of loss, one business day before the 60-day date asserted by Ridgepoint.</w:t>
            </w:r>
          </w:p>
        </w:tc>
        <w:tc>
          <w:tcPr>
            <w:tcW w:type="dxa" w:w="1440"/>
          </w:tcPr>
          <w:p>
            <w:pPr>
              <w:spacing w:after="20"/>
            </w:pPr>
            <w:r/>
            <w:r>
              <w:rPr>
                <w:b w:val="0"/>
                <w:i w:val="0"/>
                <w:sz w:val="17"/>
              </w:rPr>
              <w:t>ROR §§IV.H, VII</w:t>
            </w:r>
          </w:p>
        </w:tc>
        <w:tc>
          <w:tcPr>
            <w:tcW w:type="dxa" w:w="3672"/>
          </w:tcPr>
          <w:p>
            <w:pPr>
              <w:spacing w:after="20"/>
            </w:pPr>
            <w:r/>
            <w:r>
              <w:rPr>
                <w:b w:val="0"/>
                <w:i w:val="0"/>
                <w:sz w:val="17"/>
              </w:rPr>
              <w:t>Submit under express reservation that the correct period is 90 days and that a sworn proof of loss is not a meaningful condition for third-party liability claims. Low cost; eliminates a forfeiture argument.</w:t>
            </w:r>
          </w:p>
        </w:tc>
      </w:tr>
      <w:tr>
        <w:tc>
          <w:tcPr>
            <w:tcW w:type="dxa" w:w="1656"/>
          </w:tcPr>
          <w:p>
            <w:pPr>
              <w:spacing w:after="20"/>
            </w:pPr>
            <w:r/>
            <w:r>
              <w:rPr>
                <w:b w:val="0"/>
                <w:i w:val="0"/>
                <w:sz w:val="17"/>
              </w:rPr>
              <w:t>Sat., March 15, 2025</w:t>
            </w:r>
          </w:p>
        </w:tc>
        <w:tc>
          <w:tcPr>
            <w:tcW w:type="dxa" w:w="3168"/>
          </w:tcPr>
          <w:p>
            <w:pPr>
              <w:spacing w:after="20"/>
            </w:pPr>
            <w:r/>
            <w:r>
              <w:rPr>
                <w:b w:val="0"/>
                <w:i w:val="0"/>
                <w:sz w:val="17"/>
              </w:rPr>
              <w:t>Ridgepoint’s stated sworn proof-of-loss deadline (60 days from Jan. 14, 2025). Falls on a Saturday.</w:t>
            </w:r>
          </w:p>
        </w:tc>
        <w:tc>
          <w:tcPr>
            <w:tcW w:type="dxa" w:w="1440"/>
          </w:tcPr>
          <w:p>
            <w:pPr>
              <w:spacing w:after="20"/>
            </w:pPr>
            <w:r/>
            <w:r>
              <w:rPr>
                <w:b w:val="0"/>
                <w:i w:val="0"/>
                <w:sz w:val="17"/>
              </w:rPr>
              <w:t>ROR §IV.H (p. 11) and §VII</w:t>
            </w:r>
          </w:p>
        </w:tc>
        <w:tc>
          <w:tcPr>
            <w:tcW w:type="dxa" w:w="3672"/>
          </w:tcPr>
          <w:p>
            <w:pPr>
              <w:spacing w:after="20"/>
            </w:pPr>
            <w:r/>
            <w:r>
              <w:rPr>
                <w:b w:val="0"/>
                <w:i w:val="0"/>
                <w:sz w:val="17"/>
              </w:rPr>
              <w:t>Dispute in writing (see §6, item 1). The ROR’s own quote of Condition 2.a.(c) states ninety (90) days.</w:t>
            </w:r>
          </w:p>
        </w:tc>
      </w:tr>
      <w:tr>
        <w:tc>
          <w:tcPr>
            <w:tcW w:type="dxa" w:w="1656"/>
          </w:tcPr>
          <w:p>
            <w:pPr>
              <w:spacing w:after="20"/>
            </w:pPr>
            <w:r/>
            <w:r>
              <w:rPr>
                <w:b w:val="0"/>
                <w:i w:val="0"/>
                <w:sz w:val="17"/>
              </w:rPr>
              <w:t>Fri., March 21, 2025 (conservative) to Mon., March 24, 2025</w:t>
            </w:r>
          </w:p>
        </w:tc>
        <w:tc>
          <w:tcPr>
            <w:tcW w:type="dxa" w:w="3168"/>
          </w:tcPr>
          <w:p>
            <w:pPr>
              <w:spacing w:after="20"/>
            </w:pPr>
            <w:r/>
            <w:r>
              <w:rPr>
                <w:b w:val="0"/>
                <w:i w:val="0"/>
                <w:sz w:val="17"/>
              </w:rPr>
              <w:t>Answer or other response to the Espinoza complaint: 28 days after service (Ohio Civ.R. 12(A)(1)). Complaint served by certified mail on the registered agent on Feb. 21, 2025; certified-mail service is complete on delivery (Civ.R. 4.1(A)(1)(a)). March 21 assumes same-day delivery; March 24 assumes delivery Mon., Feb. 24.</w:t>
            </w:r>
          </w:p>
        </w:tc>
        <w:tc>
          <w:tcPr>
            <w:tcW w:type="dxa" w:w="1440"/>
          </w:tcPr>
          <w:p>
            <w:pPr>
              <w:spacing w:after="20"/>
            </w:pPr>
            <w:r/>
            <w:r>
              <w:rPr>
                <w:b w:val="0"/>
                <w:i w:val="0"/>
                <w:sz w:val="17"/>
              </w:rPr>
              <w:t>Complaint, Certificate of Service</w:t>
            </w:r>
          </w:p>
        </w:tc>
        <w:tc>
          <w:tcPr>
            <w:tcW w:type="dxa" w:w="3672"/>
          </w:tcPr>
          <w:p>
            <w:pPr>
              <w:spacing w:after="20"/>
            </w:pPr>
            <w:r/>
            <w:r>
              <w:rPr>
                <w:b w:val="0"/>
                <w:i w:val="0"/>
                <w:sz w:val="17"/>
              </w:rPr>
              <w:t>Obtain the green card to fix the date. Require Hargrove Lipton &amp; Sears to confirm in writing, by March 14, that it will appear and answer or secure a stipulated leave to plead (Civ.R. 6(B)). Greenleaf should not depend on Ridgepoint resolving its SIR position before a default clock runs; if needed, Greenleaf’s own counsel should file a protective motion and the cost should be tendered as SIR/defense expense.</w:t>
            </w:r>
          </w:p>
        </w:tc>
      </w:tr>
      <w:tr>
        <w:tc>
          <w:tcPr>
            <w:tcW w:type="dxa" w:w="1656"/>
          </w:tcPr>
          <w:p>
            <w:pPr>
              <w:spacing w:after="20"/>
            </w:pPr>
            <w:r/>
            <w:r>
              <w:rPr>
                <w:b w:val="0"/>
                <w:i w:val="0"/>
                <w:sz w:val="17"/>
              </w:rPr>
              <w:t>Mon., April 7, 2025</w:t>
            </w:r>
          </w:p>
        </w:tc>
        <w:tc>
          <w:tcPr>
            <w:tcW w:type="dxa" w:w="3168"/>
          </w:tcPr>
          <w:p>
            <w:pPr>
              <w:spacing w:after="20"/>
            </w:pPr>
            <w:r/>
            <w:r>
              <w:rPr>
                <w:b w:val="0"/>
                <w:i w:val="0"/>
                <w:sz w:val="17"/>
              </w:rPr>
              <w:t>Responses to the 10 information requests: 30 calendar days from receipt (March 8 + 30 days). Date confirmed.</w:t>
            </w:r>
          </w:p>
        </w:tc>
        <w:tc>
          <w:tcPr>
            <w:tcW w:type="dxa" w:w="1440"/>
          </w:tcPr>
          <w:p>
            <w:pPr>
              <w:spacing w:after="20"/>
            </w:pPr>
            <w:r/>
            <w:r>
              <w:rPr>
                <w:b w:val="0"/>
                <w:i w:val="0"/>
                <w:sz w:val="17"/>
              </w:rPr>
              <w:t>ROR §§VI, VII</w:t>
            </w:r>
          </w:p>
        </w:tc>
        <w:tc>
          <w:tcPr>
            <w:tcW w:type="dxa" w:w="3672"/>
          </w:tcPr>
          <w:p>
            <w:pPr>
              <w:spacing w:after="20"/>
            </w:pPr>
            <w:r/>
            <w:r>
              <w:rPr>
                <w:b w:val="0"/>
                <w:i w:val="0"/>
                <w:sz w:val="17"/>
              </w:rPr>
              <w:t>Produce on a rolling basis under a confidentiality agreement; route sensitive items (maintenance records, OSHA file, internal root-cause materials) through counsel with a privilege log. See tracker in §9.</w:t>
            </w:r>
          </w:p>
        </w:tc>
      </w:tr>
      <w:tr>
        <w:tc>
          <w:tcPr>
            <w:tcW w:type="dxa" w:w="1656"/>
          </w:tcPr>
          <w:p>
            <w:pPr>
              <w:spacing w:after="20"/>
            </w:pPr>
            <w:r/>
            <w:r>
              <w:rPr>
                <w:b w:val="0"/>
                <w:i w:val="0"/>
                <w:sz w:val="17"/>
              </w:rPr>
              <w:t>Mon., April 14, 2025</w:t>
            </w:r>
          </w:p>
        </w:tc>
        <w:tc>
          <w:tcPr>
            <w:tcW w:type="dxa" w:w="3168"/>
          </w:tcPr>
          <w:p>
            <w:pPr>
              <w:spacing w:after="20"/>
            </w:pPr>
            <w:r/>
            <w:r>
              <w:rPr>
                <w:b w:val="0"/>
                <w:i w:val="0"/>
                <w:sz w:val="17"/>
              </w:rPr>
              <w:t>Correct sworn proof-of-loss deadline under Condition 2.a.(c) as block-quoted in the ROR (90 days from Jan. 14, 2025).</w:t>
            </w:r>
          </w:p>
        </w:tc>
        <w:tc>
          <w:tcPr>
            <w:tcW w:type="dxa" w:w="1440"/>
          </w:tcPr>
          <w:p>
            <w:pPr>
              <w:spacing w:after="20"/>
            </w:pPr>
            <w:r/>
            <w:r>
              <w:rPr>
                <w:b w:val="0"/>
                <w:i w:val="0"/>
                <w:sz w:val="17"/>
              </w:rPr>
              <w:t>ROR §IV.H; Nandakumar email</w:t>
            </w:r>
          </w:p>
        </w:tc>
        <w:tc>
          <w:tcPr>
            <w:tcW w:type="dxa" w:w="3672"/>
          </w:tcPr>
          <w:p>
            <w:pPr>
              <w:spacing w:after="20"/>
            </w:pPr>
            <w:r/>
            <w:r>
              <w:rPr>
                <w:b w:val="0"/>
                <w:i w:val="0"/>
                <w:sz w:val="17"/>
              </w:rPr>
              <w:t>Supplement the protective March 14 submission if needed. Confirm against the certified Policy.</w:t>
            </w:r>
          </w:p>
        </w:tc>
      </w:tr>
      <w:tr>
        <w:tc>
          <w:tcPr>
            <w:tcW w:type="dxa" w:w="1656"/>
          </w:tcPr>
          <w:p>
            <w:pPr>
              <w:spacing w:after="20"/>
            </w:pPr>
            <w:r/>
            <w:r>
              <w:rPr>
                <w:b w:val="0"/>
                <w:i w:val="0"/>
                <w:sz w:val="17"/>
              </w:rPr>
              <w:t>On or about July 14, 2025</w:t>
            </w:r>
          </w:p>
        </w:tc>
        <w:tc>
          <w:tcPr>
            <w:tcW w:type="dxa" w:w="3168"/>
          </w:tcPr>
          <w:p>
            <w:pPr>
              <w:spacing w:after="20"/>
            </w:pPr>
            <w:r/>
            <w:r>
              <w:rPr>
                <w:b w:val="0"/>
                <w:i w:val="0"/>
                <w:sz w:val="17"/>
              </w:rPr>
              <w:t>Outside date for OSHA to issue any citation from Investigation No. 1734982 (six months after the alleged violation, 29 U.S.C. § 658(c)).</w:t>
            </w:r>
          </w:p>
        </w:tc>
        <w:tc>
          <w:tcPr>
            <w:tcW w:type="dxa" w:w="1440"/>
          </w:tcPr>
          <w:p>
            <w:pPr>
              <w:spacing w:after="20"/>
            </w:pPr>
            <w:r/>
            <w:r>
              <w:rPr>
                <w:b w:val="0"/>
                <w:i w:val="0"/>
                <w:sz w:val="17"/>
              </w:rPr>
              <w:t>ROR §II; Complaint ¶33</w:t>
            </w:r>
          </w:p>
        </w:tc>
        <w:tc>
          <w:tcPr>
            <w:tcW w:type="dxa" w:w="3672"/>
          </w:tcPr>
          <w:p>
            <w:pPr>
              <w:spacing w:after="20"/>
            </w:pPr>
            <w:r/>
            <w:r>
              <w:rPr>
                <w:b w:val="0"/>
                <w:i w:val="0"/>
                <w:sz w:val="17"/>
              </w:rPr>
              <w:t>Coordinate OSHA communications with defense and coverage strategy; anything said to OSHA will be sought by plaintiffs and by Ridgepoint (ROR request 5).</w:t>
            </w:r>
          </w:p>
        </w:tc>
      </w:tr>
      <w:tr>
        <w:tc>
          <w:tcPr>
            <w:tcW w:type="dxa" w:w="1656"/>
          </w:tcPr>
          <w:p>
            <w:pPr>
              <w:spacing w:after="20"/>
            </w:pPr>
            <w:r/>
            <w:r>
              <w:rPr>
                <w:b w:val="0"/>
                <w:i w:val="0"/>
                <w:sz w:val="17"/>
              </w:rPr>
              <w:t>July 1, 2025</w:t>
            </w:r>
          </w:p>
        </w:tc>
        <w:tc>
          <w:tcPr>
            <w:tcW w:type="dxa" w:w="3168"/>
          </w:tcPr>
          <w:p>
            <w:pPr>
              <w:spacing w:after="20"/>
            </w:pPr>
            <w:r/>
            <w:r>
              <w:rPr>
                <w:b w:val="0"/>
                <w:i w:val="0"/>
                <w:sz w:val="17"/>
              </w:rPr>
              <w:t>Policy expiration. Renewal applications will ask about this loss and the OSHA history.</w:t>
            </w:r>
          </w:p>
        </w:tc>
        <w:tc>
          <w:tcPr>
            <w:tcW w:type="dxa" w:w="1440"/>
          </w:tcPr>
          <w:p>
            <w:pPr>
              <w:spacing w:after="20"/>
            </w:pPr>
            <w:r/>
            <w:r>
              <w:rPr>
                <w:b w:val="0"/>
                <w:i w:val="0"/>
                <w:sz w:val="17"/>
              </w:rPr>
              <w:t>Declarations</w:t>
            </w:r>
          </w:p>
        </w:tc>
        <w:tc>
          <w:tcPr>
            <w:tcW w:type="dxa" w:w="3672"/>
          </w:tcPr>
          <w:p>
            <w:pPr>
              <w:spacing w:after="20"/>
            </w:pPr>
            <w:r/>
            <w:r>
              <w:rPr>
                <w:b w:val="0"/>
                <w:i w:val="0"/>
                <w:sz w:val="17"/>
              </w:rPr>
              <w:t>Coordinate renewal disclosures with coverage counsel; the known-loss and misrepresentation themes make accuracy essential.</w:t>
            </w:r>
          </w:p>
        </w:tc>
      </w:tr>
      <w:tr>
        <w:tc>
          <w:tcPr>
            <w:tcW w:type="dxa" w:w="1656"/>
          </w:tcPr>
          <w:p>
            <w:pPr>
              <w:spacing w:after="20"/>
            </w:pPr>
            <w:r/>
            <w:r>
              <w:rPr>
                <w:b w:val="0"/>
                <w:i w:val="0"/>
                <w:sz w:val="17"/>
              </w:rPr>
              <w:t>Immediately</w:t>
            </w:r>
          </w:p>
        </w:tc>
        <w:tc>
          <w:tcPr>
            <w:tcW w:type="dxa" w:w="3168"/>
          </w:tcPr>
          <w:p>
            <w:pPr>
              <w:spacing w:after="20"/>
            </w:pPr>
            <w:r/>
            <w:r>
              <w:rPr>
                <w:b w:val="0"/>
                <w:i w:val="0"/>
                <w:sz w:val="17"/>
              </w:rPr>
              <w:t>Notice to umbrella/excess insurers, any Ohio stop-gap employer’s liability carrier, StaffBridge (MSA indemnity) and StaffBridge’s workers’ compensation/employer’s liability carrier; notice to Greenleaf’s first-party property insurer for the ~$2.8M Building C loss.</w:t>
            </w:r>
          </w:p>
        </w:tc>
        <w:tc>
          <w:tcPr>
            <w:tcW w:type="dxa" w:w="1440"/>
          </w:tcPr>
          <w:p>
            <w:pPr>
              <w:spacing w:after="20"/>
            </w:pPr>
            <w:r/>
            <w:r>
              <w:rPr>
                <w:b w:val="0"/>
                <w:i w:val="0"/>
                <w:sz w:val="17"/>
              </w:rPr>
              <w:t>Exposure analysis (§4)</w:t>
            </w:r>
          </w:p>
        </w:tc>
        <w:tc>
          <w:tcPr>
            <w:tcW w:type="dxa" w:w="3672"/>
          </w:tcPr>
          <w:p>
            <w:pPr>
              <w:spacing w:after="20"/>
            </w:pPr>
            <w:r/>
            <w:r>
              <w:rPr>
                <w:b w:val="0"/>
                <w:i w:val="0"/>
                <w:sz w:val="17"/>
              </w:rPr>
              <w:t>Most excess policies require notice of an occurrence likely to involve the excess layer; $39.85M of demands against a $5M primary plainly qualifies. Late notice to excess carriers is the risk Greenleaf controls.</w:t>
            </w:r>
          </w:p>
        </w:tc>
      </w:tr>
    </w:tbl>
    <w:p>
      <w:pPr>
        <w:spacing w:after="40"/>
      </w:pPr>
    </w:p>
    <w:p>
      <w:pPr>
        <w:pStyle w:val="Heading1"/>
      </w:pPr>
      <w:r>
        <w:t>3. Policy Key Terms (as extracted and cross-checked)</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728"/>
            <w:shd w:val="clear" w:color="auto" w:fill="1F3A5F"/>
          </w:tcPr>
          <w:p>
            <w:r/>
            <w:r>
              <w:rPr>
                <w:b/>
                <w:i w:val="0"/>
                <w:color w:val="FFFFFF"/>
                <w:sz w:val="17"/>
              </w:rPr>
              <w:t>Term</w:t>
            </w:r>
          </w:p>
        </w:tc>
        <w:tc>
          <w:tcPr>
            <w:tcW w:type="dxa" w:w="2736"/>
            <w:shd w:val="clear" w:color="auto" w:fill="1F3A5F"/>
          </w:tcPr>
          <w:p>
            <w:r/>
            <w:r>
              <w:rPr>
                <w:b/>
                <w:i w:val="0"/>
                <w:color w:val="FFFFFF"/>
                <w:sz w:val="17"/>
              </w:rPr>
              <w:t>ROR letter (body)</w:t>
            </w:r>
          </w:p>
        </w:tc>
        <w:tc>
          <w:tcPr>
            <w:tcW w:type="dxa" w:w="2736"/>
            <w:shd w:val="clear" w:color="auto" w:fill="1F3A5F"/>
          </w:tcPr>
          <w:p>
            <w:r/>
            <w:r>
              <w:rPr>
                <w:b/>
                <w:i w:val="0"/>
                <w:color w:val="FFFFFF"/>
                <w:sz w:val="17"/>
              </w:rPr>
              <w:t>ROR Exhibit A / Greenleaf Dec. Summary</w:t>
            </w:r>
          </w:p>
        </w:tc>
        <w:tc>
          <w:tcPr>
            <w:tcW w:type="dxa" w:w="2736"/>
            <w:shd w:val="clear" w:color="auto" w:fill="1F3A5F"/>
          </w:tcPr>
          <w:p>
            <w:r/>
            <w:r>
              <w:rPr>
                <w:b/>
                <w:i w:val="0"/>
                <w:color w:val="FFFFFF"/>
                <w:sz w:val="17"/>
              </w:rPr>
              <w:t>Comment</w:t>
            </w:r>
          </w:p>
        </w:tc>
      </w:tr>
      <w:tr>
        <w:tc>
          <w:tcPr>
            <w:tcW w:type="dxa" w:w="1728"/>
          </w:tcPr>
          <w:p>
            <w:pPr>
              <w:spacing w:after="20"/>
            </w:pPr>
            <w:r/>
            <w:r>
              <w:rPr>
                <w:b w:val="0"/>
                <w:i w:val="0"/>
                <w:sz w:val="17"/>
              </w:rPr>
              <w:t>Insurer</w:t>
            </w:r>
          </w:p>
        </w:tc>
        <w:tc>
          <w:tcPr>
            <w:tcW w:type="dxa" w:w="2736"/>
          </w:tcPr>
          <w:p>
            <w:pPr>
              <w:spacing w:after="20"/>
            </w:pPr>
            <w:r/>
            <w:r>
              <w:rPr>
                <w:b w:val="0"/>
                <w:i w:val="0"/>
                <w:sz w:val="17"/>
              </w:rPr>
              <w:t>Ridgepoint Casualty &amp; Indemnity Company</w:t>
            </w:r>
          </w:p>
        </w:tc>
        <w:tc>
          <w:tcPr>
            <w:tcW w:type="dxa" w:w="2736"/>
          </w:tcPr>
          <w:p>
            <w:pPr>
              <w:spacing w:after="20"/>
            </w:pPr>
            <w:r/>
            <w:r>
              <w:rPr>
                <w:b w:val="0"/>
                <w:i w:val="0"/>
                <w:sz w:val="17"/>
              </w:rPr>
              <w:t>Same; 2700 Fieldstone Blvd., Suite 800, Hartford, CT 06103; NAIC No. 38472</w:t>
            </w:r>
          </w:p>
        </w:tc>
        <w:tc>
          <w:tcPr>
            <w:tcW w:type="dxa" w:w="2736"/>
          </w:tcPr>
          <w:p>
            <w:pPr>
              <w:spacing w:after="20"/>
            </w:pPr>
            <w:r/>
            <w:r>
              <w:rPr>
                <w:b w:val="0"/>
                <w:i w:val="0"/>
                <w:sz w:val="17"/>
              </w:rPr>
              <w:t>Consistent.</w:t>
            </w:r>
          </w:p>
        </w:tc>
      </w:tr>
      <w:tr>
        <w:tc>
          <w:tcPr>
            <w:tcW w:type="dxa" w:w="1728"/>
          </w:tcPr>
          <w:p>
            <w:pPr>
              <w:spacing w:after="20"/>
            </w:pPr>
            <w:r/>
            <w:r>
              <w:rPr>
                <w:b w:val="0"/>
                <w:i w:val="0"/>
                <w:sz w:val="17"/>
              </w:rPr>
              <w:t>Named Insured / Additional Named Insured</w:t>
            </w:r>
          </w:p>
        </w:tc>
        <w:tc>
          <w:tcPr>
            <w:tcW w:type="dxa" w:w="2736"/>
          </w:tcPr>
          <w:p>
            <w:pPr>
              <w:spacing w:after="20"/>
            </w:pPr>
            <w:r/>
            <w:r>
              <w:rPr>
                <w:b w:val="0"/>
                <w:i w:val="0"/>
                <w:sz w:val="17"/>
              </w:rPr>
              <w:t>Greenleaf Manufacturing, Inc. / Greenleaf Precision Components, LLC</w:t>
            </w:r>
          </w:p>
        </w:tc>
        <w:tc>
          <w:tcPr>
            <w:tcW w:type="dxa" w:w="2736"/>
          </w:tcPr>
          <w:p>
            <w:pPr>
              <w:spacing w:after="20"/>
            </w:pPr>
            <w:r/>
            <w:r>
              <w:rPr>
                <w:b w:val="0"/>
                <w:i w:val="0"/>
                <w:sz w:val="17"/>
              </w:rPr>
              <w:t>Same (GPC is a wholly owned Ohio LLC subsidiary)</w:t>
            </w:r>
          </w:p>
        </w:tc>
        <w:tc>
          <w:tcPr>
            <w:tcW w:type="dxa" w:w="2736"/>
          </w:tcPr>
          <w:p>
            <w:pPr>
              <w:spacing w:after="20"/>
            </w:pPr>
            <w:r/>
            <w:r>
              <w:rPr>
                <w:b w:val="0"/>
                <w:i w:val="0"/>
                <w:sz w:val="17"/>
              </w:rPr>
              <w:t>GPC is not a defendant in Espinoza (Compl. ¶13).</w:t>
            </w:r>
          </w:p>
        </w:tc>
      </w:tr>
      <w:tr>
        <w:tc>
          <w:tcPr>
            <w:tcW w:type="dxa" w:w="1728"/>
          </w:tcPr>
          <w:p>
            <w:pPr>
              <w:spacing w:after="20"/>
            </w:pPr>
            <w:r/>
            <w:r>
              <w:rPr>
                <w:b w:val="0"/>
                <w:i w:val="0"/>
                <w:sz w:val="17"/>
              </w:rPr>
              <w:t>Policy number</w:t>
            </w:r>
          </w:p>
        </w:tc>
        <w:tc>
          <w:tcPr>
            <w:tcW w:type="dxa" w:w="2736"/>
          </w:tcPr>
          <w:p>
            <w:pPr>
              <w:spacing w:after="20"/>
            </w:pPr>
            <w:r/>
            <w:r>
              <w:rPr>
                <w:b w:val="0"/>
                <w:i w:val="0"/>
                <w:sz w:val="17"/>
              </w:rPr>
              <w:t>CGL-OH-2023-88741</w:t>
            </w:r>
          </w:p>
        </w:tc>
        <w:tc>
          <w:tcPr>
            <w:tcW w:type="dxa" w:w="2736"/>
          </w:tcPr>
          <w:p>
            <w:pPr>
              <w:spacing w:after="20"/>
            </w:pPr>
            <w:r/>
            <w:r>
              <w:rPr>
                <w:b w:val="0"/>
                <w:i w:val="0"/>
                <w:sz w:val="17"/>
              </w:rPr>
              <w:t>Same</w:t>
            </w:r>
          </w:p>
        </w:tc>
        <w:tc>
          <w:tcPr>
            <w:tcW w:type="dxa" w:w="2736"/>
          </w:tcPr>
          <w:p>
            <w:pPr>
              <w:spacing w:after="20"/>
            </w:pPr>
            <w:r/>
            <w:r>
              <w:rPr>
                <w:b w:val="0"/>
                <w:i w:val="0"/>
                <w:sz w:val="17"/>
              </w:rPr>
              <w:t>The “2023” designation suggests a renewal program. Clarify what “inception date of this policy” means in RCI-EXCL-2024-018 (current term July 1, 2024, or original program inception) — any ambiguity is construed against Ridgepoint.</w:t>
            </w:r>
          </w:p>
        </w:tc>
      </w:tr>
      <w:tr>
        <w:tc>
          <w:tcPr>
            <w:tcW w:type="dxa" w:w="1728"/>
          </w:tcPr>
          <w:p>
            <w:pPr>
              <w:spacing w:after="20"/>
            </w:pPr>
            <w:r/>
            <w:r>
              <w:rPr>
                <w:b w:val="0"/>
                <w:i w:val="0"/>
                <w:sz w:val="17"/>
              </w:rPr>
              <w:t>Policy form</w:t>
            </w:r>
          </w:p>
        </w:tc>
        <w:tc>
          <w:tcPr>
            <w:tcW w:type="dxa" w:w="2736"/>
          </w:tcPr>
          <w:p>
            <w:pPr>
              <w:spacing w:after="20"/>
            </w:pPr>
            <w:r/>
            <w:r>
              <w:rPr>
                <w:b w:val="0"/>
                <w:i w:val="0"/>
                <w:sz w:val="17"/>
              </w:rPr>
              <w:t xml:space="preserve">ISO </w:t>
            </w:r>
            <w:r>
              <w:rPr>
                <w:b/>
                <w:i w:val="0"/>
                <w:sz w:val="17"/>
              </w:rPr>
              <w:t>CG 00 01 12 07</w:t>
            </w:r>
          </w:p>
        </w:tc>
        <w:tc>
          <w:tcPr>
            <w:tcW w:type="dxa" w:w="2736"/>
          </w:tcPr>
          <w:p>
            <w:pPr>
              <w:spacing w:after="20"/>
            </w:pPr>
            <w:r/>
            <w:r>
              <w:rPr>
                <w:b w:val="0"/>
                <w:i w:val="0"/>
                <w:sz w:val="17"/>
              </w:rPr>
              <w:t xml:space="preserve">ISO </w:t>
            </w:r>
            <w:r>
              <w:rPr>
                <w:b/>
                <w:i w:val="0"/>
                <w:sz w:val="17"/>
              </w:rPr>
              <w:t>CG 00 01 04 13</w:t>
            </w:r>
            <w:r>
              <w:rPr>
                <w:b w:val="0"/>
                <w:i w:val="0"/>
                <w:sz w:val="17"/>
              </w:rPr>
              <w:t xml:space="preserve"> (both Exhibit A and Dec. Summary)</w:t>
            </w:r>
          </w:p>
        </w:tc>
        <w:tc>
          <w:tcPr>
            <w:tcW w:type="dxa" w:w="2736"/>
          </w:tcPr>
          <w:p>
            <w:pPr>
              <w:spacing w:after="20"/>
            </w:pPr>
            <w:r/>
            <w:r>
              <w:rPr>
                <w:b/>
                <w:i w:val="0"/>
                <w:sz w:val="17"/>
              </w:rPr>
              <w:t>Discrepancy.</w:t>
            </w:r>
            <w:r>
              <w:rPr>
                <w:b w:val="0"/>
                <w:i w:val="0"/>
                <w:sz w:val="17"/>
              </w:rPr>
              <w:t xml:space="preserve"> The ROR may be quoting the wrong form edition. The listed endorsements (CG 20 33 04 13, CG 21 39 04 13) are 04 13 editions. Demand a certified copy.</w:t>
            </w:r>
          </w:p>
        </w:tc>
      </w:tr>
      <w:tr>
        <w:tc>
          <w:tcPr>
            <w:tcW w:type="dxa" w:w="1728"/>
          </w:tcPr>
          <w:p>
            <w:pPr>
              <w:spacing w:after="20"/>
            </w:pPr>
            <w:r/>
            <w:r>
              <w:rPr>
                <w:b w:val="0"/>
                <w:i w:val="0"/>
                <w:sz w:val="17"/>
              </w:rPr>
              <w:t>Policy type / period</w:t>
            </w:r>
          </w:p>
        </w:tc>
        <w:tc>
          <w:tcPr>
            <w:tcW w:type="dxa" w:w="2736"/>
          </w:tcPr>
          <w:p>
            <w:pPr>
              <w:spacing w:after="20"/>
            </w:pPr>
            <w:r/>
            <w:r>
              <w:rPr>
                <w:b w:val="0"/>
                <w:i w:val="0"/>
                <w:sz w:val="17"/>
              </w:rPr>
              <w:t>July 1, 2024 – July 1, 2025</w:t>
            </w:r>
          </w:p>
        </w:tc>
        <w:tc>
          <w:tcPr>
            <w:tcW w:type="dxa" w:w="2736"/>
          </w:tcPr>
          <w:p>
            <w:pPr>
              <w:spacing w:after="20"/>
            </w:pPr>
            <w:r/>
            <w:r>
              <w:rPr>
                <w:b w:val="0"/>
                <w:i w:val="0"/>
                <w:sz w:val="17"/>
              </w:rPr>
              <w:t>Occurrence form; 12:01 a.m. standard time; no retroactive date</w:t>
            </w:r>
          </w:p>
        </w:tc>
        <w:tc>
          <w:tcPr>
            <w:tcW w:type="dxa" w:w="2736"/>
          </w:tcPr>
          <w:p>
            <w:pPr>
              <w:spacing w:after="20"/>
            </w:pPr>
            <w:r/>
            <w:r>
              <w:rPr>
                <w:b w:val="0"/>
                <w:i w:val="0"/>
                <w:sz w:val="17"/>
              </w:rPr>
              <w:t>Jan. 14, 2025 occurrence is within the period; trigger not disputed.</w:t>
            </w:r>
          </w:p>
        </w:tc>
      </w:tr>
      <w:tr>
        <w:tc>
          <w:tcPr>
            <w:tcW w:type="dxa" w:w="1728"/>
          </w:tcPr>
          <w:p>
            <w:pPr>
              <w:spacing w:after="20"/>
            </w:pPr>
            <w:r/>
            <w:r>
              <w:rPr>
                <w:b w:val="0"/>
                <w:i w:val="0"/>
                <w:sz w:val="17"/>
              </w:rPr>
              <w:t>Coverage A — each occurrence</w:t>
            </w:r>
          </w:p>
        </w:tc>
        <w:tc>
          <w:tcPr>
            <w:tcW w:type="dxa" w:w="2736"/>
          </w:tcPr>
          <w:p>
            <w:pPr>
              <w:spacing w:after="20"/>
            </w:pPr>
            <w:r/>
            <w:r>
              <w:rPr>
                <w:b w:val="0"/>
                <w:i w:val="0"/>
                <w:sz w:val="17"/>
              </w:rPr>
              <w:t>$5,000,000</w:t>
            </w:r>
          </w:p>
        </w:tc>
        <w:tc>
          <w:tcPr>
            <w:tcW w:type="dxa" w:w="2736"/>
          </w:tcPr>
          <w:p>
            <w:pPr>
              <w:spacing w:after="20"/>
            </w:pPr>
            <w:r/>
            <w:r>
              <w:rPr>
                <w:b w:val="0"/>
                <w:i w:val="0"/>
                <w:sz w:val="17"/>
              </w:rPr>
              <w:t>$5,000,000</w:t>
            </w:r>
          </w:p>
        </w:tc>
        <w:tc>
          <w:tcPr>
            <w:tcW w:type="dxa" w:w="2736"/>
          </w:tcPr>
          <w:p>
            <w:pPr>
              <w:spacing w:after="20"/>
            </w:pPr>
            <w:r/>
            <w:r>
              <w:rPr>
                <w:b w:val="0"/>
                <w:i w:val="0"/>
                <w:sz w:val="17"/>
              </w:rPr>
              <w:t>Single explosion = one occurrence under any recognized test; one limit and one SIR.</w:t>
            </w:r>
          </w:p>
        </w:tc>
      </w:tr>
      <w:tr>
        <w:tc>
          <w:tcPr>
            <w:tcW w:type="dxa" w:w="1728"/>
          </w:tcPr>
          <w:p>
            <w:pPr>
              <w:spacing w:after="20"/>
            </w:pPr>
            <w:r/>
            <w:r>
              <w:rPr>
                <w:b w:val="0"/>
                <w:i w:val="0"/>
                <w:sz w:val="17"/>
              </w:rPr>
              <w:t>General aggregate / products-completed ops aggregate</w:t>
            </w:r>
          </w:p>
        </w:tc>
        <w:tc>
          <w:tcPr>
            <w:tcW w:type="dxa" w:w="2736"/>
          </w:tcPr>
          <w:p>
            <w:pPr>
              <w:spacing w:after="20"/>
            </w:pPr>
            <w:r/>
            <w:r>
              <w:rPr>
                <w:b w:val="0"/>
                <w:i w:val="0"/>
                <w:sz w:val="17"/>
              </w:rPr>
              <w:t>Not stated in body</w:t>
            </w:r>
          </w:p>
        </w:tc>
        <w:tc>
          <w:tcPr>
            <w:tcW w:type="dxa" w:w="2736"/>
          </w:tcPr>
          <w:p>
            <w:pPr>
              <w:spacing w:after="20"/>
            </w:pPr>
            <w:r/>
            <w:r>
              <w:rPr>
                <w:b w:val="0"/>
                <w:i w:val="0"/>
                <w:sz w:val="17"/>
              </w:rPr>
              <w:t>$10,000,000 / $5,000,000; no prior erosion</w:t>
            </w:r>
          </w:p>
        </w:tc>
        <w:tc>
          <w:tcPr>
            <w:tcW w:type="dxa" w:w="2736"/>
          </w:tcPr>
          <w:p>
            <w:pPr>
              <w:spacing w:after="20"/>
            </w:pPr>
            <w:r/>
            <w:r>
              <w:rPr>
                <w:b w:val="0"/>
                <w:i w:val="0"/>
                <w:sz w:val="17"/>
              </w:rPr>
              <w:t>Aggregate does not expand per-occurrence recovery for this loss.</w:t>
            </w:r>
          </w:p>
        </w:tc>
      </w:tr>
      <w:tr>
        <w:tc>
          <w:tcPr>
            <w:tcW w:type="dxa" w:w="1728"/>
          </w:tcPr>
          <w:p>
            <w:pPr>
              <w:spacing w:after="20"/>
            </w:pPr>
            <w:r/>
            <w:r>
              <w:rPr>
                <w:b w:val="0"/>
                <w:i w:val="0"/>
                <w:sz w:val="17"/>
              </w:rPr>
              <w:t>Coverage B — each offense</w:t>
            </w:r>
          </w:p>
        </w:tc>
        <w:tc>
          <w:tcPr>
            <w:tcW w:type="dxa" w:w="2736"/>
          </w:tcPr>
          <w:p>
            <w:pPr>
              <w:spacing w:after="20"/>
            </w:pPr>
            <w:r/>
            <w:r>
              <w:rPr>
                <w:b w:val="0"/>
                <w:i w:val="0"/>
                <w:sz w:val="17"/>
              </w:rPr>
              <w:t>$1,000,000</w:t>
            </w:r>
          </w:p>
        </w:tc>
        <w:tc>
          <w:tcPr>
            <w:tcW w:type="dxa" w:w="2736"/>
          </w:tcPr>
          <w:p>
            <w:pPr>
              <w:spacing w:after="20"/>
            </w:pPr>
            <w:r/>
            <w:r>
              <w:rPr>
                <w:b w:val="0"/>
                <w:i w:val="0"/>
                <w:sz w:val="17"/>
              </w:rPr>
              <w:t>$1,000,000</w:t>
            </w:r>
          </w:p>
        </w:tc>
        <w:tc>
          <w:tcPr>
            <w:tcW w:type="dxa" w:w="2736"/>
          </w:tcPr>
          <w:p>
            <w:pPr>
              <w:spacing w:after="20"/>
            </w:pPr>
            <w:r/>
            <w:r>
              <w:rPr>
                <w:b w:val="0"/>
                <w:i w:val="0"/>
                <w:sz w:val="17"/>
              </w:rPr>
              <w:t>Not implicated.</w:t>
            </w:r>
          </w:p>
        </w:tc>
      </w:tr>
      <w:tr>
        <w:tc>
          <w:tcPr>
            <w:tcW w:type="dxa" w:w="1728"/>
          </w:tcPr>
          <w:p>
            <w:pPr>
              <w:spacing w:after="20"/>
            </w:pPr>
            <w:r/>
            <w:r>
              <w:rPr>
                <w:b w:val="0"/>
                <w:i w:val="0"/>
                <w:sz w:val="17"/>
              </w:rPr>
              <w:t>Coverage C — medical payments</w:t>
            </w:r>
          </w:p>
        </w:tc>
        <w:tc>
          <w:tcPr>
            <w:tcW w:type="dxa" w:w="2736"/>
          </w:tcPr>
          <w:p>
            <w:pPr>
              <w:spacing w:after="20"/>
            </w:pPr>
            <w:r/>
            <w:r>
              <w:rPr>
                <w:b w:val="0"/>
                <w:i w:val="0"/>
                <w:sz w:val="17"/>
              </w:rPr>
              <w:t>$10,000 per person; ROR suggests it “may be potentially applicable”</w:t>
            </w:r>
          </w:p>
        </w:tc>
        <w:tc>
          <w:tcPr>
            <w:tcW w:type="dxa" w:w="2736"/>
          </w:tcPr>
          <w:p>
            <w:pPr>
              <w:spacing w:after="20"/>
            </w:pPr>
            <w:r/>
            <w:r>
              <w:rPr>
                <w:b w:val="0"/>
                <w:i w:val="0"/>
                <w:sz w:val="17"/>
              </w:rPr>
              <w:t>$10,000 each person</w:t>
            </w:r>
          </w:p>
        </w:tc>
        <w:tc>
          <w:tcPr>
            <w:tcW w:type="dxa" w:w="2736"/>
          </w:tcPr>
          <w:p>
            <w:pPr>
              <w:spacing w:after="20"/>
            </w:pPr>
            <w:r/>
            <w:r>
              <w:rPr>
                <w:b w:val="0"/>
                <w:i w:val="0"/>
                <w:sz w:val="17"/>
              </w:rPr>
              <w:t>Likely illusory for the StaffBridge workers: standard CG 00 01 Coverage C excludes persons hired to do work for an insured and persons for whom workers’ compensation benefits are payable. Do not count on it.</w:t>
            </w:r>
          </w:p>
        </w:tc>
      </w:tr>
      <w:tr>
        <w:tc>
          <w:tcPr>
            <w:tcW w:type="dxa" w:w="1728"/>
          </w:tcPr>
          <w:p>
            <w:pPr>
              <w:spacing w:after="20"/>
            </w:pPr>
            <w:r/>
            <w:r>
              <w:rPr>
                <w:b w:val="0"/>
                <w:i w:val="0"/>
                <w:sz w:val="17"/>
              </w:rPr>
              <w:t>Damage to premises rented to you</w:t>
            </w:r>
          </w:p>
        </w:tc>
        <w:tc>
          <w:tcPr>
            <w:tcW w:type="dxa" w:w="2736"/>
          </w:tcPr>
          <w:p>
            <w:pPr>
              <w:spacing w:after="20"/>
            </w:pPr>
            <w:r/>
            <w:r>
              <w:rPr>
                <w:b w:val="0"/>
                <w:i w:val="0"/>
                <w:sz w:val="17"/>
              </w:rPr>
              <w:t>Not stated</w:t>
            </w:r>
          </w:p>
        </w:tc>
        <w:tc>
          <w:tcPr>
            <w:tcW w:type="dxa" w:w="2736"/>
          </w:tcPr>
          <w:p>
            <w:pPr>
              <w:spacing w:after="20"/>
            </w:pPr>
            <w:r/>
            <w:r>
              <w:rPr>
                <w:b w:val="0"/>
                <w:i w:val="0"/>
                <w:sz w:val="17"/>
              </w:rPr>
              <w:t>$300,000 any one premises</w:t>
            </w:r>
          </w:p>
        </w:tc>
        <w:tc>
          <w:tcPr>
            <w:tcW w:type="dxa" w:w="2736"/>
          </w:tcPr>
          <w:p>
            <w:pPr>
              <w:spacing w:after="20"/>
            </w:pPr>
            <w:r/>
            <w:r>
              <w:rPr>
                <w:b w:val="0"/>
                <w:i w:val="0"/>
                <w:sz w:val="17"/>
              </w:rPr>
              <w:t>Not implicated (Greenleaf owns the premises).</w:t>
            </w:r>
          </w:p>
        </w:tc>
      </w:tr>
      <w:tr>
        <w:tc>
          <w:tcPr>
            <w:tcW w:type="dxa" w:w="1728"/>
          </w:tcPr>
          <w:p>
            <w:pPr>
              <w:spacing w:after="20"/>
            </w:pPr>
            <w:r/>
            <w:r>
              <w:rPr>
                <w:b w:val="0"/>
                <w:i w:val="0"/>
                <w:sz w:val="17"/>
              </w:rPr>
              <w:t>SIR</w:t>
            </w:r>
          </w:p>
        </w:tc>
        <w:tc>
          <w:tcPr>
            <w:tcW w:type="dxa" w:w="2736"/>
          </w:tcPr>
          <w:p>
            <w:pPr>
              <w:spacing w:after="20"/>
            </w:pPr>
            <w:r/>
            <w:r>
              <w:rPr>
                <w:b w:val="0"/>
                <w:i w:val="0"/>
                <w:sz w:val="17"/>
              </w:rPr>
              <w:t xml:space="preserve">$250,000 per occurrence, Coverage A only (RCI-SIR-2024-003). Quoted text: SIR satisfied “by the payment of covered claims </w:t>
            </w:r>
            <w:r>
              <w:rPr>
                <w:b/>
                <w:i w:val="0"/>
                <w:sz w:val="17"/>
              </w:rPr>
              <w:t>or defense costs</w:t>
            </w:r>
            <w:r>
              <w:rPr>
                <w:b w:val="0"/>
                <w:i w:val="0"/>
                <w:sz w:val="17"/>
              </w:rPr>
              <w:t>”; duty to defend commences after SIR “fully exhausted by the payment of covered claims.”</w:t>
            </w:r>
          </w:p>
        </w:tc>
        <w:tc>
          <w:tcPr>
            <w:tcW w:type="dxa" w:w="2736"/>
          </w:tcPr>
          <w:p>
            <w:pPr>
              <w:spacing w:after="20"/>
            </w:pPr>
            <w:r/>
            <w:r>
              <w:rPr>
                <w:b w:val="0"/>
                <w:i w:val="0"/>
                <w:sz w:val="17"/>
              </w:rPr>
              <w:t>Same amount. Dec. Summary: duty to defend arises only after exhaustion by “payment of judgments or settlements”; insured bears pre-exhaustion defense costs, which “</w:t>
            </w:r>
            <w:r>
              <w:rPr>
                <w:b/>
                <w:i w:val="0"/>
                <w:sz w:val="17"/>
              </w:rPr>
              <w:t>do not reduce or erode</w:t>
            </w:r>
            <w:r>
              <w:rPr>
                <w:b w:val="0"/>
                <w:i w:val="0"/>
                <w:sz w:val="17"/>
              </w:rPr>
              <w:t xml:space="preserve"> the SIR”; insurer appoints counsel after exhaustion.</w:t>
            </w:r>
          </w:p>
        </w:tc>
        <w:tc>
          <w:tcPr>
            <w:tcW w:type="dxa" w:w="2736"/>
          </w:tcPr>
          <w:p>
            <w:pPr>
              <w:spacing w:after="20"/>
            </w:pPr>
            <w:r/>
            <w:r>
              <w:rPr>
                <w:b/>
                <w:i w:val="0"/>
                <w:sz w:val="17"/>
              </w:rPr>
              <w:t>Discrepancy</w:t>
            </w:r>
            <w:r>
              <w:rPr>
                <w:b w:val="0"/>
                <w:i w:val="0"/>
                <w:sz w:val="17"/>
              </w:rPr>
              <w:t xml:space="preserve"> on whether defense costs erode the SIR — worth up to $250,000 to Greenleaf. Whether the $5M limit sits excess of, or is reduced by, the SIR is not stated anywhere; obtain the endorsement text.</w:t>
            </w:r>
          </w:p>
        </w:tc>
      </w:tr>
      <w:tr>
        <w:tc>
          <w:tcPr>
            <w:tcW w:type="dxa" w:w="1728"/>
          </w:tcPr>
          <w:p>
            <w:pPr>
              <w:spacing w:after="20"/>
            </w:pPr>
            <w:r/>
            <w:r>
              <w:rPr>
                <w:b w:val="0"/>
                <w:i w:val="0"/>
                <w:sz w:val="17"/>
              </w:rPr>
              <w:t>Premium</w:t>
            </w:r>
          </w:p>
        </w:tc>
        <w:tc>
          <w:tcPr>
            <w:tcW w:type="dxa" w:w="2736"/>
          </w:tcPr>
          <w:p>
            <w:pPr>
              <w:spacing w:after="20"/>
            </w:pPr>
            <w:r/>
            <w:r>
              <w:rPr>
                <w:b w:val="0"/>
                <w:i w:val="0"/>
                <w:sz w:val="17"/>
              </w:rPr>
              <w:t>$347,500, paid in full; no reservation on premium</w:t>
            </w:r>
          </w:p>
        </w:tc>
        <w:tc>
          <w:tcPr>
            <w:tcW w:type="dxa" w:w="2736"/>
          </w:tcPr>
          <w:p>
            <w:pPr>
              <w:spacing w:after="20"/>
            </w:pPr>
            <w:r/>
            <w:r>
              <w:rPr>
                <w:b w:val="0"/>
                <w:i w:val="0"/>
                <w:sz w:val="17"/>
              </w:rPr>
              <w:t>Same</w:t>
            </w:r>
          </w:p>
        </w:tc>
        <w:tc>
          <w:tcPr>
            <w:tcW w:type="dxa" w:w="2736"/>
          </w:tcPr>
          <w:p>
            <w:pPr>
              <w:spacing w:after="20"/>
            </w:pPr>
            <w:r/>
            <w:r>
              <w:rPr>
                <w:b w:val="0"/>
                <w:i w:val="0"/>
                <w:sz w:val="17"/>
              </w:rPr>
              <w:t>No premium defense.</w:t>
            </w:r>
          </w:p>
        </w:tc>
      </w:tr>
      <w:tr>
        <w:tc>
          <w:tcPr>
            <w:tcW w:type="dxa" w:w="1728"/>
          </w:tcPr>
          <w:p>
            <w:pPr>
              <w:spacing w:after="20"/>
            </w:pPr>
            <w:r/>
            <w:r>
              <w:rPr>
                <w:b w:val="0"/>
                <w:i w:val="0"/>
                <w:sz w:val="17"/>
              </w:rPr>
              <w:t>Broker</w:t>
            </w:r>
          </w:p>
        </w:tc>
        <w:tc>
          <w:tcPr>
            <w:tcW w:type="dxa" w:w="2736"/>
          </w:tcPr>
          <w:p>
            <w:pPr>
              <w:spacing w:after="20"/>
            </w:pPr>
            <w:r/>
            <w:r>
              <w:rPr>
                <w:b w:val="0"/>
                <w:i w:val="0"/>
                <w:sz w:val="17"/>
              </w:rPr>
              <w:t>—</w:t>
            </w:r>
          </w:p>
        </w:tc>
        <w:tc>
          <w:tcPr>
            <w:tcW w:type="dxa" w:w="2736"/>
          </w:tcPr>
          <w:p>
            <w:pPr>
              <w:spacing w:after="20"/>
            </w:pPr>
            <w:r/>
            <w:r>
              <w:rPr>
                <w:b w:val="0"/>
                <w:i w:val="0"/>
                <w:sz w:val="17"/>
              </w:rPr>
              <w:t>Lakeshore Risk Advisors, LLC (David Kowalski)</w:t>
            </w:r>
          </w:p>
        </w:tc>
        <w:tc>
          <w:tcPr>
            <w:tcW w:type="dxa" w:w="2736"/>
          </w:tcPr>
          <w:p>
            <w:pPr>
              <w:spacing w:after="20"/>
            </w:pPr>
            <w:r/>
            <w:r>
              <w:rPr>
                <w:b w:val="0"/>
                <w:i w:val="0"/>
                <w:sz w:val="17"/>
              </w:rPr>
              <w:t>Ask broker for the full policy, the application, and all excess/umbrella and stop-gap policies.</w:t>
            </w:r>
          </w:p>
        </w:tc>
      </w:tr>
      <w:tr>
        <w:tc>
          <w:tcPr>
            <w:tcW w:type="dxa" w:w="1728"/>
          </w:tcPr>
          <w:p>
            <w:pPr>
              <w:spacing w:after="20"/>
            </w:pPr>
            <w:r/>
            <w:r>
              <w:rPr>
                <w:b w:val="0"/>
                <w:i w:val="0"/>
                <w:sz w:val="17"/>
              </w:rPr>
              <w:t>Endorsements (7)</w:t>
            </w:r>
          </w:p>
        </w:tc>
        <w:tc>
          <w:tcPr>
            <w:tcW w:type="dxa" w:w="2736"/>
          </w:tcPr>
          <w:p>
            <w:pPr>
              <w:spacing w:after="20"/>
            </w:pPr>
            <w:r/>
            <w:r>
              <w:rPr>
                <w:b w:val="0"/>
                <w:i w:val="0"/>
                <w:sz w:val="17"/>
              </w:rPr>
              <w:t>RCI-SIR-2024-003; CG 20 33 04 13 (AI — StaffBridge); RCI-EXCL-2024-011; CG 21 39 04 13; CG 21 49 09 99; RCI-EXCL-2024-018; CG 24 04 04 13 (waiver of subrogation — StaffBridge)</w:t>
            </w:r>
          </w:p>
        </w:tc>
        <w:tc>
          <w:tcPr>
            <w:tcW w:type="dxa" w:w="2736"/>
          </w:tcPr>
          <w:p>
            <w:pPr>
              <w:spacing w:after="20"/>
            </w:pPr>
            <w:r/>
            <w:r>
              <w:rPr>
                <w:b w:val="0"/>
                <w:i w:val="0"/>
                <w:sz w:val="17"/>
              </w:rPr>
              <w:t>Same seven</w:t>
            </w:r>
          </w:p>
        </w:tc>
        <w:tc>
          <w:tcPr>
            <w:tcW w:type="dxa" w:w="2736"/>
          </w:tcPr>
          <w:p>
            <w:pPr>
              <w:spacing w:after="20"/>
            </w:pPr>
            <w:r/>
            <w:r>
              <w:rPr>
                <w:b w:val="0"/>
                <w:i w:val="0"/>
                <w:sz w:val="17"/>
              </w:rPr>
              <w:t>Schedule consistent; wording of RCI-EXCL-2024-011 and RCI-SIR-2024-003 is not.</w:t>
            </w:r>
          </w:p>
        </w:tc>
      </w:tr>
      <w:tr>
        <w:tc>
          <w:tcPr>
            <w:tcW w:type="dxa" w:w="1728"/>
          </w:tcPr>
          <w:p>
            <w:pPr>
              <w:spacing w:after="20"/>
            </w:pPr>
            <w:r/>
            <w:r>
              <w:rPr>
                <w:b w:val="0"/>
                <w:i w:val="0"/>
                <w:sz w:val="17"/>
              </w:rPr>
              <w:t>Conditions cited</w:t>
            </w:r>
          </w:p>
        </w:tc>
        <w:tc>
          <w:tcPr>
            <w:tcW w:type="dxa" w:w="2736"/>
          </w:tcPr>
          <w:p>
            <w:pPr>
              <w:spacing w:after="20"/>
            </w:pPr>
            <w:r/>
            <w:r>
              <w:rPr>
                <w:b w:val="0"/>
                <w:i w:val="0"/>
                <w:sz w:val="17"/>
              </w:rPr>
              <w:t xml:space="preserve">Cond. 2.a (notice “as soon as practicable”; (c) sworn proof of loss within </w:t>
            </w:r>
            <w:r>
              <w:rPr>
                <w:b/>
                <w:i w:val="0"/>
                <w:sz w:val="17"/>
              </w:rPr>
              <w:t>90</w:t>
            </w:r>
            <w:r>
              <w:rPr>
                <w:b w:val="0"/>
                <w:i w:val="0"/>
                <w:sz w:val="17"/>
              </w:rPr>
              <w:t xml:space="preserve"> days); Cond. 2.d (cooperation); voluntary payments; forward legal papers</w:t>
            </w:r>
          </w:p>
        </w:tc>
        <w:tc>
          <w:tcPr>
            <w:tcW w:type="dxa" w:w="2736"/>
          </w:tcPr>
          <w:p>
            <w:pPr>
              <w:spacing w:after="20"/>
            </w:pPr>
            <w:r/>
            <w:r>
              <w:rPr>
                <w:b w:val="0"/>
                <w:i w:val="0"/>
                <w:sz w:val="17"/>
              </w:rPr>
              <w:t>Not addressed</w:t>
            </w:r>
          </w:p>
        </w:tc>
        <w:tc>
          <w:tcPr>
            <w:tcW w:type="dxa" w:w="2736"/>
          </w:tcPr>
          <w:p>
            <w:pPr>
              <w:spacing w:after="20"/>
            </w:pPr>
            <w:r/>
            <w:r>
              <w:rPr>
                <w:b w:val="0"/>
                <w:i w:val="0"/>
                <w:sz w:val="17"/>
              </w:rPr>
              <w:t>A sworn proof-of-loss requirement is not part of the ISO CG 00 01 conditions, and ISO places cooperation in 2.c, not 2.d. Either the Policy contains manuscript conditions or the ROR is misquoting. Verify.</w:t>
            </w:r>
          </w:p>
        </w:tc>
      </w:tr>
    </w:tbl>
    <w:p>
      <w:pPr>
        <w:spacing w:after="40"/>
      </w:pPr>
    </w:p>
    <w:p>
      <w:pPr>
        <w:pStyle w:val="Heading1"/>
      </w:pPr>
      <w:r>
        <w:t>4. Underlying Claims and Exposure</w:t>
      </w:r>
    </w:p>
    <w:p>
      <w:pPr>
        <w:pStyle w:val="Heading2"/>
      </w:pPr>
      <w:r>
        <w:t>4.1 Espinoza et al. v. Greenleaf Manufacturing, Inc., Case No. 2025-CV-01938 (Summit Cty. C.P.)</w:t>
      </w:r>
    </w:p>
    <w:p>
      <w:r>
        <w:rPr>
          <w:b w:val="0"/>
          <w:i w:val="0"/>
          <w:sz w:val="19"/>
        </w:rPr>
        <w:t>Filed and served (certified mail) Feb. 21, 2025; jury demand; plaintiffs’ counsel Derek Winslow, Esq., Winslow Garrett Trial Group, LLC, Cleveland. Twelve plaintiffs: nine StaffBridge contract workers (night shift, Line 7, Building C) and three spouses. The complaint pleads that the workers were “not employed by Greenleaf” (¶¶1–12) but, for Count Four, that Greenleaf was their “de facto employer or joint employer” (¶74).</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792"/>
            <w:shd w:val="clear" w:color="auto" w:fill="1F3A5F"/>
          </w:tcPr>
          <w:p>
            <w:r/>
            <w:r>
              <w:rPr>
                <w:b/>
                <w:i w:val="0"/>
                <w:color w:val="FFFFFF"/>
                <w:sz w:val="17"/>
              </w:rPr>
              <w:t>Count</w:t>
            </w:r>
          </w:p>
        </w:tc>
        <w:tc>
          <w:tcPr>
            <w:tcW w:type="dxa" w:w="1944"/>
            <w:shd w:val="clear" w:color="auto" w:fill="1F3A5F"/>
          </w:tcPr>
          <w:p>
            <w:r/>
            <w:r>
              <w:rPr>
                <w:b/>
                <w:i w:val="0"/>
                <w:color w:val="FFFFFF"/>
                <w:sz w:val="17"/>
              </w:rPr>
              <w:t>Theory</w:t>
            </w:r>
          </w:p>
        </w:tc>
        <w:tc>
          <w:tcPr>
            <w:tcW w:type="dxa" w:w="3744"/>
            <w:shd w:val="clear" w:color="auto" w:fill="1F3A5F"/>
          </w:tcPr>
          <w:p>
            <w:r/>
            <w:r>
              <w:rPr>
                <w:b/>
                <w:i w:val="0"/>
                <w:color w:val="FFFFFF"/>
                <w:sz w:val="17"/>
              </w:rPr>
              <w:t>Key allegations</w:t>
            </w:r>
          </w:p>
        </w:tc>
        <w:tc>
          <w:tcPr>
            <w:tcW w:type="dxa" w:w="3456"/>
            <w:shd w:val="clear" w:color="auto" w:fill="1F3A5F"/>
          </w:tcPr>
          <w:p>
            <w:r/>
            <w:r>
              <w:rPr>
                <w:b/>
                <w:i w:val="0"/>
                <w:color w:val="FFFFFF"/>
                <w:sz w:val="17"/>
              </w:rPr>
              <w:t>Coverage provisions engaged</w:t>
            </w:r>
          </w:p>
        </w:tc>
      </w:tr>
      <w:tr>
        <w:tc>
          <w:tcPr>
            <w:tcW w:type="dxa" w:w="792"/>
          </w:tcPr>
          <w:p>
            <w:pPr>
              <w:spacing w:after="20"/>
            </w:pPr>
            <w:r/>
            <w:r>
              <w:rPr>
                <w:b w:val="0"/>
                <w:i w:val="0"/>
                <w:sz w:val="17"/>
              </w:rPr>
              <w:t>One</w:t>
            </w:r>
          </w:p>
        </w:tc>
        <w:tc>
          <w:tcPr>
            <w:tcW w:type="dxa" w:w="1944"/>
          </w:tcPr>
          <w:p>
            <w:pPr>
              <w:spacing w:after="20"/>
            </w:pPr>
            <w:r/>
            <w:r>
              <w:rPr>
                <w:b w:val="0"/>
                <w:i w:val="0"/>
                <w:sz w:val="17"/>
              </w:rPr>
              <w:t>Negligence</w:t>
            </w:r>
          </w:p>
        </w:tc>
        <w:tc>
          <w:tcPr>
            <w:tcW w:type="dxa" w:w="3744"/>
          </w:tcPr>
          <w:p>
            <w:pPr>
              <w:spacing w:after="20"/>
            </w:pPr>
            <w:r/>
            <w:r>
              <w:rPr>
                <w:b w:val="0"/>
                <w:i w:val="0"/>
                <w:sz w:val="17"/>
              </w:rPr>
              <w:t>Failure to maintain/test accumulators, remediate OSHA-2024-0891 deficiencies, warn (¶52)</w:t>
            </w:r>
          </w:p>
        </w:tc>
        <w:tc>
          <w:tcPr>
            <w:tcW w:type="dxa" w:w="3456"/>
          </w:tcPr>
          <w:p>
            <w:pPr>
              <w:spacing w:after="20"/>
            </w:pPr>
            <w:r/>
            <w:r>
              <w:rPr>
                <w:b w:val="0"/>
                <w:i w:val="0"/>
                <w:sz w:val="17"/>
              </w:rPr>
              <w:t>Insuring agreement (occurrence); RCI-EXCL-2024-011; pollution (inhalation component); known loss</w:t>
            </w:r>
          </w:p>
        </w:tc>
      </w:tr>
      <w:tr>
        <w:tc>
          <w:tcPr>
            <w:tcW w:type="dxa" w:w="792"/>
          </w:tcPr>
          <w:p>
            <w:pPr>
              <w:spacing w:after="20"/>
            </w:pPr>
            <w:r/>
            <w:r>
              <w:rPr>
                <w:b w:val="0"/>
                <w:i w:val="0"/>
                <w:sz w:val="17"/>
              </w:rPr>
              <w:t>Two</w:t>
            </w:r>
          </w:p>
        </w:tc>
        <w:tc>
          <w:tcPr>
            <w:tcW w:type="dxa" w:w="1944"/>
          </w:tcPr>
          <w:p>
            <w:pPr>
              <w:spacing w:after="20"/>
            </w:pPr>
            <w:r/>
            <w:r>
              <w:rPr>
                <w:b w:val="0"/>
                <w:i w:val="0"/>
                <w:sz w:val="17"/>
              </w:rPr>
              <w:t>Premises liability</w:t>
            </w:r>
          </w:p>
        </w:tc>
        <w:tc>
          <w:tcPr>
            <w:tcW w:type="dxa" w:w="3744"/>
          </w:tcPr>
          <w:p>
            <w:pPr>
              <w:spacing w:after="20"/>
            </w:pPr>
            <w:r/>
            <w:r>
              <w:rPr>
                <w:b w:val="0"/>
                <w:i w:val="0"/>
                <w:sz w:val="17"/>
              </w:rPr>
              <w:t>Invitees; knew or should have known of hazard (¶¶58–61)</w:t>
            </w:r>
          </w:p>
        </w:tc>
        <w:tc>
          <w:tcPr>
            <w:tcW w:type="dxa" w:w="3456"/>
          </w:tcPr>
          <w:p>
            <w:pPr>
              <w:spacing w:after="20"/>
            </w:pPr>
            <w:r/>
            <w:r>
              <w:rPr>
                <w:b w:val="0"/>
                <w:i w:val="0"/>
                <w:sz w:val="17"/>
              </w:rPr>
              <w:t>Same as Count One</w:t>
            </w:r>
          </w:p>
        </w:tc>
      </w:tr>
      <w:tr>
        <w:tc>
          <w:tcPr>
            <w:tcW w:type="dxa" w:w="792"/>
          </w:tcPr>
          <w:p>
            <w:pPr>
              <w:spacing w:after="20"/>
            </w:pPr>
            <w:r/>
            <w:r>
              <w:rPr>
                <w:b w:val="0"/>
                <w:i w:val="0"/>
                <w:sz w:val="17"/>
              </w:rPr>
              <w:t>Three</w:t>
            </w:r>
          </w:p>
        </w:tc>
        <w:tc>
          <w:tcPr>
            <w:tcW w:type="dxa" w:w="1944"/>
          </w:tcPr>
          <w:p>
            <w:pPr>
              <w:spacing w:after="20"/>
            </w:pPr>
            <w:r/>
            <w:r>
              <w:rPr>
                <w:b w:val="0"/>
                <w:i w:val="0"/>
                <w:sz w:val="17"/>
              </w:rPr>
              <w:t>Negligent maintenance of industrial equipment</w:t>
            </w:r>
          </w:p>
        </w:tc>
        <w:tc>
          <w:tcPr>
            <w:tcW w:type="dxa" w:w="3744"/>
          </w:tcPr>
          <w:p>
            <w:pPr>
              <w:spacing w:after="20"/>
            </w:pPr>
            <w:r/>
            <w:r>
              <w:rPr>
                <w:b w:val="0"/>
                <w:i w:val="0"/>
                <w:sz w:val="17"/>
              </w:rPr>
              <w:t>Missed pressure testing, worn seals/gaskets, no PM schedule (¶66)</w:t>
            </w:r>
          </w:p>
        </w:tc>
        <w:tc>
          <w:tcPr>
            <w:tcW w:type="dxa" w:w="3456"/>
          </w:tcPr>
          <w:p>
            <w:pPr>
              <w:spacing w:after="20"/>
            </w:pPr>
            <w:r/>
            <w:r>
              <w:rPr>
                <w:b w:val="0"/>
                <w:i w:val="0"/>
                <w:sz w:val="17"/>
              </w:rPr>
              <w:t>Same as Count One</w:t>
            </w:r>
          </w:p>
        </w:tc>
      </w:tr>
      <w:tr>
        <w:tc>
          <w:tcPr>
            <w:tcW w:type="dxa" w:w="792"/>
          </w:tcPr>
          <w:p>
            <w:pPr>
              <w:spacing w:after="20"/>
            </w:pPr>
            <w:r/>
            <w:r>
              <w:rPr>
                <w:b w:val="0"/>
                <w:i w:val="0"/>
                <w:sz w:val="17"/>
              </w:rPr>
              <w:t>Four</w:t>
            </w:r>
          </w:p>
        </w:tc>
        <w:tc>
          <w:tcPr>
            <w:tcW w:type="dxa" w:w="1944"/>
          </w:tcPr>
          <w:p>
            <w:pPr>
              <w:spacing w:after="20"/>
            </w:pPr>
            <w:r/>
            <w:r>
              <w:rPr>
                <w:b w:val="0"/>
                <w:i w:val="0"/>
                <w:sz w:val="17"/>
              </w:rPr>
              <w:t>Employer intentional tort, R.C. 2745.01</w:t>
            </w:r>
          </w:p>
        </w:tc>
        <w:tc>
          <w:tcPr>
            <w:tcW w:type="dxa" w:w="3744"/>
          </w:tcPr>
          <w:p>
            <w:pPr>
              <w:spacing w:after="20"/>
            </w:pPr>
            <w:r/>
            <w:r>
              <w:rPr>
                <w:b w:val="0"/>
                <w:i w:val="0"/>
                <w:sz w:val="17"/>
              </w:rPr>
              <w:t>CEO Vincennes and management aware of citation; continued operating Line 7; maintenance reports disregarded (¶¶75–81)</w:t>
            </w:r>
          </w:p>
        </w:tc>
        <w:tc>
          <w:tcPr>
            <w:tcW w:type="dxa" w:w="3456"/>
          </w:tcPr>
          <w:p>
            <w:pPr>
              <w:spacing w:after="20"/>
            </w:pPr>
            <w:r/>
            <w:r>
              <w:rPr>
                <w:b w:val="0"/>
                <w:i w:val="0"/>
                <w:sz w:val="17"/>
              </w:rPr>
              <w:t>Exclusion a. (expected/intended); RCI-EXCL-2024-011; public policy; punitive damages</w:t>
            </w:r>
          </w:p>
        </w:tc>
      </w:tr>
      <w:tr>
        <w:tc>
          <w:tcPr>
            <w:tcW w:type="dxa" w:w="792"/>
          </w:tcPr>
          <w:p>
            <w:pPr>
              <w:spacing w:after="20"/>
            </w:pPr>
            <w:r/>
            <w:r>
              <w:rPr>
                <w:b w:val="0"/>
                <w:i w:val="0"/>
                <w:sz w:val="17"/>
              </w:rPr>
              <w:t>Five</w:t>
            </w:r>
          </w:p>
        </w:tc>
        <w:tc>
          <w:tcPr>
            <w:tcW w:type="dxa" w:w="1944"/>
          </w:tcPr>
          <w:p>
            <w:pPr>
              <w:spacing w:after="20"/>
            </w:pPr>
            <w:r/>
            <w:r>
              <w:rPr>
                <w:b w:val="0"/>
                <w:i w:val="0"/>
                <w:sz w:val="17"/>
              </w:rPr>
              <w:t>Loss of consortium (M. Espinoza, S. Tulley, K. Washington)</w:t>
            </w:r>
          </w:p>
        </w:tc>
        <w:tc>
          <w:tcPr>
            <w:tcW w:type="dxa" w:w="3744"/>
          </w:tcPr>
          <w:p>
            <w:pPr>
              <w:spacing w:after="20"/>
            </w:pPr>
            <w:r/>
            <w:r>
              <w:rPr>
                <w:b w:val="0"/>
                <w:i w:val="0"/>
                <w:sz w:val="17"/>
              </w:rPr>
              <w:t>Spouses of the three workers hospitalized &gt;30 days (¶¶86–90)</w:t>
            </w:r>
          </w:p>
        </w:tc>
        <w:tc>
          <w:tcPr>
            <w:tcW w:type="dxa" w:w="3456"/>
          </w:tcPr>
          <w:p>
            <w:pPr>
              <w:spacing w:after="20"/>
            </w:pPr>
            <w:r/>
            <w:r>
              <w:rPr>
                <w:b w:val="0"/>
                <w:i w:val="0"/>
                <w:sz w:val="17"/>
              </w:rPr>
              <w:t>Derivative of the workers’ bodily injury; follows the RCI-EXCL-2024-011 analysis</w:t>
            </w:r>
          </w:p>
        </w:tc>
      </w:tr>
    </w:tbl>
    <w:p>
      <w:pPr>
        <w:spacing w:after="40"/>
      </w:pP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744"/>
            <w:shd w:val="clear" w:color="auto" w:fill="1F3A5F"/>
          </w:tcPr>
          <w:p>
            <w:r/>
            <w:r>
              <w:rPr>
                <w:b/>
                <w:i w:val="0"/>
                <w:color w:val="FFFFFF"/>
                <w:sz w:val="17"/>
              </w:rPr>
              <w:t>Damages category (Prayer ¶¶A–D)</w:t>
            </w:r>
          </w:p>
        </w:tc>
        <w:tc>
          <w:tcPr>
            <w:tcW w:type="dxa" w:w="1728"/>
            <w:shd w:val="clear" w:color="auto" w:fill="1F3A5F"/>
          </w:tcPr>
          <w:p>
            <w:r/>
            <w:r>
              <w:rPr>
                <w:b/>
                <w:i w:val="0"/>
                <w:color w:val="FFFFFF"/>
                <w:sz w:val="17"/>
              </w:rPr>
              <w:t>Amount</w:t>
            </w:r>
          </w:p>
        </w:tc>
        <w:tc>
          <w:tcPr>
            <w:tcW w:type="dxa" w:w="4464"/>
            <w:shd w:val="clear" w:color="auto" w:fill="1F3A5F"/>
          </w:tcPr>
          <w:p>
            <w:r/>
            <w:r>
              <w:rPr>
                <w:b/>
                <w:i w:val="0"/>
                <w:color w:val="FFFFFF"/>
                <w:sz w:val="17"/>
              </w:rPr>
              <w:t>Insurability observation</w:t>
            </w:r>
          </w:p>
        </w:tc>
      </w:tr>
      <w:tr>
        <w:tc>
          <w:tcPr>
            <w:tcW w:type="dxa" w:w="3744"/>
          </w:tcPr>
          <w:p>
            <w:pPr>
              <w:spacing w:after="20"/>
            </w:pPr>
            <w:r/>
            <w:r>
              <w:rPr>
                <w:b w:val="0"/>
                <w:i w:val="0"/>
                <w:sz w:val="17"/>
              </w:rPr>
              <w:t>Compensatory (nine workers)</w:t>
            </w:r>
          </w:p>
        </w:tc>
        <w:tc>
          <w:tcPr>
            <w:tcW w:type="dxa" w:w="1728"/>
          </w:tcPr>
          <w:p>
            <w:pPr>
              <w:spacing w:after="20"/>
            </w:pPr>
            <w:r/>
            <w:r>
              <w:rPr>
                <w:b w:val="0"/>
                <w:i w:val="0"/>
                <w:sz w:val="17"/>
              </w:rPr>
              <w:t>$22,000,000</w:t>
            </w:r>
          </w:p>
        </w:tc>
        <w:tc>
          <w:tcPr>
            <w:tcW w:type="dxa" w:w="4464"/>
          </w:tcPr>
          <w:p>
            <w:pPr>
              <w:spacing w:after="20"/>
            </w:pPr>
            <w:r/>
            <w:r>
              <w:rPr>
                <w:b w:val="0"/>
                <w:i w:val="0"/>
                <w:sz w:val="17"/>
              </w:rPr>
              <w:t>Potentially covered absent exclusions; at risk under RCI-EXCL-2024-011</w:t>
            </w:r>
          </w:p>
        </w:tc>
      </w:tr>
      <w:tr>
        <w:tc>
          <w:tcPr>
            <w:tcW w:type="dxa" w:w="3744"/>
          </w:tcPr>
          <w:p>
            <w:pPr>
              <w:spacing w:after="20"/>
            </w:pPr>
            <w:r/>
            <w:r>
              <w:rPr>
                <w:b w:val="0"/>
                <w:i w:val="0"/>
                <w:sz w:val="17"/>
              </w:rPr>
              <w:t>Punitive</w:t>
            </w:r>
          </w:p>
        </w:tc>
        <w:tc>
          <w:tcPr>
            <w:tcW w:type="dxa" w:w="1728"/>
          </w:tcPr>
          <w:p>
            <w:pPr>
              <w:spacing w:after="20"/>
            </w:pPr>
            <w:r/>
            <w:r>
              <w:rPr>
                <w:b w:val="0"/>
                <w:i w:val="0"/>
                <w:sz w:val="17"/>
              </w:rPr>
              <w:t>$12,000,000</w:t>
            </w:r>
          </w:p>
        </w:tc>
        <w:tc>
          <w:tcPr>
            <w:tcW w:type="dxa" w:w="4464"/>
          </w:tcPr>
          <w:p>
            <w:pPr>
              <w:spacing w:after="20"/>
            </w:pPr>
            <w:r/>
            <w:r>
              <w:rPr>
                <w:b w:val="0"/>
                <w:i w:val="0"/>
                <w:sz w:val="17"/>
              </w:rPr>
              <w:t>Not insurable in Ohio (R.C. 3937.182); Ridgepoint’s reservation is strong</w:t>
            </w:r>
          </w:p>
        </w:tc>
      </w:tr>
      <w:tr>
        <w:tc>
          <w:tcPr>
            <w:tcW w:type="dxa" w:w="3744"/>
          </w:tcPr>
          <w:p>
            <w:pPr>
              <w:spacing w:after="20"/>
            </w:pPr>
            <w:r/>
            <w:r>
              <w:rPr>
                <w:b w:val="0"/>
                <w:i w:val="0"/>
                <w:sz w:val="17"/>
              </w:rPr>
              <w:t>Loss of consortium (three spouses)</w:t>
            </w:r>
          </w:p>
        </w:tc>
        <w:tc>
          <w:tcPr>
            <w:tcW w:type="dxa" w:w="1728"/>
          </w:tcPr>
          <w:p>
            <w:pPr>
              <w:spacing w:after="20"/>
            </w:pPr>
            <w:r/>
            <w:r>
              <w:rPr>
                <w:b w:val="0"/>
                <w:i w:val="0"/>
                <w:sz w:val="17"/>
              </w:rPr>
              <w:t>$4,500,000</w:t>
            </w:r>
          </w:p>
        </w:tc>
        <w:tc>
          <w:tcPr>
            <w:tcW w:type="dxa" w:w="4464"/>
          </w:tcPr>
          <w:p>
            <w:pPr>
              <w:spacing w:after="20"/>
            </w:pPr>
            <w:r/>
            <w:r>
              <w:rPr>
                <w:b w:val="0"/>
                <w:i w:val="0"/>
                <w:sz w:val="17"/>
              </w:rPr>
              <w:t>Derivative; rises or falls with the workers’ claims</w:t>
            </w:r>
          </w:p>
        </w:tc>
      </w:tr>
      <w:tr>
        <w:tc>
          <w:tcPr>
            <w:tcW w:type="dxa" w:w="3744"/>
          </w:tcPr>
          <w:p>
            <w:pPr>
              <w:spacing w:after="20"/>
            </w:pPr>
            <w:r/>
            <w:r>
              <w:rPr>
                <w:b/>
                <w:i w:val="0"/>
                <w:sz w:val="17"/>
              </w:rPr>
              <w:t>Total</w:t>
            </w:r>
          </w:p>
        </w:tc>
        <w:tc>
          <w:tcPr>
            <w:tcW w:type="dxa" w:w="1728"/>
          </w:tcPr>
          <w:p>
            <w:pPr>
              <w:spacing w:after="20"/>
            </w:pPr>
            <w:r/>
            <w:r>
              <w:rPr>
                <w:b/>
                <w:i w:val="0"/>
                <w:sz w:val="17"/>
              </w:rPr>
              <w:t>$38,500,000</w:t>
            </w:r>
          </w:p>
        </w:tc>
        <w:tc>
          <w:tcPr>
            <w:tcW w:type="dxa" w:w="4464"/>
          </w:tcPr>
          <w:p>
            <w:pPr>
              <w:spacing w:after="20"/>
            </w:pPr>
            <w:r/>
            <w:r>
              <w:rPr>
                <w:b w:val="0"/>
                <w:i w:val="0"/>
                <w:sz w:val="17"/>
              </w:rPr>
              <w:t>Plus pre/post-judgment interest, costs and fees (Prayer ¶¶E–F)</w:t>
            </w:r>
          </w:p>
        </w:tc>
      </w:tr>
    </w:tbl>
    <w:p>
      <w:pPr>
        <w:spacing w:after="40"/>
      </w:pPr>
    </w:p>
    <w:p>
      <w:r>
        <w:rPr>
          <w:b w:val="0"/>
          <w:i w:val="0"/>
          <w:sz w:val="18"/>
        </w:rPr>
        <w:t xml:space="preserve">Injury profile (Compl. ¶¶37–45): Espinoza — left-hand amputation, burns, mild TBI, 47 days hospitalized; Tulley — 30% BSA burns, fractured femur, </w:t>
      </w:r>
      <w:r>
        <w:rPr>
          <w:b/>
          <w:i w:val="0"/>
          <w:sz w:val="18"/>
        </w:rPr>
        <w:t>inhalation injuries requiring intubation</w:t>
      </w:r>
      <w:r>
        <w:rPr>
          <w:b w:val="0"/>
          <w:i w:val="0"/>
          <w:sz w:val="18"/>
        </w:rPr>
        <w:t>, 38 days; Washington — crush injuries/reconstruction, 33 days; Kaminski 12 days; Tran (partial vision loss) 18 days; Fuentes (lacerated spleen) 22 days; Obeng 9 days; Briggs 7 days; Leitner 5 days. Three workers exceeded 30 days, consistent with ROR §II.</w:t>
      </w:r>
    </w:p>
    <w:p>
      <w:pPr>
        <w:pStyle w:val="Heading2"/>
      </w:pPr>
      <w:r>
        <w:t>4.2 Buckeye Cold Storage, LLC — Pre-Litigation Demand (Feb. 10, 2025)</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744"/>
            <w:shd w:val="clear" w:color="auto" w:fill="1F3A5F"/>
          </w:tcPr>
          <w:p>
            <w:r/>
            <w:r>
              <w:rPr>
                <w:b/>
                <w:i w:val="0"/>
                <w:color w:val="FFFFFF"/>
                <w:sz w:val="17"/>
              </w:rPr>
              <w:t>Item</w:t>
            </w:r>
          </w:p>
        </w:tc>
        <w:tc>
          <w:tcPr>
            <w:tcW w:type="dxa" w:w="1296"/>
            <w:shd w:val="clear" w:color="auto" w:fill="1F3A5F"/>
          </w:tcPr>
          <w:p>
            <w:r/>
            <w:r>
              <w:rPr>
                <w:b/>
                <w:i w:val="0"/>
                <w:color w:val="FFFFFF"/>
                <w:sz w:val="17"/>
              </w:rPr>
              <w:t>Amount</w:t>
            </w:r>
          </w:p>
        </w:tc>
        <w:tc>
          <w:tcPr>
            <w:tcW w:type="dxa" w:w="4896"/>
            <w:shd w:val="clear" w:color="auto" w:fill="1F3A5F"/>
          </w:tcPr>
          <w:p>
            <w:r/>
            <w:r>
              <w:rPr>
                <w:b/>
                <w:i w:val="0"/>
                <w:color w:val="FFFFFF"/>
                <w:sz w:val="17"/>
              </w:rPr>
              <w:t>Coverage observation</w:t>
            </w:r>
          </w:p>
        </w:tc>
      </w:tr>
      <w:tr>
        <w:tc>
          <w:tcPr>
            <w:tcW w:type="dxa" w:w="3744"/>
          </w:tcPr>
          <w:p>
            <w:pPr>
              <w:spacing w:after="20"/>
            </w:pPr>
            <w:r/>
            <w:r>
              <w:rPr>
                <w:b w:val="0"/>
                <w:i w:val="0"/>
                <w:sz w:val="17"/>
              </w:rPr>
              <w:t>Structural damage, east-facing wall (~1,800 sq. ft. plus roof connection)</w:t>
            </w:r>
          </w:p>
        </w:tc>
        <w:tc>
          <w:tcPr>
            <w:tcW w:type="dxa" w:w="1296"/>
          </w:tcPr>
          <w:p>
            <w:pPr>
              <w:spacing w:after="20"/>
            </w:pPr>
            <w:r/>
            <w:r>
              <w:rPr>
                <w:b w:val="0"/>
                <w:i w:val="0"/>
                <w:sz w:val="17"/>
              </w:rPr>
              <w:t>$485,000</w:t>
            </w:r>
          </w:p>
        </w:tc>
        <w:tc>
          <w:tcPr>
            <w:tcW w:type="dxa" w:w="4896"/>
          </w:tcPr>
          <w:p>
            <w:pPr>
              <w:spacing w:after="20"/>
            </w:pPr>
            <w:r/>
            <w:r>
              <w:rPr>
                <w:b w:val="0"/>
                <w:i w:val="0"/>
                <w:sz w:val="17"/>
              </w:rPr>
              <w:t xml:space="preserve">Third-party “property damage” from debris/blast — core covered loss. Note: the complaint (¶21) describes a </w:t>
            </w:r>
            <w:r>
              <w:rPr>
                <w:b/>
                <w:i w:val="0"/>
                <w:sz w:val="17"/>
              </w:rPr>
              <w:t>common boundary wall</w:t>
            </w:r>
            <w:r>
              <w:rPr>
                <w:b w:val="0"/>
                <w:i w:val="0"/>
                <w:sz w:val="17"/>
              </w:rPr>
              <w:t xml:space="preserve"> shared with Building C; to the extent any wall is Greenleaf-owned, exclusion j.(1) (property you own) could be raised.</w:t>
            </w:r>
          </w:p>
        </w:tc>
      </w:tr>
      <w:tr>
        <w:tc>
          <w:tcPr>
            <w:tcW w:type="dxa" w:w="3744"/>
          </w:tcPr>
          <w:p>
            <w:pPr>
              <w:spacing w:after="20"/>
            </w:pPr>
            <w:r/>
            <w:r>
              <w:rPr>
                <w:b w:val="0"/>
                <w:i w:val="0"/>
                <w:sz w:val="17"/>
              </w:rPr>
              <w:t>Refrigeration compressors, ductwork, insulation (replacement)</w:t>
            </w:r>
          </w:p>
        </w:tc>
        <w:tc>
          <w:tcPr>
            <w:tcW w:type="dxa" w:w="1296"/>
          </w:tcPr>
          <w:p>
            <w:pPr>
              <w:spacing w:after="20"/>
            </w:pPr>
            <w:r/>
            <w:r>
              <w:rPr>
                <w:b w:val="0"/>
                <w:i w:val="0"/>
                <w:sz w:val="17"/>
              </w:rPr>
              <w:t>$612,000</w:t>
            </w:r>
          </w:p>
        </w:tc>
        <w:tc>
          <w:tcPr>
            <w:tcW w:type="dxa" w:w="4896"/>
          </w:tcPr>
          <w:p>
            <w:pPr>
              <w:spacing w:after="20"/>
            </w:pPr>
            <w:r/>
            <w:r>
              <w:rPr>
                <w:b w:val="0"/>
                <w:i w:val="0"/>
                <w:sz w:val="17"/>
              </w:rPr>
              <w:t>Fire/blast damage — covered property damage; pollution exclusion weak.</w:t>
            </w:r>
          </w:p>
        </w:tc>
      </w:tr>
      <w:tr>
        <w:tc>
          <w:tcPr>
            <w:tcW w:type="dxa" w:w="3744"/>
          </w:tcPr>
          <w:p>
            <w:pPr>
              <w:spacing w:after="20"/>
            </w:pPr>
            <w:r/>
            <w:r>
              <w:rPr>
                <w:b w:val="0"/>
                <w:i w:val="0"/>
                <w:sz w:val="17"/>
              </w:rPr>
              <w:t xml:space="preserve">Inventory spoilage (loss of refrigeration </w:t>
            </w:r>
            <w:r>
              <w:rPr>
                <w:b/>
                <w:i w:val="0"/>
                <w:sz w:val="17"/>
              </w:rPr>
              <w:t>and contamination by smoke, soot and debris</w:t>
            </w:r>
            <w:r>
              <w:rPr>
                <w:b w:val="0"/>
                <w:i w:val="0"/>
                <w:sz w:val="17"/>
              </w:rPr>
              <w:t>)</w:t>
            </w:r>
          </w:p>
        </w:tc>
        <w:tc>
          <w:tcPr>
            <w:tcW w:type="dxa" w:w="1296"/>
          </w:tcPr>
          <w:p>
            <w:pPr>
              <w:spacing w:after="20"/>
            </w:pPr>
            <w:r/>
            <w:r>
              <w:rPr>
                <w:b w:val="0"/>
                <w:i w:val="0"/>
                <w:sz w:val="17"/>
              </w:rPr>
              <w:t>$148,000</w:t>
            </w:r>
          </w:p>
        </w:tc>
        <w:tc>
          <w:tcPr>
            <w:tcW w:type="dxa" w:w="4896"/>
          </w:tcPr>
          <w:p>
            <w:pPr>
              <w:spacing w:after="20"/>
            </w:pPr>
            <w:r/>
            <w:r>
              <w:rPr>
                <w:b w:val="0"/>
                <w:i w:val="0"/>
                <w:sz w:val="17"/>
              </w:rPr>
              <w:t>The one Buckeye component where the total pollution exclusion (smoke, soot expressly “pollutants”) has real traction, at least for the contamination portion.</w:t>
            </w:r>
          </w:p>
        </w:tc>
      </w:tr>
      <w:tr>
        <w:tc>
          <w:tcPr>
            <w:tcW w:type="dxa" w:w="3744"/>
          </w:tcPr>
          <w:p>
            <w:pPr>
              <w:spacing w:after="20"/>
            </w:pPr>
            <w:r/>
            <w:r>
              <w:rPr>
                <w:b w:val="0"/>
                <w:i w:val="0"/>
                <w:sz w:val="17"/>
              </w:rPr>
              <w:t>Emergency inventory relocation</w:t>
            </w:r>
          </w:p>
        </w:tc>
        <w:tc>
          <w:tcPr>
            <w:tcW w:type="dxa" w:w="1296"/>
          </w:tcPr>
          <w:p>
            <w:pPr>
              <w:spacing w:after="20"/>
            </w:pPr>
            <w:r/>
            <w:r>
              <w:rPr>
                <w:b w:val="0"/>
                <w:i w:val="0"/>
                <w:sz w:val="17"/>
              </w:rPr>
              <w:t>$105,000</w:t>
            </w:r>
          </w:p>
        </w:tc>
        <w:tc>
          <w:tcPr>
            <w:tcW w:type="dxa" w:w="4896"/>
          </w:tcPr>
          <w:p>
            <w:pPr>
              <w:spacing w:after="20"/>
            </w:pPr>
            <w:r/>
            <w:r>
              <w:rPr>
                <w:b w:val="0"/>
                <w:i w:val="0"/>
                <w:sz w:val="17"/>
              </w:rPr>
              <w:t>Mitigation costs — generally “damages because of property damage”; possible dispute.</w:t>
            </w:r>
          </w:p>
        </w:tc>
      </w:tr>
      <w:tr>
        <w:tc>
          <w:tcPr>
            <w:tcW w:type="dxa" w:w="3744"/>
          </w:tcPr>
          <w:p>
            <w:pPr>
              <w:spacing w:after="20"/>
            </w:pPr>
            <w:r/>
            <w:r>
              <w:rPr>
                <w:b/>
                <w:i w:val="0"/>
                <w:sz w:val="17"/>
              </w:rPr>
              <w:t>Total</w:t>
            </w:r>
          </w:p>
        </w:tc>
        <w:tc>
          <w:tcPr>
            <w:tcW w:type="dxa" w:w="1296"/>
          </w:tcPr>
          <w:p>
            <w:pPr>
              <w:spacing w:after="20"/>
            </w:pPr>
            <w:r/>
            <w:r>
              <w:rPr>
                <w:b/>
                <w:i w:val="0"/>
                <w:sz w:val="17"/>
              </w:rPr>
              <w:t>$1,350,000</w:t>
            </w:r>
          </w:p>
        </w:tc>
        <w:tc>
          <w:tcPr>
            <w:tcW w:type="dxa" w:w="4896"/>
          </w:tcPr>
          <w:p>
            <w:pPr>
              <w:spacing w:after="20"/>
            </w:pPr>
            <w:r/>
            <w:r>
              <w:rPr>
                <w:b w:val="0"/>
                <w:i w:val="0"/>
                <w:sz w:val="17"/>
              </w:rPr>
              <w:t xml:space="preserve">Arithmetic verified. Buckeye reserves the right to add </w:t>
            </w:r>
            <w:r>
              <w:rPr>
                <w:b/>
                <w:i w:val="0"/>
                <w:sz w:val="17"/>
              </w:rPr>
              <w:t>business-interruption losses</w:t>
            </w:r>
            <w:r>
              <w:rPr>
                <w:b w:val="0"/>
                <w:i w:val="0"/>
                <w:sz w:val="17"/>
              </w:rPr>
              <w:t xml:space="preserve"> (“investigation … ongoing”); loss of use of tangible property is “property damage.” Theories: negligence, strict liability (abnormally dangerous activity), private nuisance. Litigation hold demanded (accumulator, records, 90 days of video).</w:t>
            </w:r>
          </w:p>
        </w:tc>
      </w:tr>
    </w:tbl>
    <w:p>
      <w:pPr>
        <w:spacing w:after="40"/>
      </w:pPr>
    </w:p>
    <w:p>
      <w:pPr>
        <w:pStyle w:val="Heading2"/>
      </w:pPr>
      <w:r>
        <w:t>4.3 Exposure Scenarios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592"/>
            <w:shd w:val="clear" w:color="auto" w:fill="1F3A5F"/>
          </w:tcPr>
          <w:p>
            <w:r/>
            <w:r>
              <w:rPr>
                <w:b/>
                <w:i w:val="0"/>
                <w:color w:val="FFFFFF"/>
                <w:sz w:val="17"/>
              </w:rPr>
              <w:t>Scenario</w:t>
            </w:r>
          </w:p>
        </w:tc>
        <w:tc>
          <w:tcPr>
            <w:tcW w:type="dxa" w:w="2448"/>
            <w:shd w:val="clear" w:color="auto" w:fill="1F3A5F"/>
          </w:tcPr>
          <w:p>
            <w:r/>
            <w:r>
              <w:rPr>
                <w:b/>
                <w:i w:val="0"/>
                <w:color w:val="FFFFFF"/>
                <w:sz w:val="17"/>
              </w:rPr>
              <w:t>Ridgepoint maximum indemnity (this Policy)</w:t>
            </w:r>
          </w:p>
        </w:tc>
        <w:tc>
          <w:tcPr>
            <w:tcW w:type="dxa" w:w="2016"/>
            <w:shd w:val="clear" w:color="auto" w:fill="1F3A5F"/>
          </w:tcPr>
          <w:p>
            <w:r/>
            <w:r>
              <w:rPr>
                <w:b/>
                <w:i w:val="0"/>
                <w:color w:val="FFFFFF"/>
                <w:sz w:val="17"/>
              </w:rPr>
              <w:t>Greenleaf retained (face of demands)</w:t>
            </w:r>
          </w:p>
        </w:tc>
        <w:tc>
          <w:tcPr>
            <w:tcW w:type="dxa" w:w="2880"/>
            <w:shd w:val="clear" w:color="auto" w:fill="1F3A5F"/>
          </w:tcPr>
          <w:p>
            <w:r/>
            <w:r>
              <w:rPr>
                <w:b/>
                <w:i w:val="0"/>
                <w:color w:val="FFFFFF"/>
                <w:sz w:val="17"/>
              </w:rPr>
              <w:t>Comment</w:t>
            </w:r>
          </w:p>
        </w:tc>
      </w:tr>
      <w:tr>
        <w:tc>
          <w:tcPr>
            <w:tcW w:type="dxa" w:w="2592"/>
            <w:shd w:val="clear" w:color="auto" w:fill="D9EAD3"/>
          </w:tcPr>
          <w:p>
            <w:pPr>
              <w:spacing w:after="20"/>
            </w:pPr>
            <w:r/>
            <w:r>
              <w:rPr>
                <w:b w:val="0"/>
                <w:i w:val="0"/>
                <w:sz w:val="17"/>
              </w:rPr>
              <w:t>A. All coverage defenses fail except punitive damages</w:t>
            </w:r>
          </w:p>
        </w:tc>
        <w:tc>
          <w:tcPr>
            <w:tcW w:type="dxa" w:w="2448"/>
          </w:tcPr>
          <w:p>
            <w:pPr>
              <w:spacing w:after="20"/>
            </w:pPr>
            <w:r/>
            <w:r>
              <w:rPr>
                <w:b w:val="0"/>
                <w:i w:val="0"/>
                <w:sz w:val="17"/>
              </w:rPr>
              <w:t>$5,000,000 (one occurrence limit; SIR $250K borne first)</w:t>
            </w:r>
          </w:p>
        </w:tc>
        <w:tc>
          <w:tcPr>
            <w:tcW w:type="dxa" w:w="2016"/>
          </w:tcPr>
          <w:p>
            <w:pPr>
              <w:spacing w:after="20"/>
            </w:pPr>
            <w:r/>
            <w:r>
              <w:rPr>
                <w:b w:val="0"/>
                <w:i w:val="0"/>
                <w:sz w:val="17"/>
              </w:rPr>
              <w:t>~$34.85M (incl. $250K SIR and $12M punitive)</w:t>
            </w:r>
          </w:p>
        </w:tc>
        <w:tc>
          <w:tcPr>
            <w:tcW w:type="dxa" w:w="2880"/>
          </w:tcPr>
          <w:p>
            <w:pPr>
              <w:spacing w:after="20"/>
            </w:pPr>
            <w:r/>
            <w:r>
              <w:rPr>
                <w:b w:val="0"/>
                <w:i w:val="0"/>
                <w:sz w:val="17"/>
              </w:rPr>
              <w:t>Best realistic case under this Policy alone. Underscores excess/umbrella notice.</w:t>
            </w:r>
          </w:p>
        </w:tc>
      </w:tr>
      <w:tr>
        <w:tc>
          <w:tcPr>
            <w:tcW w:type="dxa" w:w="2592"/>
            <w:shd w:val="clear" w:color="auto" w:fill="FCE5CD"/>
          </w:tcPr>
          <w:p>
            <w:pPr>
              <w:spacing w:after="20"/>
            </w:pPr>
            <w:r/>
            <w:r>
              <w:rPr>
                <w:b w:val="0"/>
                <w:i w:val="0"/>
                <w:sz w:val="17"/>
              </w:rPr>
              <w:t>B. RCI-EXCL-2024-011 enforced; Buckeye otherwise covered</w:t>
            </w:r>
          </w:p>
        </w:tc>
        <w:tc>
          <w:tcPr>
            <w:tcW w:type="dxa" w:w="2448"/>
          </w:tcPr>
          <w:p>
            <w:pPr>
              <w:spacing w:after="20"/>
            </w:pPr>
            <w:r/>
            <w:r>
              <w:rPr>
                <w:b w:val="0"/>
                <w:i w:val="0"/>
                <w:sz w:val="17"/>
              </w:rPr>
              <w:t>~$1.1M ($1.35M less $250K SIR)</w:t>
            </w:r>
          </w:p>
        </w:tc>
        <w:tc>
          <w:tcPr>
            <w:tcW w:type="dxa" w:w="2016"/>
          </w:tcPr>
          <w:p>
            <w:pPr>
              <w:spacing w:after="20"/>
            </w:pPr>
            <w:r/>
            <w:r>
              <w:rPr>
                <w:b w:val="0"/>
                <w:i w:val="0"/>
                <w:sz w:val="17"/>
              </w:rPr>
              <w:t>~$38.75M</w:t>
            </w:r>
          </w:p>
        </w:tc>
        <w:tc>
          <w:tcPr>
            <w:tcW w:type="dxa" w:w="2880"/>
          </w:tcPr>
          <w:p>
            <w:pPr>
              <w:spacing w:after="20"/>
            </w:pPr>
            <w:r/>
            <w:r>
              <w:rPr>
                <w:b w:val="0"/>
                <w:i w:val="0"/>
                <w:sz w:val="17"/>
              </w:rPr>
              <w:t>Most likely outcome on the current record if the exclusion reads as quoted.</w:t>
            </w:r>
          </w:p>
        </w:tc>
      </w:tr>
      <w:tr>
        <w:tc>
          <w:tcPr>
            <w:tcW w:type="dxa" w:w="2592"/>
            <w:shd w:val="clear" w:color="auto" w:fill="FCE5CD"/>
          </w:tcPr>
          <w:p>
            <w:pPr>
              <w:spacing w:after="20"/>
            </w:pPr>
            <w:r/>
            <w:r>
              <w:rPr>
                <w:b w:val="0"/>
                <w:i w:val="0"/>
                <w:sz w:val="17"/>
              </w:rPr>
              <w:t>C. Scenario B plus pollution carve-out of smoke/soot spoilage</w:t>
            </w:r>
          </w:p>
        </w:tc>
        <w:tc>
          <w:tcPr>
            <w:tcW w:type="dxa" w:w="2448"/>
          </w:tcPr>
          <w:p>
            <w:pPr>
              <w:spacing w:after="20"/>
            </w:pPr>
            <w:r/>
            <w:r>
              <w:rPr>
                <w:b w:val="0"/>
                <w:i w:val="0"/>
                <w:sz w:val="17"/>
              </w:rPr>
              <w:t>~$0.95M–$1.1M</w:t>
            </w:r>
          </w:p>
        </w:tc>
        <w:tc>
          <w:tcPr>
            <w:tcW w:type="dxa" w:w="2016"/>
          </w:tcPr>
          <w:p>
            <w:pPr>
              <w:spacing w:after="20"/>
            </w:pPr>
            <w:r/>
            <w:r>
              <w:rPr>
                <w:b w:val="0"/>
                <w:i w:val="0"/>
                <w:sz w:val="17"/>
              </w:rPr>
              <w:t>~$38.75M–$38.9M</w:t>
            </w:r>
          </w:p>
        </w:tc>
        <w:tc>
          <w:tcPr>
            <w:tcW w:type="dxa" w:w="2880"/>
          </w:tcPr>
          <w:p>
            <w:pPr>
              <w:spacing w:after="20"/>
            </w:pPr>
            <w:r/>
            <w:r>
              <w:rPr>
                <w:b w:val="0"/>
                <w:i w:val="0"/>
                <w:sz w:val="17"/>
              </w:rPr>
              <w:t>Pollution issue is worth at most ~$148K plus any smoke-related business-interruption loss.</w:t>
            </w:r>
          </w:p>
        </w:tc>
      </w:tr>
      <w:tr>
        <w:tc>
          <w:tcPr>
            <w:tcW w:type="dxa" w:w="2592"/>
            <w:shd w:val="clear" w:color="auto" w:fill="F4CCCC"/>
          </w:tcPr>
          <w:p>
            <w:pPr>
              <w:spacing w:after="20"/>
            </w:pPr>
            <w:r/>
            <w:r>
              <w:rPr>
                <w:b w:val="0"/>
                <w:i w:val="0"/>
                <w:sz w:val="17"/>
              </w:rPr>
              <w:t>D. Known loss exclusion established</w:t>
            </w:r>
          </w:p>
        </w:tc>
        <w:tc>
          <w:tcPr>
            <w:tcW w:type="dxa" w:w="2448"/>
          </w:tcPr>
          <w:p>
            <w:pPr>
              <w:spacing w:after="20"/>
            </w:pPr>
            <w:r/>
            <w:r>
              <w:rPr>
                <w:b w:val="0"/>
                <w:i w:val="0"/>
                <w:sz w:val="17"/>
              </w:rPr>
              <w:t>$0</w:t>
            </w:r>
          </w:p>
        </w:tc>
        <w:tc>
          <w:tcPr>
            <w:tcW w:type="dxa" w:w="2016"/>
          </w:tcPr>
          <w:p>
            <w:pPr>
              <w:spacing w:after="20"/>
            </w:pPr>
            <w:r/>
            <w:r>
              <w:rPr>
                <w:b w:val="0"/>
                <w:i w:val="0"/>
                <w:sz w:val="17"/>
              </w:rPr>
              <w:t>$39.85M</w:t>
            </w:r>
          </w:p>
        </w:tc>
        <w:tc>
          <w:tcPr>
            <w:tcW w:type="dxa" w:w="2880"/>
          </w:tcPr>
          <w:p>
            <w:pPr>
              <w:spacing w:after="20"/>
            </w:pPr>
            <w:r/>
            <w:r>
              <w:rPr>
                <w:b w:val="0"/>
                <w:i w:val="0"/>
                <w:sz w:val="17"/>
              </w:rPr>
              <w:t>Applies to the entire occurrence, including Buckeye. Highest-impact but fact-dependent defense.</w:t>
            </w:r>
          </w:p>
        </w:tc>
      </w:tr>
    </w:tbl>
    <w:p>
      <w:pPr>
        <w:spacing w:after="40"/>
      </w:pPr>
    </w:p>
    <w:p>
      <w:r>
        <w:rPr>
          <w:b w:val="0"/>
          <w:i/>
          <w:sz w:val="17"/>
        </w:rPr>
        <w:t>Demand figures are plaintiffs’ asking amounts, not valuations. Defense costs are additional; if Ridgepoint withdraws after a coverage ruling, Greenleaf would bear them. Whether defense costs erode the SIR and whether the $5M limit sits above or includes the SIR must be confirmed from the endorsement.</w:t>
      </w:r>
    </w:p>
    <w:p>
      <w:pPr>
        <w:pStyle w:val="Heading1"/>
      </w:pPr>
      <w:r>
        <w:t>5. Coverage Defense Term Sheet (Reservation-by-Reservation)</w:t>
      </w:r>
    </w:p>
    <w:p>
      <w:r>
        <w:rPr>
          <w:b w:val="0"/>
          <w:i w:val="0"/>
          <w:sz w:val="18"/>
        </w:rPr>
        <w:t xml:space="preserve">Ratings reflect the risk each position poses to Greenleaf’s coverage: </w:t>
      </w:r>
      <w:r>
        <w:rPr>
          <w:b/>
          <w:i w:val="0"/>
          <w:sz w:val="18"/>
        </w:rPr>
        <w:t>HIGH</w:t>
      </w:r>
      <w:r>
        <w:rPr>
          <w:b w:val="0"/>
          <w:i w:val="0"/>
          <w:sz w:val="18"/>
        </w:rPr>
        <w:t xml:space="preserve"> = likely to succeed or near-certain; </w:t>
      </w:r>
      <w:r>
        <w:rPr>
          <w:b/>
          <w:i w:val="0"/>
          <w:sz w:val="18"/>
        </w:rPr>
        <w:t>MODERATE</w:t>
      </w:r>
      <w:r>
        <w:rPr>
          <w:b w:val="0"/>
          <w:i w:val="0"/>
          <w:sz w:val="18"/>
        </w:rPr>
        <w:t xml:space="preserve"> = fact-dependent / genuinely contestable; </w:t>
      </w:r>
      <w:r>
        <w:rPr>
          <w:b/>
          <w:i w:val="0"/>
          <w:sz w:val="18"/>
        </w:rPr>
        <w:t>LOW</w:t>
      </w:r>
      <w:r>
        <w:rPr>
          <w:b w:val="0"/>
          <w:i w:val="0"/>
          <w:sz w:val="18"/>
        </w:rPr>
        <w:t xml:space="preserve"> = weak or “kitchen sink.” Ohio law is assumed to govern (Ohio insured, Ohio risk, Ohio-specific policy number); confirm there is no choice-of-law clause.</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432"/>
            <w:shd w:val="clear" w:color="auto" w:fill="1F3A5F"/>
          </w:tcPr>
          <w:p>
            <w:r/>
            <w:r>
              <w:rPr>
                <w:b/>
                <w:i w:val="0"/>
                <w:color w:val="FFFFFF"/>
                <w:sz w:val="17"/>
              </w:rPr>
              <w:t>#</w:t>
            </w:r>
          </w:p>
        </w:tc>
        <w:tc>
          <w:tcPr>
            <w:tcW w:type="dxa" w:w="3312"/>
            <w:shd w:val="clear" w:color="auto" w:fill="1F3A5F"/>
          </w:tcPr>
          <w:p>
            <w:r/>
            <w:r>
              <w:rPr>
                <w:b/>
                <w:i w:val="0"/>
                <w:color w:val="FFFFFF"/>
                <w:sz w:val="17"/>
              </w:rPr>
              <w:t>Reservation</w:t>
            </w:r>
          </w:p>
        </w:tc>
        <w:tc>
          <w:tcPr>
            <w:tcW w:type="dxa" w:w="1296"/>
            <w:shd w:val="clear" w:color="auto" w:fill="1F3A5F"/>
          </w:tcPr>
          <w:p>
            <w:r/>
            <w:r>
              <w:rPr>
                <w:b/>
                <w:i w:val="0"/>
                <w:color w:val="FFFFFF"/>
                <w:sz w:val="17"/>
              </w:rPr>
              <w:t>ROR cite</w:t>
            </w:r>
          </w:p>
        </w:tc>
        <w:tc>
          <w:tcPr>
            <w:tcW w:type="dxa" w:w="3312"/>
            <w:shd w:val="clear" w:color="auto" w:fill="1F3A5F"/>
          </w:tcPr>
          <w:p>
            <w:r/>
            <w:r>
              <w:rPr>
                <w:b/>
                <w:i w:val="0"/>
                <w:color w:val="FFFFFF"/>
                <w:sz w:val="17"/>
              </w:rPr>
              <w:t>Claims/dollars affected</w:t>
            </w:r>
          </w:p>
        </w:tc>
        <w:tc>
          <w:tcPr>
            <w:tcW w:type="dxa" w:w="1584"/>
            <w:shd w:val="clear" w:color="auto" w:fill="1F3A5F"/>
          </w:tcPr>
          <w:p>
            <w:r/>
            <w:r>
              <w:rPr>
                <w:b/>
                <w:i w:val="0"/>
                <w:color w:val="FFFFFF"/>
                <w:sz w:val="17"/>
              </w:rPr>
              <w:t>Rating</w:t>
            </w:r>
          </w:p>
        </w:tc>
      </w:tr>
      <w:tr>
        <w:tc>
          <w:tcPr>
            <w:tcW w:type="dxa" w:w="432"/>
          </w:tcPr>
          <w:p>
            <w:pPr>
              <w:spacing w:after="20"/>
            </w:pPr>
            <w:r/>
            <w:r>
              <w:rPr>
                <w:b w:val="0"/>
                <w:i w:val="0"/>
                <w:sz w:val="17"/>
              </w:rPr>
              <w:t>1</w:t>
            </w:r>
          </w:p>
        </w:tc>
        <w:tc>
          <w:tcPr>
            <w:tcW w:type="dxa" w:w="3312"/>
          </w:tcPr>
          <w:p>
            <w:pPr>
              <w:spacing w:after="20"/>
            </w:pPr>
            <w:r/>
            <w:r>
              <w:rPr>
                <w:b w:val="0"/>
                <w:i w:val="0"/>
                <w:sz w:val="17"/>
              </w:rPr>
              <w:t>Employer’s Liability Exclusion (manuscript RCI-EXCL-2024-011)</w:t>
            </w:r>
          </w:p>
        </w:tc>
        <w:tc>
          <w:tcPr>
            <w:tcW w:type="dxa" w:w="1296"/>
          </w:tcPr>
          <w:p>
            <w:pPr>
              <w:spacing w:after="20"/>
            </w:pPr>
            <w:r/>
            <w:r>
              <w:rPr>
                <w:b w:val="0"/>
                <w:i w:val="0"/>
                <w:sz w:val="17"/>
              </w:rPr>
              <w:t>§§IV.D, V.B</w:t>
            </w:r>
          </w:p>
        </w:tc>
        <w:tc>
          <w:tcPr>
            <w:tcW w:type="dxa" w:w="3312"/>
          </w:tcPr>
          <w:p>
            <w:pPr>
              <w:spacing w:after="20"/>
            </w:pPr>
            <w:r/>
            <w:r>
              <w:rPr>
                <w:b w:val="0"/>
                <w:i w:val="0"/>
                <w:sz w:val="17"/>
              </w:rPr>
              <w:t>All Espinoza BI claims ($22M) and derivative consortium ($4.5M)</w:t>
            </w:r>
          </w:p>
        </w:tc>
        <w:tc>
          <w:tcPr>
            <w:tcW w:type="dxa" w:w="1584"/>
            <w:shd w:val="clear" w:color="auto" w:fill="F4CCCC"/>
          </w:tcPr>
          <w:p>
            <w:pPr>
              <w:spacing w:after="20"/>
            </w:pPr>
            <w:r/>
            <w:r>
              <w:rPr>
                <w:b w:val="0"/>
                <w:i w:val="0"/>
                <w:sz w:val="17"/>
              </w:rPr>
              <w:t>HIGH</w:t>
            </w:r>
          </w:p>
        </w:tc>
      </w:tr>
      <w:tr>
        <w:tc>
          <w:tcPr>
            <w:tcW w:type="dxa" w:w="432"/>
          </w:tcPr>
          <w:p>
            <w:pPr>
              <w:spacing w:after="20"/>
            </w:pPr>
            <w:r/>
            <w:r>
              <w:rPr>
                <w:b w:val="0"/>
                <w:i w:val="0"/>
                <w:sz w:val="17"/>
              </w:rPr>
              <w:t>2</w:t>
            </w:r>
          </w:p>
        </w:tc>
        <w:tc>
          <w:tcPr>
            <w:tcW w:type="dxa" w:w="3312"/>
          </w:tcPr>
          <w:p>
            <w:pPr>
              <w:spacing w:after="20"/>
            </w:pPr>
            <w:r/>
            <w:r>
              <w:rPr>
                <w:b w:val="0"/>
                <w:i w:val="0"/>
                <w:sz w:val="17"/>
              </w:rPr>
              <w:t>Punitive damages uninsurable</w:t>
            </w:r>
          </w:p>
        </w:tc>
        <w:tc>
          <w:tcPr>
            <w:tcW w:type="dxa" w:w="1296"/>
          </w:tcPr>
          <w:p>
            <w:pPr>
              <w:spacing w:after="20"/>
            </w:pPr>
            <w:r/>
            <w:r>
              <w:rPr>
                <w:b w:val="0"/>
                <w:i w:val="0"/>
                <w:sz w:val="17"/>
              </w:rPr>
              <w:t>§V.A ¶2</w:t>
            </w:r>
          </w:p>
        </w:tc>
        <w:tc>
          <w:tcPr>
            <w:tcW w:type="dxa" w:w="3312"/>
          </w:tcPr>
          <w:p>
            <w:pPr>
              <w:spacing w:after="20"/>
            </w:pPr>
            <w:r/>
            <w:r>
              <w:rPr>
                <w:b w:val="0"/>
                <w:i w:val="0"/>
                <w:sz w:val="17"/>
              </w:rPr>
              <w:t>$12M punitive</w:t>
            </w:r>
          </w:p>
        </w:tc>
        <w:tc>
          <w:tcPr>
            <w:tcW w:type="dxa" w:w="1584"/>
            <w:shd w:val="clear" w:color="auto" w:fill="F4CCCC"/>
          </w:tcPr>
          <w:p>
            <w:pPr>
              <w:spacing w:after="20"/>
            </w:pPr>
            <w:r/>
            <w:r>
              <w:rPr>
                <w:b w:val="0"/>
                <w:i w:val="0"/>
                <w:sz w:val="17"/>
              </w:rPr>
              <w:t>HIGH</w:t>
            </w:r>
          </w:p>
        </w:tc>
      </w:tr>
      <w:tr>
        <w:tc>
          <w:tcPr>
            <w:tcW w:type="dxa" w:w="432"/>
          </w:tcPr>
          <w:p>
            <w:pPr>
              <w:spacing w:after="20"/>
            </w:pPr>
            <w:r/>
            <w:r>
              <w:rPr>
                <w:b w:val="0"/>
                <w:i w:val="0"/>
                <w:sz w:val="17"/>
              </w:rPr>
              <w:t>3</w:t>
            </w:r>
          </w:p>
        </w:tc>
        <w:tc>
          <w:tcPr>
            <w:tcW w:type="dxa" w:w="3312"/>
          </w:tcPr>
          <w:p>
            <w:pPr>
              <w:spacing w:after="20"/>
            </w:pPr>
            <w:r/>
            <w:r>
              <w:rPr>
                <w:b w:val="0"/>
                <w:i w:val="0"/>
                <w:sz w:val="17"/>
              </w:rPr>
              <w:t>Expected or Intended Injury (Excl. a.) / R.C. 2745.01</w:t>
            </w:r>
          </w:p>
        </w:tc>
        <w:tc>
          <w:tcPr>
            <w:tcW w:type="dxa" w:w="1296"/>
          </w:tcPr>
          <w:p>
            <w:pPr>
              <w:spacing w:after="20"/>
            </w:pPr>
            <w:r/>
            <w:r>
              <w:rPr>
                <w:b w:val="0"/>
                <w:i w:val="0"/>
                <w:sz w:val="17"/>
              </w:rPr>
              <w:t>§§IV.C, V.A</w:t>
            </w:r>
          </w:p>
        </w:tc>
        <w:tc>
          <w:tcPr>
            <w:tcW w:type="dxa" w:w="3312"/>
          </w:tcPr>
          <w:p>
            <w:pPr>
              <w:spacing w:after="20"/>
            </w:pPr>
            <w:r/>
            <w:r>
              <w:rPr>
                <w:b w:val="0"/>
                <w:i w:val="0"/>
                <w:sz w:val="17"/>
              </w:rPr>
              <w:t>Indemnity for Count Four judgment; defense of Count Four only</w:t>
            </w:r>
          </w:p>
        </w:tc>
        <w:tc>
          <w:tcPr>
            <w:tcW w:type="dxa" w:w="1584"/>
            <w:shd w:val="clear" w:color="auto" w:fill="F4CCCC"/>
          </w:tcPr>
          <w:p>
            <w:pPr>
              <w:spacing w:after="20"/>
            </w:pPr>
            <w:r/>
            <w:r>
              <w:rPr>
                <w:b w:val="0"/>
                <w:i w:val="0"/>
                <w:sz w:val="17"/>
              </w:rPr>
              <w:t>HIGH (indemnity) / LOW (defense)</w:t>
            </w:r>
          </w:p>
        </w:tc>
      </w:tr>
      <w:tr>
        <w:tc>
          <w:tcPr>
            <w:tcW w:type="dxa" w:w="432"/>
          </w:tcPr>
          <w:p>
            <w:pPr>
              <w:spacing w:after="20"/>
            </w:pPr>
            <w:r/>
            <w:r>
              <w:rPr>
                <w:b w:val="0"/>
                <w:i w:val="0"/>
                <w:sz w:val="17"/>
              </w:rPr>
              <w:t>4</w:t>
            </w:r>
          </w:p>
        </w:tc>
        <w:tc>
          <w:tcPr>
            <w:tcW w:type="dxa" w:w="3312"/>
          </w:tcPr>
          <w:p>
            <w:pPr>
              <w:spacing w:after="20"/>
            </w:pPr>
            <w:r/>
            <w:r>
              <w:rPr>
                <w:b w:val="0"/>
                <w:i w:val="0"/>
                <w:sz w:val="17"/>
              </w:rPr>
              <w:t>Contractual Liability Limitation (CG 21 39 04 13)</w:t>
            </w:r>
          </w:p>
        </w:tc>
        <w:tc>
          <w:tcPr>
            <w:tcW w:type="dxa" w:w="1296"/>
          </w:tcPr>
          <w:p>
            <w:pPr>
              <w:spacing w:after="20"/>
            </w:pPr>
            <w:r/>
            <w:r>
              <w:rPr>
                <w:b w:val="0"/>
                <w:i w:val="0"/>
                <w:sz w:val="17"/>
              </w:rPr>
              <w:t>§§IV.G, V.E</w:t>
            </w:r>
          </w:p>
        </w:tc>
        <w:tc>
          <w:tcPr>
            <w:tcW w:type="dxa" w:w="3312"/>
          </w:tcPr>
          <w:p>
            <w:pPr>
              <w:spacing w:after="20"/>
            </w:pPr>
            <w:r/>
            <w:r>
              <w:rPr>
                <w:b w:val="0"/>
                <w:i w:val="0"/>
                <w:sz w:val="17"/>
              </w:rPr>
              <w:t>Any MSA §9.2 indemnity owed to StaffBridge (no tender yet)</w:t>
            </w:r>
          </w:p>
        </w:tc>
        <w:tc>
          <w:tcPr>
            <w:tcW w:type="dxa" w:w="1584"/>
            <w:shd w:val="clear" w:color="auto" w:fill="F4CCCC"/>
          </w:tcPr>
          <w:p>
            <w:pPr>
              <w:spacing w:after="20"/>
            </w:pPr>
            <w:r/>
            <w:r>
              <w:rPr>
                <w:b w:val="0"/>
                <w:i w:val="0"/>
                <w:sz w:val="17"/>
              </w:rPr>
              <w:t>HIGH but contingent</w:t>
            </w:r>
          </w:p>
        </w:tc>
      </w:tr>
      <w:tr>
        <w:tc>
          <w:tcPr>
            <w:tcW w:type="dxa" w:w="432"/>
          </w:tcPr>
          <w:p>
            <w:pPr>
              <w:spacing w:after="20"/>
            </w:pPr>
            <w:r/>
            <w:r>
              <w:rPr>
                <w:b w:val="0"/>
                <w:i w:val="0"/>
                <w:sz w:val="17"/>
              </w:rPr>
              <w:t>5</w:t>
            </w:r>
          </w:p>
        </w:tc>
        <w:tc>
          <w:tcPr>
            <w:tcW w:type="dxa" w:w="3312"/>
          </w:tcPr>
          <w:p>
            <w:pPr>
              <w:spacing w:after="20"/>
            </w:pPr>
            <w:r/>
            <w:r>
              <w:rPr>
                <w:b w:val="0"/>
                <w:i w:val="0"/>
                <w:sz w:val="17"/>
              </w:rPr>
              <w:t>Known Loss / Prior Knowledge (manuscript RCI-EXCL-2024-018)</w:t>
            </w:r>
          </w:p>
        </w:tc>
        <w:tc>
          <w:tcPr>
            <w:tcW w:type="dxa" w:w="1296"/>
          </w:tcPr>
          <w:p>
            <w:pPr>
              <w:spacing w:after="20"/>
            </w:pPr>
            <w:r/>
            <w:r>
              <w:rPr>
                <w:b w:val="0"/>
                <w:i w:val="0"/>
                <w:sz w:val="17"/>
              </w:rPr>
              <w:t>§§IV.F, V.D</w:t>
            </w:r>
          </w:p>
        </w:tc>
        <w:tc>
          <w:tcPr>
            <w:tcW w:type="dxa" w:w="3312"/>
          </w:tcPr>
          <w:p>
            <w:pPr>
              <w:spacing w:after="20"/>
            </w:pPr>
            <w:r/>
            <w:r>
              <w:rPr>
                <w:b w:val="0"/>
                <w:i w:val="0"/>
                <w:sz w:val="17"/>
              </w:rPr>
              <w:t>Entire occurrence — Espinoza and Buckeye ($39.85M)</w:t>
            </w:r>
          </w:p>
        </w:tc>
        <w:tc>
          <w:tcPr>
            <w:tcW w:type="dxa" w:w="1584"/>
            <w:shd w:val="clear" w:color="auto" w:fill="FCE5CD"/>
          </w:tcPr>
          <w:p>
            <w:pPr>
              <w:spacing w:after="20"/>
            </w:pPr>
            <w:r/>
            <w:r>
              <w:rPr>
                <w:b w:val="0"/>
                <w:i w:val="0"/>
                <w:sz w:val="17"/>
              </w:rPr>
              <w:t>MODERATE</w:t>
            </w:r>
          </w:p>
        </w:tc>
      </w:tr>
      <w:tr>
        <w:tc>
          <w:tcPr>
            <w:tcW w:type="dxa" w:w="432"/>
          </w:tcPr>
          <w:p>
            <w:pPr>
              <w:spacing w:after="20"/>
            </w:pPr>
            <w:r/>
            <w:r>
              <w:rPr>
                <w:b w:val="0"/>
                <w:i w:val="0"/>
                <w:sz w:val="17"/>
              </w:rPr>
              <w:t>6</w:t>
            </w:r>
          </w:p>
        </w:tc>
        <w:tc>
          <w:tcPr>
            <w:tcW w:type="dxa" w:w="3312"/>
          </w:tcPr>
          <w:p>
            <w:pPr>
              <w:spacing w:after="20"/>
            </w:pPr>
            <w:r/>
            <w:r>
              <w:rPr>
                <w:b w:val="0"/>
                <w:i w:val="0"/>
                <w:sz w:val="17"/>
              </w:rPr>
              <w:t>Total Pollution Exclusion (CG 21 49 09 99)</w:t>
            </w:r>
          </w:p>
        </w:tc>
        <w:tc>
          <w:tcPr>
            <w:tcW w:type="dxa" w:w="1296"/>
          </w:tcPr>
          <w:p>
            <w:pPr>
              <w:spacing w:after="20"/>
            </w:pPr>
            <w:r/>
            <w:r>
              <w:rPr>
                <w:b w:val="0"/>
                <w:i w:val="0"/>
                <w:sz w:val="17"/>
              </w:rPr>
              <w:t>§§IV.E, V.C</w:t>
            </w:r>
          </w:p>
        </w:tc>
        <w:tc>
          <w:tcPr>
            <w:tcW w:type="dxa" w:w="3312"/>
          </w:tcPr>
          <w:p>
            <w:pPr>
              <w:spacing w:after="20"/>
            </w:pPr>
            <w:r/>
            <w:r>
              <w:rPr>
                <w:b w:val="0"/>
                <w:i w:val="0"/>
                <w:sz w:val="17"/>
              </w:rPr>
              <w:t>Smoke-inhalation BI (Tulley); $148K smoke/soot spoilage; little else</w:t>
            </w:r>
          </w:p>
        </w:tc>
        <w:tc>
          <w:tcPr>
            <w:tcW w:type="dxa" w:w="1584"/>
            <w:shd w:val="clear" w:color="auto" w:fill="FCE5CD"/>
          </w:tcPr>
          <w:p>
            <w:pPr>
              <w:spacing w:after="20"/>
            </w:pPr>
            <w:r/>
            <w:r>
              <w:rPr>
                <w:b w:val="0"/>
                <w:i w:val="0"/>
                <w:sz w:val="17"/>
              </w:rPr>
              <w:t>LOW–MODERATE</w:t>
            </w:r>
          </w:p>
        </w:tc>
      </w:tr>
      <w:tr>
        <w:tc>
          <w:tcPr>
            <w:tcW w:type="dxa" w:w="432"/>
          </w:tcPr>
          <w:p>
            <w:pPr>
              <w:spacing w:after="20"/>
            </w:pPr>
            <w:r/>
            <w:r>
              <w:rPr>
                <w:b w:val="0"/>
                <w:i w:val="0"/>
                <w:sz w:val="17"/>
              </w:rPr>
              <w:t>7</w:t>
            </w:r>
          </w:p>
        </w:tc>
        <w:tc>
          <w:tcPr>
            <w:tcW w:type="dxa" w:w="3312"/>
          </w:tcPr>
          <w:p>
            <w:pPr>
              <w:spacing w:after="20"/>
            </w:pPr>
            <w:r/>
            <w:r>
              <w:rPr>
                <w:b w:val="0"/>
                <w:i w:val="0"/>
                <w:sz w:val="17"/>
              </w:rPr>
              <w:t>Late notice (Cond. 2.a.)</w:t>
            </w:r>
          </w:p>
        </w:tc>
        <w:tc>
          <w:tcPr>
            <w:tcW w:type="dxa" w:w="1296"/>
          </w:tcPr>
          <w:p>
            <w:pPr>
              <w:spacing w:after="20"/>
            </w:pPr>
            <w:r/>
            <w:r>
              <w:rPr>
                <w:b w:val="0"/>
                <w:i w:val="0"/>
                <w:sz w:val="17"/>
              </w:rPr>
              <w:t>§§IV.H, V.F</w:t>
            </w:r>
          </w:p>
        </w:tc>
        <w:tc>
          <w:tcPr>
            <w:tcW w:type="dxa" w:w="3312"/>
          </w:tcPr>
          <w:p>
            <w:pPr>
              <w:spacing w:after="20"/>
            </w:pPr>
            <w:r/>
            <w:r>
              <w:rPr>
                <w:b w:val="0"/>
                <w:i w:val="0"/>
                <w:sz w:val="17"/>
              </w:rPr>
              <w:t>Entire claim in theory</w:t>
            </w:r>
          </w:p>
        </w:tc>
        <w:tc>
          <w:tcPr>
            <w:tcW w:type="dxa" w:w="1584"/>
            <w:shd w:val="clear" w:color="auto" w:fill="D9EAD3"/>
          </w:tcPr>
          <w:p>
            <w:pPr>
              <w:spacing w:after="20"/>
            </w:pPr>
            <w:r/>
            <w:r>
              <w:rPr>
                <w:b w:val="0"/>
                <w:i w:val="0"/>
                <w:sz w:val="17"/>
              </w:rPr>
              <w:t>LOW</w:t>
            </w:r>
          </w:p>
        </w:tc>
      </w:tr>
      <w:tr>
        <w:tc>
          <w:tcPr>
            <w:tcW w:type="dxa" w:w="432"/>
          </w:tcPr>
          <w:p>
            <w:pPr>
              <w:spacing w:after="20"/>
            </w:pPr>
            <w:r/>
            <w:r>
              <w:rPr>
                <w:b w:val="0"/>
                <w:i w:val="0"/>
                <w:sz w:val="17"/>
              </w:rPr>
              <w:t>8</w:t>
            </w:r>
          </w:p>
        </w:tc>
        <w:tc>
          <w:tcPr>
            <w:tcW w:type="dxa" w:w="3312"/>
          </w:tcPr>
          <w:p>
            <w:pPr>
              <w:spacing w:after="20"/>
            </w:pPr>
            <w:r/>
            <w:r>
              <w:rPr>
                <w:b w:val="0"/>
                <w:i w:val="0"/>
                <w:sz w:val="17"/>
              </w:rPr>
              <w:t>Sworn proof of loss (Cond. 2.a.(c))</w:t>
            </w:r>
          </w:p>
        </w:tc>
        <w:tc>
          <w:tcPr>
            <w:tcW w:type="dxa" w:w="1296"/>
          </w:tcPr>
          <w:p>
            <w:pPr>
              <w:spacing w:after="20"/>
            </w:pPr>
            <w:r/>
            <w:r>
              <w:rPr>
                <w:b w:val="0"/>
                <w:i w:val="0"/>
                <w:sz w:val="17"/>
              </w:rPr>
              <w:t>§§IV.H, VII</w:t>
            </w:r>
          </w:p>
        </w:tc>
        <w:tc>
          <w:tcPr>
            <w:tcW w:type="dxa" w:w="3312"/>
          </w:tcPr>
          <w:p>
            <w:pPr>
              <w:spacing w:after="20"/>
            </w:pPr>
            <w:r/>
            <w:r>
              <w:rPr>
                <w:b w:val="0"/>
                <w:i w:val="0"/>
                <w:sz w:val="17"/>
              </w:rPr>
              <w:t>Entire claim in theory (forfeiture argument)</w:t>
            </w:r>
          </w:p>
        </w:tc>
        <w:tc>
          <w:tcPr>
            <w:tcW w:type="dxa" w:w="1584"/>
            <w:shd w:val="clear" w:color="auto" w:fill="D9EAD3"/>
          </w:tcPr>
          <w:p>
            <w:pPr>
              <w:spacing w:after="20"/>
            </w:pPr>
            <w:r/>
            <w:r>
              <w:rPr>
                <w:b w:val="0"/>
                <w:i w:val="0"/>
                <w:sz w:val="17"/>
              </w:rPr>
              <w:t>LOW if managed</w:t>
            </w:r>
          </w:p>
        </w:tc>
      </w:tr>
      <w:tr>
        <w:tc>
          <w:tcPr>
            <w:tcW w:type="dxa" w:w="432"/>
          </w:tcPr>
          <w:p>
            <w:pPr>
              <w:spacing w:after="20"/>
            </w:pPr>
            <w:r/>
            <w:r>
              <w:rPr>
                <w:b w:val="0"/>
                <w:i w:val="0"/>
                <w:sz w:val="17"/>
              </w:rPr>
              <w:t>9</w:t>
            </w:r>
          </w:p>
        </w:tc>
        <w:tc>
          <w:tcPr>
            <w:tcW w:type="dxa" w:w="3312"/>
          </w:tcPr>
          <w:p>
            <w:pPr>
              <w:spacing w:after="20"/>
            </w:pPr>
            <w:r/>
            <w:r>
              <w:rPr>
                <w:b w:val="0"/>
                <w:i w:val="0"/>
                <w:sz w:val="17"/>
              </w:rPr>
              <w:t>SIR as precondition to defense and indemnity</w:t>
            </w:r>
          </w:p>
        </w:tc>
        <w:tc>
          <w:tcPr>
            <w:tcW w:type="dxa" w:w="1296"/>
          </w:tcPr>
          <w:p>
            <w:pPr>
              <w:spacing w:after="20"/>
            </w:pPr>
            <w:r/>
            <w:r>
              <w:rPr>
                <w:b w:val="0"/>
                <w:i w:val="0"/>
                <w:sz w:val="17"/>
              </w:rPr>
              <w:t>§§I, IV.B</w:t>
            </w:r>
          </w:p>
        </w:tc>
        <w:tc>
          <w:tcPr>
            <w:tcW w:type="dxa" w:w="3312"/>
          </w:tcPr>
          <w:p>
            <w:pPr>
              <w:spacing w:after="20"/>
            </w:pPr>
            <w:r/>
            <w:r>
              <w:rPr>
                <w:b w:val="0"/>
                <w:i w:val="0"/>
                <w:sz w:val="17"/>
              </w:rPr>
              <w:t>First $250K of each occurrence; timing of defense</w:t>
            </w:r>
          </w:p>
        </w:tc>
        <w:tc>
          <w:tcPr>
            <w:tcW w:type="dxa" w:w="1584"/>
            <w:shd w:val="clear" w:color="auto" w:fill="FCE5CD"/>
          </w:tcPr>
          <w:p>
            <w:pPr>
              <w:spacing w:after="20"/>
            </w:pPr>
            <w:r/>
            <w:r>
              <w:rPr>
                <w:b w:val="0"/>
                <w:i w:val="0"/>
                <w:sz w:val="17"/>
              </w:rPr>
              <w:t>Not a defense — HIGH financial impact</w:t>
            </w:r>
          </w:p>
        </w:tc>
      </w:tr>
      <w:tr>
        <w:tc>
          <w:tcPr>
            <w:tcW w:type="dxa" w:w="432"/>
          </w:tcPr>
          <w:p>
            <w:pPr>
              <w:spacing w:after="20"/>
            </w:pPr>
            <w:r/>
            <w:r>
              <w:rPr>
                <w:b w:val="0"/>
                <w:i w:val="0"/>
                <w:sz w:val="17"/>
              </w:rPr>
              <w:t>10</w:t>
            </w:r>
          </w:p>
        </w:tc>
        <w:tc>
          <w:tcPr>
            <w:tcW w:type="dxa" w:w="3312"/>
          </w:tcPr>
          <w:p>
            <w:pPr>
              <w:spacing w:after="20"/>
            </w:pPr>
            <w:r/>
            <w:r>
              <w:rPr>
                <w:b w:val="0"/>
                <w:i w:val="0"/>
                <w:sz w:val="17"/>
              </w:rPr>
              <w:t>Cooperation / voluntary payments / right to withdraw defense / general reservation</w:t>
            </w:r>
          </w:p>
        </w:tc>
        <w:tc>
          <w:tcPr>
            <w:tcW w:type="dxa" w:w="1296"/>
          </w:tcPr>
          <w:p>
            <w:pPr>
              <w:spacing w:after="20"/>
            </w:pPr>
            <w:r/>
            <w:r>
              <w:rPr>
                <w:b w:val="0"/>
                <w:i w:val="0"/>
                <w:sz w:val="17"/>
              </w:rPr>
              <w:t>§§V.G, V.H, VII, VIII</w:t>
            </w:r>
          </w:p>
        </w:tc>
        <w:tc>
          <w:tcPr>
            <w:tcW w:type="dxa" w:w="3312"/>
          </w:tcPr>
          <w:p>
            <w:pPr>
              <w:spacing w:after="20"/>
            </w:pPr>
            <w:r/>
            <w:r>
              <w:rPr>
                <w:b w:val="0"/>
                <w:i w:val="0"/>
                <w:sz w:val="17"/>
              </w:rPr>
              <w:t>Process leverage</w:t>
            </w:r>
          </w:p>
        </w:tc>
        <w:tc>
          <w:tcPr>
            <w:tcW w:type="dxa" w:w="1584"/>
            <w:shd w:val="clear" w:color="auto" w:fill="EDEDED"/>
          </w:tcPr>
          <w:p>
            <w:pPr>
              <w:spacing w:after="20"/>
            </w:pPr>
            <w:r/>
            <w:r>
              <w:rPr>
                <w:b w:val="0"/>
                <w:i w:val="0"/>
                <w:sz w:val="17"/>
              </w:rPr>
              <w:t>Process risk</w:t>
            </w:r>
          </w:p>
        </w:tc>
      </w:tr>
    </w:tbl>
    <w:p>
      <w:pPr>
        <w:spacing w:after="40"/>
      </w:pPr>
    </w:p>
    <w:tbl>
      <w:tblPr>
        <w:tblStyle w:val="TableGrid"/>
        <w:tblW w:type="auto" w:w="0"/>
        <w:jc w:val="center"/>
        <w:tblLayout w:type="fixed"/>
        <w:tblLook w:firstColumn="1" w:firstRow="1" w:lastColumn="0" w:lastRow="0" w:noHBand="0" w:noVBand="1" w:val="04A0"/>
      </w:tblPr>
      <w:tblGrid>
        <w:gridCol w:w="4968"/>
        <w:gridCol w:w="4968"/>
      </w:tblGrid>
      <w:tr>
        <w:tc>
          <w:tcPr>
            <w:tcW w:type="dxa" w:w="9936"/>
            <w:gridSpan w:val="2"/>
            <w:shd w:val="clear" w:color="auto" w:fill="1F3A5F"/>
          </w:tcPr>
          <w:p>
            <w:r/>
            <w:r>
              <w:rPr>
                <w:b/>
                <w:i w:val="0"/>
                <w:color w:val="FFFFFF"/>
                <w:sz w:val="20"/>
              </w:rPr>
              <w:t>5.1  Employer’s Liability Exclusion — Manuscript Endorsement RCI-EXCL-2024-011</w:t>
            </w:r>
          </w:p>
        </w:tc>
      </w:tr>
      <w:tr>
        <w:tc>
          <w:tcPr>
            <w:tcW w:type="dxa" w:w="2304"/>
            <w:shd w:val="clear" w:color="auto" w:fill="E8EEF5"/>
          </w:tcPr>
          <w:p>
            <w:r/>
            <w:r>
              <w:rPr>
                <w:b/>
                <w:i w:val="0"/>
                <w:sz w:val="18"/>
              </w:rPr>
              <w:t>Provision (as quoted in ROR)</w:t>
            </w:r>
          </w:p>
        </w:tc>
        <w:tc>
          <w:tcPr>
            <w:tcW w:type="dxa" w:w="7632"/>
          </w:tcPr>
          <w:p>
            <w:pPr>
              <w:spacing w:after="20"/>
            </w:pPr>
            <w:r/>
            <w:r>
              <w:rPr>
                <w:b w:val="0"/>
                <w:i w:val="0"/>
                <w:sz w:val="18"/>
              </w:rPr>
              <w:t>Excludes BI to “(a) any ‘employee’ of the insured arising out of and in the course of employment by the insured; or (b) any worker furnished to the insured by a staffing or temporary employment agency, a labor leasing firm, or any similar entity, arising out of and in the course of the worker’s activities while performing duties related to the conduct of the insured’s business.”</w:t>
            </w:r>
          </w:p>
          <w:p>
            <w:pPr>
              <w:spacing w:after="20"/>
            </w:pPr>
            <w:r>
              <w:rPr>
                <w:b w:val="0"/>
                <w:i w:val="0"/>
                <w:sz w:val="18"/>
              </w:rPr>
              <w:t>Greenleaf Dec. Summary wording differs: “any employee of the insured or any worker furnished to the insured by a staffing or temporary employment agency, whether or not such worker is deemed a statutory employee of the insured under applicable workers’ compensation law.”</w:t>
            </w:r>
          </w:p>
        </w:tc>
      </w:tr>
      <w:tr>
        <w:tc>
          <w:tcPr>
            <w:tcW w:type="dxa" w:w="2304"/>
            <w:shd w:val="clear" w:color="auto" w:fill="E8EEF5"/>
          </w:tcPr>
          <w:p>
            <w:r/>
            <w:r>
              <w:rPr>
                <w:b/>
                <w:i w:val="0"/>
                <w:sz w:val="18"/>
              </w:rPr>
              <w:t>Ridgepoint position</w:t>
            </w:r>
          </w:p>
        </w:tc>
        <w:tc>
          <w:tcPr>
            <w:tcW w:type="dxa" w:w="7632"/>
          </w:tcPr>
          <w:p>
            <w:pPr>
              <w:spacing w:after="20"/>
            </w:pPr>
            <w:r/>
            <w:r>
              <w:rPr>
                <w:b w:val="0"/>
                <w:i w:val="0"/>
                <w:sz w:val="18"/>
              </w:rPr>
              <w:t>The nine plaintiffs are StaffBridge workers furnished under the March 1, 2023 MSA and were injured performing duties related to Greenleaf’s business; their BI claims are excluded (ROR §V.B).</w:t>
            </w:r>
          </w:p>
        </w:tc>
      </w:tr>
      <w:tr>
        <w:tc>
          <w:tcPr>
            <w:tcW w:type="dxa" w:w="2304"/>
            <w:shd w:val="clear" w:color="auto" w:fill="E8EEF5"/>
          </w:tcPr>
          <w:p>
            <w:r/>
            <w:r>
              <w:rPr>
                <w:b/>
                <w:i w:val="0"/>
                <w:sz w:val="18"/>
              </w:rPr>
              <w:t>Why it matters</w:t>
            </w:r>
          </w:p>
        </w:tc>
        <w:tc>
          <w:tcPr>
            <w:tcW w:type="dxa" w:w="7632"/>
          </w:tcPr>
          <w:p>
            <w:pPr>
              <w:spacing w:after="20"/>
            </w:pPr>
            <w:r/>
            <w:r>
              <w:rPr>
                <w:b w:val="0"/>
                <w:i w:val="0"/>
                <w:sz w:val="18"/>
              </w:rPr>
              <w:t xml:space="preserve">The standard ISO definition of “employee” includes a “leased worker” but excludes a “temporary worker,” so the standard employer’s liability exclusion often does not reach staffing-agency temps. This manuscript form is drafted specifically to close that gap. Subsection (b) does </w:t>
            </w:r>
            <w:r>
              <w:rPr>
                <w:b/>
                <w:i w:val="0"/>
                <w:sz w:val="18"/>
              </w:rPr>
              <w:t>not</w:t>
            </w:r>
            <w:r>
              <w:rPr>
                <w:b w:val="0"/>
                <w:i w:val="0"/>
                <w:sz w:val="18"/>
              </w:rPr>
              <w:t xml:space="preserve"> depend on whether Greenleaf is the workers’ employer, so plaintiffs’ “not employed by Greenleaf” allegations (¶¶1–12) do not avoid it.</w:t>
            </w:r>
          </w:p>
        </w:tc>
      </w:tr>
      <w:tr>
        <w:tc>
          <w:tcPr>
            <w:tcW w:type="dxa" w:w="2304"/>
            <w:shd w:val="clear" w:color="auto" w:fill="E8EEF5"/>
          </w:tcPr>
          <w:p>
            <w:r/>
            <w:r>
              <w:rPr>
                <w:b/>
                <w:i w:val="0"/>
                <w:sz w:val="18"/>
              </w:rPr>
              <w:t>Fit with the facts</w:t>
            </w:r>
          </w:p>
        </w:tc>
        <w:tc>
          <w:tcPr>
            <w:tcW w:type="dxa" w:w="7632"/>
          </w:tcPr>
          <w:p>
            <w:pPr>
              <w:spacing w:after="20"/>
            </w:pPr>
            <w:r/>
            <w:r>
              <w:rPr>
                <w:b w:val="0"/>
                <w:i w:val="0"/>
                <w:sz w:val="18"/>
              </w:rPr>
              <w:t>Strong fit: the complaint itself pleads that the workers were “placed at Greenleaf’s Akron facility to perform manufacturing work under Greenleaf’s day-to-day direction and control” and were “performing their assigned duties” on Line 7 at the time (Compl. Intro, ¶¶20, 31).</w:t>
            </w:r>
          </w:p>
        </w:tc>
      </w:tr>
      <w:tr>
        <w:tc>
          <w:tcPr>
            <w:tcW w:type="dxa" w:w="2304"/>
            <w:shd w:val="clear" w:color="auto" w:fill="E8EEF5"/>
          </w:tcPr>
          <w:p>
            <w:r/>
            <w:r>
              <w:rPr>
                <w:b/>
                <w:i w:val="0"/>
                <w:sz w:val="18"/>
              </w:rPr>
              <w:t>Greenleaf counterarguments</w:t>
            </w:r>
          </w:p>
        </w:tc>
        <w:tc>
          <w:tcPr>
            <w:tcW w:type="dxa" w:w="7632"/>
          </w:tcPr>
          <w:p>
            <w:pPr>
              <w:spacing w:after="20"/>
            </w:pPr>
            <w:r/>
            <w:r>
              <w:rPr>
                <w:b w:val="0"/>
                <w:i w:val="0"/>
                <w:sz w:val="18"/>
              </w:rPr>
              <w:t>(1) Obtain the actual endorsement — two inconsistent versions are in circulation; any ambiguity is construed strictly against the insurer and exclusions are read narrowly (King v. Nationwide Ins. Co., 35 Ohio St.3d 208 (1988)).</w:t>
            </w:r>
          </w:p>
          <w:p>
            <w:pPr>
              <w:spacing w:after="20"/>
            </w:pPr>
            <w:r>
              <w:rPr>
                <w:b w:val="0"/>
                <w:i w:val="0"/>
                <w:sz w:val="18"/>
              </w:rPr>
              <w:t>(2) Consortium claims: the quoted text excludes BI “to” the worker and, unlike ISO exclusion e., contains no express spouse/consequential-damages clause; arguable but weak, because consortium damages are sought “because of” the excluded BI.</w:t>
            </w:r>
          </w:p>
          <w:p>
            <w:pPr>
              <w:spacing w:after="20"/>
            </w:pPr>
            <w:r>
              <w:rPr>
                <w:b w:val="0"/>
                <w:i w:val="0"/>
                <w:sz w:val="18"/>
              </w:rPr>
              <w:t>(3) Check whether the manuscript retains ISO’s “insured contract” exception (relevant to StaffBridge indemnity) and whether it was properly disclosed/delivered at binding or renewal (broker file).</w:t>
            </w:r>
          </w:p>
          <w:p>
            <w:pPr>
              <w:spacing w:after="20"/>
            </w:pPr>
            <w:r>
              <w:rPr>
                <w:b w:val="0"/>
                <w:i w:val="0"/>
                <w:sz w:val="18"/>
              </w:rPr>
              <w:t>(4) Reasonable-expectations and regulatory-filing arguments are available but uncertain in Ohio.</w:t>
            </w:r>
          </w:p>
          <w:p>
            <w:pPr>
              <w:spacing w:after="20"/>
            </w:pPr>
            <w:r>
              <w:rPr>
                <w:b w:val="0"/>
                <w:i w:val="0"/>
                <w:sz w:val="18"/>
              </w:rPr>
              <w:t>(5) The duty to defend continues until a court rules (or the exclusion is shown to apply to every claim), and Ridgepoint has elected to defend.</w:t>
            </w:r>
          </w:p>
        </w:tc>
      </w:tr>
      <w:tr>
        <w:tc>
          <w:tcPr>
            <w:tcW w:type="dxa" w:w="2304"/>
            <w:shd w:val="clear" w:color="auto" w:fill="E8EEF5"/>
          </w:tcPr>
          <w:p>
            <w:r/>
            <w:r>
              <w:rPr>
                <w:b/>
                <w:i w:val="0"/>
                <w:sz w:val="18"/>
              </w:rPr>
              <w:t>Assessment</w:t>
            </w:r>
          </w:p>
        </w:tc>
        <w:tc>
          <w:tcPr>
            <w:tcW w:type="dxa" w:w="7632"/>
            <w:shd w:val="clear" w:color="auto" w:fill="F4CCCC"/>
          </w:tcPr>
          <w:p>
            <w:pPr>
              <w:spacing w:after="20"/>
            </w:pPr>
            <w:r/>
            <w:r>
              <w:rPr>
                <w:b/>
                <w:i w:val="0"/>
                <w:sz w:val="18"/>
              </w:rPr>
              <w:t>HIGH.</w:t>
            </w:r>
            <w:r>
              <w:rPr>
                <w:b w:val="0"/>
                <w:i w:val="0"/>
                <w:sz w:val="18"/>
              </w:rPr>
              <w:t xml:space="preserve"> This is the defense with the most teeth and the largest dollar impact. If it applies as quoted, the Espinoza suit is outside this Policy in its entirety.</w:t>
            </w:r>
          </w:p>
        </w:tc>
      </w:tr>
      <w:tr>
        <w:tc>
          <w:tcPr>
            <w:tcW w:type="dxa" w:w="2304"/>
            <w:shd w:val="clear" w:color="auto" w:fill="E8EEF5"/>
          </w:tcPr>
          <w:p>
            <w:r/>
            <w:r>
              <w:rPr>
                <w:b/>
                <w:i w:val="0"/>
                <w:sz w:val="18"/>
              </w:rPr>
              <w:t>Recommended actions</w:t>
            </w:r>
          </w:p>
        </w:tc>
        <w:tc>
          <w:tcPr>
            <w:tcW w:type="dxa" w:w="7632"/>
          </w:tcPr>
          <w:p>
            <w:pPr>
              <w:spacing w:after="20"/>
            </w:pPr>
            <w:r/>
            <w:r>
              <w:rPr>
                <w:b w:val="0"/>
                <w:i w:val="0"/>
                <w:sz w:val="18"/>
              </w:rPr>
              <w:t xml:space="preserve">Demand the certified endorsement and the underwriting file. Immediately identify alternative coverage: (a) umbrella/excess (check whether it follows form to this exclusion); (b) Ohio is a monopolistic workers’ compensation state, so employer’s liability for Ohio operations is typically purchased as </w:t>
            </w:r>
            <w:r>
              <w:rPr>
                <w:b/>
                <w:i w:val="0"/>
                <w:sz w:val="18"/>
              </w:rPr>
              <w:t>stop-gap coverage</w:t>
            </w:r>
            <w:r>
              <w:rPr>
                <w:b w:val="0"/>
                <w:i w:val="0"/>
                <w:sz w:val="18"/>
              </w:rPr>
              <w:t xml:space="preserve"> — locate any stop-gap endorsement/policy and any employer intentional-tort coverage; (c) StaffBridge’s coverage, including any alternate-employer endorsement and any obligation under the MSA’s mutual indemnity provisions; (d) the accumulator manufacturer/maintenance vendors for contribution.</w:t>
            </w:r>
          </w:p>
        </w:tc>
      </w:tr>
    </w:tbl>
    <w:p>
      <w:pPr>
        <w:spacing w:after="40"/>
      </w:pPr>
    </w:p>
    <w:tbl>
      <w:tblPr>
        <w:tblStyle w:val="TableGrid"/>
        <w:tblW w:type="auto" w:w="0"/>
        <w:jc w:val="center"/>
        <w:tblLayout w:type="fixed"/>
        <w:tblLook w:firstColumn="1" w:firstRow="1" w:lastColumn="0" w:lastRow="0" w:noHBand="0" w:noVBand="1" w:val="04A0"/>
      </w:tblPr>
      <w:tblGrid>
        <w:gridCol w:w="4968"/>
        <w:gridCol w:w="4968"/>
      </w:tblGrid>
      <w:tr>
        <w:tc>
          <w:tcPr>
            <w:tcW w:type="dxa" w:w="9936"/>
            <w:gridSpan w:val="2"/>
            <w:shd w:val="clear" w:color="auto" w:fill="1F3A5F"/>
          </w:tcPr>
          <w:p>
            <w:r/>
            <w:r>
              <w:rPr>
                <w:b/>
                <w:i w:val="0"/>
                <w:color w:val="FFFFFF"/>
                <w:sz w:val="20"/>
              </w:rPr>
              <w:t>5.2  Punitive and Exemplary Damages</w:t>
            </w:r>
          </w:p>
        </w:tc>
      </w:tr>
      <w:tr>
        <w:tc>
          <w:tcPr>
            <w:tcW w:type="dxa" w:w="2304"/>
            <w:shd w:val="clear" w:color="auto" w:fill="E8EEF5"/>
          </w:tcPr>
          <w:p>
            <w:r/>
            <w:r>
              <w:rPr>
                <w:b/>
                <w:i w:val="0"/>
                <w:sz w:val="18"/>
              </w:rPr>
              <w:t>Ridgepoint position</w:t>
            </w:r>
          </w:p>
        </w:tc>
        <w:tc>
          <w:tcPr>
            <w:tcW w:type="dxa" w:w="7632"/>
          </w:tcPr>
          <w:p>
            <w:pPr>
              <w:spacing w:after="20"/>
            </w:pPr>
            <w:r/>
            <w:r>
              <w:rPr>
                <w:b w:val="0"/>
                <w:i w:val="0"/>
                <w:sz w:val="18"/>
              </w:rPr>
              <w:t>Indemnity does not extend to any punitive award; such damages may be uninsurable as a matter of law or public policy or outside “damages” (ROR §V.A ¶2).</w:t>
            </w:r>
          </w:p>
        </w:tc>
      </w:tr>
      <w:tr>
        <w:tc>
          <w:tcPr>
            <w:tcW w:type="dxa" w:w="2304"/>
            <w:shd w:val="clear" w:color="auto" w:fill="E8EEF5"/>
          </w:tcPr>
          <w:p>
            <w:r/>
            <w:r>
              <w:rPr>
                <w:b/>
                <w:i w:val="0"/>
                <w:sz w:val="18"/>
              </w:rPr>
              <w:t>Analysis</w:t>
            </w:r>
          </w:p>
        </w:tc>
        <w:tc>
          <w:tcPr>
            <w:tcW w:type="dxa" w:w="7632"/>
          </w:tcPr>
          <w:p>
            <w:pPr>
              <w:spacing w:after="20"/>
            </w:pPr>
            <w:r/>
            <w:r>
              <w:rPr>
                <w:b w:val="0"/>
                <w:i w:val="0"/>
                <w:sz w:val="18"/>
              </w:rPr>
              <w:t>Ohio statute bars liability policies from covering punitive or exemplary damages (R.C. 3937.182(A)). Ridgepoint is very likely correct as to the $12M punitive claim. Ohio’s punitive cap (R.C. 2315.21(D)(2)(a), generally two times compensatory damages) does not meaningfully limit a $12M claim against $26.5M of compensatory/consortium claims.</w:t>
            </w:r>
          </w:p>
        </w:tc>
      </w:tr>
      <w:tr>
        <w:tc>
          <w:tcPr>
            <w:tcW w:type="dxa" w:w="2304"/>
            <w:shd w:val="clear" w:color="auto" w:fill="E8EEF5"/>
          </w:tcPr>
          <w:p>
            <w:r/>
            <w:r>
              <w:rPr>
                <w:b/>
                <w:i w:val="0"/>
                <w:sz w:val="18"/>
              </w:rPr>
              <w:t>Greenleaf counterarguments</w:t>
            </w:r>
          </w:p>
        </w:tc>
        <w:tc>
          <w:tcPr>
            <w:tcW w:type="dxa" w:w="7632"/>
          </w:tcPr>
          <w:p>
            <w:pPr>
              <w:spacing w:after="20"/>
            </w:pPr>
            <w:r/>
            <w:r>
              <w:rPr>
                <w:b w:val="0"/>
                <w:i w:val="0"/>
                <w:sz w:val="18"/>
              </w:rPr>
              <w:t>None of substance on indemnity. The reservation does not affect the duty to defend, and defense of punitive allegations is part of the defense of the suit.</w:t>
            </w:r>
          </w:p>
        </w:tc>
      </w:tr>
      <w:tr>
        <w:tc>
          <w:tcPr>
            <w:tcW w:type="dxa" w:w="2304"/>
            <w:shd w:val="clear" w:color="auto" w:fill="E8EEF5"/>
          </w:tcPr>
          <w:p>
            <w:r/>
            <w:r>
              <w:rPr>
                <w:b/>
                <w:i w:val="0"/>
                <w:sz w:val="18"/>
              </w:rPr>
              <w:t>Assessment</w:t>
            </w:r>
          </w:p>
        </w:tc>
        <w:tc>
          <w:tcPr>
            <w:tcW w:type="dxa" w:w="7632"/>
            <w:shd w:val="clear" w:color="auto" w:fill="F4CCCC"/>
          </w:tcPr>
          <w:p>
            <w:pPr>
              <w:spacing w:after="20"/>
            </w:pPr>
            <w:r/>
            <w:r>
              <w:rPr>
                <w:b/>
                <w:i w:val="0"/>
                <w:sz w:val="18"/>
              </w:rPr>
              <w:t>HIGH</w:t>
            </w:r>
            <w:r>
              <w:rPr>
                <w:b w:val="0"/>
                <w:i w:val="0"/>
                <w:sz w:val="18"/>
              </w:rPr>
              <w:t xml:space="preserve"> (near certain). Treat the punitive claim as uninsured; it is a key driver of the settlement-within-limits dynamic.</w:t>
            </w:r>
          </w:p>
        </w:tc>
      </w:tr>
      <w:tr>
        <w:tc>
          <w:tcPr>
            <w:tcW w:type="dxa" w:w="2304"/>
            <w:shd w:val="clear" w:color="auto" w:fill="E8EEF5"/>
          </w:tcPr>
          <w:p>
            <w:r/>
            <w:r>
              <w:rPr>
                <w:b/>
                <w:i w:val="0"/>
                <w:sz w:val="18"/>
              </w:rPr>
              <w:t>Recommended actions</w:t>
            </w:r>
          </w:p>
        </w:tc>
        <w:tc>
          <w:tcPr>
            <w:tcW w:type="dxa" w:w="7632"/>
          </w:tcPr>
          <w:p>
            <w:pPr>
              <w:spacing w:after="20"/>
            </w:pPr>
            <w:r/>
            <w:r>
              <w:rPr>
                <w:b w:val="0"/>
                <w:i w:val="0"/>
                <w:sz w:val="18"/>
              </w:rPr>
              <w:t>Budget the punitive exposure as a corporate retention; consider whether any excess policy has a most-favorable-jurisdiction clause (unlikely to help where the insured, risk and forum are all Ohio).</w:t>
            </w:r>
          </w:p>
        </w:tc>
      </w:tr>
    </w:tbl>
    <w:p>
      <w:pPr>
        <w:spacing w:after="40"/>
      </w:pPr>
    </w:p>
    <w:tbl>
      <w:tblPr>
        <w:tblStyle w:val="TableGrid"/>
        <w:tblW w:type="auto" w:w="0"/>
        <w:jc w:val="center"/>
        <w:tblLayout w:type="fixed"/>
        <w:tblLook w:firstColumn="1" w:firstRow="1" w:lastColumn="0" w:lastRow="0" w:noHBand="0" w:noVBand="1" w:val="04A0"/>
      </w:tblPr>
      <w:tblGrid>
        <w:gridCol w:w="4968"/>
        <w:gridCol w:w="4968"/>
      </w:tblGrid>
      <w:tr>
        <w:tc>
          <w:tcPr>
            <w:tcW w:type="dxa" w:w="9936"/>
            <w:gridSpan w:val="2"/>
            <w:shd w:val="clear" w:color="auto" w:fill="1F3A5F"/>
          </w:tcPr>
          <w:p>
            <w:r/>
            <w:r>
              <w:rPr>
                <w:b/>
                <w:i w:val="0"/>
                <w:color w:val="FFFFFF"/>
                <w:sz w:val="20"/>
              </w:rPr>
              <w:t>5.3  Exclusion a. — Expected or Intended Injury / Employer Intentional Tort (R.C. 2745.01)</w:t>
            </w:r>
          </w:p>
        </w:tc>
      </w:tr>
      <w:tr>
        <w:tc>
          <w:tcPr>
            <w:tcW w:type="dxa" w:w="2304"/>
            <w:shd w:val="clear" w:color="auto" w:fill="E8EEF5"/>
          </w:tcPr>
          <w:p>
            <w:r/>
            <w:r>
              <w:rPr>
                <w:b/>
                <w:i w:val="0"/>
                <w:sz w:val="18"/>
              </w:rPr>
              <w:t>Provision</w:t>
            </w:r>
          </w:p>
        </w:tc>
        <w:tc>
          <w:tcPr>
            <w:tcW w:type="dxa" w:w="7632"/>
          </w:tcPr>
          <w:p>
            <w:pPr>
              <w:spacing w:after="20"/>
            </w:pPr>
            <w:r/>
            <w:r>
              <w:rPr>
                <w:b w:val="0"/>
                <w:i w:val="0"/>
                <w:sz w:val="18"/>
              </w:rPr>
              <w:t>BI or PD “expected or intended from the standpoint of the insured” (reasonable-force exception inapplicable).</w:t>
            </w:r>
          </w:p>
        </w:tc>
      </w:tr>
      <w:tr>
        <w:tc>
          <w:tcPr>
            <w:tcW w:type="dxa" w:w="2304"/>
            <w:shd w:val="clear" w:color="auto" w:fill="E8EEF5"/>
          </w:tcPr>
          <w:p>
            <w:r/>
            <w:r>
              <w:rPr>
                <w:b/>
                <w:i w:val="0"/>
                <w:sz w:val="18"/>
              </w:rPr>
              <w:t>Ridgepoint position</w:t>
            </w:r>
          </w:p>
        </w:tc>
        <w:tc>
          <w:tcPr>
            <w:tcW w:type="dxa" w:w="7632"/>
          </w:tcPr>
          <w:p>
            <w:pPr>
              <w:spacing w:after="20"/>
            </w:pPr>
            <w:r/>
            <w:r>
              <w:rPr>
                <w:b w:val="0"/>
                <w:i w:val="0"/>
                <w:sz w:val="18"/>
              </w:rPr>
              <w:t>If Count Four is proven, the injuries are expected or intended; Ridgepoint reserves the right to deny defense and indemnity of the intentional-tort claim and “to withdraw from the defense of the intentional tort claim” (ROR §§IV.C, V.A).</w:t>
            </w:r>
          </w:p>
        </w:tc>
      </w:tr>
      <w:tr>
        <w:tc>
          <w:tcPr>
            <w:tcW w:type="dxa" w:w="2304"/>
            <w:shd w:val="clear" w:color="auto" w:fill="E8EEF5"/>
          </w:tcPr>
          <w:p>
            <w:r/>
            <w:r>
              <w:rPr>
                <w:b/>
                <w:i w:val="0"/>
                <w:sz w:val="18"/>
              </w:rPr>
              <w:t>Analysis</w:t>
            </w:r>
          </w:p>
        </w:tc>
        <w:tc>
          <w:tcPr>
            <w:tcW w:type="dxa" w:w="7632"/>
          </w:tcPr>
          <w:p>
            <w:pPr>
              <w:spacing w:after="20"/>
            </w:pPr>
            <w:r/>
            <w:r>
              <w:rPr>
                <w:b w:val="0"/>
                <w:i w:val="0"/>
                <w:sz w:val="18"/>
              </w:rPr>
              <w:t>R.C. 2745.01 requires deliberate intent to injure or a belief that injury was substantially certain, and “substantially certain” means deliberate intent (R.C. 2745.01(B); upheld in Kaminski v. Metal &amp; Wire Prods. Co., 125 Ohio St.3d 250, 2010-Ohio-1027). A judgment on Count Four would very likely fall within Exclusion a. and Ohio public policy. The pre-statute rule that “substantial certainty” torts may be insurable (Harasyn v. Normandy Metals, Inc., 49 Ohio St.3d 173 (1990)) has limited force under the current statutory definition.</w:t>
            </w:r>
          </w:p>
          <w:p>
            <w:pPr>
              <w:spacing w:after="20"/>
            </w:pPr>
            <w:r>
              <w:rPr>
                <w:b w:val="0"/>
                <w:i w:val="0"/>
                <w:sz w:val="18"/>
              </w:rPr>
              <w:t>Defense: Ohio requires an insurer to defend where the complaint states a claim potentially or arguably within coverage (City of Willoughby Hills v. Cincinnati Ins. Co., 9 Ohio St.3d 177 (1984)). Counts One–Three sound in negligence, so a claim-by-claim withdrawal from Count Four only is not a realistic option; Ridgepoint must defend the whole action unless RCI-EXCL-2024-011 removes every claim.</w:t>
            </w:r>
          </w:p>
        </w:tc>
      </w:tr>
      <w:tr>
        <w:tc>
          <w:tcPr>
            <w:tcW w:type="dxa" w:w="2304"/>
            <w:shd w:val="clear" w:color="auto" w:fill="E8EEF5"/>
          </w:tcPr>
          <w:p>
            <w:r/>
            <w:r>
              <w:rPr>
                <w:b/>
                <w:i w:val="0"/>
                <w:sz w:val="18"/>
              </w:rPr>
              <w:t>Greenleaf counterarguments</w:t>
            </w:r>
          </w:p>
        </w:tc>
        <w:tc>
          <w:tcPr>
            <w:tcW w:type="dxa" w:w="7632"/>
          </w:tcPr>
          <w:p>
            <w:pPr>
              <w:spacing w:after="20"/>
            </w:pPr>
            <w:r/>
            <w:r>
              <w:rPr>
                <w:b w:val="0"/>
                <w:i w:val="0"/>
                <w:sz w:val="18"/>
              </w:rPr>
              <w:t>Count Four is legally vulnerable: Greenleaf may not be the plaintiffs’ “employer,” and the facts alleged (failure to remediate after a citation) are the kind Ohio courts often find insufficient for deliberate intent. Defeating Count Four on the merits eliminates both the liability and the coverage issue.</w:t>
            </w:r>
          </w:p>
        </w:tc>
      </w:tr>
      <w:tr>
        <w:tc>
          <w:tcPr>
            <w:tcW w:type="dxa" w:w="2304"/>
            <w:shd w:val="clear" w:color="auto" w:fill="E8EEF5"/>
          </w:tcPr>
          <w:p>
            <w:r/>
            <w:r>
              <w:rPr>
                <w:b/>
                <w:i w:val="0"/>
                <w:sz w:val="18"/>
              </w:rPr>
              <w:t>Conflict-of-interest flag</w:t>
            </w:r>
          </w:p>
        </w:tc>
        <w:tc>
          <w:tcPr>
            <w:tcW w:type="dxa" w:w="7632"/>
          </w:tcPr>
          <w:p>
            <w:pPr>
              <w:spacing w:after="20"/>
            </w:pPr>
            <w:r/>
            <w:r>
              <w:rPr>
                <w:b w:val="0"/>
                <w:i w:val="0"/>
                <w:sz w:val="18"/>
              </w:rPr>
              <w:t>Greenleaf’s liability and coverage interests diverge here. Arguing that Greenleaf was the workers’ employer (e.g., to pursue workers’ compensation immunity against the negligence counts under the loaned-servant line of cases) could defeat Counts One–Three but would leave only the intentional-tort count, which is the least insurable. Panel counsel selected by Ridgepoint should not make that strategic choice without Greenleaf’s informed consent and input from coverage counsel.</w:t>
            </w:r>
          </w:p>
        </w:tc>
      </w:tr>
      <w:tr>
        <w:tc>
          <w:tcPr>
            <w:tcW w:type="dxa" w:w="2304"/>
            <w:shd w:val="clear" w:color="auto" w:fill="E8EEF5"/>
          </w:tcPr>
          <w:p>
            <w:r/>
            <w:r>
              <w:rPr>
                <w:b/>
                <w:i w:val="0"/>
                <w:sz w:val="18"/>
              </w:rPr>
              <w:t>Assessment</w:t>
            </w:r>
          </w:p>
        </w:tc>
        <w:tc>
          <w:tcPr>
            <w:tcW w:type="dxa" w:w="7632"/>
            <w:shd w:val="clear" w:color="auto" w:fill="F4CCCC"/>
          </w:tcPr>
          <w:p>
            <w:pPr>
              <w:spacing w:after="20"/>
            </w:pPr>
            <w:r/>
            <w:r>
              <w:rPr>
                <w:b/>
                <w:i w:val="0"/>
                <w:sz w:val="18"/>
              </w:rPr>
              <w:t>HIGH</w:t>
            </w:r>
            <w:r>
              <w:rPr>
                <w:b w:val="0"/>
                <w:i w:val="0"/>
                <w:sz w:val="18"/>
              </w:rPr>
              <w:t xml:space="preserve"> as to indemnity for any Count Four judgment; </w:t>
            </w:r>
            <w:r>
              <w:rPr>
                <w:b/>
                <w:i w:val="0"/>
                <w:sz w:val="18"/>
              </w:rPr>
              <w:t>LOW</w:t>
            </w:r>
            <w:r>
              <w:rPr>
                <w:b w:val="0"/>
                <w:i w:val="0"/>
                <w:sz w:val="18"/>
              </w:rPr>
              <w:t xml:space="preserve"> as to defense.</w:t>
            </w:r>
          </w:p>
        </w:tc>
      </w:tr>
      <w:tr>
        <w:tc>
          <w:tcPr>
            <w:tcW w:type="dxa" w:w="2304"/>
            <w:shd w:val="clear" w:color="auto" w:fill="E8EEF5"/>
          </w:tcPr>
          <w:p>
            <w:r/>
            <w:r>
              <w:rPr>
                <w:b/>
                <w:i w:val="0"/>
                <w:sz w:val="18"/>
              </w:rPr>
              <w:t>Recommended actions</w:t>
            </w:r>
          </w:p>
        </w:tc>
        <w:tc>
          <w:tcPr>
            <w:tcW w:type="dxa" w:w="7632"/>
          </w:tcPr>
          <w:p>
            <w:pPr>
              <w:spacing w:after="20"/>
            </w:pPr>
            <w:r/>
            <w:r>
              <w:rPr>
                <w:b w:val="0"/>
                <w:i w:val="0"/>
                <w:sz w:val="18"/>
              </w:rPr>
              <w:t>Insist in writing that Ridgepoint defend the entire action; reject any partial withdrawal. Ask Hargrove for an early evaluation of a Civ.R. 12(B)(6)/summary judgment attack on Count Four.</w:t>
            </w:r>
          </w:p>
        </w:tc>
      </w:tr>
    </w:tbl>
    <w:p>
      <w:pPr>
        <w:spacing w:after="40"/>
      </w:pPr>
    </w:p>
    <w:tbl>
      <w:tblPr>
        <w:tblStyle w:val="TableGrid"/>
        <w:tblW w:type="auto" w:w="0"/>
        <w:jc w:val="center"/>
        <w:tblLayout w:type="fixed"/>
        <w:tblLook w:firstColumn="1" w:firstRow="1" w:lastColumn="0" w:lastRow="0" w:noHBand="0" w:noVBand="1" w:val="04A0"/>
      </w:tblPr>
      <w:tblGrid>
        <w:gridCol w:w="4968"/>
        <w:gridCol w:w="4968"/>
      </w:tblGrid>
      <w:tr>
        <w:tc>
          <w:tcPr>
            <w:tcW w:type="dxa" w:w="9936"/>
            <w:gridSpan w:val="2"/>
            <w:shd w:val="clear" w:color="auto" w:fill="1F3A5F"/>
          </w:tcPr>
          <w:p>
            <w:r/>
            <w:r>
              <w:rPr>
                <w:b/>
                <w:i w:val="0"/>
                <w:color w:val="FFFFFF"/>
                <w:sz w:val="20"/>
              </w:rPr>
              <w:t>5.4  Contractual Liability — CG 21 39 04 13 / MSA §9.2</w:t>
            </w:r>
          </w:p>
        </w:tc>
      </w:tr>
      <w:tr>
        <w:tc>
          <w:tcPr>
            <w:tcW w:type="dxa" w:w="2304"/>
            <w:shd w:val="clear" w:color="auto" w:fill="E8EEF5"/>
          </w:tcPr>
          <w:p>
            <w:r/>
            <w:r>
              <w:rPr>
                <w:b/>
                <w:i w:val="0"/>
                <w:sz w:val="18"/>
              </w:rPr>
              <w:t>Ridgepoint position</w:t>
            </w:r>
          </w:p>
        </w:tc>
        <w:tc>
          <w:tcPr>
            <w:tcW w:type="dxa" w:w="7632"/>
          </w:tcPr>
          <w:p>
            <w:pPr>
              <w:spacing w:after="20"/>
            </w:pPr>
            <w:r/>
            <w:r>
              <w:rPr>
                <w:b w:val="0"/>
                <w:i w:val="0"/>
                <w:sz w:val="18"/>
              </w:rPr>
              <w:t>Indemnity Greenleaf owes StaffBridge under MSA §9.2 (“indemnify, defend, and hold harmless StaffBridge … including … claims for bodily injury … sustained by workers placed at Greenleaf’s facilities”) may not be an “insured contract” (ROR §§IV.G, V.E).</w:t>
            </w:r>
          </w:p>
        </w:tc>
      </w:tr>
      <w:tr>
        <w:tc>
          <w:tcPr>
            <w:tcW w:type="dxa" w:w="2304"/>
            <w:shd w:val="clear" w:color="auto" w:fill="E8EEF5"/>
          </w:tcPr>
          <w:p>
            <w:r/>
            <w:r>
              <w:rPr>
                <w:b/>
                <w:i w:val="0"/>
                <w:sz w:val="18"/>
              </w:rPr>
              <w:t>Analysis</w:t>
            </w:r>
          </w:p>
        </w:tc>
        <w:tc>
          <w:tcPr>
            <w:tcW w:type="dxa" w:w="7632"/>
          </w:tcPr>
          <w:p>
            <w:pPr>
              <w:spacing w:after="20"/>
            </w:pPr>
            <w:r/>
            <w:r>
              <w:rPr>
                <w:b w:val="0"/>
                <w:i w:val="0"/>
                <w:sz w:val="18"/>
              </w:rPr>
              <w:t>The ISO Contractual Liability Limitation endorsement deletes the part of the “insured contract” definition that covers tort liability assumed for another, leaving only narrow categories (premises leases, sidetrack agreements, easements, municipal indemnities, elevator maintenance). A staffing-agreement indemnity of StaffBridge’s tort liability would therefore generally not be covered. The ROR’s position is likely correct.</w:t>
            </w:r>
          </w:p>
        </w:tc>
      </w:tr>
      <w:tr>
        <w:tc>
          <w:tcPr>
            <w:tcW w:type="dxa" w:w="2304"/>
            <w:shd w:val="clear" w:color="auto" w:fill="E8EEF5"/>
          </w:tcPr>
          <w:p>
            <w:r/>
            <w:r>
              <w:rPr>
                <w:b/>
                <w:i w:val="0"/>
                <w:sz w:val="18"/>
              </w:rPr>
              <w:t>Current status</w:t>
            </w:r>
          </w:p>
        </w:tc>
        <w:tc>
          <w:tcPr>
            <w:tcW w:type="dxa" w:w="7632"/>
          </w:tcPr>
          <w:p>
            <w:pPr>
              <w:spacing w:after="20"/>
            </w:pPr>
            <w:r/>
            <w:r>
              <w:rPr>
                <w:b w:val="0"/>
                <w:i w:val="0"/>
                <w:sz w:val="18"/>
              </w:rPr>
              <w:t>Contingent. StaffBridge has not sued or tendered (ROR §IV.I). StaffBridge is not a defendant in Espinoza.</w:t>
            </w:r>
          </w:p>
        </w:tc>
      </w:tr>
      <w:tr>
        <w:tc>
          <w:tcPr>
            <w:tcW w:type="dxa" w:w="2304"/>
            <w:shd w:val="clear" w:color="auto" w:fill="E8EEF5"/>
          </w:tcPr>
          <w:p>
            <w:r/>
            <w:r>
              <w:rPr>
                <w:b/>
                <w:i w:val="0"/>
                <w:sz w:val="18"/>
              </w:rPr>
              <w:t>Greenleaf counterarguments</w:t>
            </w:r>
          </w:p>
        </w:tc>
        <w:tc>
          <w:tcPr>
            <w:tcW w:type="dxa" w:w="7632"/>
          </w:tcPr>
          <w:p>
            <w:pPr>
              <w:spacing w:after="20"/>
            </w:pPr>
            <w:r/>
            <w:r>
              <w:rPr>
                <w:b w:val="0"/>
                <w:i w:val="0"/>
                <w:sz w:val="18"/>
              </w:rPr>
              <w:t>Confirm the endorsement edition and wording; review the MSA for StaffBridge’s reciprocal indemnity and insurance obligations (the ROR describes the indemnities as “mutual”), which may run in Greenleaf’s favor.</w:t>
            </w:r>
          </w:p>
        </w:tc>
      </w:tr>
      <w:tr>
        <w:tc>
          <w:tcPr>
            <w:tcW w:type="dxa" w:w="2304"/>
            <w:shd w:val="clear" w:color="auto" w:fill="E8EEF5"/>
          </w:tcPr>
          <w:p>
            <w:r/>
            <w:r>
              <w:rPr>
                <w:b/>
                <w:i w:val="0"/>
                <w:sz w:val="18"/>
              </w:rPr>
              <w:t>Assessment</w:t>
            </w:r>
          </w:p>
        </w:tc>
        <w:tc>
          <w:tcPr>
            <w:tcW w:type="dxa" w:w="7632"/>
            <w:shd w:val="clear" w:color="auto" w:fill="F4CCCC"/>
          </w:tcPr>
          <w:p>
            <w:pPr>
              <w:spacing w:after="20"/>
            </w:pPr>
            <w:r/>
            <w:r>
              <w:rPr>
                <w:b/>
                <w:i w:val="0"/>
                <w:sz w:val="18"/>
              </w:rPr>
              <w:t>HIGH but contingent.</w:t>
            </w:r>
            <w:r>
              <w:rPr>
                <w:b w:val="0"/>
                <w:i w:val="0"/>
                <w:sz w:val="18"/>
              </w:rPr>
              <w:t xml:space="preserve"> Not a present threat to coverage for the Espinoza or Buckeye claims.</w:t>
            </w:r>
          </w:p>
        </w:tc>
      </w:tr>
      <w:tr>
        <w:tc>
          <w:tcPr>
            <w:tcW w:type="dxa" w:w="2304"/>
            <w:shd w:val="clear" w:color="auto" w:fill="E8EEF5"/>
          </w:tcPr>
          <w:p>
            <w:r/>
            <w:r>
              <w:rPr>
                <w:b/>
                <w:i w:val="0"/>
                <w:sz w:val="18"/>
              </w:rPr>
              <w:t>Recommended actions</w:t>
            </w:r>
          </w:p>
        </w:tc>
        <w:tc>
          <w:tcPr>
            <w:tcW w:type="dxa" w:w="7632"/>
          </w:tcPr>
          <w:p>
            <w:pPr>
              <w:spacing w:after="20"/>
            </w:pPr>
            <w:r/>
            <w:r>
              <w:rPr>
                <w:b w:val="0"/>
                <w:i w:val="0"/>
                <w:sz w:val="18"/>
              </w:rPr>
              <w:t>Pull the full MSA (also ROR request 3). Evaluate a tender to StaffBridge and its insurers before StaffBridge tenders to Greenleaf. Note also that StaffBridge’s status as an additional insured (CG 20 33) means any StaffBridge claim under this Policy would draw on the same $5M occurrence limit.</w:t>
            </w:r>
          </w:p>
        </w:tc>
      </w:tr>
    </w:tbl>
    <w:p>
      <w:pPr>
        <w:spacing w:after="40"/>
      </w:pPr>
    </w:p>
    <w:tbl>
      <w:tblPr>
        <w:tblStyle w:val="TableGrid"/>
        <w:tblW w:type="auto" w:w="0"/>
        <w:jc w:val="center"/>
        <w:tblLayout w:type="fixed"/>
        <w:tblLook w:firstColumn="1" w:firstRow="1" w:lastColumn="0" w:lastRow="0" w:noHBand="0" w:noVBand="1" w:val="04A0"/>
      </w:tblPr>
      <w:tblGrid>
        <w:gridCol w:w="4968"/>
        <w:gridCol w:w="4968"/>
      </w:tblGrid>
      <w:tr>
        <w:tc>
          <w:tcPr>
            <w:tcW w:type="dxa" w:w="9936"/>
            <w:gridSpan w:val="2"/>
            <w:shd w:val="clear" w:color="auto" w:fill="1F3A5F"/>
          </w:tcPr>
          <w:p>
            <w:r/>
            <w:r>
              <w:rPr>
                <w:b/>
                <w:i w:val="0"/>
                <w:color w:val="FFFFFF"/>
                <w:sz w:val="20"/>
              </w:rPr>
              <w:t>5.5  Known Loss / Prior Knowledge — Manuscript Endorsement RCI-EXCL-2024-018</w:t>
            </w:r>
          </w:p>
        </w:tc>
      </w:tr>
      <w:tr>
        <w:tc>
          <w:tcPr>
            <w:tcW w:type="dxa" w:w="2304"/>
            <w:shd w:val="clear" w:color="auto" w:fill="E8EEF5"/>
          </w:tcPr>
          <w:p>
            <w:r/>
            <w:r>
              <w:rPr>
                <w:b/>
                <w:i w:val="0"/>
                <w:sz w:val="18"/>
              </w:rPr>
              <w:t>Provision</w:t>
            </w:r>
          </w:p>
        </w:tc>
        <w:tc>
          <w:tcPr>
            <w:tcW w:type="dxa" w:w="7632"/>
          </w:tcPr>
          <w:p>
            <w:pPr>
              <w:spacing w:after="20"/>
            </w:pPr>
            <w:r/>
            <w:r>
              <w:rPr>
                <w:b w:val="0"/>
                <w:i w:val="0"/>
                <w:sz w:val="18"/>
              </w:rPr>
              <w:t>Excludes BI/PD “arising out of any occurrence, offense, condition, or circumstance known to any insured before the inception date of this policy”; “known” if any insured (or authorized person) “was aware of facts or circumstances that would indicate that a claim or ‘suit’ may result therefrom.”</w:t>
            </w:r>
          </w:p>
        </w:tc>
      </w:tr>
      <w:tr>
        <w:tc>
          <w:tcPr>
            <w:tcW w:type="dxa" w:w="2304"/>
            <w:shd w:val="clear" w:color="auto" w:fill="E8EEF5"/>
          </w:tcPr>
          <w:p>
            <w:r/>
            <w:r>
              <w:rPr>
                <w:b/>
                <w:i w:val="0"/>
                <w:sz w:val="18"/>
              </w:rPr>
              <w:t>Ridgepoint position</w:t>
            </w:r>
          </w:p>
        </w:tc>
        <w:tc>
          <w:tcPr>
            <w:tcW w:type="dxa" w:w="7632"/>
          </w:tcPr>
          <w:p>
            <w:pPr>
              <w:spacing w:after="20"/>
            </w:pPr>
            <w:r/>
            <w:r>
              <w:rPr>
                <w:b w:val="0"/>
                <w:i w:val="0"/>
                <w:sz w:val="18"/>
              </w:rPr>
              <w:t>OSHA Citation OSHA-2024-0891 (Serious; inadequate accumulator maintenance; $15,625; final order Oct. 20, 2024) “raises significant questions” whether Greenleaf knew of the condition before July 1, 2024; the deficiency “may have existed for a substantial period before the citation” (ROR §§IV.F, V.D).</w:t>
            </w:r>
          </w:p>
        </w:tc>
      </w:tr>
      <w:tr>
        <w:tc>
          <w:tcPr>
            <w:tcW w:type="dxa" w:w="2304"/>
            <w:shd w:val="clear" w:color="auto" w:fill="E8EEF5"/>
          </w:tcPr>
          <w:p>
            <w:r/>
            <w:r>
              <w:rPr>
                <w:b/>
                <w:i w:val="0"/>
                <w:sz w:val="18"/>
              </w:rPr>
              <w:t>Weaknesses in Ridgepoint’s position</w:t>
            </w:r>
          </w:p>
        </w:tc>
        <w:tc>
          <w:tcPr>
            <w:tcW w:type="dxa" w:w="7632"/>
          </w:tcPr>
          <w:p>
            <w:pPr>
              <w:spacing w:after="20"/>
            </w:pPr>
            <w:r/>
            <w:r>
              <w:rPr>
                <w:b w:val="0"/>
                <w:i w:val="0"/>
                <w:sz w:val="18"/>
              </w:rPr>
              <w:t xml:space="preserve">(1) </w:t>
            </w:r>
            <w:r>
              <w:rPr>
                <w:b/>
                <w:i w:val="0"/>
                <w:sz w:val="18"/>
              </w:rPr>
              <w:t>Chronology:</w:t>
            </w:r>
            <w:r>
              <w:rPr>
                <w:b w:val="0"/>
                <w:i w:val="0"/>
                <w:sz w:val="18"/>
              </w:rPr>
              <w:t xml:space="preserve"> the citation issued Sept. 5, 2024 and became final Oct. 20, 2024 — both </w:t>
            </w:r>
            <w:r>
              <w:rPr>
                <w:b/>
                <w:i w:val="0"/>
                <w:sz w:val="18"/>
              </w:rPr>
              <w:t>after</w:t>
            </w:r>
            <w:r>
              <w:rPr>
                <w:b w:val="0"/>
                <w:i w:val="0"/>
                <w:sz w:val="18"/>
              </w:rPr>
              <w:t xml:space="preserve"> the July 1, 2024 inception. The citation itself cannot establish pre-inception knowledge.</w:t>
            </w:r>
          </w:p>
          <w:p>
            <w:pPr>
              <w:spacing w:after="20"/>
            </w:pPr>
            <w:r>
              <w:rPr>
                <w:b w:val="0"/>
                <w:i w:val="0"/>
                <w:sz w:val="18"/>
              </w:rPr>
              <w:t xml:space="preserve">(2) </w:t>
            </w:r>
            <w:r>
              <w:rPr>
                <w:b/>
                <w:i w:val="0"/>
                <w:sz w:val="18"/>
              </w:rPr>
              <w:t>Standard:</w:t>
            </w:r>
            <w:r>
              <w:rPr>
                <w:b w:val="0"/>
                <w:i w:val="0"/>
                <w:sz w:val="18"/>
              </w:rPr>
              <w:t xml:space="preserve"> the endorsement requires awareness of facts indicating that a </w:t>
            </w:r>
            <w:r>
              <w:rPr>
                <w:b/>
                <w:i w:val="0"/>
                <w:sz w:val="18"/>
              </w:rPr>
              <w:t>claim or suit may result</w:t>
            </w:r>
            <w:r>
              <w:rPr>
                <w:b w:val="0"/>
                <w:i w:val="0"/>
                <w:sz w:val="18"/>
              </w:rPr>
              <w:t>, not merely awareness of a maintenance shortfall. A generalized compliance deficiency is not knowledge of a loss.</w:t>
            </w:r>
          </w:p>
          <w:p>
            <w:pPr>
              <w:spacing w:after="20"/>
            </w:pPr>
            <w:r>
              <w:rPr>
                <w:b w:val="0"/>
                <w:i w:val="0"/>
                <w:sz w:val="18"/>
              </w:rPr>
              <w:t>(3) Ridgepoint bears the burden on an exclusion, and the exclusion is a manuscript form construed against its drafter.</w:t>
            </w:r>
          </w:p>
          <w:p>
            <w:pPr>
              <w:spacing w:after="20"/>
            </w:pPr>
            <w:r>
              <w:rPr>
                <w:b w:val="0"/>
                <w:i w:val="0"/>
                <w:sz w:val="18"/>
              </w:rPr>
              <w:t>(4) If “inception date” means the inception of the current annual term, the look-back is only to July 1, 2024.</w:t>
            </w:r>
          </w:p>
        </w:tc>
      </w:tr>
      <w:tr>
        <w:tc>
          <w:tcPr>
            <w:tcW w:type="dxa" w:w="2304"/>
            <w:shd w:val="clear" w:color="auto" w:fill="E8EEF5"/>
          </w:tcPr>
          <w:p>
            <w:r/>
            <w:r>
              <w:rPr>
                <w:b/>
                <w:i w:val="0"/>
                <w:sz w:val="18"/>
              </w:rPr>
              <w:t>Real risk</w:t>
            </w:r>
          </w:p>
        </w:tc>
        <w:tc>
          <w:tcPr>
            <w:tcW w:type="dxa" w:w="7632"/>
          </w:tcPr>
          <w:p>
            <w:pPr>
              <w:spacing w:after="20"/>
            </w:pPr>
            <w:r/>
            <w:r>
              <w:rPr>
                <w:b w:val="0"/>
                <w:i w:val="0"/>
                <w:sz w:val="18"/>
              </w:rPr>
              <w:t xml:space="preserve">The Espinoza complaint alleges the condition “existed before and continued after the OSHA citation” (¶28) and that internal maintenance records and personnel reports documented deterioration and were disregarded (¶¶78–79). OSHA citations generally follow an inspection that may have begun months earlier (citations must issue within six months of the violation, 29 U.S.C. § 658(c)), so </w:t>
            </w:r>
            <w:r>
              <w:rPr>
                <w:b/>
                <w:i w:val="0"/>
                <w:sz w:val="18"/>
              </w:rPr>
              <w:t>when the OSHA inspection opened and what management knew before July 1, 2024</w:t>
            </w:r>
            <w:r>
              <w:rPr>
                <w:b w:val="0"/>
                <w:i w:val="0"/>
                <w:sz w:val="18"/>
              </w:rPr>
              <w:t xml:space="preserve"> are the decisive facts. Ridgepoint’s requests 1, 2, 4 and 5 target exactly this.</w:t>
            </w:r>
          </w:p>
        </w:tc>
      </w:tr>
      <w:tr>
        <w:tc>
          <w:tcPr>
            <w:tcW w:type="dxa" w:w="2304"/>
            <w:shd w:val="clear" w:color="auto" w:fill="E8EEF5"/>
          </w:tcPr>
          <w:p>
            <w:r/>
            <w:r>
              <w:rPr>
                <w:b/>
                <w:i w:val="0"/>
                <w:sz w:val="18"/>
              </w:rPr>
              <w:t>Assessment</w:t>
            </w:r>
          </w:p>
        </w:tc>
        <w:tc>
          <w:tcPr>
            <w:tcW w:type="dxa" w:w="7632"/>
            <w:shd w:val="clear" w:color="auto" w:fill="FCE5CD"/>
          </w:tcPr>
          <w:p>
            <w:pPr>
              <w:spacing w:after="20"/>
            </w:pPr>
            <w:r/>
            <w:r>
              <w:rPr>
                <w:b/>
                <w:i w:val="0"/>
                <w:sz w:val="18"/>
              </w:rPr>
              <w:t>MODERATE</w:t>
            </w:r>
            <w:r>
              <w:rPr>
                <w:b w:val="0"/>
                <w:i w:val="0"/>
                <w:sz w:val="18"/>
              </w:rPr>
              <w:t xml:space="preserve"> and fact-dependent. Weak on the current record but the highest-impact defense if facts develop badly, because it would bar coverage for the entire occurrence including Buckeye.</w:t>
            </w:r>
          </w:p>
        </w:tc>
      </w:tr>
      <w:tr>
        <w:tc>
          <w:tcPr>
            <w:tcW w:type="dxa" w:w="2304"/>
            <w:shd w:val="clear" w:color="auto" w:fill="E8EEF5"/>
          </w:tcPr>
          <w:p>
            <w:r/>
            <w:r>
              <w:rPr>
                <w:b/>
                <w:i w:val="0"/>
                <w:sz w:val="18"/>
              </w:rPr>
              <w:t>Recommended actions</w:t>
            </w:r>
          </w:p>
        </w:tc>
        <w:tc>
          <w:tcPr>
            <w:tcW w:type="dxa" w:w="7632"/>
          </w:tcPr>
          <w:p>
            <w:pPr>
              <w:spacing w:after="20"/>
            </w:pPr>
            <w:r/>
            <w:r>
              <w:rPr>
                <w:b w:val="0"/>
                <w:i w:val="0"/>
                <w:sz w:val="18"/>
              </w:rPr>
              <w:t>Counsel-directed privileged review of the 2022–2025 maintenance records and the OSHA inspection timeline before production. Ask Ridgepoint to state the factual basis for this reservation and to define “inception date.” Review the application/renewal submissions for what was disclosed (a misrepresentation/rescission theory has not been reserved but could be raised under the general reservation).</w:t>
            </w:r>
          </w:p>
        </w:tc>
      </w:tr>
    </w:tbl>
    <w:p>
      <w:pPr>
        <w:spacing w:after="40"/>
      </w:pPr>
    </w:p>
    <w:tbl>
      <w:tblPr>
        <w:tblStyle w:val="TableGrid"/>
        <w:tblW w:type="auto" w:w="0"/>
        <w:jc w:val="center"/>
        <w:tblLayout w:type="fixed"/>
        <w:tblLook w:firstColumn="1" w:firstRow="1" w:lastColumn="0" w:lastRow="0" w:noHBand="0" w:noVBand="1" w:val="04A0"/>
      </w:tblPr>
      <w:tblGrid>
        <w:gridCol w:w="4968"/>
        <w:gridCol w:w="4968"/>
      </w:tblGrid>
      <w:tr>
        <w:tc>
          <w:tcPr>
            <w:tcW w:type="dxa" w:w="9936"/>
            <w:gridSpan w:val="2"/>
            <w:shd w:val="clear" w:color="auto" w:fill="1F3A5F"/>
          </w:tcPr>
          <w:p>
            <w:r/>
            <w:r>
              <w:rPr>
                <w:b/>
                <w:i w:val="0"/>
                <w:color w:val="FFFFFF"/>
                <w:sz w:val="20"/>
              </w:rPr>
              <w:t>5.6  Total Pollution Exclusion — CG 21 49 09 99</w:t>
            </w:r>
          </w:p>
        </w:tc>
      </w:tr>
      <w:tr>
        <w:tc>
          <w:tcPr>
            <w:tcW w:type="dxa" w:w="2304"/>
            <w:shd w:val="clear" w:color="auto" w:fill="E8EEF5"/>
          </w:tcPr>
          <w:p>
            <w:r/>
            <w:r>
              <w:rPr>
                <w:b/>
                <w:i w:val="0"/>
                <w:sz w:val="18"/>
              </w:rPr>
              <w:t>Provision</w:t>
            </w:r>
          </w:p>
        </w:tc>
        <w:tc>
          <w:tcPr>
            <w:tcW w:type="dxa" w:w="7632"/>
          </w:tcPr>
          <w:p>
            <w:pPr>
              <w:spacing w:after="20"/>
            </w:pPr>
            <w:r/>
            <w:r>
              <w:rPr>
                <w:b w:val="0"/>
                <w:i w:val="0"/>
                <w:sz w:val="18"/>
              </w:rPr>
              <w:t>Excludes BI/PD “which would not have occurred in whole or in part but for the actual, alleged or threatened discharge, dispersal, seepage, migration, release or escape of ‘pollutants’ at any time.” “Pollutants” includes “smoke, vapor, soot, fumes … chemicals.”</w:t>
            </w:r>
          </w:p>
        </w:tc>
      </w:tr>
      <w:tr>
        <w:tc>
          <w:tcPr>
            <w:tcW w:type="dxa" w:w="2304"/>
            <w:shd w:val="clear" w:color="auto" w:fill="E8EEF5"/>
          </w:tcPr>
          <w:p>
            <w:r/>
            <w:r>
              <w:rPr>
                <w:b/>
                <w:i w:val="0"/>
                <w:sz w:val="18"/>
              </w:rPr>
              <w:t>Ridgepoint position</w:t>
            </w:r>
          </w:p>
        </w:tc>
        <w:tc>
          <w:tcPr>
            <w:tcW w:type="dxa" w:w="7632"/>
          </w:tcPr>
          <w:p>
            <w:pPr>
              <w:spacing w:after="20"/>
            </w:pPr>
            <w:r/>
            <w:r>
              <w:rPr>
                <w:b w:val="0"/>
                <w:i w:val="0"/>
                <w:sz w:val="18"/>
              </w:rPr>
              <w:t>Hydraulic fluid is a “chemical”; smoke is enumerated; coverage is reserved to the extent BI or PD was caused in whole or part by their release (ROR §§IV.E, V.C).</w:t>
            </w:r>
          </w:p>
        </w:tc>
      </w:tr>
      <w:tr>
        <w:tc>
          <w:tcPr>
            <w:tcW w:type="dxa" w:w="2304"/>
            <w:shd w:val="clear" w:color="auto" w:fill="E8EEF5"/>
          </w:tcPr>
          <w:p>
            <w:r/>
            <w:r>
              <w:rPr>
                <w:b/>
                <w:i w:val="0"/>
                <w:sz w:val="18"/>
              </w:rPr>
              <w:t>Analysis</w:t>
            </w:r>
          </w:p>
        </w:tc>
        <w:tc>
          <w:tcPr>
            <w:tcW w:type="dxa" w:w="7632"/>
          </w:tcPr>
          <w:p>
            <w:pPr>
              <w:spacing w:after="20"/>
            </w:pPr>
            <w:r/>
            <w:r>
              <w:rPr>
                <w:b w:val="0"/>
                <w:i w:val="0"/>
                <w:sz w:val="18"/>
              </w:rPr>
              <w:t xml:space="preserve">The losses were caused by a mechanical failure, blast overpressure, high-velocity debris and fire: amputation, fractures, crush injuries, burns, lacerations, the breached Buckeye wall and damaged compressors would have occurred regardless of any “pollutant.” Ohio has declined to apply the pollution exclusion outside the traditional environmental-pollution context where the language is ambiguous as applied (see Andersen v. Highland House Co., 93 Ohio St.3d 547 (2001) (carbon monoxide)). Note, however, that CG 21 49 has </w:t>
            </w:r>
            <w:r>
              <w:rPr>
                <w:b/>
                <w:i w:val="0"/>
                <w:sz w:val="18"/>
              </w:rPr>
              <w:t>no hostile-fire exception</w:t>
            </w:r>
            <w:r>
              <w:rPr>
                <w:b w:val="0"/>
                <w:i w:val="0"/>
                <w:sz w:val="18"/>
              </w:rPr>
              <w:t xml:space="preserve"> (unlike the standard ISO pollution exclusion), and its “in whole or in part” language is broad.</w:t>
            </w:r>
          </w:p>
        </w:tc>
      </w:tr>
      <w:tr>
        <w:tc>
          <w:tcPr>
            <w:tcW w:type="dxa" w:w="2304"/>
            <w:shd w:val="clear" w:color="auto" w:fill="E8EEF5"/>
          </w:tcPr>
          <w:p>
            <w:r/>
            <w:r>
              <w:rPr>
                <w:b/>
                <w:i w:val="0"/>
                <w:sz w:val="18"/>
              </w:rPr>
              <w:t>Where it bites</w:t>
            </w:r>
          </w:p>
        </w:tc>
        <w:tc>
          <w:tcPr>
            <w:tcW w:type="dxa" w:w="7632"/>
          </w:tcPr>
          <w:p>
            <w:pPr>
              <w:spacing w:after="20"/>
            </w:pPr>
            <w:r/>
            <w:r>
              <w:rPr>
                <w:b w:val="0"/>
                <w:i w:val="0"/>
                <w:sz w:val="18"/>
              </w:rPr>
              <w:t xml:space="preserve">(1) </w:t>
            </w:r>
            <w:r>
              <w:rPr>
                <w:b/>
                <w:i w:val="0"/>
                <w:sz w:val="18"/>
              </w:rPr>
              <w:t>Tulley’s inhalation injuries</w:t>
            </w:r>
            <w:r>
              <w:rPr>
                <w:b w:val="0"/>
                <w:i w:val="0"/>
                <w:sz w:val="18"/>
              </w:rPr>
              <w:t xml:space="preserve"> requiring intubation (Compl. ¶38) — smoke/fume inhalation is the classic argument; (2) burns from “superheated hydraulic fluid” (Compl. ¶19) — arguable but weak; (3) Buckeye’s </w:t>
            </w:r>
            <w:r>
              <w:rPr>
                <w:b/>
                <w:i w:val="0"/>
                <w:sz w:val="18"/>
              </w:rPr>
              <w:t>$148,000 inventory spoilage</w:t>
            </w:r>
            <w:r>
              <w:rPr>
                <w:b w:val="0"/>
                <w:i w:val="0"/>
                <w:sz w:val="18"/>
              </w:rPr>
              <w:t xml:space="preserve"> expressly attributed in part to “contamination by smoke, soot, and debris,” and any smoke-related business-interruption claim.</w:t>
            </w:r>
          </w:p>
        </w:tc>
      </w:tr>
      <w:tr>
        <w:tc>
          <w:tcPr>
            <w:tcW w:type="dxa" w:w="2304"/>
            <w:shd w:val="clear" w:color="auto" w:fill="E8EEF5"/>
          </w:tcPr>
          <w:p>
            <w:r/>
            <w:r>
              <w:rPr>
                <w:b/>
                <w:i w:val="0"/>
                <w:sz w:val="18"/>
              </w:rPr>
              <w:t>Assessment</w:t>
            </w:r>
          </w:p>
        </w:tc>
        <w:tc>
          <w:tcPr>
            <w:tcW w:type="dxa" w:w="7632"/>
            <w:shd w:val="clear" w:color="auto" w:fill="FCE5CD"/>
          </w:tcPr>
          <w:p>
            <w:pPr>
              <w:spacing w:after="20"/>
            </w:pPr>
            <w:r/>
            <w:r>
              <w:rPr>
                <w:b/>
                <w:i w:val="0"/>
                <w:sz w:val="18"/>
              </w:rPr>
              <w:t>LOW</w:t>
            </w:r>
            <w:r>
              <w:rPr>
                <w:b w:val="0"/>
                <w:i w:val="0"/>
                <w:sz w:val="18"/>
              </w:rPr>
              <w:t xml:space="preserve"> for the bulk of the loss; </w:t>
            </w:r>
            <w:r>
              <w:rPr>
                <w:b/>
                <w:i w:val="0"/>
                <w:sz w:val="18"/>
              </w:rPr>
              <w:t>MODERATE</w:t>
            </w:r>
            <w:r>
              <w:rPr>
                <w:b w:val="0"/>
                <w:i w:val="0"/>
                <w:sz w:val="18"/>
              </w:rPr>
              <w:t xml:space="preserve"> for the discrete components above. Largely a kitchen-sink reservation.</w:t>
            </w:r>
          </w:p>
        </w:tc>
      </w:tr>
      <w:tr>
        <w:tc>
          <w:tcPr>
            <w:tcW w:type="dxa" w:w="2304"/>
            <w:shd w:val="clear" w:color="auto" w:fill="E8EEF5"/>
          </w:tcPr>
          <w:p>
            <w:r/>
            <w:r>
              <w:rPr>
                <w:b/>
                <w:i w:val="0"/>
                <w:sz w:val="18"/>
              </w:rPr>
              <w:t>Recommended actions</w:t>
            </w:r>
          </w:p>
        </w:tc>
        <w:tc>
          <w:tcPr>
            <w:tcW w:type="dxa" w:w="7632"/>
          </w:tcPr>
          <w:p>
            <w:pPr>
              <w:spacing w:after="20"/>
            </w:pPr>
            <w:r/>
            <w:r>
              <w:rPr>
                <w:b w:val="0"/>
                <w:i w:val="0"/>
                <w:sz w:val="18"/>
              </w:rPr>
              <w:t>Avoid characterizing the event as a chemical release in OSHA, environmental and public communications; segregate fire/blast causation from smoke causation in Buckeye’s damages; ask Ridgepoint to identify which specific injuries or damages it contends are pollutant-caused.</w:t>
            </w:r>
          </w:p>
        </w:tc>
      </w:tr>
    </w:tbl>
    <w:p>
      <w:pPr>
        <w:spacing w:after="40"/>
      </w:pPr>
    </w:p>
    <w:tbl>
      <w:tblPr>
        <w:tblStyle w:val="TableGrid"/>
        <w:tblW w:type="auto" w:w="0"/>
        <w:jc w:val="center"/>
        <w:tblLayout w:type="fixed"/>
        <w:tblLook w:firstColumn="1" w:firstRow="1" w:lastColumn="0" w:lastRow="0" w:noHBand="0" w:noVBand="1" w:val="04A0"/>
      </w:tblPr>
      <w:tblGrid>
        <w:gridCol w:w="4968"/>
        <w:gridCol w:w="4968"/>
      </w:tblGrid>
      <w:tr>
        <w:tc>
          <w:tcPr>
            <w:tcW w:type="dxa" w:w="9936"/>
            <w:gridSpan w:val="2"/>
            <w:shd w:val="clear" w:color="auto" w:fill="1F3A5F"/>
          </w:tcPr>
          <w:p>
            <w:r/>
            <w:r>
              <w:rPr>
                <w:b/>
                <w:i w:val="0"/>
                <w:color w:val="FFFFFF"/>
                <w:sz w:val="20"/>
              </w:rPr>
              <w:t>5.7  Late Notice — Condition 2.a.</w:t>
            </w:r>
          </w:p>
        </w:tc>
      </w:tr>
      <w:tr>
        <w:tc>
          <w:tcPr>
            <w:tcW w:type="dxa" w:w="2304"/>
            <w:shd w:val="clear" w:color="auto" w:fill="E8EEF5"/>
          </w:tcPr>
          <w:p>
            <w:r/>
            <w:r>
              <w:rPr>
                <w:b/>
                <w:i w:val="0"/>
                <w:sz w:val="18"/>
              </w:rPr>
              <w:t>Ridgepoint position</w:t>
            </w:r>
          </w:p>
        </w:tc>
        <w:tc>
          <w:tcPr>
            <w:tcW w:type="dxa" w:w="7632"/>
          </w:tcPr>
          <w:p>
            <w:pPr>
              <w:spacing w:after="20"/>
            </w:pPr>
            <w:r/>
            <w:r>
              <w:rPr>
                <w:b w:val="0"/>
                <w:i w:val="0"/>
                <w:sz w:val="18"/>
              </w:rPr>
              <w:t>Reserves denial for failure to give notice “as soon as practicable,” including whether Greenleaf knew facts before Jan. 14, 2025 “that should have been reported sooner” (ROR §§IV.H, V.F).</w:t>
            </w:r>
          </w:p>
        </w:tc>
      </w:tr>
      <w:tr>
        <w:tc>
          <w:tcPr>
            <w:tcW w:type="dxa" w:w="2304"/>
            <w:shd w:val="clear" w:color="auto" w:fill="E8EEF5"/>
          </w:tcPr>
          <w:p>
            <w:r/>
            <w:r>
              <w:rPr>
                <w:b/>
                <w:i w:val="0"/>
                <w:sz w:val="18"/>
              </w:rPr>
              <w:t>Facts (from Ridgepoint’s own records)</w:t>
            </w:r>
          </w:p>
        </w:tc>
        <w:tc>
          <w:tcPr>
            <w:tcW w:type="dxa" w:w="7632"/>
          </w:tcPr>
          <w:p>
            <w:pPr>
              <w:spacing w:after="20"/>
            </w:pPr>
            <w:r/>
            <w:r>
              <w:rPr>
                <w:b w:val="0"/>
                <w:i w:val="0"/>
                <w:sz w:val="18"/>
              </w:rPr>
              <w:t>Occurrence Jan. 14, 2025 → telephonic notice Jan. 17 (3 days) → written notice Jan. 22 (8 days) → acknowledgment Jan. 24.</w:t>
            </w:r>
          </w:p>
        </w:tc>
      </w:tr>
      <w:tr>
        <w:tc>
          <w:tcPr>
            <w:tcW w:type="dxa" w:w="2304"/>
            <w:shd w:val="clear" w:color="auto" w:fill="E8EEF5"/>
          </w:tcPr>
          <w:p>
            <w:r/>
            <w:r>
              <w:rPr>
                <w:b/>
                <w:i w:val="0"/>
                <w:sz w:val="18"/>
              </w:rPr>
              <w:t>Analysis</w:t>
            </w:r>
          </w:p>
        </w:tc>
        <w:tc>
          <w:tcPr>
            <w:tcW w:type="dxa" w:w="7632"/>
          </w:tcPr>
          <w:p>
            <w:pPr>
              <w:spacing w:after="20"/>
            </w:pPr>
            <w:r/>
            <w:r>
              <w:rPr>
                <w:b w:val="0"/>
                <w:i w:val="0"/>
                <w:sz w:val="18"/>
              </w:rPr>
              <w:t>Three-day notice of a catastrophic occurrence is timely by any standard. The notice condition is triggered by an “occurrence”; there is no duty to report a pre-loss maintenance condition as an occurrence. In any event, Ohio requires the insurer to show prejudice from unreasonably late notice (late notice creates only a rebuttable presumption) (Ferrando v. Auto-Owners Mut. Ins. Co., 98 Ohio St.3d 186, 2002-Ohio-7217). The “pre-occurrence knowledge” theory is really the known-loss defense relabeled.</w:t>
            </w:r>
          </w:p>
        </w:tc>
      </w:tr>
      <w:tr>
        <w:tc>
          <w:tcPr>
            <w:tcW w:type="dxa" w:w="2304"/>
            <w:shd w:val="clear" w:color="auto" w:fill="E8EEF5"/>
          </w:tcPr>
          <w:p>
            <w:r/>
            <w:r>
              <w:rPr>
                <w:b/>
                <w:i w:val="0"/>
                <w:sz w:val="18"/>
              </w:rPr>
              <w:t>Assessment</w:t>
            </w:r>
          </w:p>
        </w:tc>
        <w:tc>
          <w:tcPr>
            <w:tcW w:type="dxa" w:w="7632"/>
            <w:shd w:val="clear" w:color="auto" w:fill="D9EAD3"/>
          </w:tcPr>
          <w:p>
            <w:pPr>
              <w:spacing w:after="20"/>
            </w:pPr>
            <w:r/>
            <w:r>
              <w:rPr>
                <w:b/>
                <w:i w:val="0"/>
                <w:sz w:val="18"/>
              </w:rPr>
              <w:t>LOW</w:t>
            </w:r>
            <w:r>
              <w:rPr>
                <w:b w:val="0"/>
                <w:i w:val="0"/>
                <w:sz w:val="18"/>
              </w:rPr>
              <w:t xml:space="preserve"> — kitchen sink. Maintaining it on these facts could be cited as evidence of an unreasonable claims posture (see Zoppo v. Homestead Ins. Co., 71 Ohio St.3d 552 (1994)).</w:t>
            </w:r>
          </w:p>
        </w:tc>
      </w:tr>
      <w:tr>
        <w:tc>
          <w:tcPr>
            <w:tcW w:type="dxa" w:w="2304"/>
            <w:shd w:val="clear" w:color="auto" w:fill="E8EEF5"/>
          </w:tcPr>
          <w:p>
            <w:r/>
            <w:r>
              <w:rPr>
                <w:b/>
                <w:i w:val="0"/>
                <w:sz w:val="18"/>
              </w:rPr>
              <w:t>Recommended actions</w:t>
            </w:r>
          </w:p>
        </w:tc>
        <w:tc>
          <w:tcPr>
            <w:tcW w:type="dxa" w:w="7632"/>
          </w:tcPr>
          <w:p>
            <w:pPr>
              <w:spacing w:after="20"/>
            </w:pPr>
            <w:r/>
            <w:r>
              <w:rPr>
                <w:b w:val="0"/>
                <w:i w:val="0"/>
                <w:sz w:val="18"/>
              </w:rPr>
              <w:t>Demand withdrawal in writing. Ensure every new paper (summons, amended pleadings, any Buckeye suit, OSHA correspondence) is forwarded immediately with transmittal records, so the “forward legal papers” condition cannot be raised.</w:t>
            </w:r>
          </w:p>
        </w:tc>
      </w:tr>
    </w:tbl>
    <w:p>
      <w:pPr>
        <w:spacing w:after="40"/>
      </w:pPr>
    </w:p>
    <w:tbl>
      <w:tblPr>
        <w:tblStyle w:val="TableGrid"/>
        <w:tblW w:type="auto" w:w="0"/>
        <w:jc w:val="center"/>
        <w:tblLayout w:type="fixed"/>
        <w:tblLook w:firstColumn="1" w:firstRow="1" w:lastColumn="0" w:lastRow="0" w:noHBand="0" w:noVBand="1" w:val="04A0"/>
      </w:tblPr>
      <w:tblGrid>
        <w:gridCol w:w="4968"/>
        <w:gridCol w:w="4968"/>
      </w:tblGrid>
      <w:tr>
        <w:tc>
          <w:tcPr>
            <w:tcW w:type="dxa" w:w="9936"/>
            <w:gridSpan w:val="2"/>
            <w:shd w:val="clear" w:color="auto" w:fill="1F3A5F"/>
          </w:tcPr>
          <w:p>
            <w:r/>
            <w:r>
              <w:rPr>
                <w:b/>
                <w:i w:val="0"/>
                <w:color w:val="FFFFFF"/>
                <w:sz w:val="20"/>
              </w:rPr>
              <w:t>5.8  Sworn Proof of Loss — Condition 2.a.(c)</w:t>
            </w:r>
          </w:p>
        </w:tc>
      </w:tr>
      <w:tr>
        <w:tc>
          <w:tcPr>
            <w:tcW w:type="dxa" w:w="2304"/>
            <w:shd w:val="clear" w:color="auto" w:fill="E8EEF5"/>
          </w:tcPr>
          <w:p>
            <w:r/>
            <w:r>
              <w:rPr>
                <w:b/>
                <w:i w:val="0"/>
                <w:sz w:val="18"/>
              </w:rPr>
              <w:t>Ridgepoint position</w:t>
            </w:r>
          </w:p>
        </w:tc>
        <w:tc>
          <w:tcPr>
            <w:tcW w:type="dxa" w:w="7632"/>
          </w:tcPr>
          <w:p>
            <w:pPr>
              <w:spacing w:after="20"/>
            </w:pPr>
            <w:r/>
            <w:r>
              <w:rPr>
                <w:b w:val="0"/>
                <w:i w:val="0"/>
                <w:sz w:val="18"/>
              </w:rPr>
              <w:t xml:space="preserve">Proof of loss due “within sixty (60) days of the date of occurrence” — i.e., </w:t>
            </w:r>
            <w:r>
              <w:rPr>
                <w:b/>
                <w:i w:val="0"/>
                <w:sz w:val="18"/>
              </w:rPr>
              <w:t>March 15, 2025</w:t>
            </w:r>
            <w:r>
              <w:rPr>
                <w:b w:val="0"/>
                <w:i w:val="0"/>
                <w:sz w:val="18"/>
              </w:rPr>
              <w:t>; failure “may constitute a breach of a material condition … and a separate basis for denial” (ROR §IV.H last ¶ and §VII ¶2).</w:t>
            </w:r>
          </w:p>
        </w:tc>
      </w:tr>
      <w:tr>
        <w:tc>
          <w:tcPr>
            <w:tcW w:type="dxa" w:w="2304"/>
            <w:shd w:val="clear" w:color="auto" w:fill="E8EEF5"/>
          </w:tcPr>
          <w:p>
            <w:r/>
            <w:r>
              <w:rPr>
                <w:b/>
                <w:i w:val="0"/>
                <w:sz w:val="18"/>
              </w:rPr>
              <w:t>Internal contradiction</w:t>
            </w:r>
          </w:p>
        </w:tc>
        <w:tc>
          <w:tcPr>
            <w:tcW w:type="dxa" w:w="7632"/>
          </w:tcPr>
          <w:p>
            <w:pPr>
              <w:spacing w:after="20"/>
            </w:pPr>
            <w:r/>
            <w:r>
              <w:rPr>
                <w:b w:val="0"/>
                <w:i w:val="0"/>
                <w:sz w:val="18"/>
              </w:rPr>
              <w:t xml:space="preserve">The ROR’s own block quote of Condition 2.a. states “(c) Provide sworn proof of loss … within </w:t>
            </w:r>
            <w:r>
              <w:rPr>
                <w:b/>
                <w:i w:val="0"/>
                <w:sz w:val="18"/>
              </w:rPr>
              <w:t>ninety (90)</w:t>
            </w:r>
            <w:r>
              <w:rPr>
                <w:b w:val="0"/>
                <w:i w:val="0"/>
                <w:sz w:val="18"/>
              </w:rPr>
              <w:t xml:space="preserve"> days of the date of occurrence.” Ms. Nandakumar’s review of the policy binder confirms 90 days. Correct deadline: </w:t>
            </w:r>
            <w:r>
              <w:rPr>
                <w:b/>
                <w:i w:val="0"/>
                <w:sz w:val="18"/>
              </w:rPr>
              <w:t>Monday, April 14, 2025.</w:t>
            </w:r>
          </w:p>
        </w:tc>
      </w:tr>
      <w:tr>
        <w:tc>
          <w:tcPr>
            <w:tcW w:type="dxa" w:w="2304"/>
            <w:shd w:val="clear" w:color="auto" w:fill="E8EEF5"/>
          </w:tcPr>
          <w:p>
            <w:r/>
            <w:r>
              <w:rPr>
                <w:b/>
                <w:i w:val="0"/>
                <w:sz w:val="18"/>
              </w:rPr>
              <w:t>Analysis</w:t>
            </w:r>
          </w:p>
        </w:tc>
        <w:tc>
          <w:tcPr>
            <w:tcW w:type="dxa" w:w="7632"/>
          </w:tcPr>
          <w:p>
            <w:pPr>
              <w:spacing w:after="20"/>
            </w:pPr>
            <w:r/>
            <w:r>
              <w:rPr>
                <w:b w:val="0"/>
                <w:i w:val="0"/>
                <w:sz w:val="18"/>
              </w:rPr>
              <w:t>The 60-day statement appears to be an error. A sworn proof-of-loss requirement is a first-party concept and is not part of the standard ISO CGL conditions; for a third-party liability claim the “nature and extent of damages” is defined by the claimants’ pleadings and demand, which Ridgepoint already has. Any forfeiture argument would also face Ohio’s prejudice requirement (Ferrando).</w:t>
            </w:r>
          </w:p>
        </w:tc>
      </w:tr>
      <w:tr>
        <w:tc>
          <w:tcPr>
            <w:tcW w:type="dxa" w:w="2304"/>
            <w:shd w:val="clear" w:color="auto" w:fill="E8EEF5"/>
          </w:tcPr>
          <w:p>
            <w:r/>
            <w:r>
              <w:rPr>
                <w:b/>
                <w:i w:val="0"/>
                <w:sz w:val="18"/>
              </w:rPr>
              <w:t>Assessment</w:t>
            </w:r>
          </w:p>
        </w:tc>
        <w:tc>
          <w:tcPr>
            <w:tcW w:type="dxa" w:w="7632"/>
            <w:shd w:val="clear" w:color="auto" w:fill="D9EAD3"/>
          </w:tcPr>
          <w:p>
            <w:pPr>
              <w:spacing w:after="20"/>
            </w:pPr>
            <w:r/>
            <w:r>
              <w:rPr>
                <w:b/>
                <w:i w:val="0"/>
                <w:sz w:val="18"/>
              </w:rPr>
              <w:t>LOW</w:t>
            </w:r>
            <w:r>
              <w:rPr>
                <w:b w:val="0"/>
                <w:i w:val="0"/>
                <w:sz w:val="18"/>
              </w:rPr>
              <w:t xml:space="preserve"> as a coverage defense if managed; a procedural trap if ignored.</w:t>
            </w:r>
          </w:p>
        </w:tc>
      </w:tr>
      <w:tr>
        <w:tc>
          <w:tcPr>
            <w:tcW w:type="dxa" w:w="2304"/>
            <w:shd w:val="clear" w:color="auto" w:fill="E8EEF5"/>
          </w:tcPr>
          <w:p>
            <w:r/>
            <w:r>
              <w:rPr>
                <w:b/>
                <w:i w:val="0"/>
                <w:sz w:val="18"/>
              </w:rPr>
              <w:t>Recommended actions</w:t>
            </w:r>
          </w:p>
        </w:tc>
        <w:tc>
          <w:tcPr>
            <w:tcW w:type="dxa" w:w="7632"/>
          </w:tcPr>
          <w:p>
            <w:pPr>
              <w:spacing w:after="20"/>
            </w:pPr>
            <w:r/>
            <w:r>
              <w:rPr>
                <w:b w:val="0"/>
                <w:i w:val="0"/>
                <w:sz w:val="18"/>
              </w:rPr>
              <w:t>(1) Written objection now identifying the contradiction and requesting confirmation that the operative deadline is April 14, 2025 and that Ridgepoint will not assert forfeiture based on the 60-day statement. (2) Belt-and-braces: serve a sworn statement by March 14, 2025 (description of the occurrence; copies of the complaint and Buckeye demand; claimed damages as pleaded/demanded; Greenleaf costs to date and SIR payments), expressly reserving all objections, and supplement by April 14.</w:t>
            </w:r>
          </w:p>
        </w:tc>
      </w:tr>
    </w:tbl>
    <w:p>
      <w:pPr>
        <w:spacing w:after="40"/>
      </w:pPr>
    </w:p>
    <w:tbl>
      <w:tblPr>
        <w:tblStyle w:val="TableGrid"/>
        <w:tblW w:type="auto" w:w="0"/>
        <w:jc w:val="center"/>
        <w:tblLayout w:type="fixed"/>
        <w:tblLook w:firstColumn="1" w:firstRow="1" w:lastColumn="0" w:lastRow="0" w:noHBand="0" w:noVBand="1" w:val="04A0"/>
      </w:tblPr>
      <w:tblGrid>
        <w:gridCol w:w="4968"/>
        <w:gridCol w:w="4968"/>
      </w:tblGrid>
      <w:tr>
        <w:tc>
          <w:tcPr>
            <w:tcW w:type="dxa" w:w="9936"/>
            <w:gridSpan w:val="2"/>
            <w:shd w:val="clear" w:color="auto" w:fill="1F3A5F"/>
          </w:tcPr>
          <w:p>
            <w:r/>
            <w:r>
              <w:rPr>
                <w:b/>
                <w:i w:val="0"/>
                <w:color w:val="FFFFFF"/>
                <w:sz w:val="20"/>
              </w:rPr>
              <w:t>5.9  Self-Insured Retention — RCI-SIR-2024-003, and the Defense Appointment</w:t>
            </w:r>
          </w:p>
        </w:tc>
      </w:tr>
      <w:tr>
        <w:tc>
          <w:tcPr>
            <w:tcW w:type="dxa" w:w="2304"/>
            <w:shd w:val="clear" w:color="auto" w:fill="E8EEF5"/>
          </w:tcPr>
          <w:p>
            <w:r/>
            <w:r>
              <w:rPr>
                <w:b/>
                <w:i w:val="0"/>
                <w:sz w:val="18"/>
              </w:rPr>
              <w:t>Ridgepoint position</w:t>
            </w:r>
          </w:p>
        </w:tc>
        <w:tc>
          <w:tcPr>
            <w:tcW w:type="dxa" w:w="7632"/>
          </w:tcPr>
          <w:p>
            <w:pPr>
              <w:spacing w:after="20"/>
            </w:pPr>
            <w:r/>
            <w:r>
              <w:rPr>
                <w:b w:val="0"/>
                <w:i w:val="0"/>
                <w:sz w:val="18"/>
              </w:rPr>
              <w:t>No obligation to pay damages or defense costs, and no duty to defend, until Greenleaf has fully exhausted the $250,000 SIR “by the payment of covered claims”; SIR satisfaction is a “condition precedent” (ROR §IV.B). Yet Ridgepoint “will appoint defense counsel of its choosing” (Hargrove Lipton &amp; Sears LLP) for Espinoza (ROR §V.G).</w:t>
            </w:r>
          </w:p>
        </w:tc>
      </w:tr>
      <w:tr>
        <w:tc>
          <w:tcPr>
            <w:tcW w:type="dxa" w:w="2304"/>
            <w:shd w:val="clear" w:color="auto" w:fill="E8EEF5"/>
          </w:tcPr>
          <w:p>
            <w:r/>
            <w:r>
              <w:rPr>
                <w:b/>
                <w:i w:val="0"/>
                <w:sz w:val="18"/>
              </w:rPr>
              <w:t>Contradictions</w:t>
            </w:r>
          </w:p>
        </w:tc>
        <w:tc>
          <w:tcPr>
            <w:tcW w:type="dxa" w:w="7632"/>
          </w:tcPr>
          <w:p>
            <w:pPr>
              <w:spacing w:after="20"/>
            </w:pPr>
            <w:r/>
            <w:r>
              <w:rPr>
                <w:b w:val="0"/>
                <w:i w:val="0"/>
                <w:sz w:val="18"/>
              </w:rPr>
              <w:t xml:space="preserve">(1) Duty to defend has not triggered (no SIR payments) but Ridgepoint has appointed counsel. (2) ROR quote: SIR satisfied by “covered claims </w:t>
            </w:r>
            <w:r>
              <w:rPr>
                <w:b/>
                <w:i w:val="0"/>
                <w:sz w:val="18"/>
              </w:rPr>
              <w:t>or defense costs</w:t>
            </w:r>
            <w:r>
              <w:rPr>
                <w:b w:val="0"/>
                <w:i w:val="0"/>
                <w:sz w:val="18"/>
              </w:rPr>
              <w:t>”; next sentence and Dec. Summary: exhaustion only by payment of covered claims / judgments or settlements, and pre-exhaustion defense costs “do not reduce or erode” the SIR. (3) If RCI-EXCL-2024-011 applies, payments on Espinoza are not “covered claims” and could never exhaust the SIR — so the SIR may only be exhausted through Buckeye payments.</w:t>
            </w:r>
          </w:p>
        </w:tc>
      </w:tr>
      <w:tr>
        <w:tc>
          <w:tcPr>
            <w:tcW w:type="dxa" w:w="2304"/>
            <w:shd w:val="clear" w:color="auto" w:fill="E8EEF5"/>
          </w:tcPr>
          <w:p>
            <w:r/>
            <w:r>
              <w:rPr>
                <w:b/>
                <w:i w:val="0"/>
                <w:sz w:val="18"/>
              </w:rPr>
              <w:t>Analysis</w:t>
            </w:r>
          </w:p>
        </w:tc>
        <w:tc>
          <w:tcPr>
            <w:tcW w:type="dxa" w:w="7632"/>
          </w:tcPr>
          <w:p>
            <w:pPr>
              <w:spacing w:after="20"/>
            </w:pPr>
            <w:r/>
            <w:r>
              <w:rPr>
                <w:b w:val="0"/>
                <w:i w:val="0"/>
                <w:sz w:val="18"/>
              </w:rPr>
              <w:t>Ridgepoint’s appointment of counsel before exhaustion is either (a) a voluntary assumption of the defense (supporting a waiver/estoppel argument that it cannot later insist on SIR exhaustion as a condition to defense, or charge pre-exhaustion defense costs to Greenleaf), or (b) an attempt to control the defense while Greenleaf pays. Ohio courts generally will not use waiver or estoppel to create coverage that does not exist, but they can bar an insurer from enforcing a condition it has acted inconsistently with. Which reading Ridgepoint intends determines who pays Hargrove.</w:t>
            </w:r>
          </w:p>
        </w:tc>
      </w:tr>
      <w:tr>
        <w:tc>
          <w:tcPr>
            <w:tcW w:type="dxa" w:w="2304"/>
            <w:shd w:val="clear" w:color="auto" w:fill="E8EEF5"/>
          </w:tcPr>
          <w:p>
            <w:r/>
            <w:r>
              <w:rPr>
                <w:b/>
                <w:i w:val="0"/>
                <w:sz w:val="18"/>
              </w:rPr>
              <w:t>Assessment</w:t>
            </w:r>
          </w:p>
        </w:tc>
        <w:tc>
          <w:tcPr>
            <w:tcW w:type="dxa" w:w="7632"/>
            <w:shd w:val="clear" w:color="auto" w:fill="FCE5CD"/>
          </w:tcPr>
          <w:p>
            <w:pPr>
              <w:spacing w:after="20"/>
            </w:pPr>
            <w:r/>
            <w:r>
              <w:rPr>
                <w:b w:val="0"/>
                <w:i w:val="0"/>
                <w:sz w:val="18"/>
              </w:rPr>
              <w:t xml:space="preserve">Not a coverage defense; </w:t>
            </w:r>
            <w:r>
              <w:rPr>
                <w:b/>
                <w:i w:val="0"/>
                <w:sz w:val="18"/>
              </w:rPr>
              <w:t>HIGH financial and control significance</w:t>
            </w:r>
            <w:r>
              <w:rPr>
                <w:b w:val="0"/>
                <w:i w:val="0"/>
                <w:sz w:val="18"/>
              </w:rPr>
              <w:t xml:space="preserve"> (up to $250K of defense spend, and who controls defense strategy in a case with divergent coverage interests).</w:t>
            </w:r>
          </w:p>
        </w:tc>
      </w:tr>
      <w:tr>
        <w:tc>
          <w:tcPr>
            <w:tcW w:type="dxa" w:w="2304"/>
            <w:shd w:val="clear" w:color="auto" w:fill="E8EEF5"/>
          </w:tcPr>
          <w:p>
            <w:r/>
            <w:r>
              <w:rPr>
                <w:b/>
                <w:i w:val="0"/>
                <w:sz w:val="18"/>
              </w:rPr>
              <w:t>Recommended actions</w:t>
            </w:r>
          </w:p>
        </w:tc>
        <w:tc>
          <w:tcPr>
            <w:tcW w:type="dxa" w:w="7632"/>
          </w:tcPr>
          <w:p>
            <w:pPr>
              <w:spacing w:after="20"/>
            </w:pPr>
            <w:r/>
            <w:r>
              <w:rPr>
                <w:b w:val="0"/>
                <w:i w:val="0"/>
                <w:sz w:val="18"/>
              </w:rPr>
              <w:t>Demand written answers to: Is Ridgepoint paying Hargrove from day one? Do Greenleaf-paid defense costs count toward the SIR? Who controls the defense pending exhaustion? Will Ridgepoint consent to settlement payments to Buckeye counting toward the SIR? Reserve Greenleaf’s waiver/estoppel position. Given the conflicts in §§5.3 and 5.5, request that Ridgepoint fund independent counsel of Greenleaf’s choosing or, at minimum, consent to Greenleaf’s personal counsel participating, with Hargrove’s duty of loyalty running to Greenleaf and no reporting of coverage-sensitive information to Ridgepoint’s coverage team.</w:t>
            </w:r>
          </w:p>
        </w:tc>
      </w:tr>
    </w:tbl>
    <w:p>
      <w:pPr>
        <w:spacing w:after="40"/>
      </w:pPr>
    </w:p>
    <w:tbl>
      <w:tblPr>
        <w:tblStyle w:val="TableGrid"/>
        <w:tblW w:type="auto" w:w="0"/>
        <w:jc w:val="center"/>
        <w:tblLayout w:type="fixed"/>
        <w:tblLook w:firstColumn="1" w:firstRow="1" w:lastColumn="0" w:lastRow="0" w:noHBand="0" w:noVBand="1" w:val="04A0"/>
      </w:tblPr>
      <w:tblGrid>
        <w:gridCol w:w="4968"/>
        <w:gridCol w:w="4968"/>
      </w:tblGrid>
      <w:tr>
        <w:tc>
          <w:tcPr>
            <w:tcW w:type="dxa" w:w="9936"/>
            <w:gridSpan w:val="2"/>
            <w:shd w:val="clear" w:color="auto" w:fill="1F3A5F"/>
          </w:tcPr>
          <w:p>
            <w:r/>
            <w:r>
              <w:rPr>
                <w:b/>
                <w:i w:val="0"/>
                <w:color w:val="FFFFFF"/>
                <w:sz w:val="20"/>
              </w:rPr>
              <w:t>5.10  Cooperation, Voluntary Payments, Right to Withdraw, General Reservation</w:t>
            </w:r>
          </w:p>
        </w:tc>
      </w:tr>
      <w:tr>
        <w:tc>
          <w:tcPr>
            <w:tcW w:type="dxa" w:w="2304"/>
            <w:shd w:val="clear" w:color="auto" w:fill="E8EEF5"/>
          </w:tcPr>
          <w:p>
            <w:r/>
            <w:r>
              <w:rPr>
                <w:b/>
                <w:i w:val="0"/>
                <w:sz w:val="18"/>
              </w:rPr>
              <w:t>Ridgepoint position</w:t>
            </w:r>
          </w:p>
        </w:tc>
        <w:tc>
          <w:tcPr>
            <w:tcW w:type="dxa" w:w="7632"/>
          </w:tcPr>
          <w:p>
            <w:pPr>
              <w:spacing w:after="20"/>
            </w:pPr>
            <w:r/>
            <w:r>
              <w:rPr>
                <w:b w:val="0"/>
                <w:i w:val="0"/>
                <w:sz w:val="18"/>
              </w:rPr>
              <w:t>Full cooperation (Cond. 2.d.) with Ridgepoint, its counsel, consultants and investigators (including Thornburg Risk Consultants, Inc.), interviews, sworn statements, facility access; no voluntary payments without written consent; forward all legal papers; right to withdraw from the defense “at any time”; non-exhaustive general reservation (ROR §§V.G–H, VII, VIII).</w:t>
            </w:r>
          </w:p>
        </w:tc>
      </w:tr>
      <w:tr>
        <w:tc>
          <w:tcPr>
            <w:tcW w:type="dxa" w:w="2304"/>
            <w:shd w:val="clear" w:color="auto" w:fill="E8EEF5"/>
          </w:tcPr>
          <w:p>
            <w:r/>
            <w:r>
              <w:rPr>
                <w:b/>
                <w:i w:val="0"/>
                <w:sz w:val="18"/>
              </w:rPr>
              <w:t>Analysis</w:t>
            </w:r>
          </w:p>
        </w:tc>
        <w:tc>
          <w:tcPr>
            <w:tcW w:type="dxa" w:w="7632"/>
          </w:tcPr>
          <w:p>
            <w:pPr>
              <w:spacing w:after="20"/>
            </w:pPr>
            <w:r/>
            <w:r>
              <w:rPr>
                <w:b w:val="0"/>
                <w:i w:val="0"/>
                <w:sz w:val="18"/>
              </w:rPr>
              <w:t>Cooperation is a real obligation, but it is a duty of reasonable cooperation; it does not require Greenleaf to waive privilege or to assist Ridgepoint in building its coverage case. Thornburg is a coverage-side investigator retained by Ridgepoint, not by defense counsel; its findings will be used on known-loss, intentional-tort and pollution issues and may be discoverable by the Espinoza plaintiffs and Buckeye. A unilateral right to withdraw “at any time” is overstated: withdrawal would ordinarily require a coverage determination and reasonable notice so Greenleaf is not prejudiced. The general reservation does not preserve defenses Ridgepoint knows of but fails to assert indefinitely.</w:t>
            </w:r>
          </w:p>
        </w:tc>
      </w:tr>
      <w:tr>
        <w:tc>
          <w:tcPr>
            <w:tcW w:type="dxa" w:w="2304"/>
            <w:shd w:val="clear" w:color="auto" w:fill="E8EEF5"/>
          </w:tcPr>
          <w:p>
            <w:r/>
            <w:r>
              <w:rPr>
                <w:b/>
                <w:i w:val="0"/>
                <w:sz w:val="18"/>
              </w:rPr>
              <w:t>Assessment</w:t>
            </w:r>
          </w:p>
        </w:tc>
        <w:tc>
          <w:tcPr>
            <w:tcW w:type="dxa" w:w="7632"/>
            <w:shd w:val="clear" w:color="auto" w:fill="EDEDED"/>
          </w:tcPr>
          <w:p>
            <w:pPr>
              <w:spacing w:after="20"/>
            </w:pPr>
            <w:r/>
            <w:r>
              <w:rPr>
                <w:b w:val="0"/>
                <w:i w:val="0"/>
                <w:sz w:val="18"/>
              </w:rPr>
              <w:t>Process risk. Manageable with protocols.</w:t>
            </w:r>
          </w:p>
        </w:tc>
      </w:tr>
      <w:tr>
        <w:tc>
          <w:tcPr>
            <w:tcW w:type="dxa" w:w="2304"/>
            <w:shd w:val="clear" w:color="auto" w:fill="E8EEF5"/>
          </w:tcPr>
          <w:p>
            <w:r/>
            <w:r>
              <w:rPr>
                <w:b/>
                <w:i w:val="0"/>
                <w:sz w:val="18"/>
              </w:rPr>
              <w:t>Recommended actions</w:t>
            </w:r>
          </w:p>
        </w:tc>
        <w:tc>
          <w:tcPr>
            <w:tcW w:type="dxa" w:w="7632"/>
          </w:tcPr>
          <w:p>
            <w:pPr>
              <w:spacing w:after="20"/>
            </w:pPr>
            <w:r/>
            <w:r>
              <w:rPr>
                <w:b w:val="0"/>
                <w:i w:val="0"/>
                <w:sz w:val="18"/>
              </w:rPr>
              <w:t>See §8, Question 6 (Thornburg protocol). Document every cooperation step. Seek Ridgepoint’s written consent before any Buckeye payment, emergency repair cost-sharing, or communication that could be construed as assuming liability.</w:t>
            </w:r>
          </w:p>
        </w:tc>
      </w:tr>
    </w:tbl>
    <w:p>
      <w:pPr>
        <w:spacing w:after="40"/>
      </w:pPr>
    </w:p>
    <w:p>
      <w:pPr>
        <w:pStyle w:val="Heading1"/>
      </w:pPr>
      <w:r>
        <w:t>6. Errors, Inconsistencies and Discrepancies in the ROR</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360"/>
            <w:shd w:val="clear" w:color="auto" w:fill="1F3A5F"/>
          </w:tcPr>
          <w:p>
            <w:r/>
            <w:r>
              <w:rPr>
                <w:b/>
                <w:i w:val="0"/>
                <w:color w:val="FFFFFF"/>
                <w:sz w:val="16"/>
              </w:rPr>
              <w:t>#</w:t>
            </w:r>
          </w:p>
        </w:tc>
        <w:tc>
          <w:tcPr>
            <w:tcW w:type="dxa" w:w="1728"/>
            <w:shd w:val="clear" w:color="auto" w:fill="1F3A5F"/>
          </w:tcPr>
          <w:p>
            <w:r/>
            <w:r>
              <w:rPr>
                <w:b/>
                <w:i w:val="0"/>
                <w:color w:val="FFFFFF"/>
                <w:sz w:val="16"/>
              </w:rPr>
              <w:t>Issue</w:t>
            </w:r>
          </w:p>
        </w:tc>
        <w:tc>
          <w:tcPr>
            <w:tcW w:type="dxa" w:w="2520"/>
            <w:shd w:val="clear" w:color="auto" w:fill="1F3A5F"/>
          </w:tcPr>
          <w:p>
            <w:r/>
            <w:r>
              <w:rPr>
                <w:b/>
                <w:i w:val="0"/>
                <w:color w:val="FFFFFF"/>
                <w:sz w:val="16"/>
              </w:rPr>
              <w:t>ROR says</w:t>
            </w:r>
          </w:p>
        </w:tc>
        <w:tc>
          <w:tcPr>
            <w:tcW w:type="dxa" w:w="2520"/>
            <w:shd w:val="clear" w:color="auto" w:fill="1F3A5F"/>
          </w:tcPr>
          <w:p>
            <w:r/>
            <w:r>
              <w:rPr>
                <w:b/>
                <w:i w:val="0"/>
                <w:color w:val="FFFFFF"/>
                <w:sz w:val="16"/>
              </w:rPr>
              <w:t>Other source says</w:t>
            </w:r>
          </w:p>
        </w:tc>
        <w:tc>
          <w:tcPr>
            <w:tcW w:type="dxa" w:w="2808"/>
            <w:shd w:val="clear" w:color="auto" w:fill="1F3A5F"/>
          </w:tcPr>
          <w:p>
            <w:r/>
            <w:r>
              <w:rPr>
                <w:b/>
                <w:i w:val="0"/>
                <w:color w:val="FFFFFF"/>
                <w:sz w:val="16"/>
              </w:rPr>
              <w:t>Significance / action</w:t>
            </w:r>
          </w:p>
        </w:tc>
      </w:tr>
      <w:tr>
        <w:tc>
          <w:tcPr>
            <w:tcW w:type="dxa" w:w="360"/>
          </w:tcPr>
          <w:p>
            <w:pPr>
              <w:spacing w:after="20"/>
            </w:pPr>
            <w:r/>
            <w:r>
              <w:rPr>
                <w:b w:val="0"/>
                <w:i w:val="0"/>
                <w:sz w:val="16"/>
              </w:rPr>
              <w:t>1</w:t>
            </w:r>
          </w:p>
        </w:tc>
        <w:tc>
          <w:tcPr>
            <w:tcW w:type="dxa" w:w="1728"/>
          </w:tcPr>
          <w:p>
            <w:pPr>
              <w:spacing w:after="20"/>
            </w:pPr>
            <w:r/>
            <w:r>
              <w:rPr>
                <w:b w:val="0"/>
                <w:i w:val="0"/>
                <w:sz w:val="16"/>
              </w:rPr>
              <w:t>Proof-of-loss period</w:t>
            </w:r>
          </w:p>
        </w:tc>
        <w:tc>
          <w:tcPr>
            <w:tcW w:type="dxa" w:w="2520"/>
          </w:tcPr>
          <w:p>
            <w:pPr>
              <w:spacing w:after="20"/>
            </w:pPr>
            <w:r/>
            <w:r>
              <w:rPr>
                <w:b w:val="0"/>
                <w:i w:val="0"/>
                <w:sz w:val="16"/>
              </w:rPr>
              <w:t>§IV.H last ¶ and §VII: “sixty (60) days” → March 15, 2025</w:t>
            </w:r>
          </w:p>
        </w:tc>
        <w:tc>
          <w:tcPr>
            <w:tcW w:type="dxa" w:w="2520"/>
          </w:tcPr>
          <w:p>
            <w:pPr>
              <w:spacing w:after="20"/>
            </w:pPr>
            <w:r/>
            <w:r>
              <w:rPr>
                <w:b w:val="0"/>
                <w:i w:val="0"/>
                <w:sz w:val="16"/>
              </w:rPr>
              <w:t>§IV.H block quote of Cond. 2.a.(c): “ninety (90) days”; policy binder (per P. Nandakumar): 90 days → April 14, 2025</w:t>
            </w:r>
          </w:p>
        </w:tc>
        <w:tc>
          <w:tcPr>
            <w:tcW w:type="dxa" w:w="2808"/>
          </w:tcPr>
          <w:p>
            <w:pPr>
              <w:spacing w:after="20"/>
            </w:pPr>
            <w:r/>
            <w:r>
              <w:rPr>
                <w:b w:val="0"/>
                <w:i w:val="0"/>
                <w:sz w:val="16"/>
              </w:rPr>
              <w:t>Material. Object in writing now; protective filing by March 14.</w:t>
            </w:r>
          </w:p>
        </w:tc>
      </w:tr>
      <w:tr>
        <w:tc>
          <w:tcPr>
            <w:tcW w:type="dxa" w:w="360"/>
          </w:tcPr>
          <w:p>
            <w:pPr>
              <w:spacing w:after="20"/>
            </w:pPr>
            <w:r/>
            <w:r>
              <w:rPr>
                <w:b w:val="0"/>
                <w:i w:val="0"/>
                <w:sz w:val="16"/>
              </w:rPr>
              <w:t>2</w:t>
            </w:r>
          </w:p>
        </w:tc>
        <w:tc>
          <w:tcPr>
            <w:tcW w:type="dxa" w:w="1728"/>
          </w:tcPr>
          <w:p>
            <w:pPr>
              <w:spacing w:after="20"/>
            </w:pPr>
            <w:r/>
            <w:r>
              <w:rPr>
                <w:b w:val="0"/>
                <w:i w:val="0"/>
                <w:sz w:val="16"/>
              </w:rPr>
              <w:t>Duty to defend vs. appointment of counsel</w:t>
            </w:r>
          </w:p>
        </w:tc>
        <w:tc>
          <w:tcPr>
            <w:tcW w:type="dxa" w:w="2520"/>
          </w:tcPr>
          <w:p>
            <w:pPr>
              <w:spacing w:after="20"/>
            </w:pPr>
            <w:r/>
            <w:r>
              <w:rPr>
                <w:b w:val="0"/>
                <w:i w:val="0"/>
                <w:sz w:val="16"/>
              </w:rPr>
              <w:t>§IV.B: no duty to defend until SIR exhausted</w:t>
            </w:r>
          </w:p>
        </w:tc>
        <w:tc>
          <w:tcPr>
            <w:tcW w:type="dxa" w:w="2520"/>
          </w:tcPr>
          <w:p>
            <w:pPr>
              <w:spacing w:after="20"/>
            </w:pPr>
            <w:r/>
            <w:r>
              <w:rPr>
                <w:b w:val="0"/>
                <w:i w:val="0"/>
                <w:sz w:val="16"/>
              </w:rPr>
              <w:t>§V.G: Ridgepoint appoints Hargrove Lipton &amp; Sears to defend now</w:t>
            </w:r>
          </w:p>
        </w:tc>
        <w:tc>
          <w:tcPr>
            <w:tcW w:type="dxa" w:w="2808"/>
          </w:tcPr>
          <w:p>
            <w:pPr>
              <w:spacing w:after="20"/>
            </w:pPr>
            <w:r/>
            <w:r>
              <w:rPr>
                <w:b w:val="0"/>
                <w:i w:val="0"/>
                <w:sz w:val="16"/>
              </w:rPr>
              <w:t>Material. Demand clarification on funding/control; reserve waiver/estoppel.</w:t>
            </w:r>
          </w:p>
        </w:tc>
      </w:tr>
      <w:tr>
        <w:tc>
          <w:tcPr>
            <w:tcW w:type="dxa" w:w="360"/>
          </w:tcPr>
          <w:p>
            <w:pPr>
              <w:spacing w:after="20"/>
            </w:pPr>
            <w:r/>
            <w:r>
              <w:rPr>
                <w:b w:val="0"/>
                <w:i w:val="0"/>
                <w:sz w:val="16"/>
              </w:rPr>
              <w:t>3</w:t>
            </w:r>
          </w:p>
        </w:tc>
        <w:tc>
          <w:tcPr>
            <w:tcW w:type="dxa" w:w="1728"/>
          </w:tcPr>
          <w:p>
            <w:pPr>
              <w:spacing w:after="20"/>
            </w:pPr>
            <w:r/>
            <w:r>
              <w:rPr>
                <w:b w:val="0"/>
                <w:i w:val="0"/>
                <w:sz w:val="16"/>
              </w:rPr>
              <w:t>SIR erosion by defense costs</w:t>
            </w:r>
          </w:p>
        </w:tc>
        <w:tc>
          <w:tcPr>
            <w:tcW w:type="dxa" w:w="2520"/>
          </w:tcPr>
          <w:p>
            <w:pPr>
              <w:spacing w:after="20"/>
            </w:pPr>
            <w:r/>
            <w:r>
              <w:rPr>
                <w:b w:val="0"/>
                <w:i w:val="0"/>
                <w:sz w:val="16"/>
              </w:rPr>
              <w:t>§IV.B quote: SIR satisfied by “covered claims or defense costs”</w:t>
            </w:r>
          </w:p>
        </w:tc>
        <w:tc>
          <w:tcPr>
            <w:tcW w:type="dxa" w:w="2520"/>
          </w:tcPr>
          <w:p>
            <w:pPr>
              <w:spacing w:after="20"/>
            </w:pPr>
            <w:r/>
            <w:r>
              <w:rPr>
                <w:b w:val="0"/>
                <w:i w:val="0"/>
                <w:sz w:val="16"/>
              </w:rPr>
              <w:t>Dec. Summary §4: defense costs “do not reduce or erode” the SIR; exhaustion by judgments or settlements</w:t>
            </w:r>
          </w:p>
        </w:tc>
        <w:tc>
          <w:tcPr>
            <w:tcW w:type="dxa" w:w="2808"/>
          </w:tcPr>
          <w:p>
            <w:pPr>
              <w:spacing w:after="20"/>
            </w:pPr>
            <w:r/>
            <w:r>
              <w:rPr>
                <w:b w:val="0"/>
                <w:i w:val="0"/>
                <w:sz w:val="16"/>
              </w:rPr>
              <w:t>Up to $250K. Obtain certified endorsement.</w:t>
            </w:r>
          </w:p>
        </w:tc>
      </w:tr>
      <w:tr>
        <w:tc>
          <w:tcPr>
            <w:tcW w:type="dxa" w:w="360"/>
          </w:tcPr>
          <w:p>
            <w:pPr>
              <w:spacing w:after="20"/>
            </w:pPr>
            <w:r/>
            <w:r>
              <w:rPr>
                <w:b w:val="0"/>
                <w:i w:val="0"/>
                <w:sz w:val="16"/>
              </w:rPr>
              <w:t>4</w:t>
            </w:r>
          </w:p>
        </w:tc>
        <w:tc>
          <w:tcPr>
            <w:tcW w:type="dxa" w:w="1728"/>
          </w:tcPr>
          <w:p>
            <w:pPr>
              <w:spacing w:after="20"/>
            </w:pPr>
            <w:r/>
            <w:r>
              <w:rPr>
                <w:b w:val="0"/>
                <w:i w:val="0"/>
                <w:sz w:val="16"/>
              </w:rPr>
              <w:t>Policy form edition</w:t>
            </w:r>
          </w:p>
        </w:tc>
        <w:tc>
          <w:tcPr>
            <w:tcW w:type="dxa" w:w="2520"/>
          </w:tcPr>
          <w:p>
            <w:pPr>
              <w:spacing w:after="20"/>
            </w:pPr>
            <w:r/>
            <w:r>
              <w:rPr>
                <w:b w:val="0"/>
                <w:i w:val="0"/>
                <w:sz w:val="16"/>
              </w:rPr>
              <w:t>§§Intro, I: CG 00 01 12 07</w:t>
            </w:r>
          </w:p>
        </w:tc>
        <w:tc>
          <w:tcPr>
            <w:tcW w:type="dxa" w:w="2520"/>
          </w:tcPr>
          <w:p>
            <w:pPr>
              <w:spacing w:after="20"/>
            </w:pPr>
            <w:r/>
            <w:r>
              <w:rPr>
                <w:b w:val="0"/>
                <w:i w:val="0"/>
                <w:sz w:val="16"/>
              </w:rPr>
              <w:t>Exhibit A and Dec. Summary: CG 00 01 04 13</w:t>
            </w:r>
          </w:p>
        </w:tc>
        <w:tc>
          <w:tcPr>
            <w:tcW w:type="dxa" w:w="2808"/>
          </w:tcPr>
          <w:p>
            <w:pPr>
              <w:spacing w:after="20"/>
            </w:pPr>
            <w:r/>
            <w:r>
              <w:rPr>
                <w:b w:val="0"/>
                <w:i w:val="0"/>
                <w:sz w:val="16"/>
              </w:rPr>
              <w:t>ROR may be quoting the wrong form. Certified policy needed before accepting any quoted language.</w:t>
            </w:r>
          </w:p>
        </w:tc>
      </w:tr>
      <w:tr>
        <w:tc>
          <w:tcPr>
            <w:tcW w:type="dxa" w:w="360"/>
          </w:tcPr>
          <w:p>
            <w:pPr>
              <w:spacing w:after="20"/>
            </w:pPr>
            <w:r/>
            <w:r>
              <w:rPr>
                <w:b w:val="0"/>
                <w:i w:val="0"/>
                <w:sz w:val="16"/>
              </w:rPr>
              <w:t>5</w:t>
            </w:r>
          </w:p>
        </w:tc>
        <w:tc>
          <w:tcPr>
            <w:tcW w:type="dxa" w:w="1728"/>
          </w:tcPr>
          <w:p>
            <w:pPr>
              <w:spacing w:after="20"/>
            </w:pPr>
            <w:r/>
            <w:r>
              <w:rPr>
                <w:b w:val="0"/>
                <w:i w:val="0"/>
                <w:sz w:val="16"/>
              </w:rPr>
              <w:t>Employer’s Liability Exclusion wording</w:t>
            </w:r>
          </w:p>
        </w:tc>
        <w:tc>
          <w:tcPr>
            <w:tcW w:type="dxa" w:w="2520"/>
          </w:tcPr>
          <w:p>
            <w:pPr>
              <w:spacing w:after="20"/>
            </w:pPr>
            <w:r/>
            <w:r>
              <w:rPr>
                <w:b w:val="0"/>
                <w:i w:val="0"/>
                <w:sz w:val="16"/>
              </w:rPr>
              <w:t>§IV.D: two-part (a)/(b) text tied to “duties related to the conduct of the insured’s business”</w:t>
            </w:r>
          </w:p>
        </w:tc>
        <w:tc>
          <w:tcPr>
            <w:tcW w:type="dxa" w:w="2520"/>
          </w:tcPr>
          <w:p>
            <w:pPr>
              <w:spacing w:after="20"/>
            </w:pPr>
            <w:r/>
            <w:r>
              <w:rPr>
                <w:b w:val="0"/>
                <w:i w:val="0"/>
                <w:sz w:val="16"/>
              </w:rPr>
              <w:t>Dec. Summary: “whether or not such worker is deemed a statutory employee …”</w:t>
            </w:r>
          </w:p>
        </w:tc>
        <w:tc>
          <w:tcPr>
            <w:tcW w:type="dxa" w:w="2808"/>
          </w:tcPr>
          <w:p>
            <w:pPr>
              <w:spacing w:after="20"/>
            </w:pPr>
            <w:r/>
            <w:r>
              <w:rPr>
                <w:b w:val="0"/>
                <w:i w:val="0"/>
                <w:sz w:val="16"/>
              </w:rPr>
              <w:t>Wording controls the strongest defense. Obtain certified text.</w:t>
            </w:r>
          </w:p>
        </w:tc>
      </w:tr>
      <w:tr>
        <w:tc>
          <w:tcPr>
            <w:tcW w:type="dxa" w:w="360"/>
          </w:tcPr>
          <w:p>
            <w:pPr>
              <w:spacing w:after="20"/>
            </w:pPr>
            <w:r/>
            <w:r>
              <w:rPr>
                <w:b w:val="0"/>
                <w:i w:val="0"/>
                <w:sz w:val="16"/>
              </w:rPr>
              <w:t>6</w:t>
            </w:r>
          </w:p>
        </w:tc>
        <w:tc>
          <w:tcPr>
            <w:tcW w:type="dxa" w:w="1728"/>
          </w:tcPr>
          <w:p>
            <w:pPr>
              <w:spacing w:after="20"/>
            </w:pPr>
            <w:r/>
            <w:r>
              <w:rPr>
                <w:b w:val="0"/>
                <w:i w:val="0"/>
                <w:sz w:val="16"/>
              </w:rPr>
              <w:t>Known-loss chronology</w:t>
            </w:r>
          </w:p>
        </w:tc>
        <w:tc>
          <w:tcPr>
            <w:tcW w:type="dxa" w:w="2520"/>
          </w:tcPr>
          <w:p>
            <w:pPr>
              <w:spacing w:after="20"/>
            </w:pPr>
            <w:r/>
            <w:r>
              <w:rPr>
                <w:b w:val="0"/>
                <w:i w:val="0"/>
                <w:sz w:val="16"/>
              </w:rPr>
              <w:t>§IV.F: citation raises questions about knowledge “prior to the inception of the Policy on July 1, 2024”</w:t>
            </w:r>
          </w:p>
        </w:tc>
        <w:tc>
          <w:tcPr>
            <w:tcW w:type="dxa" w:w="2520"/>
          </w:tcPr>
          <w:p>
            <w:pPr>
              <w:spacing w:after="20"/>
            </w:pPr>
            <w:r/>
            <w:r>
              <w:rPr>
                <w:b w:val="0"/>
                <w:i w:val="0"/>
                <w:sz w:val="16"/>
              </w:rPr>
              <w:t>Citation issued Sept. 5, 2024; final Oct. 20, 2024 (ROR §II; Compl. ¶¶23–24)</w:t>
            </w:r>
          </w:p>
        </w:tc>
        <w:tc>
          <w:tcPr>
            <w:tcW w:type="dxa" w:w="2808"/>
          </w:tcPr>
          <w:p>
            <w:pPr>
              <w:spacing w:after="20"/>
            </w:pPr>
            <w:r/>
            <w:r>
              <w:rPr>
                <w:b w:val="0"/>
                <w:i w:val="0"/>
                <w:sz w:val="16"/>
              </w:rPr>
              <w:t>Citation post-dates inception; Ridgepoint must identify pre-inception facts.</w:t>
            </w:r>
          </w:p>
        </w:tc>
      </w:tr>
      <w:tr>
        <w:tc>
          <w:tcPr>
            <w:tcW w:type="dxa" w:w="360"/>
          </w:tcPr>
          <w:p>
            <w:pPr>
              <w:spacing w:after="20"/>
            </w:pPr>
            <w:r/>
            <w:r>
              <w:rPr>
                <w:b w:val="0"/>
                <w:i w:val="0"/>
                <w:sz w:val="16"/>
              </w:rPr>
              <w:t>7</w:t>
            </w:r>
          </w:p>
        </w:tc>
        <w:tc>
          <w:tcPr>
            <w:tcW w:type="dxa" w:w="1728"/>
          </w:tcPr>
          <w:p>
            <w:pPr>
              <w:spacing w:after="20"/>
            </w:pPr>
            <w:r/>
            <w:r>
              <w:rPr>
                <w:b w:val="0"/>
                <w:i w:val="0"/>
                <w:sz w:val="16"/>
              </w:rPr>
              <w:t>Condition numbering / content</w:t>
            </w:r>
          </w:p>
        </w:tc>
        <w:tc>
          <w:tcPr>
            <w:tcW w:type="dxa" w:w="2520"/>
          </w:tcPr>
          <w:p>
            <w:pPr>
              <w:spacing w:after="20"/>
            </w:pPr>
            <w:r/>
            <w:r>
              <w:rPr>
                <w:b w:val="0"/>
                <w:i w:val="0"/>
                <w:sz w:val="16"/>
              </w:rPr>
              <w:t>Cond. 2.a.(c) sworn proof of loss; Cond. 2.d. cooperation</w:t>
            </w:r>
          </w:p>
        </w:tc>
        <w:tc>
          <w:tcPr>
            <w:tcW w:type="dxa" w:w="2520"/>
          </w:tcPr>
          <w:p>
            <w:pPr>
              <w:spacing w:after="20"/>
            </w:pPr>
            <w:r/>
            <w:r>
              <w:rPr>
                <w:b w:val="0"/>
                <w:i w:val="0"/>
                <w:sz w:val="16"/>
              </w:rPr>
              <w:t>ISO CG 00 01: no proof-of-loss condition; cooperation at 2.c.</w:t>
            </w:r>
          </w:p>
        </w:tc>
        <w:tc>
          <w:tcPr>
            <w:tcW w:type="dxa" w:w="2808"/>
          </w:tcPr>
          <w:p>
            <w:pPr>
              <w:spacing w:after="20"/>
            </w:pPr>
            <w:r/>
            <w:r>
              <w:rPr>
                <w:b w:val="0"/>
                <w:i w:val="0"/>
                <w:sz w:val="16"/>
              </w:rPr>
              <w:t>Possible manuscript conditions or misquotation. Verify.</w:t>
            </w:r>
          </w:p>
        </w:tc>
      </w:tr>
      <w:tr>
        <w:tc>
          <w:tcPr>
            <w:tcW w:type="dxa" w:w="360"/>
          </w:tcPr>
          <w:p>
            <w:pPr>
              <w:spacing w:after="20"/>
            </w:pPr>
            <w:r/>
            <w:r>
              <w:rPr>
                <w:b w:val="0"/>
                <w:i w:val="0"/>
                <w:sz w:val="16"/>
              </w:rPr>
              <w:t>8</w:t>
            </w:r>
          </w:p>
        </w:tc>
        <w:tc>
          <w:tcPr>
            <w:tcW w:type="dxa" w:w="1728"/>
          </w:tcPr>
          <w:p>
            <w:pPr>
              <w:spacing w:after="20"/>
            </w:pPr>
            <w:r/>
            <w:r>
              <w:rPr>
                <w:b w:val="0"/>
                <w:i w:val="0"/>
                <w:sz w:val="16"/>
              </w:rPr>
              <w:t>Additional insured endorsement</w:t>
            </w:r>
          </w:p>
        </w:tc>
        <w:tc>
          <w:tcPr>
            <w:tcW w:type="dxa" w:w="2520"/>
          </w:tcPr>
          <w:p>
            <w:pPr>
              <w:spacing w:after="20"/>
            </w:pPr>
            <w:r/>
            <w:r>
              <w:rPr>
                <w:b w:val="0"/>
                <w:i w:val="0"/>
                <w:sz w:val="16"/>
              </w:rPr>
              <w:t>§IV.I: CG 20 33 confers AI status for Greenleaf’s “ongoing operations” performed for StaffBridge</w:t>
            </w:r>
          </w:p>
        </w:tc>
        <w:tc>
          <w:tcPr>
            <w:tcW w:type="dxa" w:w="2520"/>
          </w:tcPr>
          <w:p>
            <w:pPr>
              <w:spacing w:after="20"/>
            </w:pPr>
            <w:r/>
            <w:r>
              <w:rPr>
                <w:b w:val="0"/>
                <w:i w:val="0"/>
                <w:sz w:val="16"/>
              </w:rPr>
              <w:t>CG 20 33 is a construction-agreement AI form; Greenleaf performs no operations for StaffBridge</w:t>
            </w:r>
          </w:p>
        </w:tc>
        <w:tc>
          <w:tcPr>
            <w:tcW w:type="dxa" w:w="2808"/>
          </w:tcPr>
          <w:p>
            <w:pPr>
              <w:spacing w:after="20"/>
            </w:pPr>
            <w:r/>
            <w:r>
              <w:rPr>
                <w:b w:val="0"/>
                <w:i w:val="0"/>
                <w:sz w:val="16"/>
              </w:rPr>
              <w:t>Ill-fitting endorsement; StaffBridge AI rights uncertain, but any AI claim would share the $5M limit.</w:t>
            </w:r>
          </w:p>
        </w:tc>
      </w:tr>
      <w:tr>
        <w:tc>
          <w:tcPr>
            <w:tcW w:type="dxa" w:w="360"/>
          </w:tcPr>
          <w:p>
            <w:pPr>
              <w:spacing w:after="20"/>
            </w:pPr>
            <w:r/>
            <w:r>
              <w:rPr>
                <w:b w:val="0"/>
                <w:i w:val="0"/>
                <w:sz w:val="16"/>
              </w:rPr>
              <w:t>9</w:t>
            </w:r>
          </w:p>
        </w:tc>
        <w:tc>
          <w:tcPr>
            <w:tcW w:type="dxa" w:w="1728"/>
          </w:tcPr>
          <w:p>
            <w:pPr>
              <w:spacing w:after="20"/>
            </w:pPr>
            <w:r/>
            <w:r>
              <w:rPr>
                <w:b w:val="0"/>
                <w:i w:val="0"/>
                <w:sz w:val="16"/>
              </w:rPr>
              <w:t>Cross-reference error</w:t>
            </w:r>
          </w:p>
        </w:tc>
        <w:tc>
          <w:tcPr>
            <w:tcW w:type="dxa" w:w="2520"/>
          </w:tcPr>
          <w:p>
            <w:pPr>
              <w:spacing w:after="20"/>
            </w:pPr>
            <w:r/>
            <w:r>
              <w:rPr>
                <w:b w:val="0"/>
                <w:i w:val="0"/>
                <w:sz w:val="16"/>
              </w:rPr>
              <w:t>§III.A: issues “addressed in Sections IV.C, V.A, and V.A”</w:t>
            </w:r>
          </w:p>
        </w:tc>
        <w:tc>
          <w:tcPr>
            <w:tcW w:type="dxa" w:w="2520"/>
          </w:tcPr>
          <w:p>
            <w:pPr>
              <w:spacing w:after="20"/>
            </w:pPr>
            <w:r/>
            <w:r>
              <w:rPr>
                <w:b w:val="0"/>
                <w:i w:val="0"/>
                <w:sz w:val="16"/>
              </w:rPr>
              <w:t>Likely intended IV.C, IV.D and V.A/V.B</w:t>
            </w:r>
          </w:p>
        </w:tc>
        <w:tc>
          <w:tcPr>
            <w:tcW w:type="dxa" w:w="2808"/>
          </w:tcPr>
          <w:p>
            <w:pPr>
              <w:spacing w:after="20"/>
            </w:pPr>
            <w:r/>
            <w:r>
              <w:rPr>
                <w:b w:val="0"/>
                <w:i w:val="0"/>
                <w:sz w:val="16"/>
              </w:rPr>
              <w:t>Minor drafting error; supports request that Ridgepoint issue a corrected, consolidated ROR.</w:t>
            </w:r>
          </w:p>
        </w:tc>
      </w:tr>
      <w:tr>
        <w:tc>
          <w:tcPr>
            <w:tcW w:type="dxa" w:w="360"/>
          </w:tcPr>
          <w:p>
            <w:pPr>
              <w:spacing w:after="20"/>
            </w:pPr>
            <w:r/>
            <w:r>
              <w:rPr>
                <w:b w:val="0"/>
                <w:i w:val="0"/>
                <w:sz w:val="16"/>
              </w:rPr>
              <w:t>10</w:t>
            </w:r>
          </w:p>
        </w:tc>
        <w:tc>
          <w:tcPr>
            <w:tcW w:type="dxa" w:w="1728"/>
          </w:tcPr>
          <w:p>
            <w:pPr>
              <w:spacing w:after="20"/>
            </w:pPr>
            <w:r/>
            <w:r>
              <w:rPr>
                <w:b w:val="0"/>
                <w:i w:val="0"/>
                <w:sz w:val="16"/>
              </w:rPr>
              <w:t>Medical payments</w:t>
            </w:r>
          </w:p>
        </w:tc>
        <w:tc>
          <w:tcPr>
            <w:tcW w:type="dxa" w:w="2520"/>
          </w:tcPr>
          <w:p>
            <w:pPr>
              <w:spacing w:after="20"/>
            </w:pPr>
            <w:r/>
            <w:r>
              <w:rPr>
                <w:b w:val="0"/>
                <w:i w:val="0"/>
                <w:sz w:val="16"/>
              </w:rPr>
              <w:t>§I: Coverage C “may be potentially applicable” to the workers</w:t>
            </w:r>
          </w:p>
        </w:tc>
        <w:tc>
          <w:tcPr>
            <w:tcW w:type="dxa" w:w="2520"/>
          </w:tcPr>
          <w:p>
            <w:pPr>
              <w:spacing w:after="20"/>
            </w:pPr>
            <w:r/>
            <w:r>
              <w:rPr>
                <w:b w:val="0"/>
                <w:i w:val="0"/>
                <w:sz w:val="16"/>
              </w:rPr>
              <w:t>Standard Coverage C excludes persons hired to do work for an insured and persons eligible for workers’ compensation</w:t>
            </w:r>
          </w:p>
        </w:tc>
        <w:tc>
          <w:tcPr>
            <w:tcW w:type="dxa" w:w="2808"/>
          </w:tcPr>
          <w:p>
            <w:pPr>
              <w:spacing w:after="20"/>
            </w:pPr>
            <w:r/>
            <w:r>
              <w:rPr>
                <w:b w:val="0"/>
                <w:i w:val="0"/>
                <w:sz w:val="16"/>
              </w:rPr>
              <w:t>Do not rely on Med Pay; ask Ridgepoint to confirm its position.</w:t>
            </w:r>
          </w:p>
        </w:tc>
      </w:tr>
      <w:tr>
        <w:tc>
          <w:tcPr>
            <w:tcW w:type="dxa" w:w="360"/>
          </w:tcPr>
          <w:p>
            <w:pPr>
              <w:spacing w:after="20"/>
            </w:pPr>
            <w:r/>
            <w:r>
              <w:rPr>
                <w:b w:val="0"/>
                <w:i w:val="0"/>
                <w:sz w:val="16"/>
              </w:rPr>
              <w:t>11</w:t>
            </w:r>
          </w:p>
        </w:tc>
        <w:tc>
          <w:tcPr>
            <w:tcW w:type="dxa" w:w="1728"/>
          </w:tcPr>
          <w:p>
            <w:pPr>
              <w:spacing w:after="20"/>
            </w:pPr>
            <w:r/>
            <w:r>
              <w:rPr>
                <w:b w:val="0"/>
                <w:i w:val="0"/>
                <w:sz w:val="16"/>
              </w:rPr>
              <w:t>Buckeye damage description</w:t>
            </w:r>
          </w:p>
        </w:tc>
        <w:tc>
          <w:tcPr>
            <w:tcW w:type="dxa" w:w="2520"/>
          </w:tcPr>
          <w:p>
            <w:pPr>
              <w:spacing w:after="20"/>
            </w:pPr>
            <w:r/>
            <w:r>
              <w:rPr>
                <w:b w:val="0"/>
                <w:i w:val="0"/>
                <w:sz w:val="16"/>
              </w:rPr>
              <w:t>§§II, III.B: loading dock and “adjacent cold-storage infrastructure”; debris “beyond the property line”</w:t>
            </w:r>
          </w:p>
        </w:tc>
        <w:tc>
          <w:tcPr>
            <w:tcW w:type="dxa" w:w="2520"/>
          </w:tcPr>
          <w:p>
            <w:pPr>
              <w:spacing w:after="20"/>
            </w:pPr>
            <w:r/>
            <w:r>
              <w:rPr>
                <w:b w:val="0"/>
                <w:i w:val="0"/>
                <w:sz w:val="16"/>
              </w:rPr>
              <w:t>Demand: east-facing wall breached, two compressors, inventory, relocation; Compl. ¶21: common boundary wall</w:t>
            </w:r>
          </w:p>
        </w:tc>
        <w:tc>
          <w:tcPr>
            <w:tcW w:type="dxa" w:w="2808"/>
          </w:tcPr>
          <w:p>
            <w:pPr>
              <w:spacing w:after="20"/>
            </w:pPr>
            <w:r/>
            <w:r>
              <w:rPr>
                <w:b w:val="0"/>
                <w:i w:val="0"/>
                <w:sz w:val="16"/>
              </w:rPr>
              <w:t>Shared-wall ownership could raise an owned-property issue; ROR does not mention spoilage or relocation categories.</w:t>
            </w:r>
          </w:p>
        </w:tc>
      </w:tr>
      <w:tr>
        <w:tc>
          <w:tcPr>
            <w:tcW w:type="dxa" w:w="360"/>
          </w:tcPr>
          <w:p>
            <w:pPr>
              <w:spacing w:after="20"/>
            </w:pPr>
            <w:r/>
            <w:r>
              <w:rPr>
                <w:b w:val="0"/>
                <w:i w:val="0"/>
                <w:sz w:val="16"/>
              </w:rPr>
              <w:t>12</w:t>
            </w:r>
          </w:p>
        </w:tc>
        <w:tc>
          <w:tcPr>
            <w:tcW w:type="dxa" w:w="1728"/>
          </w:tcPr>
          <w:p>
            <w:pPr>
              <w:spacing w:after="20"/>
            </w:pPr>
            <w:r/>
            <w:r>
              <w:rPr>
                <w:b w:val="0"/>
                <w:i w:val="0"/>
                <w:sz w:val="16"/>
              </w:rPr>
              <w:t>Information request 7</w:t>
            </w:r>
          </w:p>
        </w:tc>
        <w:tc>
          <w:tcPr>
            <w:tcW w:type="dxa" w:w="2520"/>
          </w:tcPr>
          <w:p>
            <w:pPr>
              <w:spacing w:after="20"/>
            </w:pPr>
            <w:r/>
            <w:r>
              <w:rPr>
                <w:b w:val="0"/>
                <w:i w:val="0"/>
                <w:sz w:val="16"/>
              </w:rPr>
              <w:t>Requests copies of demands including the Feb. 10, 2025 Buckeye letter</w:t>
            </w:r>
          </w:p>
        </w:tc>
        <w:tc>
          <w:tcPr>
            <w:tcW w:type="dxa" w:w="2520"/>
          </w:tcPr>
          <w:p>
            <w:pPr>
              <w:spacing w:after="20"/>
            </w:pPr>
            <w:r/>
            <w:r>
              <w:rPr>
                <w:b w:val="0"/>
                <w:i w:val="0"/>
                <w:sz w:val="16"/>
              </w:rPr>
              <w:t>ROR §III.B already summarizes that letter</w:t>
            </w:r>
          </w:p>
        </w:tc>
        <w:tc>
          <w:tcPr>
            <w:tcW w:type="dxa" w:w="2808"/>
          </w:tcPr>
          <w:p>
            <w:pPr>
              <w:spacing w:after="20"/>
            </w:pPr>
            <w:r/>
            <w:r>
              <w:rPr>
                <w:b w:val="0"/>
                <w:i w:val="0"/>
                <w:sz w:val="16"/>
              </w:rPr>
              <w:t>Re-tender the Buckeye demand and complaint formally with a transmittal letter to foreclose any “forward legal papers” argument.</w:t>
            </w:r>
          </w:p>
        </w:tc>
      </w:tr>
    </w:tbl>
    <w:p>
      <w:pPr>
        <w:spacing w:after="40"/>
      </w:pPr>
    </w:p>
    <w:p>
      <w:pPr>
        <w:pStyle w:val="Heading1"/>
      </w:pPr>
      <w:r>
        <w:t>7. What the ROR Does Not Say</w:t>
      </w:r>
    </w:p>
    <w:p>
      <w:r>
        <w:rPr>
          <w:b/>
          <w:i w:val="0"/>
          <w:sz w:val="20"/>
        </w:rPr>
        <w:t>Favorable to Greenleaf (hold Ridgepoint to these):</w:t>
      </w:r>
    </w:p>
    <w:p>
      <w:pPr>
        <w:pStyle w:val="ListBullet"/>
        <w:spacing w:after="40"/>
      </w:pPr>
      <w:r>
        <w:rPr>
          <w:b w:val="0"/>
          <w:i w:val="0"/>
        </w:rPr>
        <w:t xml:space="preserve">No reservation of a right to </w:t>
      </w:r>
      <w:r>
        <w:rPr>
          <w:b/>
          <w:i w:val="0"/>
        </w:rPr>
        <w:t>reimbursement/recoupment of defense costs</w:t>
      </w:r>
      <w:r>
        <w:rPr>
          <w:b w:val="0"/>
          <w:i w:val="0"/>
        </w:rPr>
        <w:t xml:space="preserve"> or settlement payments. Greenleaf should object in advance to any later attempt to add one.</w:t>
      </w:r>
    </w:p>
    <w:p>
      <w:pPr>
        <w:pStyle w:val="ListBullet"/>
        <w:spacing w:after="40"/>
      </w:pPr>
      <w:r>
        <w:rPr>
          <w:b w:val="0"/>
          <w:i w:val="0"/>
        </w:rPr>
        <w:t xml:space="preserve">No reservation on </w:t>
      </w:r>
      <w:r>
        <w:rPr>
          <w:b/>
          <w:i w:val="0"/>
        </w:rPr>
        <w:t>number of occurrences</w:t>
      </w:r>
      <w:r>
        <w:rPr>
          <w:b w:val="0"/>
          <w:i w:val="0"/>
        </w:rPr>
        <w:t xml:space="preserve"> or allocation; Ridgepoint treats the explosion as a single occurrence (one SIR, one limit) and the date of loss as within the policy period.</w:t>
      </w:r>
    </w:p>
    <w:p>
      <w:pPr>
        <w:pStyle w:val="ListBullet"/>
        <w:spacing w:after="40"/>
      </w:pPr>
      <w:r>
        <w:rPr>
          <w:b w:val="0"/>
          <w:i w:val="0"/>
        </w:rPr>
        <w:t>No premium, cancellation, or trigger defense; premium confirmed paid (§I).</w:t>
      </w:r>
    </w:p>
    <w:p>
      <w:pPr>
        <w:pStyle w:val="ListBullet"/>
        <w:spacing w:after="40"/>
      </w:pPr>
      <w:r>
        <w:rPr>
          <w:b w:val="0"/>
          <w:i w:val="0"/>
        </w:rPr>
        <w:t>No reliance on the standard ISO workers’ compensation (d.) or employer’s liability (e.) exclusions, and no reliance on the expected/intended exclusion for the negligence counts.</w:t>
      </w:r>
    </w:p>
    <w:p>
      <w:pPr>
        <w:pStyle w:val="ListBullet"/>
        <w:spacing w:after="40"/>
      </w:pPr>
      <w:r>
        <w:rPr>
          <w:b w:val="0"/>
          <w:i w:val="0"/>
        </w:rPr>
        <w:t>No reservation that Greenleaf Precision Components, LLC lacks coverage, and no misrepresentation/rescission theory (though the general reservation purports to cover unstated defenses).</w:t>
      </w:r>
    </w:p>
    <w:p>
      <w:pPr>
        <w:pStyle w:val="ListBullet"/>
        <w:spacing w:after="40"/>
      </w:pPr>
      <w:r>
        <w:rPr>
          <w:b w:val="0"/>
          <w:i w:val="0"/>
        </w:rPr>
        <w:t>Ridgepoint has expressly not denied coverage and has undertaken the defense; it acknowledges the waiver of subrogation against StaffBridge (CG 24 04).</w:t>
      </w:r>
    </w:p>
    <w:p>
      <w:r>
        <w:rPr>
          <w:b/>
          <w:i w:val="0"/>
          <w:sz w:val="20"/>
        </w:rPr>
        <w:t>Gaps that hurt Greenleaf or require follow-up:</w:t>
      </w:r>
    </w:p>
    <w:p>
      <w:pPr>
        <w:pStyle w:val="ListBullet"/>
        <w:spacing w:after="40"/>
      </w:pPr>
      <w:r>
        <w:rPr>
          <w:b/>
          <w:i w:val="0"/>
        </w:rPr>
        <w:t>Buckeye handling</w:t>
      </w:r>
      <w:r>
        <w:rPr>
          <w:b w:val="0"/>
          <w:i w:val="0"/>
        </w:rPr>
        <w:t>: no statement whether Ridgepoint will respond to, investigate, or settle the Buckeye demand, despite Buckeye’s 30-day deadline and threat of suit.</w:t>
      </w:r>
    </w:p>
    <w:p>
      <w:pPr>
        <w:pStyle w:val="ListBullet"/>
        <w:spacing w:after="40"/>
      </w:pPr>
      <w:r>
        <w:rPr>
          <w:b/>
          <w:i w:val="0"/>
        </w:rPr>
        <w:t>Settlement within limits</w:t>
      </w:r>
      <w:r>
        <w:rPr>
          <w:b w:val="0"/>
          <w:i w:val="0"/>
        </w:rPr>
        <w:t>: no commitment to evaluate settlement opportunities within the $5M limit; with $39.85M of demands, Greenleaf should put Ridgepoint on notice that it expects good-faith consideration of any within-limits opportunity and will hold Ridgepoint responsible for an excess verdict caused by an unreasonable refusal.</w:t>
      </w:r>
    </w:p>
    <w:p>
      <w:pPr>
        <w:pStyle w:val="ListBullet"/>
        <w:spacing w:after="40"/>
      </w:pPr>
      <w:r>
        <w:rPr>
          <w:b/>
          <w:i w:val="0"/>
        </w:rPr>
        <w:t>Independent counsel / conflicts</w:t>
      </w:r>
      <w:r>
        <w:rPr>
          <w:b w:val="0"/>
          <w:i w:val="0"/>
        </w:rPr>
        <w:t>: silent on the conflicts created by the known-loss and intentional-tort reservations and on the limits of panel counsel’s reporting to Ridgepoint.</w:t>
      </w:r>
    </w:p>
    <w:p>
      <w:pPr>
        <w:pStyle w:val="ListBullet"/>
        <w:spacing w:after="40"/>
      </w:pPr>
      <w:r>
        <w:rPr>
          <w:b/>
          <w:i w:val="0"/>
        </w:rPr>
        <w:t>Excess/umbrella and stop-gap coverage</w:t>
      </w:r>
      <w:r>
        <w:rPr>
          <w:b w:val="0"/>
          <w:i w:val="0"/>
        </w:rPr>
        <w:t>: not mentioned; Greenleaf must locate and notice these itself.</w:t>
      </w:r>
    </w:p>
    <w:p>
      <w:pPr>
        <w:pStyle w:val="ListBullet"/>
        <w:spacing w:after="40"/>
      </w:pPr>
      <w:r>
        <w:rPr>
          <w:b/>
          <w:i w:val="0"/>
        </w:rPr>
        <w:t>Answer deadline</w:t>
      </w:r>
      <w:r>
        <w:rPr>
          <w:b w:val="0"/>
          <w:i w:val="0"/>
        </w:rPr>
        <w:t>: no commitment that Hargrove will answer or obtain an extension by the Civ.R. 12(A) date.</w:t>
      </w:r>
    </w:p>
    <w:p>
      <w:pPr>
        <w:pStyle w:val="ListBullet"/>
        <w:spacing w:after="40"/>
      </w:pPr>
      <w:r>
        <w:rPr>
          <w:b/>
          <w:i w:val="0"/>
        </w:rPr>
        <w:t>Thornburg scope</w:t>
      </w:r>
      <w:r>
        <w:rPr>
          <w:b w:val="0"/>
          <w:i w:val="0"/>
        </w:rPr>
        <w:t>: no description of Thornburg’s mandate, evidence-handling protocol, or whether destructive testing of the accumulator is contemplated (Buckeye has issued a preservation demand; plaintiffs will expect one).</w:t>
      </w:r>
    </w:p>
    <w:p>
      <w:pPr>
        <w:pStyle w:val="ListBullet"/>
        <w:spacing w:after="40"/>
      </w:pPr>
      <w:r>
        <w:rPr>
          <w:b/>
          <w:i w:val="0"/>
        </w:rPr>
        <w:t>Business-interruption growth</w:t>
      </w:r>
      <w:r>
        <w:rPr>
          <w:b w:val="0"/>
          <w:i w:val="0"/>
        </w:rPr>
        <w:t>: Buckeye has signaled additional business-interruption losses; the ROR treats the claim as fixed at $1.35M.</w:t>
      </w:r>
    </w:p>
    <w:p>
      <w:pPr>
        <w:pStyle w:val="Heading1"/>
      </w:pPr>
      <w:r>
        <w:t>8. Responses to the General Counsel’s Specific Questions</w:t>
      </w:r>
    </w:p>
    <w:p>
      <w:pPr>
        <w:spacing w:after="40"/>
      </w:pPr>
      <w:r>
        <w:rPr>
          <w:b/>
          <w:i w:val="0"/>
          <w:sz w:val="20"/>
        </w:rPr>
        <w:t>Q1. Is the proof-of-loss deadline 60 days (March 15) or 90 days (April 14)? Should we respond now?</w:t>
      </w:r>
    </w:p>
    <w:p>
      <w:r>
        <w:rPr>
          <w:b w:val="0"/>
          <w:i w:val="0"/>
          <w:sz w:val="19"/>
        </w:rPr>
        <w:t xml:space="preserve">The 90-day period quoted from Condition 2.a.(c) appears correct, giving </w:t>
      </w:r>
      <w:r>
        <w:rPr>
          <w:b/>
          <w:i w:val="0"/>
          <w:sz w:val="19"/>
        </w:rPr>
        <w:t>Monday, April 14, 2025</w:t>
      </w:r>
      <w:r>
        <w:rPr>
          <w:b w:val="0"/>
          <w:i w:val="0"/>
          <w:sz w:val="19"/>
        </w:rPr>
        <w:t xml:space="preserve">. The 60-day statement on page 11 and in §VII contradicts the ROR’s own quotation and appears to be an error (subject to confirming the certified Policy, given the form-edition discrepancy). </w:t>
      </w:r>
      <w:r>
        <w:rPr>
          <w:b/>
          <w:i w:val="0"/>
          <w:sz w:val="19"/>
        </w:rPr>
        <w:t>Yes — respond in writing immediately</w:t>
      </w:r>
      <w:r>
        <w:rPr>
          <w:b w:val="0"/>
          <w:i w:val="0"/>
          <w:sz w:val="19"/>
        </w:rPr>
        <w:t xml:space="preserve"> (by March 12), identify the contradiction, ask Ridgepoint to confirm April 14 and disclaim any forfeiture argument, and object that a sworn proof of loss is not a meaningful condition for third-party liability claims. Because the cost is low, also serve a protective sworn statement by </w:t>
      </w:r>
      <w:r>
        <w:rPr>
          <w:b/>
          <w:i w:val="0"/>
          <w:sz w:val="19"/>
        </w:rPr>
        <w:t>Friday, March 14</w:t>
      </w:r>
      <w:r>
        <w:rPr>
          <w:b w:val="0"/>
          <w:i w:val="0"/>
          <w:sz w:val="19"/>
        </w:rPr>
        <w:t xml:space="preserve"> under reservation, and supplement by April 14.</w:t>
      </w:r>
    </w:p>
    <w:p>
      <w:pPr>
        <w:spacing w:after="40"/>
      </w:pPr>
      <w:r>
        <w:rPr>
          <w:b/>
          <w:i w:val="0"/>
          <w:sz w:val="20"/>
        </w:rPr>
        <w:t>Q2. Are they defending us or not, and have they waived the SIR?</w:t>
      </w:r>
    </w:p>
    <w:p>
      <w:r>
        <w:rPr>
          <w:b w:val="0"/>
          <w:i w:val="0"/>
          <w:sz w:val="19"/>
        </w:rPr>
        <w:t xml:space="preserve">Ridgepoint is currently undertaking the defense of Espinoza under reservation, through counsel it chose, even though by its own reading the duty to defend has not yet triggered. That is internally inconsistent. It does not automatically waive the SIR (Ohio courts are reluctant to create coverage by waiver), but it gives Greenleaf a strong argument that Ridgepoint has elected to assume the defense and should fund it, and that Ridgepoint cannot both control the defense and charge pre-exhaustion defense costs to Greenleaf. Demand a written answer on funding, SIR credit and control (see §5.9). </w:t>
      </w:r>
      <w:r>
        <w:rPr>
          <w:b/>
          <w:i w:val="0"/>
          <w:sz w:val="19"/>
        </w:rPr>
        <w:t>Do not let the answer date slip while this is resolved</w:t>
      </w:r>
      <w:r>
        <w:rPr>
          <w:b w:val="0"/>
          <w:i w:val="0"/>
          <w:sz w:val="19"/>
        </w:rPr>
        <w:t xml:space="preserve">: require Hargrove to confirm an appearance/extension by March 14, and be prepared to have Greenleaf’s own counsel file a protective motion for leave to plead before </w:t>
      </w:r>
      <w:r>
        <w:rPr>
          <w:b/>
          <w:i w:val="0"/>
          <w:sz w:val="19"/>
        </w:rPr>
        <w:t>March 21, 2025</w:t>
      </w:r>
      <w:r>
        <w:rPr>
          <w:b w:val="0"/>
          <w:i w:val="0"/>
          <w:sz w:val="19"/>
        </w:rPr>
        <w:t xml:space="preserve"> (conservative).</w:t>
      </w:r>
    </w:p>
    <w:p>
      <w:pPr>
        <w:spacing w:after="40"/>
      </w:pPr>
      <w:r>
        <w:rPr>
          <w:b/>
          <w:i w:val="0"/>
          <w:sz w:val="20"/>
        </w:rPr>
        <w:t>Q3. Which defenses have real teeth?</w:t>
      </w:r>
    </w:p>
    <w:p>
      <w:r>
        <w:rPr>
          <w:b w:val="0"/>
          <w:i w:val="0"/>
          <w:sz w:val="19"/>
        </w:rPr>
        <w:t>Real teeth: (1) Employer’s Liability Exclusion RCI-EXCL-2024-011 — the dominant risk, potentially removing the entire Espinoza suit from coverage; (2) punitive damages — uninsurable by statute; (3) expected/intended injury for any Count Four judgment; (4) contractual liability for StaffBridge indemnity (if tendered). Fact-dependent: known loss — weak on the present chronology, but the highest-impact defense if pre-July 2024 knowledge is shown. Kitchen sink: late notice; pollution (except smoke inhalation and smoke/soot spoilage); proof of loss; the general reservation.</w:t>
      </w:r>
    </w:p>
    <w:p>
      <w:pPr>
        <w:spacing w:after="40"/>
      </w:pPr>
      <w:r>
        <w:rPr>
          <w:b/>
          <w:i w:val="0"/>
          <w:sz w:val="20"/>
        </w:rPr>
        <w:t>Q4. Where do we stand on the $39.85M vs. $5M gap (for Harold)?</w:t>
      </w:r>
    </w:p>
    <w:p>
      <w:r>
        <w:rPr>
          <w:b w:val="0"/>
          <w:i w:val="0"/>
          <w:sz w:val="19"/>
        </w:rPr>
        <w:t>Under this Policy, the best realistic case is $5M of indemnity after a $250K SIR, leaving ~$34.85M of the face demands with Greenleaf; the most likely case on current facts is ~$1.1M of indemnity (Buckeye only) if the employer’s liability exclusion holds. Demands are not valuations, and the punitive claim ($12M) is uninsured in all scenarios. The practical message: (a) locate and notice umbrella/excess and stop-gap employer’s liability coverage now; (b) pursue StaffBridge and its insurers and potential third parties (accumulator manufacturer, maintenance vendors); (c) treat the defense as Greenleaf’s own case, with coverage counsel engaged alongside panel counsel; and (d) evaluate early resolution of Buckeye (the covered piece) with Ridgepoint’s consent, which may also exhaust the SIR.</w:t>
      </w:r>
    </w:p>
    <w:p>
      <w:pPr>
        <w:spacing w:after="40"/>
      </w:pPr>
      <w:r>
        <w:rPr>
          <w:b/>
          <w:i w:val="0"/>
          <w:sz w:val="20"/>
        </w:rPr>
        <w:t>Q5. Is April 7, 2025 the information-request deadline?</w:t>
      </w:r>
    </w:p>
    <w:p>
      <w:r>
        <w:rPr>
          <w:b w:val="0"/>
          <w:i w:val="0"/>
          <w:sz w:val="19"/>
        </w:rPr>
        <w:t xml:space="preserve">Yes. The ROR requires responses within 30 calendar days of receipt; Ridgepoint’s records and Greenleaf’s confirm receipt on Saturday, March 8, 2025; March 8 + 30 days = </w:t>
      </w:r>
      <w:r>
        <w:rPr>
          <w:b/>
          <w:i w:val="0"/>
          <w:sz w:val="19"/>
        </w:rPr>
        <w:t>Monday, April 7, 2025</w:t>
      </w:r>
      <w:r>
        <w:rPr>
          <w:b w:val="0"/>
          <w:i w:val="0"/>
          <w:sz w:val="19"/>
        </w:rPr>
        <w:t>. Build the compliance timeline to that date (tracker in §9); a rolling production with a cover letter is advisable.</w:t>
      </w:r>
    </w:p>
    <w:p>
      <w:pPr>
        <w:spacing w:after="40"/>
      </w:pPr>
      <w:r>
        <w:rPr>
          <w:b/>
          <w:i w:val="0"/>
          <w:sz w:val="20"/>
        </w:rPr>
        <w:t>Q6. Does Thornburg create cooperation obligations or privilege/work-product concerns?</w:t>
      </w:r>
    </w:p>
    <w:p>
      <w:r>
        <w:rPr>
          <w:b w:val="0"/>
          <w:i w:val="0"/>
          <w:sz w:val="19"/>
        </w:rPr>
        <w:t xml:space="preserve">Cooperation: Greenleaf must reasonably cooperate, including reasonable facility access and making personnel available, and an unreasonable refusal risks a cooperation defense. But Thornburg is Ridgepoint’s coverage investigator, and its work will be aimed at the known-loss, intentional-tort and pollution reservations. Privilege: communications with Thornburg are not privileged, and Thornburg’s findings and interview notes are likely discoverable by the Espinoza plaintiffs, Buckeye, and potentially OSHA. Statements by Greenleaf personnel to Thornburg may be used against Greenleaf on both liability and coverage. </w:t>
      </w:r>
      <w:r>
        <w:rPr>
          <w:b/>
          <w:i w:val="0"/>
          <w:sz w:val="19"/>
        </w:rPr>
        <w:t>Recommended protocol:</w:t>
      </w:r>
      <w:r>
        <w:rPr>
          <w:b w:val="0"/>
          <w:i w:val="0"/>
          <w:sz w:val="19"/>
        </w:rPr>
        <w:t xml:space="preserve"> (1) written access requests with scheduled, counsel-attended site visits; (2) a joint evidence-preservation and testing protocol with notice to all interested parties before any destructive testing of the accumulator (Buckeye has already served a preservation demand; spoliation risk is real); (3) employee interviews only with Greenleaf counsel present, limited to facts, and no recorded or sworn statements without counsel review; (4) Greenleaf retains its own forensic engineer through counsel (work product, anticipation of litigation); (5) ask Ridgepoint to confirm whether Thornburg reports to defense counsel or to coverage counsel, and that defense counsel will not share privileged defense information with Ridgepoint’s coverage team; (6) produce documents under a confidentiality agreement with a privilege log.</w:t>
      </w:r>
    </w:p>
    <w:p>
      <w:pPr>
        <w:pStyle w:val="Heading1"/>
      </w:pPr>
      <w:r>
        <w:t>9. Information Request Tracker (ROR §VI — due Monday, April 7, 2025)</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360"/>
            <w:shd w:val="clear" w:color="auto" w:fill="1F3A5F"/>
          </w:tcPr>
          <w:p>
            <w:r/>
            <w:r>
              <w:rPr>
                <w:b/>
                <w:i w:val="0"/>
                <w:color w:val="FFFFFF"/>
                <w:sz w:val="16"/>
              </w:rPr>
              <w:t>#</w:t>
            </w:r>
          </w:p>
        </w:tc>
        <w:tc>
          <w:tcPr>
            <w:tcW w:type="dxa" w:w="3456"/>
            <w:shd w:val="clear" w:color="auto" w:fill="1F3A5F"/>
          </w:tcPr>
          <w:p>
            <w:r/>
            <w:r>
              <w:rPr>
                <w:b/>
                <w:i w:val="0"/>
                <w:color w:val="FFFFFF"/>
                <w:sz w:val="16"/>
              </w:rPr>
              <w:t>Request</w:t>
            </w:r>
          </w:p>
        </w:tc>
        <w:tc>
          <w:tcPr>
            <w:tcW w:type="dxa" w:w="2880"/>
            <w:shd w:val="clear" w:color="auto" w:fill="1F3A5F"/>
          </w:tcPr>
          <w:p>
            <w:r/>
            <w:r>
              <w:rPr>
                <w:b/>
                <w:i w:val="0"/>
                <w:color w:val="FFFFFF"/>
                <w:sz w:val="16"/>
              </w:rPr>
              <w:t>Coverage sensitivity</w:t>
            </w:r>
          </w:p>
        </w:tc>
        <w:tc>
          <w:tcPr>
            <w:tcW w:type="dxa" w:w="3240"/>
            <w:shd w:val="clear" w:color="auto" w:fill="1F3A5F"/>
          </w:tcPr>
          <w:p>
            <w:r/>
            <w:r>
              <w:rPr>
                <w:b/>
                <w:i w:val="0"/>
                <w:color w:val="FFFFFF"/>
                <w:sz w:val="16"/>
              </w:rPr>
              <w:t>Handling</w:t>
            </w:r>
          </w:p>
        </w:tc>
      </w:tr>
      <w:tr>
        <w:tc>
          <w:tcPr>
            <w:tcW w:type="dxa" w:w="360"/>
          </w:tcPr>
          <w:p>
            <w:pPr>
              <w:spacing w:after="20"/>
            </w:pPr>
            <w:r/>
            <w:r>
              <w:rPr>
                <w:b w:val="0"/>
                <w:i w:val="0"/>
                <w:sz w:val="16"/>
              </w:rPr>
              <w:t>1</w:t>
            </w:r>
          </w:p>
        </w:tc>
        <w:tc>
          <w:tcPr>
            <w:tcW w:type="dxa" w:w="3456"/>
          </w:tcPr>
          <w:p>
            <w:pPr>
              <w:spacing w:after="20"/>
            </w:pPr>
            <w:r/>
            <w:r>
              <w:rPr>
                <w:b w:val="0"/>
                <w:i w:val="0"/>
                <w:sz w:val="16"/>
              </w:rPr>
              <w:t>Line 7 accumulator maintenance records, Jan. 1, 2022 – Jan. 14, 2025 (PM schedules, work orders, inspection logs, repairs)</w:t>
            </w:r>
          </w:p>
        </w:tc>
        <w:tc>
          <w:tcPr>
            <w:tcW w:type="dxa" w:w="2880"/>
          </w:tcPr>
          <w:p>
            <w:pPr>
              <w:spacing w:after="20"/>
            </w:pPr>
            <w:r/>
            <w:r>
              <w:rPr>
                <w:b/>
                <w:i w:val="0"/>
                <w:sz w:val="16"/>
              </w:rPr>
              <w:t>High</w:t>
            </w:r>
            <w:r>
              <w:rPr>
                <w:b w:val="0"/>
                <w:i w:val="0"/>
                <w:sz w:val="16"/>
              </w:rPr>
              <w:t xml:space="preserve"> — core of known-loss and intentional-tort theories (Compl. ¶¶78–79)</w:t>
            </w:r>
          </w:p>
        </w:tc>
        <w:tc>
          <w:tcPr>
            <w:tcW w:type="dxa" w:w="3240"/>
          </w:tcPr>
          <w:p>
            <w:pPr>
              <w:spacing w:after="20"/>
            </w:pPr>
            <w:r/>
            <w:r>
              <w:rPr>
                <w:b w:val="0"/>
                <w:i w:val="0"/>
                <w:sz w:val="16"/>
              </w:rPr>
              <w:t>Privileged counsel review first; produce non-privileged business records; preserve originals.</w:t>
            </w:r>
          </w:p>
        </w:tc>
      </w:tr>
      <w:tr>
        <w:tc>
          <w:tcPr>
            <w:tcW w:type="dxa" w:w="360"/>
          </w:tcPr>
          <w:p>
            <w:pPr>
              <w:spacing w:after="20"/>
            </w:pPr>
            <w:r/>
            <w:r>
              <w:rPr>
                <w:b w:val="0"/>
                <w:i w:val="0"/>
                <w:sz w:val="16"/>
              </w:rPr>
              <w:t>2</w:t>
            </w:r>
          </w:p>
        </w:tc>
        <w:tc>
          <w:tcPr>
            <w:tcW w:type="dxa" w:w="3456"/>
          </w:tcPr>
          <w:p>
            <w:pPr>
              <w:spacing w:after="20"/>
            </w:pPr>
            <w:r/>
            <w:r>
              <w:rPr>
                <w:b w:val="0"/>
                <w:i w:val="0"/>
                <w:sz w:val="16"/>
              </w:rPr>
              <w:t>OSHA citations, inspection reports, abatement certifications and correspondence, Jan. 1, 2020 – present (incl. OSHA-2024-0891, No. 1734982)</w:t>
            </w:r>
          </w:p>
        </w:tc>
        <w:tc>
          <w:tcPr>
            <w:tcW w:type="dxa" w:w="2880"/>
          </w:tcPr>
          <w:p>
            <w:pPr>
              <w:spacing w:after="20"/>
            </w:pPr>
            <w:r/>
            <w:r>
              <w:rPr>
                <w:b/>
                <w:i w:val="0"/>
                <w:sz w:val="16"/>
              </w:rPr>
              <w:t>High</w:t>
            </w:r>
            <w:r>
              <w:rPr>
                <w:b w:val="0"/>
                <w:i w:val="0"/>
                <w:sz w:val="16"/>
              </w:rPr>
              <w:t xml:space="preserve"> — establishes inspection start date and pre-inception knowledge</w:t>
            </w:r>
          </w:p>
        </w:tc>
        <w:tc>
          <w:tcPr>
            <w:tcW w:type="dxa" w:w="3240"/>
          </w:tcPr>
          <w:p>
            <w:pPr>
              <w:spacing w:after="20"/>
            </w:pPr>
            <w:r/>
            <w:r>
              <w:rPr>
                <w:b w:val="0"/>
                <w:i w:val="0"/>
                <w:sz w:val="16"/>
              </w:rPr>
              <w:t>Produce public/regulatory records; confirm abatement history before production.</w:t>
            </w:r>
          </w:p>
        </w:tc>
      </w:tr>
      <w:tr>
        <w:tc>
          <w:tcPr>
            <w:tcW w:type="dxa" w:w="360"/>
          </w:tcPr>
          <w:p>
            <w:pPr>
              <w:spacing w:after="20"/>
            </w:pPr>
            <w:r/>
            <w:r>
              <w:rPr>
                <w:b w:val="0"/>
                <w:i w:val="0"/>
                <w:sz w:val="16"/>
              </w:rPr>
              <w:t>3</w:t>
            </w:r>
          </w:p>
        </w:tc>
        <w:tc>
          <w:tcPr>
            <w:tcW w:type="dxa" w:w="3456"/>
          </w:tcPr>
          <w:p>
            <w:pPr>
              <w:spacing w:after="20"/>
            </w:pPr>
            <w:r/>
            <w:r>
              <w:rPr>
                <w:b w:val="0"/>
                <w:i w:val="0"/>
                <w:sz w:val="16"/>
              </w:rPr>
              <w:t>Complete MSA with StaffBridge (Mar. 1, 2023) with amendments and exhibits</w:t>
            </w:r>
          </w:p>
        </w:tc>
        <w:tc>
          <w:tcPr>
            <w:tcW w:type="dxa" w:w="2880"/>
          </w:tcPr>
          <w:p>
            <w:pPr>
              <w:spacing w:after="20"/>
            </w:pPr>
            <w:r/>
            <w:r>
              <w:rPr>
                <w:b w:val="0"/>
                <w:i w:val="0"/>
                <w:sz w:val="16"/>
              </w:rPr>
              <w:t>Medium — CG 21 39 issue; also may contain StaffBridge indemnity/insurance obligations favoring Greenleaf</w:t>
            </w:r>
          </w:p>
        </w:tc>
        <w:tc>
          <w:tcPr>
            <w:tcW w:type="dxa" w:w="3240"/>
          </w:tcPr>
          <w:p>
            <w:pPr>
              <w:spacing w:after="20"/>
            </w:pPr>
            <w:r/>
            <w:r>
              <w:rPr>
                <w:b w:val="0"/>
                <w:i w:val="0"/>
                <w:sz w:val="16"/>
              </w:rPr>
              <w:t>Produce; review first for StaffBridge insurance and indemnity obligations.</w:t>
            </w:r>
          </w:p>
        </w:tc>
      </w:tr>
      <w:tr>
        <w:tc>
          <w:tcPr>
            <w:tcW w:type="dxa" w:w="360"/>
          </w:tcPr>
          <w:p>
            <w:pPr>
              <w:spacing w:after="20"/>
            </w:pPr>
            <w:r/>
            <w:r>
              <w:rPr>
                <w:b w:val="0"/>
                <w:i w:val="0"/>
                <w:sz w:val="16"/>
              </w:rPr>
              <w:t>4</w:t>
            </w:r>
          </w:p>
        </w:tc>
        <w:tc>
          <w:tcPr>
            <w:tcW w:type="dxa" w:w="3456"/>
          </w:tcPr>
          <w:p>
            <w:pPr>
              <w:spacing w:after="20"/>
            </w:pPr>
            <w:r/>
            <w:r>
              <w:rPr>
                <w:b w:val="0"/>
                <w:i w:val="0"/>
                <w:sz w:val="16"/>
              </w:rPr>
              <w:t>Incident reports, internal investigations, root-cause analyses, witness statements</w:t>
            </w:r>
          </w:p>
        </w:tc>
        <w:tc>
          <w:tcPr>
            <w:tcW w:type="dxa" w:w="2880"/>
          </w:tcPr>
          <w:p>
            <w:pPr>
              <w:spacing w:after="20"/>
            </w:pPr>
            <w:r/>
            <w:r>
              <w:rPr>
                <w:b/>
                <w:i w:val="0"/>
                <w:sz w:val="16"/>
              </w:rPr>
              <w:t>High</w:t>
            </w:r>
          </w:p>
        </w:tc>
        <w:tc>
          <w:tcPr>
            <w:tcW w:type="dxa" w:w="3240"/>
          </w:tcPr>
          <w:p>
            <w:pPr>
              <w:spacing w:after="20"/>
            </w:pPr>
            <w:r/>
            <w:r>
              <w:rPr>
                <w:b w:val="0"/>
                <w:i w:val="0"/>
                <w:sz w:val="16"/>
              </w:rPr>
              <w:t>Withhold privileged/work-product materials prepared at counsel’s direction; log them.</w:t>
            </w:r>
          </w:p>
        </w:tc>
      </w:tr>
      <w:tr>
        <w:tc>
          <w:tcPr>
            <w:tcW w:type="dxa" w:w="360"/>
          </w:tcPr>
          <w:p>
            <w:pPr>
              <w:spacing w:after="20"/>
            </w:pPr>
            <w:r/>
            <w:r>
              <w:rPr>
                <w:b w:val="0"/>
                <w:i w:val="0"/>
                <w:sz w:val="16"/>
              </w:rPr>
              <w:t>5</w:t>
            </w:r>
          </w:p>
        </w:tc>
        <w:tc>
          <w:tcPr>
            <w:tcW w:type="dxa" w:w="3456"/>
          </w:tcPr>
          <w:p>
            <w:pPr>
              <w:spacing w:after="20"/>
            </w:pPr>
            <w:r/>
            <w:r>
              <w:rPr>
                <w:b w:val="0"/>
                <w:i w:val="0"/>
                <w:sz w:val="16"/>
              </w:rPr>
              <w:t>All communications with OSHA re Investigation No. 1734982</w:t>
            </w:r>
          </w:p>
        </w:tc>
        <w:tc>
          <w:tcPr>
            <w:tcW w:type="dxa" w:w="2880"/>
          </w:tcPr>
          <w:p>
            <w:pPr>
              <w:spacing w:after="20"/>
            </w:pPr>
            <w:r/>
            <w:r>
              <w:rPr>
                <w:b w:val="0"/>
                <w:i w:val="0"/>
                <w:sz w:val="16"/>
              </w:rPr>
              <w:t>High</w:t>
            </w:r>
          </w:p>
        </w:tc>
        <w:tc>
          <w:tcPr>
            <w:tcW w:type="dxa" w:w="3240"/>
          </w:tcPr>
          <w:p>
            <w:pPr>
              <w:spacing w:after="20"/>
            </w:pPr>
            <w:r/>
            <w:r>
              <w:rPr>
                <w:b w:val="0"/>
                <w:i w:val="0"/>
                <w:sz w:val="16"/>
              </w:rPr>
              <w:t>Produce non-privileged communications; coordinate with OSHA counsel.</w:t>
            </w:r>
          </w:p>
        </w:tc>
      </w:tr>
      <w:tr>
        <w:tc>
          <w:tcPr>
            <w:tcW w:type="dxa" w:w="360"/>
          </w:tcPr>
          <w:p>
            <w:pPr>
              <w:spacing w:after="20"/>
            </w:pPr>
            <w:r/>
            <w:r>
              <w:rPr>
                <w:b w:val="0"/>
                <w:i w:val="0"/>
                <w:sz w:val="16"/>
              </w:rPr>
              <w:t>6</w:t>
            </w:r>
          </w:p>
        </w:tc>
        <w:tc>
          <w:tcPr>
            <w:tcW w:type="dxa" w:w="3456"/>
          </w:tcPr>
          <w:p>
            <w:pPr>
              <w:spacing w:after="20"/>
            </w:pPr>
            <w:r/>
            <w:r>
              <w:rPr>
                <w:b w:val="0"/>
                <w:i w:val="0"/>
                <w:sz w:val="16"/>
              </w:rPr>
              <w:t>Costs incurred to date, including amounts applied to the SIR</w:t>
            </w:r>
          </w:p>
        </w:tc>
        <w:tc>
          <w:tcPr>
            <w:tcW w:type="dxa" w:w="2880"/>
          </w:tcPr>
          <w:p>
            <w:pPr>
              <w:spacing w:after="20"/>
            </w:pPr>
            <w:r/>
            <w:r>
              <w:rPr>
                <w:b w:val="0"/>
                <w:i w:val="0"/>
                <w:sz w:val="16"/>
              </w:rPr>
              <w:t>Medium — drives SIR exhaustion</w:t>
            </w:r>
          </w:p>
        </w:tc>
        <w:tc>
          <w:tcPr>
            <w:tcW w:type="dxa" w:w="3240"/>
          </w:tcPr>
          <w:p>
            <w:pPr>
              <w:spacing w:after="20"/>
            </w:pPr>
            <w:r/>
            <w:r>
              <w:rPr>
                <w:b w:val="0"/>
                <w:i w:val="0"/>
                <w:sz w:val="16"/>
              </w:rPr>
              <w:t>Produce with a clear SIR ledger; include pre-tender emergency costs; reserve position that defense costs erode the SIR if the endorsement so provides.</w:t>
            </w:r>
          </w:p>
        </w:tc>
      </w:tr>
      <w:tr>
        <w:tc>
          <w:tcPr>
            <w:tcW w:type="dxa" w:w="360"/>
          </w:tcPr>
          <w:p>
            <w:pPr>
              <w:spacing w:after="20"/>
            </w:pPr>
            <w:r/>
            <w:r>
              <w:rPr>
                <w:b w:val="0"/>
                <w:i w:val="0"/>
                <w:sz w:val="16"/>
              </w:rPr>
              <w:t>7</w:t>
            </w:r>
          </w:p>
        </w:tc>
        <w:tc>
          <w:tcPr>
            <w:tcW w:type="dxa" w:w="3456"/>
          </w:tcPr>
          <w:p>
            <w:pPr>
              <w:spacing w:after="20"/>
            </w:pPr>
            <w:r/>
            <w:r>
              <w:rPr>
                <w:b w:val="0"/>
                <w:i w:val="0"/>
                <w:sz w:val="16"/>
              </w:rPr>
              <w:t>All demands, complaints, pleadings (incl. Buckeye Feb. 10, 2025 letter)</w:t>
            </w:r>
          </w:p>
        </w:tc>
        <w:tc>
          <w:tcPr>
            <w:tcW w:type="dxa" w:w="2880"/>
          </w:tcPr>
          <w:p>
            <w:pPr>
              <w:spacing w:after="20"/>
            </w:pPr>
            <w:r/>
            <w:r>
              <w:rPr>
                <w:b w:val="0"/>
                <w:i w:val="0"/>
                <w:sz w:val="16"/>
              </w:rPr>
              <w:t>Low</w:t>
            </w:r>
          </w:p>
        </w:tc>
        <w:tc>
          <w:tcPr>
            <w:tcW w:type="dxa" w:w="3240"/>
          </w:tcPr>
          <w:p>
            <w:pPr>
              <w:spacing w:after="20"/>
            </w:pPr>
            <w:r/>
            <w:r>
              <w:rPr>
                <w:b w:val="0"/>
                <w:i w:val="0"/>
                <w:sz w:val="16"/>
              </w:rPr>
              <w:t>Produce immediately and formally re-tender with transmittal.</w:t>
            </w:r>
          </w:p>
        </w:tc>
      </w:tr>
      <w:tr>
        <w:tc>
          <w:tcPr>
            <w:tcW w:type="dxa" w:w="360"/>
          </w:tcPr>
          <w:p>
            <w:pPr>
              <w:spacing w:after="20"/>
            </w:pPr>
            <w:r/>
            <w:r>
              <w:rPr>
                <w:b w:val="0"/>
                <w:i w:val="0"/>
                <w:sz w:val="16"/>
              </w:rPr>
              <w:t>8</w:t>
            </w:r>
          </w:p>
        </w:tc>
        <w:tc>
          <w:tcPr>
            <w:tcW w:type="dxa" w:w="3456"/>
          </w:tcPr>
          <w:p>
            <w:pPr>
              <w:spacing w:after="20"/>
            </w:pPr>
            <w:r/>
            <w:r>
              <w:rPr>
                <w:b w:val="0"/>
                <w:i w:val="0"/>
                <w:sz w:val="16"/>
              </w:rPr>
              <w:t>Witness contact information</w:t>
            </w:r>
          </w:p>
        </w:tc>
        <w:tc>
          <w:tcPr>
            <w:tcW w:type="dxa" w:w="2880"/>
          </w:tcPr>
          <w:p>
            <w:pPr>
              <w:spacing w:after="20"/>
            </w:pPr>
            <w:r/>
            <w:r>
              <w:rPr>
                <w:b w:val="0"/>
                <w:i w:val="0"/>
                <w:sz w:val="16"/>
              </w:rPr>
              <w:t>Medium</w:t>
            </w:r>
          </w:p>
        </w:tc>
        <w:tc>
          <w:tcPr>
            <w:tcW w:type="dxa" w:w="3240"/>
          </w:tcPr>
          <w:p>
            <w:pPr>
              <w:spacing w:after="20"/>
            </w:pPr>
            <w:r/>
            <w:r>
              <w:rPr>
                <w:b w:val="0"/>
                <w:i w:val="0"/>
                <w:sz w:val="16"/>
              </w:rPr>
              <w:t>Produce; notify employees of their right to counsel at interviews.</w:t>
            </w:r>
          </w:p>
        </w:tc>
      </w:tr>
      <w:tr>
        <w:tc>
          <w:tcPr>
            <w:tcW w:type="dxa" w:w="360"/>
          </w:tcPr>
          <w:p>
            <w:pPr>
              <w:spacing w:after="20"/>
            </w:pPr>
            <w:r/>
            <w:r>
              <w:rPr>
                <w:b w:val="0"/>
                <w:i w:val="0"/>
                <w:sz w:val="16"/>
              </w:rPr>
              <w:t>9</w:t>
            </w:r>
          </w:p>
        </w:tc>
        <w:tc>
          <w:tcPr>
            <w:tcW w:type="dxa" w:w="3456"/>
          </w:tcPr>
          <w:p>
            <w:pPr>
              <w:spacing w:after="20"/>
            </w:pPr>
            <w:r/>
            <w:r>
              <w:rPr>
                <w:b w:val="0"/>
                <w:i w:val="0"/>
                <w:sz w:val="16"/>
              </w:rPr>
              <w:t>Environmental / hazmat / industrial hygiene reports on released fluids</w:t>
            </w:r>
          </w:p>
        </w:tc>
        <w:tc>
          <w:tcPr>
            <w:tcW w:type="dxa" w:w="2880"/>
          </w:tcPr>
          <w:p>
            <w:pPr>
              <w:spacing w:after="20"/>
            </w:pPr>
            <w:r/>
            <w:r>
              <w:rPr>
                <w:b w:val="0"/>
                <w:i w:val="0"/>
                <w:sz w:val="16"/>
              </w:rPr>
              <w:t>Medium — pollution exclusion</w:t>
            </w:r>
          </w:p>
        </w:tc>
        <w:tc>
          <w:tcPr>
            <w:tcW w:type="dxa" w:w="3240"/>
          </w:tcPr>
          <w:p>
            <w:pPr>
              <w:spacing w:after="20"/>
            </w:pPr>
            <w:r/>
            <w:r>
              <w:rPr>
                <w:b w:val="0"/>
                <w:i w:val="0"/>
                <w:sz w:val="16"/>
              </w:rPr>
              <w:t>Produce factual reports; avoid characterizing the event as a pollution release.</w:t>
            </w:r>
          </w:p>
        </w:tc>
      </w:tr>
      <w:tr>
        <w:tc>
          <w:tcPr>
            <w:tcW w:type="dxa" w:w="360"/>
          </w:tcPr>
          <w:p>
            <w:pPr>
              <w:spacing w:after="20"/>
            </w:pPr>
            <w:r/>
            <w:r>
              <w:rPr>
                <w:b w:val="0"/>
                <w:i w:val="0"/>
                <w:sz w:val="16"/>
              </w:rPr>
              <w:t>10</w:t>
            </w:r>
          </w:p>
        </w:tc>
        <w:tc>
          <w:tcPr>
            <w:tcW w:type="dxa" w:w="3456"/>
          </w:tcPr>
          <w:p>
            <w:pPr>
              <w:spacing w:after="20"/>
            </w:pPr>
            <w:r/>
            <w:r>
              <w:rPr>
                <w:b w:val="0"/>
                <w:i w:val="0"/>
                <w:sz w:val="16"/>
              </w:rPr>
              <w:t>Safety training, orientation and protocols for StaffBridge workers</w:t>
            </w:r>
          </w:p>
        </w:tc>
        <w:tc>
          <w:tcPr>
            <w:tcW w:type="dxa" w:w="2880"/>
          </w:tcPr>
          <w:p>
            <w:pPr>
              <w:spacing w:after="20"/>
            </w:pPr>
            <w:r/>
            <w:r>
              <w:rPr>
                <w:b w:val="0"/>
                <w:i w:val="0"/>
                <w:sz w:val="16"/>
              </w:rPr>
              <w:t>Medium — bears on control/joint-employer and intentional-tort issues</w:t>
            </w:r>
          </w:p>
        </w:tc>
        <w:tc>
          <w:tcPr>
            <w:tcW w:type="dxa" w:w="3240"/>
          </w:tcPr>
          <w:p>
            <w:pPr>
              <w:spacing w:after="20"/>
            </w:pPr>
            <w:r/>
            <w:r>
              <w:rPr>
                <w:b w:val="0"/>
                <w:i w:val="0"/>
                <w:sz w:val="16"/>
              </w:rPr>
              <w:t>Produce; flag to defense counsel.</w:t>
            </w:r>
          </w:p>
        </w:tc>
      </w:tr>
    </w:tbl>
    <w:p>
      <w:pPr>
        <w:spacing w:after="40"/>
      </w:pPr>
    </w:p>
    <w:p>
      <w:pPr>
        <w:pStyle w:val="Heading1"/>
      </w:pPr>
      <w:r>
        <w:t>10. Recommended Response to Ridgepoint (to Rebecca Truesdale, Esq.; send by March 12, 2025)</w:t>
      </w:r>
    </w:p>
    <w:p>
      <w:pPr>
        <w:pStyle w:val="ListNumber"/>
        <w:spacing w:after="40"/>
      </w:pPr>
      <w:r>
        <w:rPr>
          <w:b w:val="0"/>
          <w:i w:val="0"/>
        </w:rPr>
        <w:t>Acknowledge receipt on March 8, 2025, as requested, without accepting any coverage position; reserve all of Greenleaf’s rights.</w:t>
      </w:r>
    </w:p>
    <w:p>
      <w:pPr>
        <w:pStyle w:val="ListNumber"/>
        <w:spacing w:after="40"/>
      </w:pPr>
      <w:r>
        <w:rPr>
          <w:b/>
          <w:i w:val="0"/>
        </w:rPr>
        <w:t>Proof of loss:</w:t>
      </w:r>
      <w:r>
        <w:rPr>
          <w:b w:val="0"/>
          <w:i w:val="0"/>
        </w:rPr>
        <w:t xml:space="preserve"> identify the 60/90-day contradiction; request written confirmation within five business days that the operative date is April 14, 2025 and that no forfeiture will be asserted; note the protective submission.</w:t>
      </w:r>
    </w:p>
    <w:p>
      <w:pPr>
        <w:pStyle w:val="ListNumber"/>
        <w:spacing w:after="40"/>
      </w:pPr>
      <w:r>
        <w:rPr>
          <w:b/>
          <w:i w:val="0"/>
        </w:rPr>
        <w:t>SIR and defense:</w:t>
      </w:r>
      <w:r>
        <w:rPr>
          <w:b w:val="0"/>
          <w:i w:val="0"/>
        </w:rPr>
        <w:t xml:space="preserve"> request written answers on funding of Hargrove, SIR credit for defense costs, control of the defense, and the defense-before-exhaustion inconsistency; state Greenleaf’s position that Ridgepoint has elected to assume the defense; require confirmation that the Espinoza answer or a stipulated extension will be filed before the Civ.R. 12(A) date.</w:t>
      </w:r>
    </w:p>
    <w:p>
      <w:pPr>
        <w:pStyle w:val="ListNumber"/>
        <w:spacing w:after="40"/>
      </w:pPr>
      <w:r>
        <w:rPr>
          <w:b/>
          <w:i w:val="0"/>
        </w:rPr>
        <w:t>Certified policy:</w:t>
      </w:r>
      <w:r>
        <w:rPr>
          <w:b w:val="0"/>
          <w:i w:val="0"/>
        </w:rPr>
        <w:t xml:space="preserve"> demand a complete certified copy of Policy No. CGL-OH-2023-88741, including the coverage form actually issued (04 13 vs. 12 07), Section IV Conditions, and the full text of all seven endorsements.</w:t>
      </w:r>
    </w:p>
    <w:p>
      <w:pPr>
        <w:pStyle w:val="ListNumber"/>
        <w:spacing w:after="40"/>
      </w:pPr>
      <w:r>
        <w:rPr>
          <w:b/>
          <w:i w:val="0"/>
        </w:rPr>
        <w:t>Late notice:</w:t>
      </w:r>
      <w:r>
        <w:rPr>
          <w:b w:val="0"/>
          <w:i w:val="0"/>
        </w:rPr>
        <w:t xml:space="preserve"> request withdrawal, citing Ridgepoint’s own 3-day/8-day chronology.</w:t>
      </w:r>
    </w:p>
    <w:p>
      <w:pPr>
        <w:pStyle w:val="ListNumber"/>
        <w:spacing w:after="40"/>
      </w:pPr>
      <w:r>
        <w:rPr>
          <w:b/>
          <w:i w:val="0"/>
        </w:rPr>
        <w:t>Known loss:</w:t>
      </w:r>
      <w:r>
        <w:rPr>
          <w:b w:val="0"/>
          <w:i w:val="0"/>
        </w:rPr>
        <w:t xml:space="preserve"> request the factual basis for the reservation given that the OSHA citation post-dates inception, and Ridgepoint’s interpretation of “inception date.”</w:t>
      </w:r>
    </w:p>
    <w:p>
      <w:pPr>
        <w:pStyle w:val="ListNumber"/>
        <w:spacing w:after="40"/>
      </w:pPr>
      <w:r>
        <w:rPr>
          <w:b/>
          <w:i w:val="0"/>
        </w:rPr>
        <w:t>Pollution:</w:t>
      </w:r>
      <w:r>
        <w:rPr>
          <w:b w:val="0"/>
          <w:i w:val="0"/>
        </w:rPr>
        <w:t xml:space="preserve"> request identification of the specific injuries/damages Ridgepoint contends were pollutant-caused.</w:t>
      </w:r>
    </w:p>
    <w:p>
      <w:pPr>
        <w:pStyle w:val="ListNumber"/>
        <w:spacing w:after="40"/>
      </w:pPr>
      <w:r>
        <w:rPr>
          <w:b/>
          <w:i w:val="0"/>
        </w:rPr>
        <w:t>Defense integrity:</w:t>
      </w:r>
      <w:r>
        <w:rPr>
          <w:b w:val="0"/>
          <w:i w:val="0"/>
        </w:rPr>
        <w:t xml:space="preserve"> request confirmation that Hargrove represents Greenleaf, will not report coverage-sensitive information to Ridgepoint’s coverage counsel, and that Ridgepoint will fund independent counsel or permit Greenleaf’s personal counsel to participate given the conflicts.</w:t>
      </w:r>
    </w:p>
    <w:p>
      <w:pPr>
        <w:pStyle w:val="ListNumber"/>
        <w:spacing w:after="40"/>
      </w:pPr>
      <w:r>
        <w:rPr>
          <w:b/>
          <w:i w:val="0"/>
        </w:rPr>
        <w:t>Buckeye:</w:t>
      </w:r>
      <w:r>
        <w:rPr>
          <w:b w:val="0"/>
          <w:i w:val="0"/>
        </w:rPr>
        <w:t xml:space="preserve"> ask whether Ridgepoint will respond to Ms. Falcone before the 30-day window closes and request consent for settlement discussions; propose that any covered Buckeye payment counts toward the SIR.</w:t>
      </w:r>
    </w:p>
    <w:p>
      <w:pPr>
        <w:pStyle w:val="ListNumber"/>
        <w:spacing w:after="40"/>
      </w:pPr>
      <w:r>
        <w:rPr>
          <w:b/>
          <w:i w:val="0"/>
        </w:rPr>
        <w:t>Thornburg:</w:t>
      </w:r>
      <w:r>
        <w:rPr>
          <w:b w:val="0"/>
          <w:i w:val="0"/>
        </w:rPr>
        <w:t xml:space="preserve"> propose the access/testing/interview protocol in §8 (Q6).</w:t>
      </w:r>
    </w:p>
    <w:p>
      <w:pPr>
        <w:pStyle w:val="ListNumber"/>
        <w:spacing w:after="40"/>
      </w:pPr>
      <w:r>
        <w:rPr>
          <w:b/>
          <w:i w:val="0"/>
        </w:rPr>
        <w:t>Settlement within limits:</w:t>
      </w:r>
      <w:r>
        <w:rPr>
          <w:b w:val="0"/>
          <w:i w:val="0"/>
        </w:rPr>
        <w:t xml:space="preserve"> put Ridgepoint on notice that Greenleaf expects good-faith evaluation of any within-limits settlement opportunity; object in advance to any later reservation of recoupment or reimbursement.</w:t>
      </w:r>
    </w:p>
    <w:p>
      <w:pPr>
        <w:pStyle w:val="ListNumber"/>
        <w:spacing w:after="40"/>
      </w:pPr>
      <w:r>
        <w:rPr>
          <w:b w:val="0"/>
          <w:i w:val="0"/>
        </w:rPr>
        <w:t>Confirm rolling production toward the April 7, 2025 deadline under a confidentiality agreement.</w:t>
      </w:r>
    </w:p>
    <w:p>
      <w:pPr>
        <w:pStyle w:val="Heading1"/>
      </w:pPr>
      <w:r>
        <w:t>11. Other Recommended Next Steps</w:t>
      </w:r>
    </w:p>
    <w:p>
      <w:pPr>
        <w:pStyle w:val="ListBullet"/>
        <w:spacing w:after="40"/>
      </w:pPr>
      <w:r>
        <w:rPr>
          <w:b w:val="0"/>
          <w:i w:val="0"/>
        </w:rPr>
        <w:t>Schedule the walk-through call with Ms. Nandakumar this week (Leena Chadha to coordinate with Denise).</w:t>
      </w:r>
    </w:p>
    <w:p>
      <w:pPr>
        <w:pStyle w:val="ListBullet"/>
        <w:spacing w:after="40"/>
      </w:pPr>
      <w:r>
        <w:rPr>
          <w:b w:val="0"/>
          <w:i w:val="0"/>
        </w:rPr>
        <w:t>Ask Lakeshore Risk Advisors (David Kowalski) for the complete policy, application/renewal submissions, and all umbrella, excess, stop-gap employer’s liability, property and D&amp;O policies; give notice to each relevant carrier.</w:t>
      </w:r>
    </w:p>
    <w:p>
      <w:pPr>
        <w:pStyle w:val="ListBullet"/>
        <w:spacing w:after="40"/>
      </w:pPr>
      <w:r>
        <w:rPr>
          <w:b w:val="0"/>
          <w:i w:val="0"/>
        </w:rPr>
        <w:t>Tender to StaffBridge under the MSA and request its insurance certificates and WC/EL policy (alternate-employer endorsement).</w:t>
      </w:r>
    </w:p>
    <w:p>
      <w:pPr>
        <w:pStyle w:val="ListBullet"/>
        <w:spacing w:after="40"/>
      </w:pPr>
      <w:r>
        <w:rPr>
          <w:b w:val="0"/>
          <w:i w:val="0"/>
        </w:rPr>
        <w:t>Issue a written litigation hold consistent with Buckeye’s preservation demand (accumulator, Line 7 components, maintenance records, 90 days of video, OSHA materials).</w:t>
      </w:r>
    </w:p>
    <w:p>
      <w:pPr>
        <w:pStyle w:val="ListBullet"/>
        <w:spacing w:after="40"/>
      </w:pPr>
      <w:r>
        <w:rPr>
          <w:b w:val="0"/>
          <w:i w:val="0"/>
        </w:rPr>
        <w:t>Notify the first-party property insurer of the ~$2.8M Building C loss (outside the CGL; noted in ROR §II).</w:t>
      </w:r>
    </w:p>
    <w:p>
      <w:pPr>
        <w:pStyle w:val="ListBullet"/>
        <w:spacing w:after="40"/>
      </w:pPr>
      <w:r>
        <w:rPr>
          <w:b w:val="0"/>
          <w:i w:val="0"/>
        </w:rPr>
        <w:t>Evaluate potential claims against the accumulator manufacturer and any maintenance or inspection vendors (contribution/indemnity; also relevant to Ridgepoint’s subrogation interests).</w:t>
      </w:r>
    </w:p>
    <w:p>
      <w:pPr>
        <w:pStyle w:val="Heading1"/>
      </w:pPr>
      <w:r>
        <w:t>12. Assumptions and Limitations</w:t>
      </w:r>
    </w:p>
    <w:p>
      <w:pPr>
        <w:pStyle w:val="ListBullet"/>
        <w:spacing w:after="40"/>
      </w:pPr>
      <w:r>
        <w:rPr>
          <w:b w:val="0"/>
          <w:i w:val="0"/>
        </w:rPr>
        <w:t>Policy language is taken from the ROR’s quotations and Greenleaf’s declarations summary; the certified Policy has not been reviewed and, given the identified discrepancies, may change the analysis.</w:t>
      </w:r>
    </w:p>
    <w:p>
      <w:pPr>
        <w:pStyle w:val="ListBullet"/>
        <w:spacing w:after="40"/>
      </w:pPr>
      <w:r>
        <w:rPr>
          <w:b w:val="0"/>
          <w:i w:val="0"/>
        </w:rPr>
        <w:t>Ohio law is assumed to govern. Case and statutory citations are provided for orientation and should be cite-checked before use in correspondence or pleadings.</w:t>
      </w:r>
    </w:p>
    <w:p>
      <w:pPr>
        <w:pStyle w:val="ListBullet"/>
        <w:spacing w:after="40"/>
      </w:pPr>
      <w:r>
        <w:rPr>
          <w:b w:val="0"/>
          <w:i w:val="0"/>
        </w:rPr>
        <w:t>Service and receipt dates are taken from the documents; the Espinoza answer date depends on the certified-mail delivery date, and the Buckeye response window depends on the date of receipt.</w:t>
      </w:r>
    </w:p>
    <w:p>
      <w:pPr>
        <w:pStyle w:val="ListBullet"/>
        <w:spacing w:after="40"/>
      </w:pPr>
      <w:r>
        <w:rPr>
          <w:b w:val="0"/>
          <w:i w:val="0"/>
        </w:rPr>
        <w:t>Dollar figures are the claimants’ demands, not valuations; defense costs and interest are excluded.</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Greenleaf / Ridgepoint ROR Coverage Term Sheet — Page </w:t>
    </w:r>
    <w:r>
      <w:rPr>
        <w:sz w:val="16"/>
      </w:rPr>
      <w:fldChar w:fldCharType="begin"/>
    </w:r>
    <w:r>
      <w:rPr>
        <w:sz w:val="16"/>
      </w:rPr>
      <w:instrText xml:space="preserve"> PAGE </w:instrText>
    </w:r>
    <w:r>
      <w:rP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i w:val="0"/>
        <w:color w:val="1F3A5F"/>
        <w:sz w:val="16"/>
      </w:rPr>
      <w:t>PRIVILEGED &amp; CONFIDENTIAL — ATTORNEY-CLIENT COMMUNICATION / ATTORNEY WORK PRODUCT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