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&amp; CONFIDENTIAL — ATTORNEY-CLIENT COMMUNICATION / ATTORNEY WORK PRODUCT</w:t>
      </w:r>
    </w:p>
    <w:p>
      <w:pPr>
        <w:spacing w:after="200"/>
        <w:jc w:val="center"/>
      </w:pPr>
      <w:r>
        <w:rPr>
          <w:b/>
          <w:i w:val="0"/>
          <w:sz w:val="32"/>
        </w:rPr>
        <w:t>ISSUE MEMORANDUM</w:t>
      </w:r>
    </w:p>
    <w:tbl>
      <w:tblPr>
        <w:tblStyle w:val="TableGrid"/>
        <w:tblW w:type="auto" w:w="0"/>
        <w:jc w:val="center"/>
        <w:tblLook w:firstColumn="1" w:firstRow="1" w:lastColumn="0" w:lastRow="0" w:noHBand="0" w:noVBand="1" w:val="04A0"/>
      </w:tblPr>
      <w:tblGrid>
        <w:gridCol w:w="4680"/>
        <w:gridCol w:w="4680"/>
      </w:tblGrid>
      <w:tr>
        <w:tc>
          <w:tcPr>
            <w:tcW w:type="dxa" w:w="1296"/>
          </w:tcPr>
          <w:p>
            <w:r>
              <w:rPr>
                <w:b/>
              </w:rPr>
            </w:r>
            <w:r>
              <w:rPr>
                <w:b/>
                <w:i w:val="0"/>
                <w:sz w:val="18"/>
              </w:rPr>
              <w:t>TO:</w:t>
            </w:r>
          </w:p>
        </w:tc>
        <w:tc>
          <w:tcPr>
            <w:tcW w:type="dxa" w:w="8064"/>
          </w:tcPr>
          <w:p>
            <w:r/>
            <w:r>
              <w:rPr>
                <w:b w:val="0"/>
                <w:i w:val="0"/>
                <w:sz w:val="18"/>
              </w:rPr>
              <w:t>Scott Tillman, General Counsel and Secretary, Pinnacle Casualty Insurance Company (cc: David Chen, CFO; Priya Ramanathan, FCAS, MAAA, Chief Actuary)</w:t>
            </w:r>
          </w:p>
        </w:tc>
      </w:tr>
      <w:tr>
        <w:tc>
          <w:tcPr>
            <w:tcW w:type="dxa" w:w="1296"/>
          </w:tcPr>
          <w:p>
            <w:r>
              <w:rPr>
                <w:b/>
              </w:rPr>
            </w:r>
            <w:r>
              <w:rPr>
                <w:b/>
                <w:i w:val="0"/>
                <w:sz w:val="18"/>
              </w:rPr>
              <w:t>FROM:</w:t>
            </w:r>
          </w:p>
        </w:tc>
        <w:tc>
          <w:tcPr>
            <w:tcW w:type="dxa" w:w="8064"/>
          </w:tcPr>
          <w:p>
            <w:r/>
            <w:r>
              <w:rPr>
                <w:b w:val="0"/>
                <w:i w:val="0"/>
                <w:sz w:val="18"/>
              </w:rPr>
              <w:t>Outside reinsurance counsel to Pinnacle (Aldersgate &amp; Harlow LLP engagement team) — draft for partner review</w:t>
            </w:r>
          </w:p>
        </w:tc>
      </w:tr>
      <w:tr>
        <w:tc>
          <w:tcPr>
            <w:tcW w:type="dxa" w:w="1296"/>
          </w:tcPr>
          <w:p>
            <w:r>
              <w:rPr>
                <w:b/>
              </w:rPr>
            </w:r>
            <w:r>
              <w:rPr>
                <w:b/>
                <w:i w:val="0"/>
                <w:sz w:val="18"/>
              </w:rPr>
              <w:t>DATE:</w:t>
            </w:r>
          </w:p>
        </w:tc>
        <w:tc>
          <w:tcPr>
            <w:tcW w:type="dxa" w:w="8064"/>
          </w:tcPr>
          <w:p>
            <w:r/>
            <w:r>
              <w:rPr>
                <w:b w:val="0"/>
                <w:i w:val="0"/>
                <w:sz w:val="18"/>
              </w:rPr>
              <w:t>January 15, 2025</w:t>
            </w:r>
          </w:p>
        </w:tc>
      </w:tr>
      <w:tr>
        <w:tc>
          <w:tcPr>
            <w:tcW w:type="dxa" w:w="1296"/>
          </w:tcPr>
          <w:p>
            <w:r>
              <w:rPr>
                <w:b/>
              </w:rPr>
            </w:r>
            <w:r>
              <w:rPr>
                <w:b/>
                <w:i w:val="0"/>
                <w:sz w:val="18"/>
              </w:rPr>
              <w:t>RE:</w:t>
            </w:r>
          </w:p>
        </w:tc>
        <w:tc>
          <w:tcPr>
            <w:tcW w:type="dxa" w:w="8064"/>
          </w:tcPr>
          <w:p>
            <w:r/>
            <w:r>
              <w:rPr>
                <w:b w:val="0"/>
                <w:i w:val="0"/>
                <w:sz w:val="18"/>
              </w:rPr>
              <w:t>Draft 30% Quota Share Reinsurance Treaty No. QS-2025-001 (Pinnacle / Argonaut Re Ltd.), draft Reinsurance Trust Agreement, and related deal documents — identification of legal, regulatory, accounting, commercial and drafting issues ahead of Pinnacle’s January 17 markup and the February 1, 2025 target binding date</w:t>
            </w:r>
          </w:p>
        </w:tc>
      </w:tr>
    </w:tbl>
    <w:p>
      <w:pPr>
        <w:spacing w:after="40"/>
      </w:pPr>
    </w:p>
    <w:p>
      <w:pPr>
        <w:pStyle w:val="Heading1"/>
      </w:pPr>
      <w:r>
        <w:t>I. Executive Summary</w:t>
      </w:r>
    </w:p>
    <w:p>
      <w:pPr>
        <w:spacing w:after="120"/>
      </w:pPr>
      <w:r>
        <w:rPr>
          <w:b w:val="0"/>
          <w:i w:val="0"/>
        </w:rPr>
        <w:t>We reviewed the December 18, 2024 draft Quota Share Reinsurance Treaty prepared by Whitmore Gallagher LLP (Argonaut Re’s counsel) (the “Treaty”), the January 10, 2025 draft Reinsurance Trust Agreement among Argonaut Re (Grantor), Pinnacle (Beneficiary) and First Continental Trust Company, N.A. (Trustee) (the “Trust Agreement”), the Lakeshore Actuarial Group profitability analysis dated January 6, 2025 (the “Lakeshore Report”), the Baxter &amp; Rowland financial summary of Argonaut Re dated January 8, 2025 (the “B&amp;R Summary”), and the November 25, 2024 – January 8, 2025 negotiation email chain (the “Correspondence”).</w:t>
      </w:r>
    </w:p>
    <w:p>
      <w:pPr>
        <w:spacing w:after="120"/>
      </w:pPr>
      <w:r>
        <w:rPr>
          <w:b/>
          <w:i w:val="0"/>
        </w:rPr>
        <w:t>Bottom line:</w:t>
      </w:r>
      <w:r>
        <w:rPr>
          <w:b w:val="0"/>
          <w:i w:val="0"/>
        </w:rPr>
        <w:t xml:space="preserve"> the documents should not be executed in their current form. The draft was prepared from the reinsurer’s standard form and, as drafted, (1) is unlikely to support full statutory credit for reinsurance in Illinois, because Argonaut Re is unauthorized and uncertified and both the collateral amount and several trust and treaty mechanics fall short of Illinois/NAIC credit-for-reinsurance requirements; (2) contains at least one clause, the intermediary clause, that appears to reverse the allocation of intermediary credit risk that regulators require; (3) has not been tested for SSAP No. 62R risk transfer; and (4) leaves Pinnacle with no coverage commitment for policies written since January 1, 2025. Several of these defects can be cured without moving Argonaut Re off the positions it has called “final” (Bermuda seat, fee-shifting, no deemed consent). Most of them are regulatory necessities, not commercial asks, which gives Pinnacle real leverage.</w:t>
      </w:r>
    </w:p>
    <w:p>
      <w:pPr>
        <w:spacing w:after="120"/>
      </w:pPr>
      <w:r>
        <w:rPr>
          <w:b/>
          <w:i w:val="0"/>
        </w:rPr>
        <w:t>The most significant issues, in priority order:</w:t>
      </w:r>
    </w:p>
    <w:p>
      <w:pPr>
        <w:pStyle w:val="ListNumber"/>
        <w:spacing w:after="60"/>
      </w:pPr>
      <w:r>
        <w:rPr>
          <w:b/>
          <w:i w:val="0"/>
        </w:rPr>
        <w:t>Collateral is short of the 100% standard and does not move with the liabilities (Treaty Art. XVIII; Trust §§1.15, 4.02).</w:t>
      </w:r>
      <w:r>
        <w:rPr>
          <w:b w:val="0"/>
          <w:i w:val="0"/>
        </w:rPr>
        <w:t xml:space="preserve"> The $43.0M trust is fixed. Any increase needs Argonaut Re’s agreement (Trust §4.02(b)) and can take effect only annually. Our illustrative run-rate model (Part IV) puts ceded unearned premium plus ceded loss reserves at about $47.0M at December 31, 2025 in the base case, $52.5M at the 95th percentile and $56.2M at the 99th percentile. December 31, 2025 is Pinnacle’s first annual statement date under the Treaty. On those figures, Pinnacle would carry a provision for reinsurance against surplus.</w:t>
      </w:r>
    </w:p>
    <w:p>
      <w:pPr>
        <w:pStyle w:val="ListNumber"/>
        <w:spacing w:after="60"/>
      </w:pPr>
      <w:r>
        <w:rPr>
          <w:b/>
          <w:i w:val="0"/>
        </w:rPr>
        <w:t>Argonaut Re can take collateral out by unilateral “offset notice” (Trust Art. VII, §1.10, Exhibit C; Treaty Art. XIII).</w:t>
      </w:r>
      <w:r>
        <w:rPr>
          <w:b w:val="0"/>
          <w:i w:val="0"/>
        </w:rPr>
        <w:t xml:space="preserve"> The Grantor can cut the Required Trust Amount, apparently even below the $43M floor, and withdraw assets without Pinnacle’s consent, based on balances under any other agreement. This is inconsistent with a Beneficiary-controlled credit-for-reinsurance trust. It should be deleted.</w:t>
      </w:r>
    </w:p>
    <w:p>
      <w:pPr>
        <w:pStyle w:val="ListNumber"/>
        <w:spacing w:after="60"/>
      </w:pPr>
      <w:r>
        <w:rPr>
          <w:b/>
          <w:i w:val="0"/>
        </w:rPr>
        <w:t>The trust places conditions on Pinnacle’s withdrawal right and has termination, substitution and trustee-resignation mechanics that do not track the NAIC Model Regulation (Trust §§5.02, 4.03, 6.05, 8.01–8.02).</w:t>
      </w:r>
      <w:r>
        <w:rPr>
          <w:b w:val="0"/>
          <w:i w:val="0"/>
        </w:rPr>
        <w:t xml:space="preserve"> Withdrawals currently require a certified purpose, a 30-day past-due condition and a post-termination condition. The purpose restrictions belong in the Treaty, not the Trust Agreement.</w:t>
      </w:r>
    </w:p>
    <w:p>
      <w:pPr>
        <w:pStyle w:val="ListNumber"/>
        <w:spacing w:after="60"/>
      </w:pPr>
      <w:r>
        <w:rPr>
          <w:b/>
          <w:i w:val="0"/>
        </w:rPr>
        <w:t>There is no service-of-suit / U.S.-jurisdiction submission clause, and all disputes go to Bermuda (Treaty Art. XV).</w:t>
      </w:r>
      <w:r>
        <w:rPr>
          <w:b w:val="0"/>
          <w:i w:val="0"/>
        </w:rPr>
        <w:t xml:space="preserve"> For an unauthorized reinsurer, credit requires the reinsurer to submit to a U.S. court or ADR panel, appoint an agent for service of process and agree to abide by the final decision. A Hamilton seat applying Bermuda law does not meet that requirement. Argonaut Re’s offer to carve out “provisions expressly required by Illinois statute” (Jan. 8 email) is the opening: a service-of-suit clause falls within that carve-out.</w:t>
      </w:r>
    </w:p>
    <w:p>
      <w:pPr>
        <w:pStyle w:val="ListNumber"/>
        <w:spacing w:after="60"/>
      </w:pPr>
      <w:r>
        <w:rPr>
          <w:b/>
          <w:i w:val="0"/>
        </w:rPr>
        <w:t>The intermediary clause runs the wrong way (Treaty §§16.2–16.3).</w:t>
      </w:r>
      <w:r>
        <w:rPr>
          <w:b w:val="0"/>
          <w:i w:val="0"/>
        </w:rPr>
        <w:t xml:space="preserve"> As drafted, payments by Argonaut Re to B&amp;R discharge Argonaut Re, while Pinnacle’s payments to B&amp;R do not discharge Pinnacle. The regulator-required formulation is the reverse.</w:t>
      </w:r>
    </w:p>
    <w:p>
      <w:pPr>
        <w:pStyle w:val="ListNumber"/>
        <w:spacing w:after="60"/>
      </w:pPr>
      <w:r>
        <w:rPr>
          <w:b/>
          <w:i w:val="0"/>
        </w:rPr>
        <w:t>The insolvency clause departs from the statutory form (Treaty §§14.1–14.4).</w:t>
      </w:r>
      <w:r>
        <w:rPr>
          <w:b w:val="0"/>
          <w:i w:val="0"/>
        </w:rPr>
        <w:t xml:space="preserve"> Claims are said to be filed “with the liquidator” rather than requiring the liquidator to notify the reinsurer. Payment is not expressly “to the liquidator,” and the interposition right extends to defenses “available to the Reinsurer.”</w:t>
      </w:r>
    </w:p>
    <w:p>
      <w:pPr>
        <w:pStyle w:val="ListNumber"/>
        <w:spacing w:after="60"/>
      </w:pPr>
      <w:r>
        <w:rPr>
          <w:b/>
          <w:i w:val="0"/>
        </w:rPr>
        <w:t>Gap period and SSAP 62R timing.</w:t>
      </w:r>
      <w:r>
        <w:rPr>
          <w:b w:val="0"/>
          <w:i w:val="0"/>
        </w:rPr>
        <w:t xml:space="preserve"> About $16M of CGL premium is being written each month in reliance on a Treaty that Argonaut Re will not bind on an interim basis. There is no collateral before the trust is funded (10 Business Days after execution). Retroactive inception also raises known-loss and retroactive-accounting questions. Pinnacle needs a signed, binding instrument (or the executed Treaty) and a funded trust before March 31, 2025.</w:t>
      </w:r>
    </w:p>
    <w:p>
      <w:pPr>
        <w:pStyle w:val="ListNumber"/>
        <w:spacing w:after="60"/>
      </w:pPr>
      <w:r>
        <w:rPr>
          <w:b/>
          <w:i w:val="0"/>
        </w:rPr>
        <w:t>Risk transfer is unverified.</w:t>
      </w:r>
      <w:r>
        <w:rPr>
          <w:b w:val="0"/>
          <w:i w:val="0"/>
        </w:rPr>
        <w:t xml:space="preserve"> The aggregate limit (146.8% of ceded premium), the 10-point sliding scale, the profit commission with a two-period deficit extinguishment and the either-party commutation right together require a formal SSAP No. 62R analysis before Pinnacle books the cession. Lakeshore expressly did not perform one.</w:t>
      </w:r>
    </w:p>
    <w:p>
      <w:pPr>
        <w:pStyle w:val="ListNumber"/>
        <w:spacing w:after="60"/>
      </w:pPr>
      <w:r>
        <w:rPr>
          <w:b/>
          <w:i w:val="0"/>
        </w:rPr>
        <w:t>Claims control is out of proportion to a 30% share and exposes Pinnacle to bad-faith liability that the Treaty then excludes (Treaty §§11.4–11.7).</w:t>
      </w:r>
      <w:r>
        <w:rPr>
          <w:b w:val="0"/>
          <w:i w:val="0"/>
        </w:rPr>
        <w:t xml:space="preserve"> Argonaut Re can withhold consent with no time limit and no reasonableness standard, can “control” defense at $750K, and excludes ECO/XPL. Pinnacle therefore bears 100% of any bad-faith exposure that Argonaut Re’s delay creates.</w:t>
      </w:r>
    </w:p>
    <w:p>
      <w:pPr>
        <w:pStyle w:val="ListNumber"/>
        <w:spacing w:after="60"/>
      </w:pPr>
      <w:r>
        <w:rPr>
          <w:b/>
          <w:i w:val="0"/>
        </w:rPr>
        <w:t>Counterparty protection is thin for a BBB+ reinsurer formed in 2019.</w:t>
      </w:r>
      <w:r>
        <w:rPr>
          <w:b w:val="0"/>
          <w:i w:val="0"/>
        </w:rPr>
        <w:t xml:space="preserve"> There is no downgrade or special-termination trigger, no cash-call clause, no funds-withheld or letter-of-credit alternative, and a free right of assignment by “assumption reinsurance” (Treaty §22.4). Argonaut Re is also below the A- standard B&amp;R says many cedants require. Pinnacle should check this against its board-approved reinsurance security guidelines.</w:t>
      </w:r>
    </w:p>
    <w:p>
      <w:pPr>
        <w:spacing w:after="120"/>
      </w:pPr>
      <w:r>
        <w:rPr>
          <w:b w:val="0"/>
          <w:i w:val="0"/>
        </w:rPr>
        <w:t>Part II summarizes every issue identified, with a risk rating and recommended position. Part III gives the analysis. Part IV contains the collateral illustration, Part V the negotiation strategy and Part VI the next steps leading up to February 1.</w:t>
      </w:r>
    </w:p>
    <w:p>
      <w:pPr>
        <w:pStyle w:val="Heading1"/>
      </w:pPr>
      <w:r>
        <w:t>II. Issues Matrix</w:t>
      </w:r>
    </w:p>
    <w:p>
      <w:pPr>
        <w:spacing w:after="120"/>
      </w:pPr>
      <w:r>
        <w:rPr>
          <w:b w:val="0"/>
          <w:i w:val="0"/>
          <w:sz w:val="18"/>
        </w:rPr>
        <w:t xml:space="preserve">Risk ratings: </w:t>
      </w:r>
      <w:r>
        <w:rPr>
          <w:b/>
          <w:i w:val="0"/>
          <w:sz w:val="18"/>
        </w:rPr>
        <w:t>Critical</w:t>
      </w:r>
      <w:r>
        <w:rPr>
          <w:b w:val="0"/>
          <w:i w:val="0"/>
          <w:sz w:val="18"/>
        </w:rPr>
        <w:t xml:space="preserve"> — threatens statutory credit, regulatory compliance or the enforceability of coverage, so it must be resolved before binding; </w:t>
      </w:r>
      <w:r>
        <w:rPr>
          <w:b/>
          <w:i w:val="0"/>
          <w:sz w:val="18"/>
        </w:rPr>
        <w:t>High</w:t>
      </w:r>
      <w:r>
        <w:rPr>
          <w:b w:val="0"/>
          <w:i w:val="0"/>
          <w:sz w:val="18"/>
        </w:rPr>
        <w:t xml:space="preserve"> — material economic or legal exposure, so Pinnacle should hold firm; </w:t>
      </w:r>
      <w:r>
        <w:rPr>
          <w:b/>
          <w:i w:val="0"/>
          <w:sz w:val="18"/>
        </w:rPr>
        <w:t>Medium</w:t>
      </w:r>
      <w:r>
        <w:rPr>
          <w:b w:val="0"/>
          <w:i w:val="0"/>
          <w:sz w:val="18"/>
        </w:rPr>
        <w:t xml:space="preserve"> — should be fixed in the markup; </w:t>
      </w:r>
      <w:r>
        <w:rPr>
          <w:b/>
          <w:i w:val="0"/>
          <w:sz w:val="18"/>
        </w:rPr>
        <w:t>Low</w:t>
      </w:r>
      <w:r>
        <w:rPr>
          <w:b w:val="0"/>
          <w:i w:val="0"/>
          <w:sz w:val="18"/>
        </w:rPr>
        <w:t xml:space="preserve"> — drafting or clean-up.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A5F"/>
          </w:tcPr>
          <w:p>
            <w:r/>
            <w:r>
              <w:rPr>
                <w:b/>
                <w:color w:val="FFFFFF"/>
                <w:sz w:val="16"/>
              </w:rPr>
              <w:t>No.</w:t>
            </w:r>
          </w:p>
        </w:tc>
        <w:tc>
          <w:tcPr>
            <w:tcW w:type="dxa" w:w="1512"/>
            <w:shd w:val="clear" w:color="auto" w:fill="1F3A5F"/>
          </w:tcPr>
          <w:p>
            <w:r/>
            <w:r>
              <w:rPr>
                <w:b/>
                <w:color w:val="FFFFFF"/>
                <w:sz w:val="16"/>
              </w:rPr>
              <w:t>Provision</w:t>
            </w:r>
          </w:p>
        </w:tc>
        <w:tc>
          <w:tcPr>
            <w:tcW w:type="dxa" w:w="3312"/>
            <w:shd w:val="clear" w:color="auto" w:fill="1F3A5F"/>
          </w:tcPr>
          <w:p>
            <w:r/>
            <w:r>
              <w:rPr>
                <w:b/>
                <w:color w:val="FFFFFF"/>
                <w:sz w:val="16"/>
              </w:rPr>
              <w:t>Issue</w:t>
            </w:r>
          </w:p>
        </w:tc>
        <w:tc>
          <w:tcPr>
            <w:tcW w:type="dxa" w:w="936"/>
            <w:shd w:val="clear" w:color="auto" w:fill="1F3A5F"/>
          </w:tcPr>
          <w:p>
            <w:r/>
            <w:r>
              <w:rPr>
                <w:b/>
                <w:color w:val="FFFFFF"/>
                <w:sz w:val="16"/>
              </w:rPr>
              <w:t>Risk</w:t>
            </w:r>
          </w:p>
        </w:tc>
        <w:tc>
          <w:tcPr>
            <w:tcW w:type="dxa" w:w="3096"/>
            <w:shd w:val="clear" w:color="auto" w:fill="1F3A5F"/>
          </w:tcPr>
          <w:p>
            <w:r/>
            <w:r>
              <w:rPr>
                <w:b/>
                <w:color w:val="FFFFFF"/>
                <w:sz w:val="16"/>
              </w:rPr>
              <w:t>Recommended Position</w:t>
            </w:r>
          </w:p>
        </w:tc>
      </w:tr>
      <w:tr>
        <w:tc>
          <w:tcPr>
            <w:tcW w:type="dxa" w:w="504"/>
          </w:tcPr>
          <w:p>
            <w:r/>
            <w:r>
              <w:rPr>
                <w:b w:val="0"/>
                <w:i w:val="0"/>
                <w:sz w:val="16"/>
              </w:rPr>
              <w:t>1</w:t>
            </w:r>
          </w:p>
        </w:tc>
        <w:tc>
          <w:tcPr>
            <w:tcW w:type="dxa" w:w="1512"/>
          </w:tcPr>
          <w:p>
            <w:r/>
            <w:r>
              <w:rPr>
                <w:b w:val="0"/>
                <w:i w:val="0"/>
                <w:sz w:val="16"/>
              </w:rPr>
              <w:t>Treaty Art. XVIII; Trust §§1.08, 1.15, 3.01, 4.02</w:t>
            </w:r>
          </w:p>
        </w:tc>
        <w:tc>
          <w:tcPr>
            <w:tcW w:type="dxa" w:w="3312"/>
          </w:tcPr>
          <w:p>
            <w:r/>
            <w:r>
              <w:rPr>
                <w:b w:val="0"/>
                <w:i w:val="0"/>
                <w:sz w:val="16"/>
              </w:rPr>
              <w:t>Fixed $43.0M trust, about 74% of estimated ceded premium. It is not tied to 100% of ceded liabilities, and increases need mutual agreement. Projected shortfall at 12/31/2025 is roughly $4M (base) to $13M (99th pct.).</w:t>
            </w:r>
          </w:p>
        </w:tc>
        <w:tc>
          <w:tcPr>
            <w:tcW w:type="dxa" w:w="936"/>
            <w:shd w:val="clear" w:color="auto" w:fill="F4CCCC"/>
          </w:tcPr>
          <w:p>
            <w:r/>
            <w:r>
              <w:rPr>
                <w:b w:val="0"/>
                <w:i w:val="0"/>
                <w:sz w:val="16"/>
              </w:rPr>
              <w:t>Critical</w:t>
            </w:r>
          </w:p>
        </w:tc>
        <w:tc>
          <w:tcPr>
            <w:tcW w:type="dxa" w:w="3096"/>
          </w:tcPr>
          <w:p>
            <w:r/>
            <w:r>
              <w:rPr>
                <w:b w:val="0"/>
                <w:i w:val="0"/>
                <w:sz w:val="16"/>
              </w:rPr>
              <w:t>Required Trust Amount = greater of $43M and 100% of ceded obligations (ceded UPR, case reserves, IBNR, LAE, balances due), recalculated quarterly. Grantor to top up within 15 Business Days. No consent right over increases.</w:t>
            </w:r>
          </w:p>
        </w:tc>
      </w:tr>
      <w:tr>
        <w:tc>
          <w:tcPr>
            <w:tcW w:type="dxa" w:w="504"/>
          </w:tcPr>
          <w:p>
            <w:r/>
            <w:r>
              <w:rPr>
                <w:b w:val="0"/>
                <w:i w:val="0"/>
                <w:sz w:val="16"/>
              </w:rPr>
              <w:t>2</w:t>
            </w:r>
          </w:p>
        </w:tc>
        <w:tc>
          <w:tcPr>
            <w:tcW w:type="dxa" w:w="1512"/>
          </w:tcPr>
          <w:p>
            <w:r/>
            <w:r>
              <w:rPr>
                <w:b w:val="0"/>
                <w:i w:val="0"/>
                <w:sz w:val="16"/>
              </w:rPr>
              <w:t>Trust Art. VII, §1.10, §1.14, Ex. C; Treaty Art. XIII</w:t>
            </w:r>
          </w:p>
        </w:tc>
        <w:tc>
          <w:tcPr>
            <w:tcW w:type="dxa" w:w="3312"/>
          </w:tcPr>
          <w:p>
            <w:r/>
            <w:r>
              <w:rPr>
                <w:b w:val="0"/>
                <w:i w:val="0"/>
                <w:sz w:val="16"/>
              </w:rPr>
              <w:t>Grantor can reduce the trust and withdraw assets by unilateral Offset Notice. Offset reaches all agreements and survives indefinitely. Trust cross-references the wrong Treaty article (VIII instead of XIII).</w:t>
            </w:r>
          </w:p>
        </w:tc>
        <w:tc>
          <w:tcPr>
            <w:tcW w:type="dxa" w:w="936"/>
            <w:shd w:val="clear" w:color="auto" w:fill="F4CCCC"/>
          </w:tcPr>
          <w:p>
            <w:r/>
            <w:r>
              <w:rPr>
                <w:b w:val="0"/>
                <w:i w:val="0"/>
                <w:sz w:val="16"/>
              </w:rPr>
              <w:t>Critical</w:t>
            </w:r>
          </w:p>
        </w:tc>
        <w:tc>
          <w:tcPr>
            <w:tcW w:type="dxa" w:w="3096"/>
          </w:tcPr>
          <w:p>
            <w:r/>
            <w:r>
              <w:rPr>
                <w:b w:val="0"/>
                <w:i w:val="0"/>
                <w:sz w:val="16"/>
              </w:rPr>
              <w:t>Delete Trust Art. VII and Ex. C. No Grantor withdrawal without Beneficiary’s written consent. Limit Treaty offset to this Treaty, or make it subject to 215 ILCS 5/206 on insolvency, and exclude trust assets.</w:t>
            </w:r>
          </w:p>
        </w:tc>
      </w:tr>
      <w:tr>
        <w:tc>
          <w:tcPr>
            <w:tcW w:type="dxa" w:w="504"/>
          </w:tcPr>
          <w:p>
            <w:r/>
            <w:r>
              <w:rPr>
                <w:b w:val="0"/>
                <w:i w:val="0"/>
                <w:sz w:val="16"/>
              </w:rPr>
              <w:t>3</w:t>
            </w:r>
          </w:p>
        </w:tc>
        <w:tc>
          <w:tcPr>
            <w:tcW w:type="dxa" w:w="1512"/>
          </w:tcPr>
          <w:p>
            <w:r/>
            <w:r>
              <w:rPr>
                <w:b w:val="0"/>
                <w:i w:val="0"/>
                <w:sz w:val="16"/>
              </w:rPr>
              <w:t>Trust §§5.01–5.02, Ex. A</w:t>
            </w:r>
          </w:p>
        </w:tc>
        <w:tc>
          <w:tcPr>
            <w:tcW w:type="dxa" w:w="3312"/>
          </w:tcPr>
          <w:p>
            <w:r/>
            <w:r>
              <w:rPr>
                <w:b w:val="0"/>
                <w:i w:val="0"/>
                <w:sz w:val="16"/>
              </w:rPr>
              <w:t>Withdrawal is conditioned on a purpose certification, a 30-day past-due test and, for reserves, post-termination status. These are conditions beyond a simple demand on the Trustee.</w:t>
            </w:r>
          </w:p>
        </w:tc>
        <w:tc>
          <w:tcPr>
            <w:tcW w:type="dxa" w:w="936"/>
            <w:shd w:val="clear" w:color="auto" w:fill="F4CCCC"/>
          </w:tcPr>
          <w:p>
            <w:r/>
            <w:r>
              <w:rPr>
                <w:b w:val="0"/>
                <w:i w:val="0"/>
                <w:sz w:val="16"/>
              </w:rPr>
              <w:t>Critical</w:t>
            </w:r>
          </w:p>
        </w:tc>
        <w:tc>
          <w:tcPr>
            <w:tcW w:type="dxa" w:w="3096"/>
          </w:tcPr>
          <w:p>
            <w:r/>
            <w:r>
              <w:rPr>
                <w:b w:val="0"/>
                <w:i w:val="0"/>
                <w:sz w:val="16"/>
              </w:rPr>
              <w:t>Unconditional withdrawal on written notice to Trustee alone. Move the permitted-use covenants (with a return-of-excess obligation) into Treaty Art. XVIII.</w:t>
            </w:r>
          </w:p>
        </w:tc>
      </w:tr>
      <w:tr>
        <w:tc>
          <w:tcPr>
            <w:tcW w:type="dxa" w:w="504"/>
          </w:tcPr>
          <w:p>
            <w:r/>
            <w:r>
              <w:rPr>
                <w:b w:val="0"/>
                <w:i w:val="0"/>
                <w:sz w:val="16"/>
              </w:rPr>
              <w:t>4</w:t>
            </w:r>
          </w:p>
        </w:tc>
        <w:tc>
          <w:tcPr>
            <w:tcW w:type="dxa" w:w="1512"/>
          </w:tcPr>
          <w:p>
            <w:r/>
            <w:r>
              <w:rPr>
                <w:b w:val="0"/>
                <w:i w:val="0"/>
                <w:sz w:val="16"/>
              </w:rPr>
              <w:t>Trust §§4.03, 4.04, 6.05, 8.01–8.02, 6.02</w:t>
            </w:r>
          </w:p>
        </w:tc>
        <w:tc>
          <w:tcPr>
            <w:tcW w:type="dxa" w:w="3312"/>
          </w:tcPr>
          <w:p>
            <w:r/>
            <w:r>
              <w:rPr>
                <w:b w:val="0"/>
                <w:i w:val="0"/>
                <w:sz w:val="16"/>
              </w:rPr>
              <w:t>Substitution needs only notice. Termination can occur without 30 days’ prior notice. Trustee resignation is not conditioned on appointment of a successor. No 10-day notice of deposits and withdrawals. Grantor retains “equitable ownership” (§2.01).</w:t>
            </w:r>
          </w:p>
        </w:tc>
        <w:tc>
          <w:tcPr>
            <w:tcW w:type="dxa" w:w="936"/>
            <w:shd w:val="clear" w:color="auto" w:fill="F4CCCC"/>
          </w:tcPr>
          <w:p>
            <w:r/>
            <w:r>
              <w:rPr>
                <w:b w:val="0"/>
                <w:i w:val="0"/>
                <w:sz w:val="16"/>
              </w:rPr>
              <w:t>Critical</w:t>
            </w:r>
          </w:p>
        </w:tc>
        <w:tc>
          <w:tcPr>
            <w:tcW w:type="dxa" w:w="3096"/>
          </w:tcPr>
          <w:p>
            <w:r/>
            <w:r>
              <w:rPr>
                <w:b w:val="0"/>
                <w:i w:val="0"/>
                <w:sz w:val="16"/>
              </w:rPr>
              <w:t>Conform to NAIC Credit for Reinsurance Model Regulation trust requirements as adopted in Illinois. Beneficiary approval for substitutions. 30-day termination notice. Resignation effective only on successor appointment and asset transfer.</w:t>
            </w:r>
          </w:p>
        </w:tc>
      </w:tr>
      <w:tr>
        <w:tc>
          <w:tcPr>
            <w:tcW w:type="dxa" w:w="504"/>
          </w:tcPr>
          <w:p>
            <w:r/>
            <w:r>
              <w:rPr>
                <w:b w:val="0"/>
                <w:i w:val="0"/>
                <w:sz w:val="16"/>
              </w:rPr>
              <w:t>5</w:t>
            </w:r>
          </w:p>
        </w:tc>
        <w:tc>
          <w:tcPr>
            <w:tcW w:type="dxa" w:w="1512"/>
          </w:tcPr>
          <w:p>
            <w:r/>
            <w:r>
              <w:rPr>
                <w:b w:val="0"/>
                <w:i w:val="0"/>
                <w:sz w:val="16"/>
              </w:rPr>
              <w:t>Treaty Art. XV (no service of suit)</w:t>
            </w:r>
          </w:p>
        </w:tc>
        <w:tc>
          <w:tcPr>
            <w:tcW w:type="dxa" w:w="3312"/>
          </w:tcPr>
          <w:p>
            <w:r/>
            <w:r>
              <w:rPr>
                <w:b w:val="0"/>
                <w:i w:val="0"/>
                <w:sz w:val="16"/>
              </w:rPr>
              <w:t>No submission to U.S. jurisdiction, no agent for service of process, no undertaking to abide by a U.S. court or panel decision. Arbitration seat is Hamilton, Bermuda.</w:t>
            </w:r>
          </w:p>
        </w:tc>
        <w:tc>
          <w:tcPr>
            <w:tcW w:type="dxa" w:w="936"/>
            <w:shd w:val="clear" w:color="auto" w:fill="F4CCCC"/>
          </w:tcPr>
          <w:p>
            <w:r/>
            <w:r>
              <w:rPr>
                <w:b w:val="0"/>
                <w:i w:val="0"/>
                <w:sz w:val="16"/>
              </w:rPr>
              <w:t>Critical</w:t>
            </w:r>
          </w:p>
        </w:tc>
        <w:tc>
          <w:tcPr>
            <w:tcW w:type="dxa" w:w="3096"/>
          </w:tcPr>
          <w:p>
            <w:r/>
            <w:r>
              <w:rPr>
                <w:b w:val="0"/>
                <w:i w:val="0"/>
                <w:sz w:val="16"/>
              </w:rPr>
              <w:t>Add a standard Service of Suit clause (U.S. agent; abide by final decision). Position it within Argonaut Re’s offered carve-out for “provisions expressly required by Illinois statute.”</w:t>
            </w:r>
          </w:p>
        </w:tc>
      </w:tr>
      <w:tr>
        <w:tc>
          <w:tcPr>
            <w:tcW w:type="dxa" w:w="504"/>
          </w:tcPr>
          <w:p>
            <w:r/>
            <w:r>
              <w:rPr>
                <w:b w:val="0"/>
                <w:i w:val="0"/>
                <w:sz w:val="16"/>
              </w:rPr>
              <w:t>6</w:t>
            </w:r>
          </w:p>
        </w:tc>
        <w:tc>
          <w:tcPr>
            <w:tcW w:type="dxa" w:w="1512"/>
          </w:tcPr>
          <w:p>
            <w:r/>
            <w:r>
              <w:rPr>
                <w:b w:val="0"/>
                <w:i w:val="0"/>
                <w:sz w:val="16"/>
              </w:rPr>
              <w:t>Treaty §§16.2–16.3</w:t>
            </w:r>
          </w:p>
        </w:tc>
        <w:tc>
          <w:tcPr>
            <w:tcW w:type="dxa" w:w="3312"/>
          </w:tcPr>
          <w:p>
            <w:r/>
            <w:r>
              <w:rPr>
                <w:b w:val="0"/>
                <w:i w:val="0"/>
                <w:sz w:val="16"/>
              </w:rPr>
              <w:t>Intermediary clause reversed: reinsurer payment to B&amp;R is deemed payment to Pinnacle, and Pinnacle payment to B&amp;R is not deemed payment to Argonaut Re.</w:t>
            </w:r>
          </w:p>
        </w:tc>
        <w:tc>
          <w:tcPr>
            <w:tcW w:type="dxa" w:w="936"/>
            <w:shd w:val="clear" w:color="auto" w:fill="F4CCCC"/>
          </w:tcPr>
          <w:p>
            <w:r/>
            <w:r>
              <w:rPr>
                <w:b w:val="0"/>
                <w:i w:val="0"/>
                <w:sz w:val="16"/>
              </w:rPr>
              <w:t>Critical</w:t>
            </w:r>
          </w:p>
        </w:tc>
        <w:tc>
          <w:tcPr>
            <w:tcW w:type="dxa" w:w="3096"/>
          </w:tcPr>
          <w:p>
            <w:r/>
            <w:r>
              <w:rPr>
                <w:b w:val="0"/>
                <w:i w:val="0"/>
                <w:sz w:val="16"/>
              </w:rPr>
              <w:t>Replace with the regulator-form clause: Company payments to Intermediary = payment to Reinsurer; Reinsurer payments = payment to Company only when actually received.</w:t>
            </w:r>
          </w:p>
        </w:tc>
      </w:tr>
      <w:tr>
        <w:tc>
          <w:tcPr>
            <w:tcW w:type="dxa" w:w="504"/>
          </w:tcPr>
          <w:p>
            <w:r/>
            <w:r>
              <w:rPr>
                <w:b w:val="0"/>
                <w:i w:val="0"/>
                <w:sz w:val="16"/>
              </w:rPr>
              <w:t>7</w:t>
            </w:r>
          </w:p>
        </w:tc>
        <w:tc>
          <w:tcPr>
            <w:tcW w:type="dxa" w:w="1512"/>
          </w:tcPr>
          <w:p>
            <w:r/>
            <w:r>
              <w:rPr>
                <w:b w:val="0"/>
                <w:i w:val="0"/>
                <w:sz w:val="16"/>
              </w:rPr>
              <w:t>Treaty Art. XIV</w:t>
            </w:r>
          </w:p>
        </w:tc>
        <w:tc>
          <w:tcPr>
            <w:tcW w:type="dxa" w:w="3312"/>
          </w:tcPr>
          <w:p>
            <w:r/>
            <w:r>
              <w:rPr>
                <w:b w:val="0"/>
                <w:i w:val="0"/>
                <w:sz w:val="16"/>
              </w:rPr>
              <w:t>Insolvency clause departs from the statutory form: filing obligation is backwards; payment to the liquidator is not expressed; interposition extends to “defenses available to the Reinsurer”; expense allocation is not statutory.</w:t>
            </w:r>
          </w:p>
        </w:tc>
        <w:tc>
          <w:tcPr>
            <w:tcW w:type="dxa" w:w="936"/>
            <w:shd w:val="clear" w:color="auto" w:fill="F4CCCC"/>
          </w:tcPr>
          <w:p>
            <w:r/>
            <w:r>
              <w:rPr>
                <w:b w:val="0"/>
                <w:i w:val="0"/>
                <w:sz w:val="16"/>
              </w:rPr>
              <w:t>Critical</w:t>
            </w:r>
          </w:p>
        </w:tc>
        <w:tc>
          <w:tcPr>
            <w:tcW w:type="dxa" w:w="3096"/>
          </w:tcPr>
          <w:p>
            <w:r/>
            <w:r>
              <w:rPr>
                <w:b w:val="0"/>
                <w:i w:val="0"/>
                <w:sz w:val="16"/>
              </w:rPr>
              <w:t>Restate in Illinois statutory form (payable to Company or its liquidator, receiver or statutory successor on the basis of claims allowed; liquidator to give notice; reinsurer may interpose defenses available to the Company; expense per statute). Confirm cut-off of offset under 215 ILCS 5/206.</w:t>
            </w:r>
          </w:p>
        </w:tc>
      </w:tr>
      <w:tr>
        <w:tc>
          <w:tcPr>
            <w:tcW w:type="dxa" w:w="504"/>
          </w:tcPr>
          <w:p>
            <w:r/>
            <w:r>
              <w:rPr>
                <w:b w:val="0"/>
                <w:i w:val="0"/>
                <w:sz w:val="16"/>
              </w:rPr>
              <w:t>8</w:t>
            </w:r>
          </w:p>
        </w:tc>
        <w:tc>
          <w:tcPr>
            <w:tcW w:type="dxa" w:w="1512"/>
          </w:tcPr>
          <w:p>
            <w:r/>
            <w:r>
              <w:rPr>
                <w:b w:val="0"/>
                <w:i w:val="0"/>
                <w:sz w:val="16"/>
              </w:rPr>
              <w:t>Treaty §§2.1, 23.2; Correspondence</w:t>
            </w:r>
          </w:p>
        </w:tc>
        <w:tc>
          <w:tcPr>
            <w:tcW w:type="dxa" w:w="3312"/>
          </w:tcPr>
          <w:p>
            <w:r/>
            <w:r>
              <w:rPr>
                <w:b w:val="0"/>
                <w:i w:val="0"/>
                <w:sz w:val="16"/>
              </w:rPr>
              <w:t>No binder or LOI for the January 1 to binding gap. About $16M of premium per month is being written. Trust is unfunded until 10 Business Days after execution. Q1 2025 statutory credit is at risk. Known-loss and retroactive-accounting questions arise.</w:t>
            </w:r>
          </w:p>
        </w:tc>
        <w:tc>
          <w:tcPr>
            <w:tcW w:type="dxa" w:w="936"/>
            <w:shd w:val="clear" w:color="auto" w:fill="F4CCCC"/>
          </w:tcPr>
          <w:p>
            <w:r/>
            <w:r>
              <w:rPr>
                <w:b w:val="0"/>
                <w:i w:val="0"/>
                <w:sz w:val="16"/>
              </w:rPr>
              <w:t>Critical</w:t>
            </w:r>
          </w:p>
        </w:tc>
        <w:tc>
          <w:tcPr>
            <w:tcW w:type="dxa" w:w="3096"/>
          </w:tcPr>
          <w:p>
            <w:r/>
            <w:r>
              <w:rPr>
                <w:b w:val="0"/>
                <w:i w:val="0"/>
                <w:sz w:val="16"/>
              </w:rPr>
              <w:t>Executed binding instrument now (signed placement slip, binder or executed Treaty with open items in a side schedule), trust funded before 3/31/2025, and a no-known-loss representation framework. Escalate to the CEO level.</w:t>
            </w:r>
          </w:p>
        </w:tc>
      </w:tr>
      <w:tr>
        <w:tc>
          <w:tcPr>
            <w:tcW w:type="dxa" w:w="504"/>
          </w:tcPr>
          <w:p>
            <w:r/>
            <w:r>
              <w:rPr>
                <w:b w:val="0"/>
                <w:i w:val="0"/>
                <w:sz w:val="16"/>
              </w:rPr>
              <w:t>9</w:t>
            </w:r>
          </w:p>
        </w:tc>
        <w:tc>
          <w:tcPr>
            <w:tcW w:type="dxa" w:w="1512"/>
          </w:tcPr>
          <w:p>
            <w:r/>
            <w:r>
              <w:rPr>
                <w:b w:val="0"/>
                <w:i w:val="0"/>
                <w:sz w:val="16"/>
              </w:rPr>
              <w:t>Treaty Arts. VI–VIII, XVII; Lakeshore Report</w:t>
            </w:r>
          </w:p>
        </w:tc>
        <w:tc>
          <w:tcPr>
            <w:tcW w:type="dxa" w:w="3312"/>
          </w:tcPr>
          <w:p>
            <w:r/>
            <w:r>
              <w:rPr>
                <w:b w:val="0"/>
                <w:i w:val="0"/>
                <w:sz w:val="16"/>
              </w:rPr>
              <w:t>SSAP No. 62R risk-transfer analysis not performed. The aggregate limit, sliding scale, profit commission and deficit extinguishment all compress the reinsurer’s downside.</w:t>
            </w:r>
          </w:p>
        </w:tc>
        <w:tc>
          <w:tcPr>
            <w:tcW w:type="dxa" w:w="936"/>
            <w:shd w:val="clear" w:color="auto" w:fill="F4CCCC"/>
          </w:tcPr>
          <w:p>
            <w:r/>
            <w:r>
              <w:rPr>
                <w:b w:val="0"/>
                <w:i w:val="0"/>
                <w:sz w:val="16"/>
              </w:rPr>
              <w:t>Critical</w:t>
            </w:r>
          </w:p>
        </w:tc>
        <w:tc>
          <w:tcPr>
            <w:tcW w:type="dxa" w:w="3096"/>
          </w:tcPr>
          <w:p>
            <w:r/>
            <w:r>
              <w:rPr>
                <w:b w:val="0"/>
                <w:i w:val="0"/>
                <w:sz w:val="16"/>
              </w:rPr>
              <w:t>Commission a formal risk-transfer analysis (expected reinsurer deficit / 10-10 test) before execution. Officers’ risk-transfer attestation will be required.</w:t>
            </w:r>
          </w:p>
        </w:tc>
      </w:tr>
      <w:tr>
        <w:tc>
          <w:tcPr>
            <w:tcW w:type="dxa" w:w="504"/>
          </w:tcPr>
          <w:p>
            <w:r/>
            <w:r>
              <w:rPr>
                <w:b w:val="0"/>
                <w:i w:val="0"/>
                <w:sz w:val="16"/>
              </w:rPr>
              <w:t>10</w:t>
            </w:r>
          </w:p>
        </w:tc>
        <w:tc>
          <w:tcPr>
            <w:tcW w:type="dxa" w:w="1512"/>
          </w:tcPr>
          <w:p>
            <w:r/>
            <w:r>
              <w:rPr>
                <w:b w:val="0"/>
                <w:i w:val="0"/>
                <w:sz w:val="16"/>
              </w:rPr>
              <w:t>Treaty §§11.4–11.7, Sch. D</w:t>
            </w:r>
          </w:p>
        </w:tc>
        <w:tc>
          <w:tcPr>
            <w:tcW w:type="dxa" w:w="3312"/>
          </w:tcPr>
          <w:p>
            <w:r/>
            <w:r>
              <w:rPr>
                <w:b w:val="0"/>
                <w:i w:val="0"/>
                <w:sz w:val="16"/>
              </w:rPr>
              <w:t>Consent at $500K and association/“control” at $750K (Argonaut Re’s 30% share: $150K and $225K). No response deadline, no reasonableness standard, no consequence for withholding. ECO/XPL excluded.</w:t>
            </w:r>
          </w:p>
        </w:tc>
        <w:tc>
          <w:tcPr>
            <w:tcW w:type="dxa" w:w="936"/>
            <w:shd w:val="clear" w:color="auto" w:fill="FCE5CD"/>
          </w:tcPr>
          <w:p>
            <w:r/>
            <w:r>
              <w:rPr>
                <w:b w:val="0"/>
                <w:i w:val="0"/>
                <w:sz w:val="16"/>
              </w:rPr>
              <w:t>High</w:t>
            </w:r>
          </w:p>
        </w:tc>
        <w:tc>
          <w:tcPr>
            <w:tcW w:type="dxa" w:w="3096"/>
          </w:tcPr>
          <w:p>
            <w:r/>
            <w:r>
              <w:rPr>
                <w:b w:val="0"/>
                <w:i w:val="0"/>
                <w:sz w:val="16"/>
              </w:rPr>
              <w:t>Accept Argonaut Re’s offered $750K/$1M at minimum and seek $1M/$2M. Consent not to be unreasonably withheld. Fallback for deemed consent: escalation timetable, and a rule that if consent is withheld and a verdict exceeds the offer, Argonaut Re bears its 30% share of the excess and resulting ECO/XPL. Delete “control.”</w:t>
            </w:r>
          </w:p>
        </w:tc>
      </w:tr>
      <w:tr>
        <w:tc>
          <w:tcPr>
            <w:tcW w:type="dxa" w:w="504"/>
          </w:tcPr>
          <w:p>
            <w:r/>
            <w:r>
              <w:rPr>
                <w:b w:val="0"/>
                <w:i w:val="0"/>
                <w:sz w:val="16"/>
              </w:rPr>
              <w:t>11</w:t>
            </w:r>
          </w:p>
        </w:tc>
        <w:tc>
          <w:tcPr>
            <w:tcW w:type="dxa" w:w="1512"/>
          </w:tcPr>
          <w:p>
            <w:r/>
            <w:r>
              <w:rPr>
                <w:b w:val="0"/>
                <w:i w:val="0"/>
                <w:sz w:val="16"/>
              </w:rPr>
              <w:t>Treaty (missing)</w:t>
            </w:r>
          </w:p>
        </w:tc>
        <w:tc>
          <w:tcPr>
            <w:tcW w:type="dxa" w:w="3312"/>
          </w:tcPr>
          <w:p>
            <w:r/>
            <w:r>
              <w:rPr>
                <w:b w:val="0"/>
                <w:i w:val="0"/>
                <w:sz w:val="16"/>
              </w:rPr>
              <w:t>No follow-the-settlements / follow-the-fortunes clause and no errors-and-omissions clause.</w:t>
            </w:r>
          </w:p>
        </w:tc>
        <w:tc>
          <w:tcPr>
            <w:tcW w:type="dxa" w:w="936"/>
            <w:shd w:val="clear" w:color="auto" w:fill="FCE5CD"/>
          </w:tcPr>
          <w:p>
            <w:r/>
            <w:r>
              <w:rPr>
                <w:b w:val="0"/>
                <w:i w:val="0"/>
                <w:sz w:val="16"/>
              </w:rPr>
              <w:t>High</w:t>
            </w:r>
          </w:p>
        </w:tc>
        <w:tc>
          <w:tcPr>
            <w:tcW w:type="dxa" w:w="3096"/>
          </w:tcPr>
          <w:p>
            <w:r/>
            <w:r>
              <w:rPr>
                <w:b w:val="0"/>
                <w:i w:val="0"/>
                <w:sz w:val="16"/>
              </w:rPr>
              <w:t>Add both. Make clear that settlements made in good faith within the consent framework bind the reinsurer.</w:t>
            </w:r>
          </w:p>
        </w:tc>
      </w:tr>
      <w:tr>
        <w:tc>
          <w:tcPr>
            <w:tcW w:type="dxa" w:w="504"/>
          </w:tcPr>
          <w:p>
            <w:r/>
            <w:r>
              <w:rPr>
                <w:b w:val="0"/>
                <w:i w:val="0"/>
                <w:sz w:val="16"/>
              </w:rPr>
              <w:t>12</w:t>
            </w:r>
          </w:p>
        </w:tc>
        <w:tc>
          <w:tcPr>
            <w:tcW w:type="dxa" w:w="1512"/>
          </w:tcPr>
          <w:p>
            <w:r/>
            <w:r>
              <w:rPr>
                <w:b w:val="0"/>
                <w:i w:val="0"/>
                <w:sz w:val="16"/>
              </w:rPr>
              <w:t>Treaty (missing); §22.4</w:t>
            </w:r>
          </w:p>
        </w:tc>
        <w:tc>
          <w:tcPr>
            <w:tcW w:type="dxa" w:w="3312"/>
          </w:tcPr>
          <w:p>
            <w:r/>
            <w:r>
              <w:rPr>
                <w:b w:val="0"/>
                <w:i w:val="0"/>
                <w:sz w:val="16"/>
              </w:rPr>
              <w:t>No downgrade or special-termination rights, no cash call, no collateral step-up on downgrade, and assignment allowed by assumption reinsurance without consent.</w:t>
            </w:r>
          </w:p>
        </w:tc>
        <w:tc>
          <w:tcPr>
            <w:tcW w:type="dxa" w:w="936"/>
            <w:shd w:val="clear" w:color="auto" w:fill="FCE5CD"/>
          </w:tcPr>
          <w:p>
            <w:r/>
            <w:r>
              <w:rPr>
                <w:b w:val="0"/>
                <w:i w:val="0"/>
                <w:sz w:val="16"/>
              </w:rPr>
              <w:t>High</w:t>
            </w:r>
          </w:p>
        </w:tc>
        <w:tc>
          <w:tcPr>
            <w:tcW w:type="dxa" w:w="3096"/>
          </w:tcPr>
          <w:p>
            <w:r/>
            <w:r>
              <w:rPr>
                <w:b w:val="0"/>
                <w:i w:val="0"/>
                <w:sz w:val="16"/>
              </w:rPr>
              <w:t>Special termination and/or 102% collateral or funds-withheld on: S&amp;P below BBB, a 20% drop in capital, BMA action, change of control, or a trust deficiency not cured. Cash call for losses over $1M (100%). Require Company consent for any novation.</w:t>
            </w:r>
          </w:p>
        </w:tc>
      </w:tr>
      <w:tr>
        <w:tc>
          <w:tcPr>
            <w:tcW w:type="dxa" w:w="504"/>
          </w:tcPr>
          <w:p>
            <w:r/>
            <w:r>
              <w:rPr>
                <w:b w:val="0"/>
                <w:i w:val="0"/>
                <w:sz w:val="16"/>
              </w:rPr>
              <w:t>13</w:t>
            </w:r>
          </w:p>
        </w:tc>
        <w:tc>
          <w:tcPr>
            <w:tcW w:type="dxa" w:w="1512"/>
          </w:tcPr>
          <w:p>
            <w:r/>
            <w:r>
              <w:rPr>
                <w:b w:val="0"/>
                <w:i w:val="0"/>
                <w:sz w:val="16"/>
              </w:rPr>
              <w:t>Treaty Art. XVII</w:t>
            </w:r>
          </w:p>
        </w:tc>
        <w:tc>
          <w:tcPr>
            <w:tcW w:type="dxa" w:w="3312"/>
          </w:tcPr>
          <w:p>
            <w:r/>
            <w:r>
              <w:rPr>
                <w:b w:val="0"/>
                <w:i w:val="0"/>
                <w:sz w:val="16"/>
              </w:rPr>
              <w:t>Either party may commute from 1/1/2029. Commutation Amount factors omit IBNR. An actuary’s determination is binding.</w:t>
            </w:r>
          </w:p>
        </w:tc>
        <w:tc>
          <w:tcPr>
            <w:tcW w:type="dxa" w:w="936"/>
            <w:shd w:val="clear" w:color="auto" w:fill="FCE5CD"/>
          </w:tcPr>
          <w:p>
            <w:r/>
            <w:r>
              <w:rPr>
                <w:b w:val="0"/>
                <w:i w:val="0"/>
                <w:sz w:val="16"/>
              </w:rPr>
              <w:t>High</w:t>
            </w:r>
          </w:p>
        </w:tc>
        <w:tc>
          <w:tcPr>
            <w:tcW w:type="dxa" w:w="3096"/>
          </w:tcPr>
          <w:p>
            <w:r/>
            <w:r>
              <w:rPr>
                <w:b w:val="0"/>
                <w:i w:val="0"/>
                <w:sz w:val="16"/>
              </w:rPr>
              <w:t>Commutation only by mutual agreement (or at Pinnacle’s sole option). Value must include IBNR, ULAE (if covered), development and discounting methodology.</w:t>
            </w:r>
          </w:p>
        </w:tc>
      </w:tr>
      <w:tr>
        <w:tc>
          <w:tcPr>
            <w:tcW w:type="dxa" w:w="504"/>
          </w:tcPr>
          <w:p>
            <w:r/>
            <w:r>
              <w:rPr>
                <w:b w:val="0"/>
                <w:i w:val="0"/>
                <w:sz w:val="16"/>
              </w:rPr>
              <w:t>14</w:t>
            </w:r>
          </w:p>
        </w:tc>
        <w:tc>
          <w:tcPr>
            <w:tcW w:type="dxa" w:w="1512"/>
          </w:tcPr>
          <w:p>
            <w:r/>
            <w:r>
              <w:rPr>
                <w:b w:val="0"/>
                <w:i w:val="0"/>
                <w:sz w:val="16"/>
              </w:rPr>
              <w:t>Treaty Art. XV</w:t>
            </w:r>
          </w:p>
        </w:tc>
        <w:tc>
          <w:tcPr>
            <w:tcW w:type="dxa" w:w="3312"/>
          </w:tcPr>
          <w:p>
            <w:r/>
            <w:r>
              <w:rPr>
                <w:b w:val="0"/>
                <w:i w:val="0"/>
                <w:sz w:val="16"/>
              </w:rPr>
              <w:t>Bermuda law and seat; the 1986 Act may be the wrong statute for an international arbitration; “President of BICA” appointing authority is unclear; fee-shifting; merits appeal waived; no interim-relief carve-out; honorable-engagement wording conflicts with §22.1.</w:t>
            </w:r>
          </w:p>
        </w:tc>
        <w:tc>
          <w:tcPr>
            <w:tcW w:type="dxa" w:w="936"/>
            <w:shd w:val="clear" w:color="auto" w:fill="FCE5CD"/>
          </w:tcPr>
          <w:p>
            <w:r/>
            <w:r>
              <w:rPr>
                <w:b w:val="0"/>
                <w:i w:val="0"/>
                <w:sz w:val="16"/>
              </w:rPr>
              <w:t>High</w:t>
            </w:r>
          </w:p>
        </w:tc>
        <w:tc>
          <w:tcPr>
            <w:tcW w:type="dxa" w:w="3096"/>
          </w:tcPr>
          <w:p>
            <w:r/>
            <w:r>
              <w:rPr>
                <w:b w:val="0"/>
                <w:i w:val="0"/>
                <w:sz w:val="16"/>
              </w:rPr>
              <w:t>Fallbacks: delete fee-shifting or limit it to bad faith; name a workable appointing authority; carve out court interim relief and trust and credit-for-reinsurance matters; ensure the Illinois-law carve-out covers Arts. XIII, XIV, XVI and XVIII and service of suit.</w:t>
            </w:r>
          </w:p>
        </w:tc>
      </w:tr>
      <w:tr>
        <w:tc>
          <w:tcPr>
            <w:tcW w:type="dxa" w:w="504"/>
          </w:tcPr>
          <w:p>
            <w:r/>
            <w:r>
              <w:rPr>
                <w:b w:val="0"/>
                <w:i w:val="0"/>
                <w:sz w:val="16"/>
              </w:rPr>
              <w:t>15</w:t>
            </w:r>
          </w:p>
        </w:tc>
        <w:tc>
          <w:tcPr>
            <w:tcW w:type="dxa" w:w="1512"/>
          </w:tcPr>
          <w:p>
            <w:r/>
            <w:r>
              <w:rPr>
                <w:b w:val="0"/>
                <w:i w:val="0"/>
                <w:sz w:val="16"/>
              </w:rPr>
              <w:t>Treaty Art. XIX</w:t>
            </w:r>
          </w:p>
        </w:tc>
        <w:tc>
          <w:tcPr>
            <w:tcW w:type="dxa" w:w="3312"/>
          </w:tcPr>
          <w:p>
            <w:r/>
            <w:r>
              <w:rPr>
                <w:b w:val="0"/>
                <w:i w:val="0"/>
                <w:sz w:val="16"/>
              </w:rPr>
              <w:t>Pinnacle bears 100% of the 1% federal excise tax on premiums ceded to a foreign reinsurer (about $579K on $57.9M), with no recovery.</w:t>
            </w:r>
          </w:p>
        </w:tc>
        <w:tc>
          <w:tcPr>
            <w:tcW w:type="dxa" w:w="936"/>
            <w:shd w:val="clear" w:color="auto" w:fill="FFF2CC"/>
          </w:tcPr>
          <w:p>
            <w:r/>
            <w:r>
              <w:rPr>
                <w:b w:val="0"/>
                <w:i w:val="0"/>
                <w:sz w:val="16"/>
              </w:rPr>
              <w:t>Medium</w:t>
            </w:r>
          </w:p>
        </w:tc>
        <w:tc>
          <w:tcPr>
            <w:tcW w:type="dxa" w:w="3096"/>
          </w:tcPr>
          <w:p>
            <w:r/>
            <w:r>
              <w:rPr>
                <w:b w:val="0"/>
                <w:i w:val="0"/>
                <w:sz w:val="16"/>
              </w:rPr>
              <w:t>FET for the Reinsurer’s account (deducted from premium), as is typical, or reflected in the commission.</w:t>
            </w:r>
          </w:p>
        </w:tc>
      </w:tr>
      <w:tr>
        <w:tc>
          <w:tcPr>
            <w:tcW w:type="dxa" w:w="504"/>
          </w:tcPr>
          <w:p>
            <w:r/>
            <w:r>
              <w:rPr>
                <w:b w:val="0"/>
                <w:i w:val="0"/>
                <w:sz w:val="16"/>
              </w:rPr>
              <w:t>16</w:t>
            </w:r>
          </w:p>
        </w:tc>
        <w:tc>
          <w:tcPr>
            <w:tcW w:type="dxa" w:w="1512"/>
          </w:tcPr>
          <w:p>
            <w:r/>
            <w:r>
              <w:rPr>
                <w:b w:val="0"/>
                <w:i w:val="0"/>
                <w:sz w:val="16"/>
              </w:rPr>
              <w:t>Treaty §§8.3–8.4, Sch. C</w:t>
            </w:r>
          </w:p>
        </w:tc>
        <w:tc>
          <w:tcPr>
            <w:tcW w:type="dxa" w:w="3312"/>
          </w:tcPr>
          <w:p>
            <w:r/>
            <w:r>
              <w:rPr>
                <w:b w:val="0"/>
                <w:i w:val="0"/>
                <w:sz w:val="16"/>
              </w:rPr>
              <w:t>Deficit carryforward double-counts: each recalculation is already cumulative, yet prior “Deficits” also carry forward. Sch. C.3 arithmetic is wrong (ceded losses $36,071,700, not $36,082,000; deficit $(1,378,020), not $(1,388,000)).</w:t>
            </w:r>
          </w:p>
        </w:tc>
        <w:tc>
          <w:tcPr>
            <w:tcW w:type="dxa" w:w="936"/>
            <w:shd w:val="clear" w:color="auto" w:fill="FFF2CC"/>
          </w:tcPr>
          <w:p>
            <w:r/>
            <w:r>
              <w:rPr>
                <w:b w:val="0"/>
                <w:i w:val="0"/>
                <w:sz w:val="16"/>
              </w:rPr>
              <w:t>Medium</w:t>
            </w:r>
          </w:p>
        </w:tc>
        <w:tc>
          <w:tcPr>
            <w:tcW w:type="dxa" w:w="3096"/>
          </w:tcPr>
          <w:p>
            <w:r/>
            <w:r>
              <w:rPr>
                <w:b w:val="0"/>
                <w:i w:val="0"/>
                <w:sz w:val="16"/>
              </w:rPr>
              <w:t>Clarify that the PC is calculated cumulatively with no separate carryforward within the single Treaty Year, and that a deficit carries only to a renewal. Correct Sch. C.</w:t>
            </w:r>
          </w:p>
        </w:tc>
      </w:tr>
      <w:tr>
        <w:tc>
          <w:tcPr>
            <w:tcW w:type="dxa" w:w="504"/>
          </w:tcPr>
          <w:p>
            <w:r/>
            <w:r>
              <w:rPr>
                <w:b w:val="0"/>
                <w:i w:val="0"/>
                <w:sz w:val="16"/>
              </w:rPr>
              <w:t>17</w:t>
            </w:r>
          </w:p>
        </w:tc>
        <w:tc>
          <w:tcPr>
            <w:tcW w:type="dxa" w:w="1512"/>
          </w:tcPr>
          <w:p>
            <w:r/>
            <w:r>
              <w:rPr>
                <w:b w:val="0"/>
                <w:i w:val="0"/>
                <w:sz w:val="16"/>
              </w:rPr>
              <w:t>Treaty §§7.1–7.3, Sch. B</w:t>
            </w:r>
          </w:p>
        </w:tc>
        <w:tc>
          <w:tcPr>
            <w:tcW w:type="dxa" w:w="3312"/>
          </w:tcPr>
          <w:p>
            <w:r/>
            <w:r>
              <w:rPr>
                <w:b w:val="0"/>
                <w:i w:val="0"/>
                <w:sz w:val="16"/>
              </w:rPr>
              <w:t>Provisional commission of 34% sits below the expected 35.08%, so about $625K is held by the reinsurer until the first adjustment at 12/31/2026. There is a band gap between 55.00% and 55.01%.</w:t>
            </w:r>
          </w:p>
        </w:tc>
        <w:tc>
          <w:tcPr>
            <w:tcW w:type="dxa" w:w="936"/>
            <w:shd w:val="clear" w:color="auto" w:fill="FFF2CC"/>
          </w:tcPr>
          <w:p>
            <w:r/>
            <w:r>
              <w:rPr>
                <w:b w:val="0"/>
                <w:i w:val="0"/>
                <w:sz w:val="16"/>
              </w:rPr>
              <w:t>Medium</w:t>
            </w:r>
          </w:p>
        </w:tc>
        <w:tc>
          <w:tcPr>
            <w:tcW w:type="dxa" w:w="3096"/>
          </w:tcPr>
          <w:p>
            <w:r/>
            <w:r>
              <w:rPr>
                <w:b w:val="0"/>
                <w:i w:val="0"/>
                <w:sz w:val="16"/>
              </w:rPr>
              <w:t>Provisional 35%, or an interim adjustment at 12/31/2025. Define bands as “greater than 55.00% and up to 65.00%.”</w:t>
            </w:r>
          </w:p>
        </w:tc>
      </w:tr>
      <w:tr>
        <w:tc>
          <w:tcPr>
            <w:tcW w:type="dxa" w:w="504"/>
          </w:tcPr>
          <w:p>
            <w:r/>
            <w:r>
              <w:rPr>
                <w:b w:val="0"/>
                <w:i w:val="0"/>
                <w:sz w:val="16"/>
              </w:rPr>
              <w:t>18</w:t>
            </w:r>
          </w:p>
        </w:tc>
        <w:tc>
          <w:tcPr>
            <w:tcW w:type="dxa" w:w="1512"/>
          </w:tcPr>
          <w:p>
            <w:r/>
            <w:r>
              <w:rPr>
                <w:b w:val="0"/>
                <w:i w:val="0"/>
                <w:sz w:val="16"/>
              </w:rPr>
              <w:t>Treaty §§1.1, 6.1–6.4</w:t>
            </w:r>
          </w:p>
        </w:tc>
        <w:tc>
          <w:tcPr>
            <w:tcW w:type="dxa" w:w="3312"/>
          </w:tcPr>
          <w:p>
            <w:r/>
            <w:r>
              <w:rPr>
                <w:b w:val="0"/>
                <w:i w:val="0"/>
                <w:sz w:val="16"/>
              </w:rPr>
              <w:t>Aggregate Limit applies to losses “during the Treaty Year.” On a risks-attaching basis this is ambiguous for losses occurring or developing after 12/31/2025. Limit-exhaustion economics have not been modeled.</w:t>
            </w:r>
          </w:p>
        </w:tc>
        <w:tc>
          <w:tcPr>
            <w:tcW w:type="dxa" w:w="936"/>
            <w:shd w:val="clear" w:color="auto" w:fill="FFF2CC"/>
          </w:tcPr>
          <w:p>
            <w:r/>
            <w:r>
              <w:rPr>
                <w:b w:val="0"/>
                <w:i w:val="0"/>
                <w:sz w:val="16"/>
              </w:rPr>
              <w:t>Medium</w:t>
            </w:r>
          </w:p>
        </w:tc>
        <w:tc>
          <w:tcPr>
            <w:tcW w:type="dxa" w:w="3096"/>
          </w:tcPr>
          <w:p>
            <w:r/>
            <w:r>
              <w:rPr>
                <w:b w:val="0"/>
                <w:i w:val="0"/>
                <w:sz w:val="16"/>
              </w:rPr>
              <w:t>Limit applies to all Ceded Losses on Subject Business attaching during the Treaty Period, whenever occurring or paid. Model the exhaustion and minimum-commission interaction.</w:t>
            </w:r>
          </w:p>
        </w:tc>
      </w:tr>
      <w:tr>
        <w:tc>
          <w:tcPr>
            <w:tcW w:type="dxa" w:w="504"/>
          </w:tcPr>
          <w:p>
            <w:r/>
            <w:r>
              <w:rPr>
                <w:b w:val="0"/>
                <w:i w:val="0"/>
                <w:sz w:val="16"/>
              </w:rPr>
              <w:t>19</w:t>
            </w:r>
          </w:p>
        </w:tc>
        <w:tc>
          <w:tcPr>
            <w:tcW w:type="dxa" w:w="1512"/>
          </w:tcPr>
          <w:p>
            <w:r/>
            <w:r>
              <w:rPr>
                <w:b w:val="0"/>
                <w:i w:val="0"/>
                <w:sz w:val="16"/>
              </w:rPr>
              <w:t>Treaty §§3.4, A.1</w:t>
            </w:r>
          </w:p>
        </w:tc>
        <w:tc>
          <w:tcPr>
            <w:tcW w:type="dxa" w:w="3312"/>
          </w:tcPr>
          <w:p>
            <w:r/>
            <w:r>
              <w:rPr>
                <w:b w:val="0"/>
                <w:i w:val="0"/>
                <w:sz w:val="16"/>
              </w:rPr>
              <w:t>Exclusions are absolute rather than follow-form: pollution exposures within CGL forms, cyber/data “endorsements,” and E&amp;O in packages. This creates coverage gaps that Pinnacle retains at 100%.</w:t>
            </w:r>
          </w:p>
        </w:tc>
        <w:tc>
          <w:tcPr>
            <w:tcW w:type="dxa" w:w="936"/>
            <w:shd w:val="clear" w:color="auto" w:fill="FFF2CC"/>
          </w:tcPr>
          <w:p>
            <w:r/>
            <w:r>
              <w:rPr>
                <w:b w:val="0"/>
                <w:i w:val="0"/>
                <w:sz w:val="16"/>
              </w:rPr>
              <w:t>Medium</w:t>
            </w:r>
          </w:p>
        </w:tc>
        <w:tc>
          <w:tcPr>
            <w:tcW w:type="dxa" w:w="3096"/>
          </w:tcPr>
          <w:p>
            <w:r/>
            <w:r>
              <w:rPr>
                <w:b w:val="0"/>
                <w:i w:val="0"/>
                <w:sz w:val="16"/>
              </w:rPr>
              <w:t>Exclusions to apply only to the extent the original policies are not written subject to standard exclusions. For endorsements, exclude only the endorsement’s premium and loss.</w:t>
            </w:r>
          </w:p>
        </w:tc>
      </w:tr>
      <w:tr>
        <w:tc>
          <w:tcPr>
            <w:tcW w:type="dxa" w:w="504"/>
          </w:tcPr>
          <w:p>
            <w:r/>
            <w:r>
              <w:rPr>
                <w:b w:val="0"/>
                <w:i w:val="0"/>
                <w:sz w:val="16"/>
              </w:rPr>
              <w:t>20</w:t>
            </w:r>
          </w:p>
        </w:tc>
        <w:tc>
          <w:tcPr>
            <w:tcW w:type="dxa" w:w="1512"/>
          </w:tcPr>
          <w:p>
            <w:r/>
            <w:r>
              <w:rPr>
                <w:b w:val="0"/>
                <w:i w:val="0"/>
                <w:sz w:val="16"/>
              </w:rPr>
              <w:t>Treaty §§3.2, 9.6, 22.8</w:t>
            </w:r>
          </w:p>
        </w:tc>
        <w:tc>
          <w:tcPr>
            <w:tcW w:type="dxa" w:w="3312"/>
          </w:tcPr>
          <w:p>
            <w:r/>
            <w:r>
              <w:rPr>
                <w:b w:val="0"/>
                <w:i w:val="0"/>
                <w:sz w:val="16"/>
              </w:rPr>
              <w:t>Canada and U.S. territories are included, but Pinnacle is licensed in 38 states. No currency-conversion rule for any CAD-denominated business.</w:t>
            </w:r>
          </w:p>
        </w:tc>
        <w:tc>
          <w:tcPr>
            <w:tcW w:type="dxa" w:w="936"/>
            <w:shd w:val="clear" w:color="auto" w:fill="FFF2CC"/>
          </w:tcPr>
          <w:p>
            <w:r/>
            <w:r>
              <w:rPr>
                <w:b w:val="0"/>
                <w:i w:val="0"/>
                <w:sz w:val="16"/>
              </w:rPr>
              <w:t>Medium</w:t>
            </w:r>
          </w:p>
        </w:tc>
        <w:tc>
          <w:tcPr>
            <w:tcW w:type="dxa" w:w="3096"/>
          </w:tcPr>
          <w:p>
            <w:r/>
            <w:r>
              <w:rPr>
                <w:b w:val="0"/>
                <w:i w:val="0"/>
                <w:sz w:val="16"/>
              </w:rPr>
              <w:t>Confirm actual writings and licensing. Add a conversion rule (rate of exchange used in Company’s books).</w:t>
            </w:r>
          </w:p>
        </w:tc>
      </w:tr>
      <w:tr>
        <w:tc>
          <w:tcPr>
            <w:tcW w:type="dxa" w:w="504"/>
          </w:tcPr>
          <w:p>
            <w:r/>
            <w:r>
              <w:rPr>
                <w:b w:val="0"/>
                <w:i w:val="0"/>
                <w:sz w:val="16"/>
              </w:rPr>
              <w:t>21</w:t>
            </w:r>
          </w:p>
        </w:tc>
        <w:tc>
          <w:tcPr>
            <w:tcW w:type="dxa" w:w="1512"/>
          </w:tcPr>
          <w:p>
            <w:r/>
            <w:r>
              <w:rPr>
                <w:b w:val="0"/>
                <w:i w:val="0"/>
                <w:sz w:val="16"/>
              </w:rPr>
              <w:t>Treaty §§9.1–9.4</w:t>
            </w:r>
          </w:p>
        </w:tc>
        <w:tc>
          <w:tcPr>
            <w:tcW w:type="dxa" w:w="3312"/>
          </w:tcPr>
          <w:p>
            <w:r/>
            <w:r>
              <w:rPr>
                <w:b w:val="0"/>
                <w:i w:val="0"/>
                <w:sz w:val="16"/>
              </w:rPr>
              <w:t>Quarterly settlement only, due 45 days after quarter-end, the same day the account is due. No cash call.</w:t>
            </w:r>
          </w:p>
        </w:tc>
        <w:tc>
          <w:tcPr>
            <w:tcW w:type="dxa" w:w="936"/>
            <w:shd w:val="clear" w:color="auto" w:fill="FFF2CC"/>
          </w:tcPr>
          <w:p>
            <w:r/>
            <w:r>
              <w:rPr>
                <w:b w:val="0"/>
                <w:i w:val="0"/>
                <w:sz w:val="16"/>
              </w:rPr>
              <w:t>Medium</w:t>
            </w:r>
          </w:p>
        </w:tc>
        <w:tc>
          <w:tcPr>
            <w:tcW w:type="dxa" w:w="3096"/>
          </w:tcPr>
          <w:p>
            <w:r/>
            <w:r>
              <w:rPr>
                <w:b w:val="0"/>
                <w:i w:val="0"/>
                <w:sz w:val="16"/>
              </w:rPr>
              <w:t>Reinsurer to pay within 15–30 days of receipt of the account. Add cash call (see No. 12).</w:t>
            </w:r>
          </w:p>
        </w:tc>
      </w:tr>
      <w:tr>
        <w:tc>
          <w:tcPr>
            <w:tcW w:type="dxa" w:w="504"/>
          </w:tcPr>
          <w:p>
            <w:r/>
            <w:r>
              <w:rPr>
                <w:b w:val="0"/>
                <w:i w:val="0"/>
                <w:sz w:val="16"/>
              </w:rPr>
              <w:t>22</w:t>
            </w:r>
          </w:p>
        </w:tc>
        <w:tc>
          <w:tcPr>
            <w:tcW w:type="dxa" w:w="1512"/>
          </w:tcPr>
          <w:p>
            <w:r/>
            <w:r>
              <w:rPr>
                <w:b w:val="0"/>
                <w:i w:val="0"/>
                <w:sz w:val="16"/>
              </w:rPr>
              <w:t>Treaty §12.3</w:t>
            </w:r>
          </w:p>
        </w:tc>
        <w:tc>
          <w:tcPr>
            <w:tcW w:type="dxa" w:w="3312"/>
          </w:tcPr>
          <w:p>
            <w:r/>
            <w:r>
              <w:rPr>
                <w:b w:val="0"/>
                <w:i w:val="0"/>
                <w:sz w:val="16"/>
              </w:rPr>
              <w:t>Consent needed before waiving subrogation over $250K. This conflicts with routine contractual waiver-of-subrogation endorsements on contractor CGL policies.</w:t>
            </w:r>
          </w:p>
        </w:tc>
        <w:tc>
          <w:tcPr>
            <w:tcW w:type="dxa" w:w="936"/>
            <w:shd w:val="clear" w:color="auto" w:fill="FFF2CC"/>
          </w:tcPr>
          <w:p>
            <w:r/>
            <w:r>
              <w:rPr>
                <w:b w:val="0"/>
                <w:i w:val="0"/>
                <w:sz w:val="16"/>
              </w:rPr>
              <w:t>Medium</w:t>
            </w:r>
          </w:p>
        </w:tc>
        <w:tc>
          <w:tcPr>
            <w:tcW w:type="dxa" w:w="3096"/>
          </w:tcPr>
          <w:p>
            <w:r/>
            <w:r>
              <w:rPr>
                <w:b w:val="0"/>
                <w:i w:val="0"/>
                <w:sz w:val="16"/>
              </w:rPr>
              <w:t>Carve out waivers granted in the ordinary course under policy endorsements.</w:t>
            </w:r>
          </w:p>
        </w:tc>
      </w:tr>
      <w:tr>
        <w:tc>
          <w:tcPr>
            <w:tcW w:type="dxa" w:w="504"/>
          </w:tcPr>
          <w:p>
            <w:r/>
            <w:r>
              <w:rPr>
                <w:b w:val="0"/>
                <w:i w:val="0"/>
                <w:sz w:val="16"/>
              </w:rPr>
              <w:t>23</w:t>
            </w:r>
          </w:p>
        </w:tc>
        <w:tc>
          <w:tcPr>
            <w:tcW w:type="dxa" w:w="1512"/>
          </w:tcPr>
          <w:p>
            <w:r/>
            <w:r>
              <w:rPr>
                <w:b w:val="0"/>
                <w:i w:val="0"/>
                <w:sz w:val="16"/>
              </w:rPr>
              <w:t>Brokerage / B&amp;R role</w:t>
            </w:r>
          </w:p>
        </w:tc>
        <w:tc>
          <w:tcPr>
            <w:tcW w:type="dxa" w:w="3312"/>
          </w:tcPr>
          <w:p>
            <w:r/>
            <w:r>
              <w:rPr>
                <w:b w:val="0"/>
                <w:i w:val="0"/>
                <w:sz w:val="16"/>
              </w:rPr>
              <w:t>2% brokerage paid by Argonaut Re plus a $125K advisory fee paid by Pinnacle. Neither is in the Treaty, which has an entire-agreement clause (§22.1). B&amp;R engaged Lakeshore (Nov. 25 email) but the report says Pinnacle retained it. Name discrepancies.</w:t>
            </w:r>
          </w:p>
        </w:tc>
        <w:tc>
          <w:tcPr>
            <w:tcW w:type="dxa" w:w="936"/>
            <w:shd w:val="clear" w:color="auto" w:fill="FFF2CC"/>
          </w:tcPr>
          <w:p>
            <w:r/>
            <w:r>
              <w:rPr>
                <w:b w:val="0"/>
                <w:i w:val="0"/>
                <w:sz w:val="16"/>
              </w:rPr>
              <w:t>Medium</w:t>
            </w:r>
          </w:p>
        </w:tc>
        <w:tc>
          <w:tcPr>
            <w:tcW w:type="dxa" w:w="3096"/>
          </w:tcPr>
          <w:p>
            <w:r/>
            <w:r>
              <w:rPr>
                <w:b w:val="0"/>
                <w:i w:val="0"/>
                <w:sz w:val="16"/>
              </w:rPr>
              <w:t>Written intermediary authorization and compensation disclosure. Confirm licensing of the correct B&amp;R entity. Confirm Lakeshore’s client and independence.</w:t>
            </w:r>
          </w:p>
        </w:tc>
      </w:tr>
      <w:tr>
        <w:tc>
          <w:tcPr>
            <w:tcW w:type="dxa" w:w="504"/>
          </w:tcPr>
          <w:p>
            <w:r/>
            <w:r>
              <w:rPr>
                <w:b w:val="0"/>
                <w:i w:val="0"/>
                <w:sz w:val="16"/>
              </w:rPr>
              <w:t>24</w:t>
            </w:r>
          </w:p>
        </w:tc>
        <w:tc>
          <w:tcPr>
            <w:tcW w:type="dxa" w:w="1512"/>
          </w:tcPr>
          <w:p>
            <w:r/>
            <w:r>
              <w:rPr>
                <w:b w:val="0"/>
                <w:i w:val="0"/>
                <w:sz w:val="16"/>
              </w:rPr>
              <w:t>Drafting and consistency</w:t>
            </w:r>
          </w:p>
        </w:tc>
        <w:tc>
          <w:tcPr>
            <w:tcW w:type="dxa" w:w="3312"/>
          </w:tcPr>
          <w:p>
            <w:r/>
            <w:r>
              <w:rPr>
                <w:b w:val="0"/>
                <w:i w:val="0"/>
                <w:sz w:val="16"/>
              </w:rPr>
              <w:t>Trust date (Jan. 1 vs Jan. 10), trust cross-references (Arts. VIII, XII), trustee address (388 vs 395 Greenwich), entity names and titles, survival list, Sch. D “gross basis,” trust asset and UPR inconsistencies, outdated board approval (Oct. 15, 2024), B&amp;R UPR analysis error.</w:t>
            </w:r>
          </w:p>
        </w:tc>
        <w:tc>
          <w:tcPr>
            <w:tcW w:type="dxa" w:w="936"/>
          </w:tcPr>
          <w:p>
            <w:r/>
            <w:r>
              <w:rPr>
                <w:b w:val="0"/>
                <w:i w:val="0"/>
                <w:sz w:val="16"/>
              </w:rPr>
              <w:t>Low–Medium</w:t>
            </w:r>
          </w:p>
        </w:tc>
        <w:tc>
          <w:tcPr>
            <w:tcW w:type="dxa" w:w="3096"/>
          </w:tcPr>
          <w:p>
            <w:r/>
            <w:r>
              <w:rPr>
                <w:b w:val="0"/>
                <w:i w:val="0"/>
                <w:sz w:val="16"/>
              </w:rPr>
              <w:t>Conform. Obtain a fresh board approval of the final terms and counterparty.</w:t>
            </w:r>
          </w:p>
        </w:tc>
      </w:tr>
    </w:tbl>
    <w:p>
      <w:pPr>
        <w:spacing w:after="40"/>
      </w:pPr>
    </w:p>
    <w:p>
      <w:pPr>
        <w:pStyle w:val="Heading1"/>
      </w:pPr>
      <w:r>
        <w:t>III. Detailed Analysis</w:t>
      </w:r>
    </w:p>
    <w:p>
      <w:pPr>
        <w:spacing w:after="120"/>
      </w:pPr>
      <w:r>
        <w:rPr>
          <w:b w:val="0"/>
          <w:i/>
          <w:sz w:val="18"/>
        </w:rPr>
        <w:t>Regulatory references are to the Illinois Insurance Code (215 ILCS 5/) and the Illinois Department of Insurance’s credit-for-reinsurance rules, which implement the NAIC Credit for Reinsurance Model Law (#785) and Model Regulation (#786). Before finalizing the markup we will confirm each requirement against the current Illinois text, including the Department’s current trust-agreement and reinsurance-agreement requirements and the status of Illinois’s reciprocal-jurisdiction provisions.</w:t>
      </w:r>
    </w:p>
    <w:p>
      <w:pPr>
        <w:pStyle w:val="Heading2"/>
      </w:pPr>
      <w:r>
        <w:t>A. Credit for Reinsurance and Collateral</w:t>
      </w:r>
    </w:p>
    <w:p>
      <w:pPr>
        <w:pStyle w:val="Heading3"/>
      </w:pPr>
      <w:r>
        <w:t>A.1 Argonaut Re’s status drives everything</w:t>
      </w:r>
    </w:p>
    <w:p>
      <w:pPr>
        <w:spacing w:after="120"/>
      </w:pPr>
      <w:r>
        <w:rPr>
          <w:b w:val="0"/>
          <w:i w:val="0"/>
        </w:rPr>
        <w:t>Argonaut Re is not licensed, accredited or certified in any U.S. state (Trust Recitals and §9.01(f); B&amp;R Summary §3.2). Pinnacle can therefore take credit only to the extent of qualifying collateral (trust, letter of credit or funds withheld) under 215 ILCS 5/173.1. B&amp;R correctly notes that the standard for a non-certified unauthorized reinsurer is 100% of ceded liabilities: ceded UPR, ceded case and IBNR loss and LAE reserves, and balances due. Any shortfall becomes a provision for reinsurance that reduces surplus and RBC and could affect Pinnacle’s A.M. Best A- rating (B&amp;R Summary §6). The stated purpose of the Trust Agreement (§2.02, §10.01; Treaty §18.2) is to obtain full credit. As drafted, it does not.</w:t>
      </w:r>
    </w:p>
    <w:p>
      <w:pPr>
        <w:pStyle w:val="Heading3"/>
      </w:pPr>
      <w:r>
        <w:t>A.2 Trust amount is fixed and lags the liabilities</w:t>
      </w:r>
    </w:p>
    <w:p>
      <w:pPr>
        <w:pStyle w:val="ListBullet"/>
        <w:spacing w:after="60"/>
      </w:pPr>
      <w:r>
        <w:rPr>
          <w:b w:val="0"/>
          <w:i w:val="0"/>
        </w:rPr>
        <w:t>The Minimum Trust Amount and the Required Trust Amount are both $43.0M (Trust §§1.08, 1.15; Treaty §18.3). Argonaut Re justified that figure as “approximately 75% of estimated ceded premium” in light of its BBB+ rating (Karides, Dec. 4). The rating is irrelevant to an uncertified reinsurer’s collateral requirement.</w:t>
      </w:r>
    </w:p>
    <w:p>
      <w:pPr>
        <w:pStyle w:val="ListBullet"/>
        <w:spacing w:after="60"/>
      </w:pPr>
      <w:r>
        <w:rPr>
          <w:b w:val="0"/>
          <w:i w:val="0"/>
        </w:rPr>
        <w:t>Adjustment is annual, effective December 31, with 60 days to calculate (Trust §4.02). Any increase “shall be subject to the mutual written agreement” of Grantor and Beneficiary, and failing agreement the amount stays where it was (§4.02(b)). Argonaut Re can therefore block any increase, and in any event an increase lands after the year-end statement date it is meant to support.</w:t>
      </w:r>
    </w:p>
    <w:p>
      <w:pPr>
        <w:pStyle w:val="ListBullet"/>
        <w:spacing w:after="60"/>
      </w:pPr>
      <w:r>
        <w:rPr>
          <w:b w:val="0"/>
          <w:i w:val="0"/>
        </w:rPr>
        <w:t>Trust §4.02 measures obligations by “ceded outstanding loss reserves and ceded loss adjustment expense reserves.” It does not expressly include ceded UPR or IBNR, even though Treaty §18.4 says the adjustment includes IBNR and UPR. The two documents must be conformed.</w:t>
      </w:r>
    </w:p>
    <w:p>
      <w:pPr>
        <w:pStyle w:val="ListBullet"/>
        <w:spacing w:after="60"/>
      </w:pPr>
      <w:r>
        <w:rPr>
          <w:b w:val="0"/>
          <w:i w:val="0"/>
        </w:rPr>
        <w:t>Our illustrative model (Part IV) shows ceded liabilities peaking at around the December 31, 2025 annual statement date: about $47.0M in the base case and $52.5M at Lakeshore’s 95th percentile. The B&amp;R Summary understates the exposure at that date. It says ceded UPR would be “zero (fully earned)” at December 31, 2025, but on a risks-attaching basis, policies written during 2025 remain roughly half unearned at year-end (about $28.95M of ceded UPR if writings are level).</w:t>
      </w:r>
    </w:p>
    <w:p>
      <w:pPr>
        <w:spacing w:after="120"/>
      </w:pPr>
      <w:r>
        <w:rPr>
          <w:b/>
          <w:i w:val="0"/>
        </w:rPr>
        <w:t>Recommendation:</w:t>
      </w:r>
      <w:r>
        <w:rPr>
          <w:b w:val="0"/>
          <w:i w:val="0"/>
        </w:rPr>
        <w:t xml:space="preserve"> Required Trust Amount = the greater of (i) $43.0M and (ii) 102% (or at least 100%) of the Reinsurer’s Obligations, computed quarterly from Pinnacle’s statutory statements (including ceded UPR, case, IBNR, ALAE and amounts due). Argonaut Re must deposit any deficiency within 15 Business Days of notice from the Beneficiary, with no consent right. Reductions require Beneficiary consent. Alternatives Pinnacle could accept: an evergreen clean letter of credit from a qualified U.S. financial institution for the excess over $43M, or funds withheld on part of the ceded premium. Funds withheld would also address counterparty risk.</w:t>
      </w:r>
    </w:p>
    <w:p>
      <w:pPr>
        <w:pStyle w:val="Heading3"/>
      </w:pPr>
      <w:r>
        <w:t>A.3 Grantor offset withdrawals (Trust Art. VII, Exhibit C)</w:t>
      </w:r>
    </w:p>
    <w:p>
      <w:pPr>
        <w:spacing w:after="120"/>
      </w:pPr>
      <w:r>
        <w:rPr>
          <w:b w:val="0"/>
          <w:i w:val="0"/>
        </w:rPr>
        <w:t xml:space="preserve">Trust §7.01 lets the Grantor, on delivery of its own Offset Notice, cause the Trustee to “adjust the Required Trust Amount” and withdraw assets equal to an offset claimed under any other agreement between the parties. Nothing requires Pinnacle’s consent, and the remaining balance need only meet the “adjusted” amount. That appears to override the $43M floor in §1.15 and §4.02(a). A credit-for-reinsurance trust must keep assets for the sole benefit of the beneficiary, and the grantor may withdraw only with the beneficiary’s written approval. Article VII is inconsistent with that model. It also exposes Pinnacle to self-help by a counterparty under stress. The cross-references to “Article VIII of the Reinsurance Agreement” (§1.10, §1.14, §7.01, Ex. C) are wrong: offset is Treaty Article XIII, and Article VIII is Profit Commission. </w:t>
      </w:r>
      <w:r>
        <w:rPr>
          <w:b/>
          <w:i w:val="0"/>
        </w:rPr>
        <w:t>Delete Article VII and Exhibit C</w:t>
      </w:r>
      <w:r>
        <w:rPr>
          <w:b w:val="0"/>
          <w:i w:val="0"/>
        </w:rPr>
        <w:t>, delete the offset qualifier in §1.14, and add an express covenant that trust assets are not subject to offset by the Grantor.</w:t>
      </w:r>
    </w:p>
    <w:p>
      <w:pPr>
        <w:spacing w:after="120"/>
      </w:pPr>
      <w:r>
        <w:rPr>
          <w:b w:val="0"/>
          <w:i w:val="0"/>
        </w:rPr>
        <w:t>Treaty Art. XIII is itself very broad. It is mutual, extends across all agreements past, present and future, can be exercised “at any time” without consent, and survives indefinitely (§13.2). If Pinnacle became insolvent, the receiver would apply 215 ILCS 5/206’s offset limitations, so the clause should state that it applies subject to that section. Commercially, Pinnacle should limit offset to balances under this Treaty, or at minimum exclude offset against trust assets and against amounts in dispute.</w:t>
      </w:r>
    </w:p>
    <w:p>
      <w:pPr>
        <w:pStyle w:val="Heading3"/>
      </w:pPr>
      <w:r>
        <w:t>A.4 Conditions on Pinnacle’s withdrawal right (Trust §§5.01–5.02, Ex. A)</w:t>
      </w:r>
    </w:p>
    <w:p>
      <w:pPr>
        <w:spacing w:after="120"/>
      </w:pPr>
      <w:r>
        <w:rPr>
          <w:b w:val="0"/>
          <w:i w:val="0"/>
        </w:rPr>
        <w:t xml:space="preserve">§5.01 is good: withdrawal without notice to or consent of the Grantor, within two Business Days. §5.02 then limits withdrawals to five enumerated purposes “and for these purposes only,” requires the Beneficiary to certify the purpose, and builds in substantive conditions. Category (c) requires a balance unpaid for 30 days or more. Category (d) allows reserves to be funded only after termination, commutation or expiry. The credit-for-reinsurance model requires that the beneficiary be able to withdraw at any time on written notice to the trustee, with no other statement or document required. Restrictions on the use of withdrawn assets belong in the reinsurance agreement, together with the cedant’s obligation to hold any excess in trust or return it. </w:t>
      </w:r>
      <w:r>
        <w:rPr>
          <w:b/>
          <w:i w:val="0"/>
        </w:rPr>
        <w:t>Recommendation:</w:t>
      </w:r>
      <w:r>
        <w:rPr>
          <w:b w:val="0"/>
          <w:i w:val="0"/>
        </w:rPr>
        <w:t xml:space="preserve"> in the Trust Agreement, provide only for unconditional withdrawal on written demand. Delete the purpose checkboxes and certification from Exhibit A, or reduce them to an acknowledgment. Add a conforming “permitted uses” covenant to Treaty Art. XVIII, which should also allow Pinnacle, on termination, on notice of non-renewal or on a trust deficiency, to withdraw the full amount of obligations into a separate account held for Argonaut Re.</w:t>
      </w:r>
    </w:p>
    <w:p>
      <w:pPr>
        <w:pStyle w:val="Heading3"/>
      </w:pPr>
      <w:r>
        <w:t>A.5 Other trust mechanics</w:t>
      </w:r>
    </w:p>
    <w:p>
      <w:pPr>
        <w:pStyle w:val="ListBullet"/>
        <w:spacing w:after="60"/>
      </w:pPr>
      <w:r>
        <w:rPr>
          <w:b/>
          <w:i w:val="0"/>
        </w:rPr>
        <w:t>Substitution (§4.03):</w:t>
      </w:r>
      <w:r>
        <w:rPr>
          <w:b w:val="0"/>
          <w:i w:val="0"/>
        </w:rPr>
        <w:t xml:space="preserve"> the Grantor can substitute assets on five Business Days’ notice with no Beneficiary approval. The Beneficiary should approve substitutions, or substitutions should be limited to cash or U.S. Treasuries of equal value. Valuation disputes should be resolved in favor of the Trustee’s pricing.</w:t>
      </w:r>
    </w:p>
    <w:p>
      <w:pPr>
        <w:pStyle w:val="ListBullet"/>
        <w:spacing w:after="60"/>
      </w:pPr>
      <w:r>
        <w:rPr>
          <w:b/>
          <w:i w:val="0"/>
        </w:rPr>
        <w:t>Investment income (§4.04):</w:t>
      </w:r>
      <w:r>
        <w:rPr>
          <w:b w:val="0"/>
          <w:i w:val="0"/>
        </w:rPr>
        <w:t xml:space="preserve"> acceptable in principle, but it should be subject to the Beneficiary’s withdrawal rights and suspended while any deficiency, default or Withdrawal Notice is outstanding.</w:t>
      </w:r>
    </w:p>
    <w:p>
      <w:pPr>
        <w:pStyle w:val="ListBullet"/>
        <w:spacing w:after="60"/>
      </w:pPr>
      <w:r>
        <w:rPr>
          <w:b/>
          <w:i w:val="0"/>
        </w:rPr>
        <w:t>Termination (§8.01):</w:t>
      </w:r>
      <w:r>
        <w:rPr>
          <w:b w:val="0"/>
          <w:i w:val="0"/>
        </w:rPr>
        <w:t xml:space="preserve"> the trust terminates on the “earliest” of several events, including the Beneficiary’s own certification and a court order. It needs at least 30 days’ prior written notice to the Beneficiary before any termination becomes effective, and no termination while Obligations remain. §8.02’s 30-day window runs from receipt of the notice, but termination has already taken effect by then. Pinnacle should also confirm that §8.01(d) (licensure or accreditation) requires Pinnacle’s consent; as drafted it does.</w:t>
      </w:r>
    </w:p>
    <w:p>
      <w:pPr>
        <w:pStyle w:val="ListBullet"/>
        <w:spacing w:after="60"/>
      </w:pPr>
      <w:r>
        <w:rPr>
          <w:b/>
          <w:i w:val="0"/>
        </w:rPr>
        <w:t>Trustee resignation and removal (§6.05):</w:t>
      </w:r>
      <w:r>
        <w:rPr>
          <w:b w:val="0"/>
          <w:i w:val="0"/>
        </w:rPr>
        <w:t xml:space="preserve"> resignation is effective on 90 days’ notice whether or not a successor has been appointed. Resignation or removal should take effect only when a successor trustee (a qualified U.S. financial institution, not affiliated with the Grantor) has been appointed and the assets transferred.</w:t>
      </w:r>
    </w:p>
    <w:p>
      <w:pPr>
        <w:pStyle w:val="ListBullet"/>
        <w:spacing w:after="60"/>
      </w:pPr>
      <w:r>
        <w:rPr>
          <w:b/>
          <w:i w:val="0"/>
        </w:rPr>
        <w:t>Notice of deposits and withdrawals (§6.02):</w:t>
      </w:r>
      <w:r>
        <w:rPr>
          <w:b w:val="0"/>
          <w:i w:val="0"/>
        </w:rPr>
        <w:t xml:space="preserve"> monthly statements are good. Add notice to both parties within 10 days of any deposit or withdrawal, as the model requires.</w:t>
      </w:r>
    </w:p>
    <w:p>
      <w:pPr>
        <w:pStyle w:val="ListBullet"/>
        <w:spacing w:after="60"/>
      </w:pPr>
      <w:r>
        <w:rPr>
          <w:b/>
          <w:i w:val="0"/>
        </w:rPr>
        <w:t>Trustee indemnity (§6.04):</w:t>
      </w:r>
      <w:r>
        <w:rPr>
          <w:b w:val="0"/>
          <w:i w:val="0"/>
        </w:rPr>
        <w:t xml:space="preserve"> the Beneficiary should not jointly and severally indemnify the Trustee. Indemnity should come from the Grantor only, and the Trustee should not be able to set off fees against trust assets (consistent with §6.03).</w:t>
      </w:r>
    </w:p>
    <w:p>
      <w:pPr>
        <w:pStyle w:val="ListBullet"/>
        <w:spacing w:after="60"/>
      </w:pPr>
      <w:r>
        <w:rPr>
          <w:b/>
          <w:i w:val="0"/>
        </w:rPr>
        <w:t>Equitable ownership (§2.01):</w:t>
      </w:r>
      <w:r>
        <w:rPr>
          <w:b w:val="0"/>
          <w:i w:val="0"/>
        </w:rPr>
        <w:t xml:space="preserve"> the statement that the Grantor “retains equitable ownership” invites argument in a Bermuda winding-up that the assets form part of the Grantor’s estate. Replace it with a statement that the assets are held for the sole and exclusive benefit of the Beneficiary, with the Grantor having only a reversionary interest in assets released under the Agreement.</w:t>
      </w:r>
    </w:p>
    <w:p>
      <w:pPr>
        <w:pStyle w:val="ListBullet"/>
        <w:spacing w:after="60"/>
      </w:pPr>
      <w:r>
        <w:rPr>
          <w:b/>
          <w:i w:val="0"/>
        </w:rPr>
        <w:t>Eligible assets (§1.03; Treaty §18.3):</w:t>
      </w:r>
      <w:r>
        <w:rPr>
          <w:b w:val="0"/>
          <w:i w:val="0"/>
        </w:rPr>
        <w:t xml:space="preserve"> add a prohibition on securities issued by the Grantor or its affiliates or parents, issuer-concentration limits, and a requirement that assets carry NAIC SVO designations eligible under Illinois investment law. Treaty §18.3 omits cash and the five-year maturity limit that the trust includes. Conform the two.</w:t>
      </w:r>
    </w:p>
    <w:p>
      <w:pPr>
        <w:pStyle w:val="ListBullet"/>
        <w:spacing w:after="60"/>
      </w:pPr>
      <w:r>
        <w:rPr>
          <w:b/>
          <w:i w:val="0"/>
        </w:rPr>
        <w:t>Governing law and disputes (Trust §§11.01–11.02):</w:t>
      </w:r>
      <w:r>
        <w:rPr>
          <w:b w:val="0"/>
          <w:i w:val="0"/>
        </w:rPr>
        <w:t xml:space="preserve"> the Trust is governed by New York law, but non-Trustee disputes are sent to “Article XII of the Reinsurance Agreement” (actually Article XV), with “the substantive law of Bermuda governing the merits.” That conflicts with §11.01 and risks a Bermuda tribunal construing a U.S. credit-for-reinsurance trust. Disputes about Trust Agreement withdrawals and funding should go to New York courts, and Pinnacle’s withdrawal right should never be stayed pending arbitration.</w:t>
      </w:r>
    </w:p>
    <w:p>
      <w:pPr>
        <w:pStyle w:val="ListBullet"/>
        <w:spacing w:after="60"/>
      </w:pPr>
      <w:r>
        <w:rPr>
          <w:b/>
          <w:i w:val="0"/>
        </w:rPr>
        <w:t>Dates and funding:</w:t>
      </w:r>
      <w:r>
        <w:rPr>
          <w:b w:val="0"/>
          <w:i w:val="0"/>
        </w:rPr>
        <w:t xml:space="preserve"> Treaty §1.18 and §18.1 describe a Trust Agreement “dated as of January 1, 2025” and “executed contemporaneously,” but the Trust is dated January 10, 2025 and is funded within 10 Business Days of execution (§3.01). Conform the dates, and require funding at or before Treaty execution. The trustee’s address is 388 Greenwich Street in the Trust and 395 in the B&amp;R Summary; confirm.</w:t>
      </w:r>
    </w:p>
    <w:p>
      <w:pPr>
        <w:pStyle w:val="Heading3"/>
      </w:pPr>
      <w:r>
        <w:t>A.6 Reinsurance-agreement provisions required for credit</w:t>
      </w:r>
    </w:p>
    <w:p>
      <w:pPr>
        <w:spacing w:after="120"/>
      </w:pPr>
      <w:r>
        <w:rPr>
          <w:b w:val="0"/>
          <w:i w:val="0"/>
        </w:rPr>
        <w:t xml:space="preserve">Beyond collateral, an unauthorized reinsurer’s agreement must contain: (i) a proper </w:t>
      </w:r>
      <w:r>
        <w:rPr>
          <w:b/>
          <w:i w:val="0"/>
        </w:rPr>
        <w:t>insolvency clause</w:t>
      </w:r>
      <w:r>
        <w:rPr>
          <w:b w:val="0"/>
          <w:i w:val="0"/>
        </w:rPr>
        <w:t xml:space="preserve">; (ii) a </w:t>
      </w:r>
      <w:r>
        <w:rPr>
          <w:b/>
          <w:i w:val="0"/>
        </w:rPr>
        <w:t>service-of-suit / jurisdiction</w:t>
      </w:r>
      <w:r>
        <w:rPr>
          <w:b w:val="0"/>
          <w:i w:val="0"/>
        </w:rPr>
        <w:t xml:space="preserve"> provision under which the reinsurer submits to a court of competent jurisdiction or ADR panel in the United States, complies with what is needed to give that court or panel jurisdiction, designates an agent for service of process, and agrees to abide by the final decision; and (iii) the </w:t>
      </w:r>
      <w:r>
        <w:rPr>
          <w:b/>
          <w:i w:val="0"/>
        </w:rPr>
        <w:t>trust-related covenants</w:t>
      </w:r>
      <w:r>
        <w:rPr>
          <w:b w:val="0"/>
          <w:i w:val="0"/>
        </w:rPr>
        <w:t>: the reinsurer agrees to establish the trust, to keep it funded, and that assets may be withdrawn and used as described. The draft has none of these in compliant form.</w:t>
      </w:r>
    </w:p>
    <w:p>
      <w:pPr>
        <w:pStyle w:val="ListBullet"/>
        <w:spacing w:after="60"/>
      </w:pPr>
      <w:r>
        <w:rPr>
          <w:b/>
          <w:i w:val="0"/>
        </w:rPr>
        <w:t>Service of suit (missing).</w:t>
      </w:r>
      <w:r>
        <w:rPr>
          <w:b w:val="0"/>
          <w:i w:val="0"/>
        </w:rPr>
        <w:t xml:space="preserve"> Art. XV sends everything to Hamilton under Bermuda law. Add a Service of Suit clause naming a U.S. agent (for example the Illinois Director of Insurance or a designated U.S. law firm) for suits, including suits to compel arbitration or to confirm awards. Argonaut Re offered on January 8 to extend the Illinois-law carve-out to “any provisions expressly required by Illinois statute for credit-for-reinsurance purposes.” Service of suit, the insolvency clause, the intermediary clause and the trust provisions all fall within that offer. Pinnacle should accept the offer and draft it broadly, rather than reopen the seat of arbitration.</w:t>
      </w:r>
    </w:p>
    <w:p>
      <w:pPr>
        <w:pStyle w:val="ListBullet"/>
        <w:spacing w:after="60"/>
      </w:pPr>
      <w:r>
        <w:rPr>
          <w:b/>
          <w:i w:val="0"/>
        </w:rPr>
        <w:t>Insolvency clause (Art. XIV).</w:t>
      </w:r>
      <w:r>
        <w:rPr>
          <w:b w:val="0"/>
          <w:i w:val="0"/>
        </w:rPr>
        <w:t xml:space="preserve"> (a) §14.1 should state that payment is made to the Company or to its liquidator, receiver, conservator or statutory successor, on the basis of the Company’s liability (claims allowed), without diminution because of the insolvency. (b) §14.2 is backwards: the statutory form requires the liquidator to give the reinsurer written notice of the pendency of a claim within a reasonable time after it is filed in the proceeding; it does not require the reinsurer’s claims to be “filed with the liquidator.” (c) §14.3 should be limited to defenses available to the Company or its liquidator, with interposition expenses chargeable against the estate only as the statute allows, subject to court approval. (d) §14.4’s exclusion of “penalties, fines or additional amounts” is acceptable if limited to amounts that are not Ceded Losses. (e) Confirm that the Article XV arbitration clause does not purport to bind an Illinois liquidator in a way that conflicts with the Illinois liquidation court’s jurisdiction. U.S. authority on McCarran-Ferguson reverse preemption of the New York Convention is divided.</w:t>
      </w:r>
    </w:p>
    <w:p>
      <w:pPr>
        <w:pStyle w:val="ListBullet"/>
        <w:spacing w:after="60"/>
      </w:pPr>
      <w:r>
        <w:rPr>
          <w:b/>
          <w:i w:val="0"/>
        </w:rPr>
        <w:t>Trust covenants.</w:t>
      </w:r>
      <w:r>
        <w:rPr>
          <w:b w:val="0"/>
          <w:i w:val="0"/>
        </w:rPr>
        <w:t xml:space="preserve"> Expand Art. XVIII to cover the permitted-use covenants, the Reinsurer’s obligation to keep the trust at 100% of Obligations, Pinnacle’s right to draw the full amount on termination, deficiency or downgrade, and a statement that the Reinsurer’s Treaty obligations are not limited to the trust assets.</w:t>
      </w:r>
    </w:p>
    <w:p>
      <w:pPr>
        <w:pStyle w:val="Heading3"/>
      </w:pPr>
      <w:r>
        <w:t>A.7 Intermediary clause reversed (Art. XVI)</w:t>
      </w:r>
    </w:p>
    <w:p>
      <w:pPr>
        <w:spacing w:after="120"/>
      </w:pPr>
      <w:r>
        <w:rPr>
          <w:b w:val="0"/>
          <w:i w:val="0"/>
        </w:rPr>
        <w:t>§16.2 provides that payments by the Reinsurer to B&amp;R “shall be deemed to constitute payment to the Company,” subject only to a 30-day direct-action right. §16.3 provides that Pinnacle’s payments to B&amp;R are not payment to the Reinsurer until received. The regulator-required intermediary clause (used across U.S. credit-for-reinsurance regimes and the NAIC Reinsurance Intermediary Model Act framework, which Illinois follows) allocates the risk the other way: payments by the Company to the intermediary are deemed payment to the Reinsurer, and payments by the Reinsurer to the intermediary are deemed payment to the Company only to the extent actually received. As drafted, Pinnacle bears B&amp;R’s credit risk in both directions, and the clause may not satisfy Illinois requirements. Replace §§16.2–16.3 with the standard clause. Also: (i) correct the entity name. The Treaty uses “Baxter &amp; Rowland Intermediaries LLC (Managing Director Catherine Voss),” while Ms. Voss signs as “Senior Vice President, Baxter Rowland &amp; Associates.” Confirm which entity holds the Illinois reinsurance intermediary license. (ii) Paper B&amp;R’s written authorization and compensation (2.0% brokerage from Argonaut Re plus a $125K advisory fee from Pinnacle, total $1.283M, confirmed in Ms. Voss’s Dec. 20 email). Neither appears in the Treaty, and §22.1’s entire-agreement clause could be argued to exclude them.</w:t>
      </w:r>
    </w:p>
    <w:p>
      <w:pPr>
        <w:pStyle w:val="Heading2"/>
      </w:pPr>
      <w:r>
        <w:t>B. Statutory Accounting, Risk Transfer and the Gap Period</w:t>
      </w:r>
    </w:p>
    <w:p>
      <w:pPr>
        <w:pStyle w:val="Heading3"/>
      </w:pPr>
      <w:r>
        <w:t>B.1 SSAP No. 62R risk transfer has not been analyzed</w:t>
      </w:r>
    </w:p>
    <w:p>
      <w:pPr>
        <w:spacing w:after="120"/>
      </w:pPr>
      <w:r>
        <w:rPr>
          <w:b w:val="0"/>
          <w:i w:val="0"/>
        </w:rPr>
        <w:t xml:space="preserve">Lakeshore expressly excludes risk-transfer analysis (Report §§I, II, VI.C, VIII.4) and flags the features that compress the reinsurer’s downside: an $85M aggregate limit (about 146.8% of ceded premium); a 10-point sliding scale (38% down to 28%) that shifts much of the variance between a 55% and a 75% loss ratio back to Pinnacle; a 15% profit commission; a deficit carryforward that is extinguished after two periods; and an either-party commutation right from 2029. If the Treaty fails risk transfer it must be deposit-accounted, which eliminates the surplus benefit the cession is meant to deliver. The CEO and CFO will also need to sign the reinsurance attestation supplement. </w:t>
      </w:r>
      <w:r>
        <w:rPr>
          <w:b/>
          <w:i w:val="0"/>
        </w:rPr>
        <w:t>Before execution</w:t>
      </w:r>
      <w:r>
        <w:rPr>
          <w:b w:val="0"/>
          <w:i w:val="0"/>
        </w:rPr>
        <w:t>, Pinnacle should obtain a formal risk-transfer analysis (expected reinsurer deficit, or 10%/10% PV-loss test) on the final terms, run by Lakeshore or Pinnacle’s statutory auditor. Pinnacle should also confirm there are no side agreements; the B&amp;R advisory fee arrangement should be documented and reviewed in this light.</w:t>
      </w:r>
    </w:p>
    <w:p>
      <w:pPr>
        <w:pStyle w:val="Heading3"/>
      </w:pPr>
      <w:r>
        <w:t>B.2 The gap period</w:t>
      </w:r>
    </w:p>
    <w:p>
      <w:pPr>
        <w:spacing w:after="120"/>
      </w:pPr>
      <w:r>
        <w:rPr>
          <w:b w:val="0"/>
          <w:i w:val="0"/>
        </w:rPr>
        <w:t>The Treaty is “effective as of the Inception Date … regardless of the date of actual execution” (§23.2). Argonaut Re refuses any binder, LOI or interim commitment (Karides, Dec. 4, Dec. 16, Jan. 8). It says only that it is “bound in good faith to negotiate,” which is expressly not a commitment to reinsure. Meanwhile Pinnacle has been ceding 30% in its systems since January 1 (about $2.4M of premium written by January 2 and about $16M per month: Tillman, Dec. 10 and Jan. 3). The consequences:</w:t>
      </w:r>
    </w:p>
    <w:p>
      <w:pPr>
        <w:pStyle w:val="ListBullet"/>
        <w:spacing w:after="60"/>
      </w:pPr>
      <w:r>
        <w:rPr>
          <w:b/>
          <w:i w:val="0"/>
        </w:rPr>
        <w:t>No coverage until signature.</w:t>
      </w:r>
      <w:r>
        <w:rPr>
          <w:b w:val="0"/>
          <w:i w:val="0"/>
        </w:rPr>
        <w:t xml:space="preserve"> If negotiations fail, Pinnacle retains 100% of January (and possibly February) writings, its underwriting and capital planning are wrong, and Q1 2025 statements may need to reverse the cession.</w:t>
      </w:r>
    </w:p>
    <w:p>
      <w:pPr>
        <w:pStyle w:val="ListBullet"/>
        <w:spacing w:after="60"/>
      </w:pPr>
      <w:r>
        <w:rPr>
          <w:b/>
          <w:i w:val="0"/>
        </w:rPr>
        <w:t>Statutory credit at March 31, 2025</w:t>
      </w:r>
      <w:r>
        <w:rPr>
          <w:b w:val="0"/>
          <w:i w:val="0"/>
        </w:rPr>
        <w:t xml:space="preserve"> requires a binding agreement and qualifying collateral in place at the statement date. The trust funds only 10 Business Days after execution (Trust §3.01). SSAP No. 62R also requires the agreement to be finalized, reduced to writing and signed within nine months after the start of the covered policy period, failing which it is accounted for as retroactive. That deadline is not the binding constraint here, but it should be noted.</w:t>
      </w:r>
    </w:p>
    <w:p>
      <w:pPr>
        <w:pStyle w:val="ListBullet"/>
        <w:spacing w:after="60"/>
      </w:pPr>
      <w:r>
        <w:rPr>
          <w:b/>
          <w:i w:val="0"/>
        </w:rPr>
        <w:t>Known losses and retroactivity.</w:t>
      </w:r>
      <w:r>
        <w:rPr>
          <w:b w:val="0"/>
          <w:i w:val="0"/>
        </w:rPr>
        <w:t xml:space="preserve"> Losses occurring on January policies before execution will be known to Pinnacle at signing. Argonaut Re could later argue non-disclosure or rescission. The portion of the cover relating to events that have already occurred may raise retroactive-reinsurance accounting questions. Address this with an agreed loss-disclosure schedule at signing and an express acknowledgment that losses occurring between January 1 and execution are covered.</w:t>
      </w:r>
    </w:p>
    <w:p>
      <w:pPr>
        <w:spacing w:after="120"/>
      </w:pPr>
      <w:r>
        <w:rPr>
          <w:b/>
          <w:i w:val="0"/>
        </w:rPr>
        <w:t>Recommendation:</w:t>
      </w:r>
      <w:r>
        <w:rPr>
          <w:b w:val="0"/>
          <w:i w:val="0"/>
        </w:rPr>
        <w:t xml:space="preserve"> escalate to CEO level (Holloway–Jørgensen) for one of the following: (i) execute the Treaty by January 31 on the economic terms, with an agreed list of open drafting points to be resolved by endorsement within 60 days; (ii) a signed placement slip or cover note stating that Argonaut Re is bound on the November 22 economic terms; or (iii) if neither is available, a fallback plan (replacement market or adjusted Q1 reporting) approved by Pinnacle’s CFO. Ms. Voss’s non-binding “mutual intent” letter (Dec. 20) provides comfort only and does not help statutory credit.</w:t>
      </w:r>
    </w:p>
    <w:p>
      <w:pPr>
        <w:pStyle w:val="Heading2"/>
      </w:pPr>
      <w:r>
        <w:t>C. Counterparty Credit Protections</w:t>
      </w:r>
    </w:p>
    <w:p>
      <w:pPr>
        <w:pStyle w:val="ListBullet"/>
        <w:spacing w:after="60"/>
      </w:pPr>
      <w:r>
        <w:rPr>
          <w:b/>
          <w:i w:val="0"/>
        </w:rPr>
        <w:t>Profile:</w:t>
      </w:r>
      <w:r>
        <w:rPr>
          <w:b w:val="0"/>
          <w:i w:val="0"/>
        </w:rPr>
        <w:t xml:space="preserve"> formed 2019; S&amp;P BBB+ (two notches below A-); no A.M. Best rating; premium leverage 1.53:1 after a 30% CAGR; combined ratio 98.2%; ROE 5.3%; $120M of long-tail casualty reserves; regulated only by the BMA; Bermuda statutory financials (B&amp;R Summary §§4–5, 8.1). The $85M aggregate limit equals 25% of Argonaut Re’s $340M equity.</w:t>
      </w:r>
    </w:p>
    <w:p>
      <w:pPr>
        <w:pStyle w:val="ListBullet"/>
        <w:spacing w:after="60"/>
      </w:pPr>
      <w:r>
        <w:rPr>
          <w:b/>
          <w:i w:val="0"/>
        </w:rPr>
        <w:t>Board guidelines:</w:t>
      </w:r>
      <w:r>
        <w:rPr>
          <w:b w:val="0"/>
          <w:i w:val="0"/>
        </w:rPr>
        <w:t xml:space="preserve"> B&amp;R observes that BBB+ is below the A- floor many cedants apply. Pinnacle should confirm whether its board-approved reinsurance security guidelines allow a BBB+, unrated-by-Best, unauthorized counterparty, and if so on what collateral terms. The board approval cited in the Trust (§9.02(c): October 15, 2024) predates Argonaut Re’s November 22 indication and both drafts. Obtain a fresh resolution approving the final terms and the counterparty.</w:t>
      </w:r>
    </w:p>
    <w:p>
      <w:pPr>
        <w:pStyle w:val="ListBullet"/>
        <w:spacing w:after="60"/>
      </w:pPr>
      <w:r>
        <w:rPr>
          <w:b/>
          <w:i w:val="0"/>
        </w:rPr>
        <w:t>Add a special-termination and collateral step-up clause.</w:t>
      </w:r>
      <w:r>
        <w:rPr>
          <w:b w:val="0"/>
          <w:i w:val="0"/>
        </w:rPr>
        <w:t xml:space="preserve"> Triggers: S&amp;P rating below BBB (or any downgrade), a decline of 20% or more in shareholders’ equity, BMA intervention or breach of ECR, change of control, merger or assignment, a trust deficiency not cured within 15 Business Days, or failure to pay within 30 days. Remedies at Pinnacle’s option: cut-off termination with return of unearned premium, run-off, or collateral increased to 102%–110% of Obligations, or funds withheld.</w:t>
      </w:r>
    </w:p>
    <w:p>
      <w:pPr>
        <w:pStyle w:val="ListBullet"/>
        <w:spacing w:after="60"/>
      </w:pPr>
      <w:r>
        <w:rPr>
          <w:b/>
          <w:i w:val="0"/>
        </w:rPr>
        <w:t>Cash call:</w:t>
      </w:r>
      <w:r>
        <w:rPr>
          <w:b w:val="0"/>
          <w:i w:val="0"/>
        </w:rPr>
        <w:t xml:space="preserve"> add the right to require payment of the Reinsurer’s share of any single loss settlement of $1M or more (100%) within 15 business days, independent of the quarterly account.</w:t>
      </w:r>
    </w:p>
    <w:p>
      <w:pPr>
        <w:pStyle w:val="ListBullet"/>
        <w:spacing w:after="60"/>
      </w:pPr>
      <w:r>
        <w:rPr>
          <w:b/>
          <w:i w:val="0"/>
        </w:rPr>
        <w:t>Assignment (§22.4):</w:t>
      </w:r>
      <w:r>
        <w:rPr>
          <w:b w:val="0"/>
          <w:i w:val="0"/>
        </w:rPr>
        <w:t xml:space="preserve"> the carve-out lets Argonaut Re transfer the Treaty without consent by merger or “assumption reinsurance,” potentially to a weaker or differently regulated entity. Any transfer by the Reinsurer should require Pinnacle’s prior written consent. The trust must remain in place until a replacement is accepted.</w:t>
      </w:r>
    </w:p>
    <w:p>
      <w:pPr>
        <w:pStyle w:val="ListBullet"/>
        <w:spacing w:after="60"/>
      </w:pPr>
      <w:r>
        <w:rPr>
          <w:b/>
          <w:i w:val="0"/>
        </w:rPr>
        <w:t>Ongoing information:</w:t>
      </w:r>
      <w:r>
        <w:rPr>
          <w:b w:val="0"/>
          <w:i w:val="0"/>
        </w:rPr>
        <w:t xml:space="preserve"> add an obligation to provide annual audited financials, BMA filings (BSCR/ECR ratio), rating actions and notice of material adverse change within 10 days.</w:t>
      </w:r>
    </w:p>
    <w:p>
      <w:pPr>
        <w:pStyle w:val="ListBullet"/>
        <w:spacing w:after="60"/>
      </w:pPr>
      <w:r>
        <w:rPr>
          <w:b/>
          <w:i w:val="0"/>
        </w:rPr>
        <w:t>Reciprocal-jurisdiction alternative:</w:t>
      </w:r>
      <w:r>
        <w:rPr>
          <w:b w:val="0"/>
          <w:i w:val="0"/>
        </w:rPr>
        <w:t xml:space="preserve"> Bermuda is an NAIC-recognized jurisdiction. Argonaut Re’s capital ($340M) appears to exceed the $250M minimum applied to reciprocal-jurisdiction reinsurers under the 2019 Model Law amendments. If Argonaut Re were to qualify in Illinois, collateral might not be required for credit purposes. That would help Argonaut Re, not Pinnacle. Pinnacle should keep contractual collateral regardless and should not let a future change in status reduce the trust (cf. Trust §8.01(d), which properly requires Pinnacle’s consent).</w:t>
      </w:r>
    </w:p>
    <w:p>
      <w:pPr>
        <w:pStyle w:val="Heading2"/>
      </w:pPr>
      <w:r>
        <w:t>D. Claims Cooperation, Settlement Authority and Coverage of Claims Outcomes</w:t>
      </w:r>
    </w:p>
    <w:p>
      <w:pPr>
        <w:pStyle w:val="Heading3"/>
      </w:pPr>
      <w:r>
        <w:t>D.1 Thresholds and consent mechanics (Art. XI; Schedule D)</w:t>
      </w:r>
    </w:p>
    <w:p>
      <w:pPr>
        <w:pStyle w:val="ListBullet"/>
        <w:spacing w:after="60"/>
      </w:pPr>
      <w:r>
        <w:rPr>
          <w:b w:val="0"/>
          <w:i w:val="0"/>
        </w:rPr>
        <w:t>The draft keeps the $500K consent and $750K association thresholds. On December 16 Argonaut Re said it was open to $750K/$1M, and on January 8 it agreed to them (“final offer”). The next turn must reflect $750K/$1M at least. Pinnacle’s ask remains $1M/$2M (Tillman, Dec. 10).</w:t>
      </w:r>
    </w:p>
    <w:p>
      <w:pPr>
        <w:pStyle w:val="ListBullet"/>
        <w:spacing w:after="60"/>
      </w:pPr>
      <w:r>
        <w:rPr>
          <w:b w:val="0"/>
          <w:i w:val="0"/>
        </w:rPr>
        <w:t xml:space="preserve">§11.4 has no response deadline (“reasonable time”), no standard for withholding consent, and no stated consequence if Pinnacle settles without consent. Argonaut Re has rejected deemed consent twice. Fallbacks that do not use the words “deemed consent”: (i) consent “not to be unreasonably withheld, conditioned or delayed”; (ii) an escalation ladder, where after 10 business days the request goes to Argonaut Re’s Chief Claims Officer and after 20 business days to the CEOs; (iii) a rule that, absent a timely written objection with reasons, a settlement within the reserve authority communicated to the Reinsurer binds it; and (iv) a </w:t>
      </w:r>
      <w:r>
        <w:rPr>
          <w:b/>
          <w:i w:val="0"/>
        </w:rPr>
        <w:t>refusal-to-consent clause</w:t>
      </w:r>
      <w:r>
        <w:rPr>
          <w:b w:val="0"/>
          <w:i w:val="0"/>
        </w:rPr>
        <w:t>: if the Reinsurer withholds consent to a settlement Pinnacle recommends, its liability is not capped at the recommended settlement, and it bears its 30% share of any judgment in excess, any extra-contractual obligations (ECO) and any loss in excess of policy limits (XPL) that results, together with its share of defense costs after the refusal.</w:t>
      </w:r>
    </w:p>
    <w:p>
      <w:pPr>
        <w:pStyle w:val="ListBullet"/>
        <w:spacing w:after="60"/>
      </w:pPr>
      <w:r>
        <w:rPr>
          <w:b w:val="0"/>
          <w:i w:val="0"/>
        </w:rPr>
        <w:t>§11.5 grants the right to associate in “the defense and control” of claims. The word “control” conflicts with the last sentence of the same section, which leaves primary responsibility with the Company. It also conflicts with Pinnacle’s non-delegable duties to policyholders. Delete “and control.” Association counsel should be at the Reinsurer’s expense and outside ALAE.</w:t>
      </w:r>
    </w:p>
    <w:p>
      <w:pPr>
        <w:pStyle w:val="ListBullet"/>
        <w:spacing w:after="60"/>
      </w:pPr>
      <w:r>
        <w:rPr>
          <w:b/>
          <w:i w:val="0"/>
        </w:rPr>
        <w:t>Regulatory and bad-faith exposure.</w:t>
      </w:r>
      <w:r>
        <w:rPr>
          <w:b w:val="0"/>
          <w:i w:val="0"/>
        </w:rPr>
        <w:t xml:space="preserve"> Pinnacle remains the direct insurer and is answerable under the Illinois Improper Claims Practices provisions (215 ILCS 5/154.6) and the vexatious-delay remedy (215 ILCS 5/155). A minority reinsurer that can delay settlements without limit creates exposure to policyholder suits. §11.7 then excludes ECO (including bad faith and punitive damages), so Pinnacle bears that exposure at 100%. The refusal-to-consent clause above is the necessary counterweight.</w:t>
      </w:r>
    </w:p>
    <w:p>
      <w:pPr>
        <w:pStyle w:val="ListBullet"/>
        <w:spacing w:after="60"/>
      </w:pPr>
      <w:r>
        <w:rPr>
          <w:b/>
          <w:i w:val="0"/>
        </w:rPr>
        <w:t>The environmental justification is inconsistent with the Treaty’s own terms.</w:t>
      </w:r>
      <w:r>
        <w:rPr>
          <w:b w:val="0"/>
          <w:i w:val="0"/>
        </w:rPr>
        <w:t xml:space="preserve"> Argonaut Re repeatedly cites “environmental” liabilities as a reason for tight claims control (Dec. 4, Dec. 16, Jan. 8). Environmental Pollution Liabilities and asbestos are excluded from Subject Business entirely (§3.4(a); §1.6). Pinnacle should use this point in negotiation.</w:t>
      </w:r>
    </w:p>
    <w:p>
      <w:pPr>
        <w:pStyle w:val="ListBullet"/>
        <w:spacing w:after="60"/>
      </w:pPr>
      <w:r>
        <w:rPr>
          <w:b/>
          <w:i w:val="0"/>
        </w:rPr>
        <w:t>Notice thresholds:</w:t>
      </w:r>
      <w:r>
        <w:rPr>
          <w:b w:val="0"/>
          <w:i w:val="0"/>
        </w:rPr>
        <w:t xml:space="preserve"> §11.2 measures claims at $250K “incurred,” while Schedule D says thresholds are on a “Gross Basis” and shows the 30% share. Net Losses are defined after other reinsurance (§1.11). Specify whether thresholds are measured at 100% of the Company’s net loss, before this Treaty. Add a “late notice” clause providing that failure to give timely notice does not relieve the Reinsurer except to the extent of actual prejudice.</w:t>
      </w:r>
    </w:p>
    <w:p>
      <w:pPr>
        <w:pStyle w:val="ListBullet"/>
        <w:spacing w:after="60"/>
      </w:pPr>
      <w:r>
        <w:rPr>
          <w:b/>
          <w:i w:val="0"/>
        </w:rPr>
        <w:t>Schedule D.3</w:t>
      </w:r>
      <w:r>
        <w:rPr>
          <w:b w:val="0"/>
          <w:i w:val="0"/>
        </w:rPr>
        <w:t xml:space="preserve"> (5-business-day telephonic notice of fatalities and catastrophic injuries regardless of amount) is operationally onerous for a CGL book and should be raised to a dollar threshold or limited to claims reserved at $500K or more.</w:t>
      </w:r>
    </w:p>
    <w:p>
      <w:pPr>
        <w:pStyle w:val="Heading3"/>
      </w:pPr>
      <w:r>
        <w:t>D.2 Missing standard clauses</w:t>
      </w:r>
    </w:p>
    <w:p>
      <w:pPr>
        <w:pStyle w:val="ListBullet"/>
        <w:spacing w:after="60"/>
      </w:pPr>
      <w:r>
        <w:rPr>
          <w:b/>
          <w:i w:val="0"/>
        </w:rPr>
        <w:t>Follow the settlements / follow the fortunes:</w:t>
      </w:r>
      <w:r>
        <w:rPr>
          <w:b w:val="0"/>
          <w:i w:val="0"/>
        </w:rPr>
        <w:t xml:space="preserve"> the draft has no such clause. Without it, Argonaut Re can relitigate coverage and allocation positions Pinnacle took in good faith. Add: the Reinsurer’s liability attaches simultaneously with the Company’s and follows the Company’s good-faith settlements and claims decisions, subject only to the express terms of the Treaty.</w:t>
      </w:r>
    </w:p>
    <w:p>
      <w:pPr>
        <w:pStyle w:val="ListBullet"/>
        <w:spacing w:after="60"/>
      </w:pPr>
      <w:r>
        <w:rPr>
          <w:b/>
          <w:i w:val="0"/>
        </w:rPr>
        <w:t>Errors and omissions:</w:t>
      </w:r>
      <w:r>
        <w:rPr>
          <w:b w:val="0"/>
          <w:i w:val="0"/>
        </w:rPr>
        <w:t xml:space="preserve"> add a clause providing that inadvertent delays, errors or omissions do not relieve either party of liability, provided they are corrected promptly on discovery. §5.3 does this only for the retention warranty.</w:t>
      </w:r>
    </w:p>
    <w:p>
      <w:pPr>
        <w:pStyle w:val="ListBullet"/>
        <w:spacing w:after="60"/>
      </w:pPr>
      <w:r>
        <w:rPr>
          <w:b/>
          <w:i w:val="0"/>
        </w:rPr>
        <w:t>Ex gratia and voluntary payments (§11.6):</w:t>
      </w:r>
      <w:r>
        <w:rPr>
          <w:b w:val="0"/>
          <w:i w:val="0"/>
        </w:rPr>
        <w:t xml:space="preserve"> acceptable, but clarify that payments within policy terms made under a settlement approved under §11.4, or below the consent threshold, are not “voluntary.”</w:t>
      </w:r>
    </w:p>
    <w:p>
      <w:pPr>
        <w:pStyle w:val="Heading3"/>
      </w:pPr>
      <w:r>
        <w:t>D.3 Salvage and subrogation (Art. XII)</w:t>
      </w:r>
    </w:p>
    <w:p>
      <w:pPr>
        <w:spacing w:after="120"/>
      </w:pPr>
      <w:r>
        <w:rPr>
          <w:b w:val="0"/>
          <w:i w:val="0"/>
        </w:rPr>
        <w:t>§12.3 requires the Reinsurer’s consent before Pinnacle waives or compromises subrogation where the potential recovery exceeds $250K. Contractor CGL policies routinely carry blanket waiver-of-subrogation endorsements granted at policy issuance. Carve out waivers granted in the ordinary course of underwriting, and limit the consent requirement to post-loss compromises.</w:t>
      </w:r>
    </w:p>
    <w:p>
      <w:pPr>
        <w:pStyle w:val="Heading2"/>
      </w:pPr>
      <w:r>
        <w:t>E. Economics and Treaty Mechanics</w:t>
      </w:r>
    </w:p>
    <w:p>
      <w:pPr>
        <w:pStyle w:val="Heading3"/>
      </w:pPr>
      <w:r>
        <w:t>E.1 Sliding scale ceding commission (Art. VII; Schedule B)</w:t>
      </w:r>
    </w:p>
    <w:p>
      <w:pPr>
        <w:pStyle w:val="ListBullet"/>
        <w:spacing w:after="60"/>
      </w:pPr>
      <w:r>
        <w:rPr>
          <w:b w:val="0"/>
          <w:i w:val="0"/>
        </w:rPr>
        <w:t>The mathematics in §7.2, §7.6 and Schedule B are internally consistent (for example, 62.30% LR gives 35.08%, and 72.50% gives 29.50%). The bands contain a technical gap between 55.00% and 55.01% and between 65.00% and 65.01%, which B.3’s two-decimal rounding only partly addresses. Use “greater than 55.00% but not greater than 65.00%.”</w:t>
      </w:r>
    </w:p>
    <w:p>
      <w:pPr>
        <w:pStyle w:val="ListBullet"/>
        <w:spacing w:after="60"/>
      </w:pPr>
      <w:r>
        <w:rPr>
          <w:b w:val="0"/>
          <w:i w:val="0"/>
        </w:rPr>
        <w:t>The provisional rate of 34% corresponds to a 65% LR, while Lakeshore’s mean LR is 62.3% (35.08%). Pinnacle is therefore under-collecting about 1.08 points (about $625K on $57.9M) until the first adjustment “as of December 31, 2026” (§7.3), settled in a later quarterly account. Ask for a 35% provisional rate or an interim adjustment at December 31, 2025.</w:t>
      </w:r>
    </w:p>
    <w:p>
      <w:pPr>
        <w:pStyle w:val="ListBullet"/>
        <w:spacing w:after="60"/>
      </w:pPr>
      <w:r>
        <w:rPr>
          <w:b w:val="0"/>
          <w:i w:val="0"/>
        </w:rPr>
        <w:t>Long-tail risk: annual adjustments continue until all losses are settled (§7.3–7.4), so Pinnacle may have to return commission many years later as reserves develop. Consider a final adjustment date (for example 84 months), after which commission is fixed, or a cap on refunds.</w:t>
      </w:r>
    </w:p>
    <w:p>
      <w:pPr>
        <w:pStyle w:val="ListBullet"/>
        <w:spacing w:after="60"/>
      </w:pPr>
      <w:r>
        <w:rPr>
          <w:b w:val="0"/>
          <w:i w:val="0"/>
        </w:rPr>
        <w:t>§7.5 includes losses “up to and including any losses subject to the Aggregate Limit.” Clarify that the LR uses Ceded Losses capped at the Aggregate Limit. Above 75% the commission is at its minimum anyway, but the drafting should be unambiguous.</w:t>
      </w:r>
    </w:p>
    <w:p>
      <w:pPr>
        <w:pStyle w:val="Heading3"/>
      </w:pPr>
      <w:r>
        <w:t>E.2 Profit commission (Art. VIII; Schedule C)</w:t>
      </w:r>
    </w:p>
    <w:p>
      <w:pPr>
        <w:pStyle w:val="ListBullet"/>
        <w:spacing w:after="60"/>
      </w:pPr>
      <w:r>
        <w:rPr>
          <w:b/>
          <w:i w:val="0"/>
        </w:rPr>
        <w:t>Deficit double count:</w:t>
      </w:r>
      <w:r>
        <w:rPr>
          <w:b w:val="0"/>
          <w:i w:val="0"/>
        </w:rPr>
        <w:t xml:space="preserve"> §8.4 requires each recalculation to use “cumulative data for the Treaty Year,” yet §8.3 and Schedule C (Line F) also carry forward prior “Deficits” into later recalculations of the same Treaty Year. Because the cumulative figure already reflects all losses, deducting a prior deficit again double-counts it. Lakeshore read the carryforward as relevant “only if the treaty is renewed” (Report §IV.C, §V.D). The Treaty should say that.</w:t>
      </w:r>
    </w:p>
    <w:p>
      <w:pPr>
        <w:pStyle w:val="ListBullet"/>
        <w:spacing w:after="60"/>
      </w:pPr>
      <w:r>
        <w:rPr>
          <w:b/>
          <w:i w:val="0"/>
        </w:rPr>
        <w:t>Schedule C.3 arithmetic error:</w:t>
      </w:r>
      <w:r>
        <w:rPr>
          <w:b w:val="0"/>
          <w:i w:val="0"/>
        </w:rPr>
        <w:t xml:space="preserve"> 62.30% × $57,900,000 = $36,071,700, not $36,082,000. Net Treaty Profit is $(1,378,020), not $(1,388,000). Schedule C.4 is correct ($1,158,000 profit; $173,700 PC). Correct C.3. Although it is illustrative, an error in an attached schedule invites dispute.</w:t>
      </w:r>
    </w:p>
    <w:p>
      <w:pPr>
        <w:pStyle w:val="ListBullet"/>
        <w:spacing w:after="60"/>
      </w:pPr>
      <w:r>
        <w:rPr>
          <w:b/>
          <w:i w:val="0"/>
        </w:rPr>
        <w:t>Practical value is limited:</w:t>
      </w:r>
      <w:r>
        <w:rPr>
          <w:b w:val="0"/>
          <w:i w:val="0"/>
        </w:rPr>
        <w:t xml:space="preserve"> with the sliding scale and a 5% overhead allowance, Net Treaty Profit is positive only when the LR is below roughly 57%. In Lakeshore’s modeling it pays only in the favorable (25th percentile) case (about $0.7M). Pinnacle should treat the PC as a minor term and consider trading it for a better provisional commission or for collateral terms.</w:t>
      </w:r>
    </w:p>
    <w:p>
      <w:pPr>
        <w:pStyle w:val="ListBullet"/>
        <w:spacing w:after="60"/>
      </w:pPr>
      <w:r>
        <w:rPr>
          <w:b/>
          <w:i w:val="0"/>
        </w:rPr>
        <w:t>Timing:</w:t>
      </w:r>
      <w:r>
        <w:rPr>
          <w:b w:val="0"/>
          <w:i w:val="0"/>
        </w:rPr>
        <w:t xml:space="preserve"> the first PC calculation is as of December 31, 2027 (§8.4), 24 months after expiry. This is acceptable, but the PC should also be calculated on any commutation or termination.</w:t>
      </w:r>
    </w:p>
    <w:p>
      <w:pPr>
        <w:pStyle w:val="Heading3"/>
      </w:pPr>
      <w:r>
        <w:t>E.3 Aggregate limit (Art. VI)</w:t>
      </w:r>
    </w:p>
    <w:p>
      <w:pPr>
        <w:pStyle w:val="ListBullet"/>
        <w:spacing w:after="60"/>
      </w:pPr>
      <w:r>
        <w:rPr>
          <w:b w:val="0"/>
          <w:i w:val="0"/>
        </w:rPr>
        <w:t>The $85M limit applies to losses “during the Treaty Year” (§§1.1, 6.1, 6.2). Under the risks-attaching basis (§§1.15, 2.2), most losses will occur and be paid after December 31, 2025. Clarify that the limit applies once to all Ceded Losses on Subject Business attaching during the Treaty Period, “whenever occurring, reported or paid.” Otherwise one party will later argue the limit applies to (or excludes) only calendar-2025 losses.</w:t>
      </w:r>
    </w:p>
    <w:p>
      <w:pPr>
        <w:pStyle w:val="ListBullet"/>
        <w:spacing w:after="60"/>
      </w:pPr>
      <w:r>
        <w:rPr>
          <w:b w:val="0"/>
          <w:i w:val="0"/>
        </w:rPr>
        <w:t>Lakeshore did not model the interaction between the limit and the 28% minimum commission (the “double penalty”). It estimates a probability of exhaustion below 1% but cautions that mass tort, social inflation and nuclear verdicts may not be captured. Pinnacle’s Chief Actuary should run the integrated stochastic model Lakeshore recommends. The same model feeds the risk-transfer test (B.1).</w:t>
      </w:r>
    </w:p>
    <w:p>
      <w:pPr>
        <w:pStyle w:val="ListBullet"/>
        <w:spacing w:after="60"/>
      </w:pPr>
      <w:r>
        <w:rPr>
          <w:b w:val="0"/>
          <w:i w:val="0"/>
        </w:rPr>
        <w:t>§6.4 notice at 60% ($51M) is acceptable. Monthly reporting thereafter is burdensome but manageable.</w:t>
      </w:r>
    </w:p>
    <w:p>
      <w:pPr>
        <w:pStyle w:val="Heading3"/>
      </w:pPr>
      <w:r>
        <w:t>E.4 Accounts and settlements (Art. IX)</w:t>
      </w:r>
    </w:p>
    <w:p>
      <w:pPr>
        <w:pStyle w:val="ListBullet"/>
        <w:spacing w:after="60"/>
      </w:pPr>
      <w:r>
        <w:rPr>
          <w:b w:val="0"/>
          <w:i w:val="0"/>
        </w:rPr>
        <w:t>§9.4 makes balances due 45 days after quarter-end, the same day the account is due. In practice this gives the paying party no time and invites late-payment disputes. Provide that balances are due within 15 days after the account is rendered (or 30 days after quarter-end for the Reinsurer’s share of paid losses), and add the cash-call clause (C).</w:t>
      </w:r>
    </w:p>
    <w:p>
      <w:pPr>
        <w:pStyle w:val="ListBullet"/>
        <w:spacing w:after="60"/>
      </w:pPr>
      <w:r>
        <w:rPr>
          <w:b w:val="0"/>
          <w:i w:val="0"/>
        </w:rPr>
        <w:t>§9.3 (Company books conclusive absent manifest error, 90-day challenge window) and §9.5 (SOFR + 2.50%) favor Pinnacle and should be preserved. §10.2 audit rights are standard. Limit audits to once a year absent cause and require confidentiality of claims data.</w:t>
      </w:r>
    </w:p>
    <w:p>
      <w:pPr>
        <w:pStyle w:val="Heading3"/>
      </w:pPr>
      <w:r>
        <w:t>E.5 Commutation (Art. XVII)</w:t>
      </w:r>
    </w:p>
    <w:p>
      <w:pPr>
        <w:pStyle w:val="ListBullet"/>
        <w:spacing w:after="60"/>
      </w:pPr>
      <w:r>
        <w:rPr>
          <w:b w:val="0"/>
          <w:i w:val="0"/>
        </w:rPr>
        <w:t>Either party may commute from January 1, 2029 (§17.1). Argonaut Re could force a commutation of an immature long-tail CGL book when IBNR is most uncertain, collapsing Pinnacle’s protection into a single negotiated or actuary-determined payment. Commutation should require mutual agreement, or be at Pinnacle’s sole option.</w:t>
      </w:r>
    </w:p>
    <w:p>
      <w:pPr>
        <w:pStyle w:val="ListBullet"/>
        <w:spacing w:after="60"/>
      </w:pPr>
      <w:r>
        <w:rPr>
          <w:b w:val="0"/>
          <w:i w:val="0"/>
        </w:rPr>
        <w:t>§17.2 lists “paid and outstanding Ceded Losses, reserves for known claims, and any other relevant factors.” It does not list IBNR. Expressly include IBNR, ALAE, expected development, an agreed discount rate (if any), and the Determining Actuary’s mandate to use generally accepted actuarial methods. The Determining Actuary should be independent of both parties and of B&amp;R and Lakeshore.</w:t>
      </w:r>
    </w:p>
    <w:p>
      <w:pPr>
        <w:pStyle w:val="ListBullet"/>
        <w:spacing w:after="60"/>
      </w:pPr>
      <w:r>
        <w:rPr>
          <w:b w:val="0"/>
          <w:i w:val="0"/>
        </w:rPr>
        <w:t>§17.5 releases “all claims arising under or in connection with this Treaty.” Carve out amounts due under quarterly accounts not yet settled and indemnities that survive. §17.6’s trust release should occur only after the Commutation Amount is received in good funds.</w:t>
      </w:r>
    </w:p>
    <w:p>
      <w:pPr>
        <w:pStyle w:val="Heading3"/>
      </w:pPr>
      <w:r>
        <w:t>E.6 Federal excise tax and taxes (Art. XIX)</w:t>
      </w:r>
    </w:p>
    <w:p>
      <w:pPr>
        <w:pStyle w:val="ListBullet"/>
        <w:spacing w:after="60"/>
      </w:pPr>
      <w:r>
        <w:rPr>
          <w:b w:val="0"/>
          <w:i w:val="0"/>
        </w:rPr>
        <w:t>Premiums ceded to a foreign reinsurer attract the 1% federal excise tax under IRC §4371 (about $579K on $57.9M). §19.2 places it on Pinnacle with no recovery. Market practice is generally for the tax to be borne by the reinsurer and deducted from premium remitted (unless a treaty exemption applies, which the U.S.–Bermuda arrangements do not provide). Negotiate FET for the Reinsurer’s account. Form 5471 (§19.3) is inapplicable to an unrelated cession and should be removed. Pinnacle’s tax department should confirm the Form 720 approach.</w:t>
      </w:r>
    </w:p>
    <w:p>
      <w:pPr>
        <w:pStyle w:val="Heading3"/>
      </w:pPr>
      <w:r>
        <w:t>E.7 Premium basis and projections</w:t>
      </w:r>
    </w:p>
    <w:p>
      <w:pPr>
        <w:pStyle w:val="ListBullet"/>
        <w:spacing w:after="60"/>
      </w:pPr>
      <w:r>
        <w:rPr>
          <w:b w:val="0"/>
          <w:i w:val="0"/>
        </w:rPr>
        <w:t xml:space="preserve">The Treaty assumes 2025 CGL </w:t>
      </w:r>
      <w:r>
        <w:rPr>
          <w:b/>
          <w:i w:val="0"/>
        </w:rPr>
        <w:t>net</w:t>
      </w:r>
      <w:r>
        <w:rPr>
          <w:b w:val="0"/>
          <w:i w:val="0"/>
        </w:rPr>
        <w:t xml:space="preserve"> written premium of $193M (§4.3; Sch. A.5). Lakeshore reports 2024 CGL </w:t>
      </w:r>
      <w:r>
        <w:rPr>
          <w:b/>
          <w:i w:val="0"/>
        </w:rPr>
        <w:t>direct</w:t>
      </w:r>
      <w:r>
        <w:rPr>
          <w:b w:val="0"/>
          <w:i w:val="0"/>
        </w:rPr>
        <w:t xml:space="preserve"> written premium of about $187M (Report §III.A). Because “Net Premiums” are after other reinsurance (§1.12), net written premium would ordinarily be below direct. Confirm the projection basis with Mr. Chen. It drives the ceded premium estimate, the trust sizing rationale and the 146.8% exhaustion metric.</w:t>
      </w:r>
    </w:p>
    <w:p>
      <w:pPr>
        <w:pStyle w:val="Heading2"/>
      </w:pPr>
      <w:r>
        <w:t>F. Dispute Resolution and Governing Law (Art. XV)</w:t>
      </w:r>
    </w:p>
    <w:p>
      <w:pPr>
        <w:pStyle w:val="ListBullet"/>
        <w:spacing w:after="60"/>
      </w:pPr>
      <w:r>
        <w:rPr>
          <w:b/>
          <w:i w:val="0"/>
        </w:rPr>
        <w:t>Argonaut Re’s stated position.</w:t>
      </w:r>
      <w:r>
        <w:rPr>
          <w:b w:val="0"/>
          <w:i w:val="0"/>
        </w:rPr>
        <w:t xml:space="preserve"> Argonaut Re says the Bermuda seat, Bermuda law, Bermuda procedural framework and fee-shifting are final (Karides, Dec. 4, Dec. 16, Jan. 8). It has offered a broader Illinois-law carve-out for the insolvency clause and “any provisions expressly required by Illinois statute for credit-for-reinsurance purposes.” Pinnacle should lock that offer in with an enumerated list: Arts. XIII (as applied in insolvency), XIV, XVI and XVIII, the Service of Suit clause, and the Trust Agreement. It should also add that nothing in Art. XV prevents a regulator or receiver from exercising statutory rights in Illinois courts.</w:t>
      </w:r>
    </w:p>
    <w:p>
      <w:pPr>
        <w:pStyle w:val="ListBullet"/>
        <w:spacing w:after="60"/>
      </w:pPr>
      <w:r>
        <w:rPr>
          <w:b/>
          <w:i w:val="0"/>
        </w:rPr>
        <w:t>Statute choice.</w:t>
      </w:r>
      <w:r>
        <w:rPr>
          <w:b w:val="0"/>
          <w:i w:val="0"/>
        </w:rPr>
        <w:t xml:space="preserve"> §15.3 selects the Bermuda Arbitration Act 1986. Our understanding is that international arbitrations seated in Bermuda are generally governed by the Bermuda International Conciliation and Arbitration Act 1993 (adopting the UNCITRAL Model Law), with the 1986 Act applying to domestic arbitrations. Bermuda counsel should confirm. If so, the clause should be corrected, because the wrong statute risks satellite litigation.</w:t>
      </w:r>
    </w:p>
    <w:p>
      <w:pPr>
        <w:pStyle w:val="ListBullet"/>
        <w:spacing w:after="60"/>
      </w:pPr>
      <w:r>
        <w:rPr>
          <w:b/>
          <w:i w:val="0"/>
        </w:rPr>
        <w:t>Appointing authority.</w:t>
      </w:r>
      <w:r>
        <w:rPr>
          <w:b w:val="0"/>
          <w:i w:val="0"/>
        </w:rPr>
        <w:t xml:space="preserve"> §15.5(d)–(e) refers to “the President of the Bermuda International Conciliation and Arbitration (BICA).” This appears to conflate the 1993 statute with an institution, and we have not identified an appointing body by that name. Name a functioning default appointing authority (for example the Supreme Court of Bermuda, or ARIAS·U.S. / ARIAS (UK) umpire procedures) so that the panel cannot be stalled.</w:t>
      </w:r>
    </w:p>
    <w:p>
      <w:pPr>
        <w:pStyle w:val="ListBullet"/>
        <w:spacing w:after="60"/>
      </w:pPr>
      <w:r>
        <w:rPr>
          <w:b/>
          <w:i w:val="0"/>
        </w:rPr>
        <w:t>Fee-shifting (§15.8).</w:t>
      </w:r>
      <w:r>
        <w:rPr>
          <w:b w:val="0"/>
          <w:i w:val="0"/>
        </w:rPr>
        <w:t xml:space="preserve"> Loser-pays is atypical in U.S. reinsurance arbitration and deters the cedant, which is usually the claimant. Fallbacks if deletion fails: (i) costs at the panel’s discretion; (ii) shifting only on a finding of bad faith or frivolous position; or (iii) a cap on recoverable fees. Exclude collection of undisputed balances and trust-funding disputes from fee-shifting risk.</w:t>
      </w:r>
    </w:p>
    <w:p>
      <w:pPr>
        <w:pStyle w:val="ListBullet"/>
        <w:spacing w:after="60"/>
      </w:pPr>
      <w:r>
        <w:rPr>
          <w:b/>
          <w:i w:val="0"/>
        </w:rPr>
        <w:t>Honorable engagement vs entire agreement.</w:t>
      </w:r>
      <w:r>
        <w:rPr>
          <w:b w:val="0"/>
          <w:i w:val="0"/>
        </w:rPr>
        <w:t xml:space="preserve"> §15.7 tells arbitrators to apply industry custom and practice and not to read the Treaty literally. §22.1 bars “extrinsic evidence, course of dealing, or trade usage.” Reconcile them. Pinnacle generally benefits from the express protections (collateral, insolvency, intermediary), so the honorable-engagement clause should be subordinated to the express terms, as its last sentence partly does.</w:t>
      </w:r>
    </w:p>
    <w:p>
      <w:pPr>
        <w:pStyle w:val="ListBullet"/>
        <w:spacing w:after="60"/>
      </w:pPr>
      <w:r>
        <w:rPr>
          <w:b/>
          <w:i w:val="0"/>
        </w:rPr>
        <w:t>Other points:</w:t>
      </w:r>
      <w:r>
        <w:rPr>
          <w:b w:val="0"/>
          <w:i w:val="0"/>
        </w:rPr>
        <w:t xml:space="preserve"> add a carve-out for court applications for interim or injunctive relief, including to enforce trust funding and the cash call. Make the 60-day negotiation precondition (§15.1) inapplicable to undisputed payment claims and interim relief. Revisit the waiver of appeal (§15.10), which is acceptable if the award is reasoned. Confirm arbitrator qualifications (§15.6) permit retired U.S. regulators and counsel experienced in U.S. reinsurance.</w:t>
      </w:r>
    </w:p>
    <w:p>
      <w:pPr>
        <w:pStyle w:val="Heading2"/>
      </w:pPr>
      <w:r>
        <w:t>G. Scope of Cover</w:t>
      </w:r>
    </w:p>
    <w:p>
      <w:pPr>
        <w:pStyle w:val="ListBullet"/>
        <w:spacing w:after="60"/>
      </w:pPr>
      <w:r>
        <w:rPr>
          <w:b/>
          <w:i w:val="0"/>
        </w:rPr>
        <w:t>Pollution (§§1.6, 3.4(a)).</w:t>
      </w:r>
      <w:r>
        <w:rPr>
          <w:b w:val="0"/>
          <w:i w:val="0"/>
        </w:rPr>
        <w:t xml:space="preserve"> The definition excludes “sudden and accidental or gradual” pollution, including bodily injury from exposure, regardless of what the underlying policy covers. ISO CG 00 01 restores some pollution coverage (for example the hostile-fire, building-heating-equipment and certain contractor exceptions). Pinnacle would retain those losses at 100%. Make the exclusion follow form: excluded only to the extent the original policy does not contain the standard ISO pollution exclusion or an equivalent.</w:t>
      </w:r>
    </w:p>
    <w:p>
      <w:pPr>
        <w:pStyle w:val="ListBullet"/>
        <w:spacing w:after="60"/>
      </w:pPr>
      <w:r>
        <w:rPr>
          <w:b/>
          <w:i w:val="0"/>
        </w:rPr>
        <w:t>Cyber and E&amp;O (§3.4(b)–(c)).</w:t>
      </w:r>
      <w:r>
        <w:rPr>
          <w:b w:val="0"/>
          <w:i w:val="0"/>
        </w:rPr>
        <w:t xml:space="preserve"> These exclude any policy “or endorsements” with cyber, data-breach or media cover, and any professional liability “as part of a package policy.” Read literally, a CGL policy with a limited data-breach endorsement could be excluded entirely. Limit the exclusion to the endorsement’s premium and loss. Pinnacle also writes professional liability and excess casualty (Report §III.A); confirm classification protocols (§3.5, which favorably makes Pinnacle’s determination controlling absent manifest error, should be kept).</w:t>
      </w:r>
    </w:p>
    <w:p>
      <w:pPr>
        <w:pStyle w:val="ListBullet"/>
        <w:spacing w:after="60"/>
      </w:pPr>
      <w:r>
        <w:rPr>
          <w:b/>
          <w:i w:val="0"/>
        </w:rPr>
        <w:t>Limits (§3.3).</w:t>
      </w:r>
      <w:r>
        <w:rPr>
          <w:b w:val="0"/>
          <w:i w:val="0"/>
        </w:rPr>
        <w:t xml:space="preserve"> Policies with per-occurrence limits above $5M are excluded entirely. Consider instead covering the first $5M of such policies, which avoids gaps from limit endorsements and reclassification disputes. Confirm treatment of policies with $5M occurrence limits and higher general aggregates.</w:t>
      </w:r>
    </w:p>
    <w:p>
      <w:pPr>
        <w:pStyle w:val="ListBullet"/>
        <w:spacing w:after="60"/>
      </w:pPr>
      <w:r>
        <w:rPr>
          <w:b/>
          <w:i w:val="0"/>
        </w:rPr>
        <w:t>Territory and currency (§§3.2, A.2, 9.6, 22.8).</w:t>
      </w:r>
      <w:r>
        <w:rPr>
          <w:b w:val="0"/>
          <w:i w:val="0"/>
        </w:rPr>
        <w:t xml:space="preserve"> The territory includes Canada and all U.S. territories, while Pinnacle is licensed in 38 states. Confirm whether Pinnacle writes any Canadian or territorial risks (including any fronted or surplus-lines arrangements) and whether any Canadian regulatory (OSFI/provincial) or currency issues arise. Add a currency-conversion rule for any non-USD policies.</w:t>
      </w:r>
    </w:p>
    <w:p>
      <w:pPr>
        <w:pStyle w:val="ListBullet"/>
        <w:spacing w:after="60"/>
      </w:pPr>
      <w:r>
        <w:rPr>
          <w:b/>
          <w:i w:val="0"/>
        </w:rPr>
        <w:t>Retention warranty (Art. V).</w:t>
      </w:r>
      <w:r>
        <w:rPr>
          <w:b w:val="0"/>
          <w:i w:val="0"/>
        </w:rPr>
        <w:t xml:space="preserve"> The 10% minimum net retention is comfortably met at a 70% retention. §5.3’s cure-and-notify protection is helpful. Confirm that inuring excess-of-loss programs do not cause any individual risk to breach §5.2.</w:t>
      </w:r>
    </w:p>
    <w:p>
      <w:pPr>
        <w:pStyle w:val="ListBullet"/>
        <w:spacing w:after="60"/>
      </w:pPr>
      <w:r>
        <w:rPr>
          <w:b/>
          <w:i w:val="0"/>
        </w:rPr>
        <w:t>Survival (§2.5)</w:t>
      </w:r>
      <w:r>
        <w:rPr>
          <w:b w:val="0"/>
          <w:i w:val="0"/>
        </w:rPr>
        <w:t xml:space="preserve"> omits Arts. XVI (Intermediary), XIX (Taxes) and XXI (Notices), all of which operate in run-off. Add them.</w:t>
      </w:r>
    </w:p>
    <w:p>
      <w:pPr>
        <w:pStyle w:val="Heading2"/>
      </w:pPr>
      <w:r>
        <w:t>H. Process, Diligence and Drafting Consistency</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1F3A5F"/>
          </w:tcPr>
          <w:p>
            <w:r/>
            <w:r>
              <w:rPr>
                <w:b/>
                <w:color w:val="FFFFFF"/>
                <w:sz w:val="16"/>
              </w:rPr>
              <w:t>Item</w:t>
            </w:r>
          </w:p>
        </w:tc>
        <w:tc>
          <w:tcPr>
            <w:tcW w:type="dxa" w:w="4608"/>
            <w:shd w:val="clear" w:color="auto" w:fill="1F3A5F"/>
          </w:tcPr>
          <w:p>
            <w:r/>
            <w:r>
              <w:rPr>
                <w:b/>
                <w:color w:val="FFFFFF"/>
                <w:sz w:val="16"/>
              </w:rPr>
              <w:t>Observation</w:t>
            </w:r>
          </w:p>
        </w:tc>
        <w:tc>
          <w:tcPr>
            <w:tcW w:type="dxa" w:w="3024"/>
            <w:shd w:val="clear" w:color="auto" w:fill="1F3A5F"/>
          </w:tcPr>
          <w:p>
            <w:r/>
            <w:r>
              <w:rPr>
                <w:b/>
                <w:color w:val="FFFFFF"/>
                <w:sz w:val="16"/>
              </w:rPr>
              <w:t>Action</w:t>
            </w:r>
          </w:p>
        </w:tc>
      </w:tr>
      <w:tr>
        <w:tc>
          <w:tcPr>
            <w:tcW w:type="dxa" w:w="1728"/>
          </w:tcPr>
          <w:p>
            <w:r/>
            <w:r>
              <w:rPr>
                <w:b w:val="0"/>
                <w:i w:val="0"/>
                <w:sz w:val="16"/>
              </w:rPr>
              <w:t>Draft provenance</w:t>
            </w:r>
          </w:p>
        </w:tc>
        <w:tc>
          <w:tcPr>
            <w:tcW w:type="dxa" w:w="4608"/>
          </w:tcPr>
          <w:p>
            <w:r/>
            <w:r>
              <w:rPr>
                <w:b w:val="0"/>
                <w:i w:val="0"/>
                <w:sz w:val="16"/>
              </w:rPr>
              <w:t>The Treaty was drafted by Argonaut Re’s counsel from its standard form (Karides, Jan. 8). The December 16 threshold concessions were not carried into it.</w:t>
            </w:r>
          </w:p>
        </w:tc>
        <w:tc>
          <w:tcPr>
            <w:tcW w:type="dxa" w:w="3024"/>
          </w:tcPr>
          <w:p>
            <w:r/>
            <w:r>
              <w:rPr>
                <w:b w:val="0"/>
                <w:i w:val="0"/>
                <w:sz w:val="16"/>
              </w:rPr>
              <w:t>Pinnacle should produce the next turn as a full markup, not a comment list.</w:t>
            </w:r>
          </w:p>
        </w:tc>
      </w:tr>
      <w:tr>
        <w:tc>
          <w:tcPr>
            <w:tcW w:type="dxa" w:w="1728"/>
          </w:tcPr>
          <w:p>
            <w:r/>
            <w:r>
              <w:rPr>
                <w:b w:val="0"/>
                <w:i w:val="0"/>
                <w:sz w:val="16"/>
              </w:rPr>
              <w:t>Article numbering in Correspondence</w:t>
            </w:r>
          </w:p>
        </w:tc>
        <w:tc>
          <w:tcPr>
            <w:tcW w:type="dxa" w:w="4608"/>
          </w:tcPr>
          <w:p>
            <w:r/>
            <w:r>
              <w:rPr>
                <w:b w:val="0"/>
                <w:i w:val="0"/>
                <w:sz w:val="16"/>
              </w:rPr>
              <w:t>Ms. Voss’s Dec. 20 email directs attention to Arts. VII (Claims), IX (Arbitration), X (Insolvency), XII (Intermediary) and XIV (Commutation). In the draft we reviewed these are Arts. XI, XV, XIV, XVI and XVII.</w:t>
            </w:r>
          </w:p>
        </w:tc>
        <w:tc>
          <w:tcPr>
            <w:tcW w:type="dxa" w:w="3024"/>
          </w:tcPr>
          <w:p>
            <w:r/>
            <w:r>
              <w:rPr>
                <w:b w:val="0"/>
                <w:i w:val="0"/>
                <w:sz w:val="16"/>
              </w:rPr>
              <w:t>Confirm that all parties are working from the same December 18 draft (the document reviewed is about 25 pages plus Schedules A–D).</w:t>
            </w:r>
          </w:p>
        </w:tc>
      </w:tr>
      <w:tr>
        <w:tc>
          <w:tcPr>
            <w:tcW w:type="dxa" w:w="1728"/>
          </w:tcPr>
          <w:p>
            <w:r/>
            <w:r>
              <w:rPr>
                <w:b w:val="0"/>
                <w:i w:val="0"/>
                <w:sz w:val="16"/>
              </w:rPr>
              <w:t>Trust cross-references</w:t>
            </w:r>
          </w:p>
        </w:tc>
        <w:tc>
          <w:tcPr>
            <w:tcW w:type="dxa" w:w="4608"/>
          </w:tcPr>
          <w:p>
            <w:r/>
            <w:r>
              <w:rPr>
                <w:b w:val="0"/>
                <w:i w:val="0"/>
                <w:sz w:val="16"/>
              </w:rPr>
              <w:t>Trust §§1.10, 1.14, 7.01 and Ex. C cite Treaty “Article VIII” for offset (it is Art. XIII). Trust §11.02 cites “Article XII” for arbitration (it is Art. XV).</w:t>
            </w:r>
          </w:p>
        </w:tc>
        <w:tc>
          <w:tcPr>
            <w:tcW w:type="dxa" w:w="3024"/>
          </w:tcPr>
          <w:p>
            <w:r/>
            <w:r>
              <w:rPr>
                <w:b w:val="0"/>
                <w:i w:val="0"/>
                <w:sz w:val="16"/>
              </w:rPr>
              <w:t>Correct.</w:t>
            </w:r>
          </w:p>
        </w:tc>
      </w:tr>
      <w:tr>
        <w:tc>
          <w:tcPr>
            <w:tcW w:type="dxa" w:w="1728"/>
          </w:tcPr>
          <w:p>
            <w:r/>
            <w:r>
              <w:rPr>
                <w:b w:val="0"/>
                <w:i w:val="0"/>
                <w:sz w:val="16"/>
              </w:rPr>
              <w:t>Trust date</w:t>
            </w:r>
          </w:p>
        </w:tc>
        <w:tc>
          <w:tcPr>
            <w:tcW w:type="dxa" w:w="4608"/>
          </w:tcPr>
          <w:p>
            <w:r/>
            <w:r>
              <w:rPr>
                <w:b w:val="0"/>
                <w:i w:val="0"/>
                <w:sz w:val="16"/>
              </w:rPr>
              <w:t>Treaty §1.18 and §18.1: “dated as of January 1, 2025.” Trust: “dated as of January 10, 2025.”</w:t>
            </w:r>
          </w:p>
        </w:tc>
        <w:tc>
          <w:tcPr>
            <w:tcW w:type="dxa" w:w="3024"/>
          </w:tcPr>
          <w:p>
            <w:r/>
            <w:r>
              <w:rPr>
                <w:b w:val="0"/>
                <w:i w:val="0"/>
                <w:sz w:val="16"/>
              </w:rPr>
              <w:t>Conform. Tie funding to Treaty execution.</w:t>
            </w:r>
          </w:p>
        </w:tc>
      </w:tr>
      <w:tr>
        <w:tc>
          <w:tcPr>
            <w:tcW w:type="dxa" w:w="1728"/>
          </w:tcPr>
          <w:p>
            <w:r/>
            <w:r>
              <w:rPr>
                <w:b w:val="0"/>
                <w:i w:val="0"/>
                <w:sz w:val="16"/>
              </w:rPr>
              <w:t>Trustee address</w:t>
            </w:r>
          </w:p>
        </w:tc>
        <w:tc>
          <w:tcPr>
            <w:tcW w:type="dxa" w:w="4608"/>
          </w:tcPr>
          <w:p>
            <w:r/>
            <w:r>
              <w:rPr>
                <w:b w:val="0"/>
                <w:i w:val="0"/>
                <w:sz w:val="16"/>
              </w:rPr>
              <w:t>Trust: 388 Greenwich Street. B&amp;R Summary: 395 Greenwich Street.</w:t>
            </w:r>
          </w:p>
        </w:tc>
        <w:tc>
          <w:tcPr>
            <w:tcW w:type="dxa" w:w="3024"/>
          </w:tcPr>
          <w:p>
            <w:r/>
            <w:r>
              <w:rPr>
                <w:b w:val="0"/>
                <w:i w:val="0"/>
                <w:sz w:val="16"/>
              </w:rPr>
              <w:t>Confirm with the Trustee.</w:t>
            </w:r>
          </w:p>
        </w:tc>
      </w:tr>
      <w:tr>
        <w:tc>
          <w:tcPr>
            <w:tcW w:type="dxa" w:w="1728"/>
          </w:tcPr>
          <w:p>
            <w:r/>
            <w:r>
              <w:rPr>
                <w:b w:val="0"/>
                <w:i w:val="0"/>
                <w:sz w:val="16"/>
              </w:rPr>
              <w:t>Party names and titles</w:t>
            </w:r>
          </w:p>
        </w:tc>
        <w:tc>
          <w:tcPr>
            <w:tcW w:type="dxa" w:w="4608"/>
          </w:tcPr>
          <w:p>
            <w:r/>
            <w:r>
              <w:rPr>
                <w:b w:val="0"/>
                <w:i w:val="0"/>
                <w:sz w:val="16"/>
              </w:rPr>
              <w:t>Mr. Tillman’s signature block reads “Pinnacle Casualty &amp; Surety Company.” The Treaty party is Pinnacle Casualty Insurance Company (NAIC 24817). Ms. Karides signs emails as “VP — Treaty Underwriting” but is the Treaty’s General Counsel and attesting officer. “Jørgensen” vs “Jorgensen.” B&amp;R entity names differ (see A.7).</w:t>
            </w:r>
          </w:p>
        </w:tc>
        <w:tc>
          <w:tcPr>
            <w:tcW w:type="dxa" w:w="3024"/>
          </w:tcPr>
          <w:p>
            <w:r/>
            <w:r>
              <w:rPr>
                <w:b w:val="0"/>
                <w:i w:val="0"/>
                <w:sz w:val="16"/>
              </w:rPr>
              <w:t>Confirm correct legal names, signatory authority and incumbency certificates. Check that no affiliate is intended to be a party.</w:t>
            </w:r>
          </w:p>
        </w:tc>
      </w:tr>
      <w:tr>
        <w:tc>
          <w:tcPr>
            <w:tcW w:type="dxa" w:w="1728"/>
          </w:tcPr>
          <w:p>
            <w:r/>
            <w:r>
              <w:rPr>
                <w:b w:val="0"/>
                <w:i w:val="0"/>
                <w:sz w:val="16"/>
              </w:rPr>
              <w:t>Board approval</w:t>
            </w:r>
          </w:p>
        </w:tc>
        <w:tc>
          <w:tcPr>
            <w:tcW w:type="dxa" w:w="4608"/>
          </w:tcPr>
          <w:p>
            <w:r/>
            <w:r>
              <w:rPr>
                <w:b w:val="0"/>
                <w:i w:val="0"/>
                <w:sz w:val="16"/>
              </w:rPr>
              <w:t>Trust §9.02(c) recites Pinnacle board approval on October 15, 2024, before the indication and the drafts.</w:t>
            </w:r>
          </w:p>
        </w:tc>
        <w:tc>
          <w:tcPr>
            <w:tcW w:type="dxa" w:w="3024"/>
          </w:tcPr>
          <w:p>
            <w:r/>
            <w:r>
              <w:rPr>
                <w:b w:val="0"/>
                <w:i w:val="0"/>
                <w:sz w:val="16"/>
              </w:rPr>
              <w:t>Obtain an updated resolution approving final terms, counterparty and collateral.</w:t>
            </w:r>
          </w:p>
        </w:tc>
      </w:tr>
      <w:tr>
        <w:tc>
          <w:tcPr>
            <w:tcW w:type="dxa" w:w="1728"/>
          </w:tcPr>
          <w:p>
            <w:r/>
            <w:r>
              <w:rPr>
                <w:b w:val="0"/>
                <w:i w:val="0"/>
                <w:sz w:val="16"/>
              </w:rPr>
              <w:t>Lakeshore engagement</w:t>
            </w:r>
          </w:p>
        </w:tc>
        <w:tc>
          <w:tcPr>
            <w:tcW w:type="dxa" w:w="4608"/>
          </w:tcPr>
          <w:p>
            <w:r/>
            <w:r>
              <w:rPr>
                <w:b w:val="0"/>
                <w:i w:val="0"/>
                <w:sz w:val="16"/>
              </w:rPr>
              <w:t>Ms. Voss (Nov. 25) says B&amp;R “has engaged” Lakeshore. The Report says it was retained by and prepared for Pinnacle. The Report (Jan. 6) relies on the B&amp;R financial summary, which is dated January 8.</w:t>
            </w:r>
          </w:p>
        </w:tc>
        <w:tc>
          <w:tcPr>
            <w:tcW w:type="dxa" w:w="3024"/>
          </w:tcPr>
          <w:p>
            <w:r/>
            <w:r>
              <w:rPr>
                <w:b w:val="0"/>
                <w:i w:val="0"/>
                <w:sz w:val="16"/>
              </w:rPr>
              <w:t>Confirm Lakeshore’s client, scope and independence from the intermediary, and which version of the B&amp;R summary it relied on.</w:t>
            </w:r>
          </w:p>
        </w:tc>
      </w:tr>
      <w:tr>
        <w:tc>
          <w:tcPr>
            <w:tcW w:type="dxa" w:w="1728"/>
          </w:tcPr>
          <w:p>
            <w:r/>
            <w:r>
              <w:rPr>
                <w:b w:val="0"/>
                <w:i w:val="0"/>
                <w:sz w:val="16"/>
              </w:rPr>
              <w:t>B&amp;R Summary</w:t>
            </w:r>
          </w:p>
        </w:tc>
        <w:tc>
          <w:tcPr>
            <w:tcW w:type="dxa" w:w="4608"/>
          </w:tcPr>
          <w:p>
            <w:r/>
            <w:r>
              <w:rPr>
                <w:b w:val="0"/>
                <w:i w:val="0"/>
                <w:sz w:val="16"/>
              </w:rPr>
              <w:t>Dated January 8 but describes the trust draft as “circulated January 10.” Treats year-end ceded UPR as zero on a risks-attaching treaty (see A.2).</w:t>
            </w:r>
          </w:p>
        </w:tc>
        <w:tc>
          <w:tcPr>
            <w:tcW w:type="dxa" w:w="3024"/>
          </w:tcPr>
          <w:p>
            <w:r/>
            <w:r>
              <w:rPr>
                <w:b w:val="0"/>
                <w:i w:val="0"/>
                <w:sz w:val="16"/>
              </w:rPr>
              <w:t>Do not rely on B&amp;R’s collateral analysis. Pinnacle’s actuary should prepare its own.</w:t>
            </w:r>
          </w:p>
        </w:tc>
      </w:tr>
      <w:tr>
        <w:tc>
          <w:tcPr>
            <w:tcW w:type="dxa" w:w="1728"/>
          </w:tcPr>
          <w:p>
            <w:r/>
            <w:r>
              <w:rPr>
                <w:b w:val="0"/>
                <w:i w:val="0"/>
                <w:sz w:val="16"/>
              </w:rPr>
              <w:t>Schedules</w:t>
            </w:r>
          </w:p>
        </w:tc>
        <w:tc>
          <w:tcPr>
            <w:tcW w:type="dxa" w:w="4608"/>
          </w:tcPr>
          <w:p>
            <w:r/>
            <w:r>
              <w:rPr>
                <w:b w:val="0"/>
                <w:i w:val="0"/>
                <w:sz w:val="16"/>
              </w:rPr>
              <w:t>Sch. D “Gross Basis” is inconsistent with net-loss definitions. Sch. C.3 has an arithmetic error. Sch. B band gaps.</w:t>
            </w:r>
          </w:p>
        </w:tc>
        <w:tc>
          <w:tcPr>
            <w:tcW w:type="dxa" w:w="3024"/>
          </w:tcPr>
          <w:p>
            <w:r/>
            <w:r>
              <w:rPr>
                <w:b w:val="0"/>
                <w:i w:val="0"/>
                <w:sz w:val="16"/>
              </w:rPr>
              <w:t>Correct (see D.1, E.1, E.2).</w:t>
            </w:r>
          </w:p>
        </w:tc>
      </w:tr>
      <w:tr>
        <w:tc>
          <w:tcPr>
            <w:tcW w:type="dxa" w:w="1728"/>
          </w:tcPr>
          <w:p>
            <w:r/>
            <w:r>
              <w:rPr>
                <w:b w:val="0"/>
                <w:i w:val="0"/>
                <w:sz w:val="16"/>
              </w:rPr>
              <w:t>Treaty Art. XVIII vs Trust</w:t>
            </w:r>
          </w:p>
        </w:tc>
        <w:tc>
          <w:tcPr>
            <w:tcW w:type="dxa" w:w="4608"/>
          </w:tcPr>
          <w:p>
            <w:r/>
            <w:r>
              <w:rPr>
                <w:b w:val="0"/>
                <w:i w:val="0"/>
                <w:sz w:val="16"/>
              </w:rPr>
              <w:t>Treaty §18.3 assets: Treasuries, agencies, A- corporates. Trust also allows cash and imposes a 5-year maturity cap. Treaty §18.4 includes IBNR and UPR in the adjustment, but Trust §4.02 does not expressly include them.</w:t>
            </w:r>
          </w:p>
        </w:tc>
        <w:tc>
          <w:tcPr>
            <w:tcW w:type="dxa" w:w="3024"/>
          </w:tcPr>
          <w:p>
            <w:r/>
            <w:r>
              <w:rPr>
                <w:b w:val="0"/>
                <w:i w:val="0"/>
                <w:sz w:val="16"/>
              </w:rPr>
              <w:t>Conform. The Trust Agreement controls asset eligibility.</w:t>
            </w:r>
          </w:p>
        </w:tc>
      </w:tr>
    </w:tbl>
    <w:p>
      <w:pPr>
        <w:spacing w:after="40"/>
      </w:pPr>
    </w:p>
    <w:p>
      <w:pPr>
        <w:pStyle w:val="Heading1"/>
      </w:pPr>
      <w:r>
        <w:t>IV. Illustrative Collateral Adequacy</w:t>
      </w:r>
    </w:p>
    <w:p>
      <w:pPr>
        <w:spacing w:after="120"/>
      </w:pPr>
      <w:r>
        <w:rPr>
          <w:b w:val="0"/>
          <w:i w:val="0"/>
          <w:sz w:val="18"/>
        </w:rPr>
        <w:t>Method and assumptions: ceded written premium of $57.9M, written evenly through 2025 on 12-month policies (risks-attaching); ceded UPR and earned premium calculated pro rata; ceded incurred loss and ALAE = earned premium × loss ratio (Lakeshore mean 62.3%, 95th percentile 81.4%, 99th percentile 94.2%). Paid losses, ceding commission offsets and funds held are ignored, which is a conservative simplification for an immature long-tail CGL book. This is an order-of-magnitude illustration only. Pinnacle’s Chief Actuary and statutory accountants should compute the actual Schedule F measure.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68"/>
            <w:shd w:val="clear" w:color="auto" w:fill="1F3A5F"/>
          </w:tcPr>
          <w:p>
            <w:r/>
            <w:r>
              <w:rPr>
                <w:b/>
                <w:color w:val="FFFFFF"/>
                <w:sz w:val="16"/>
              </w:rPr>
              <w:t>Valuation date</w:t>
            </w:r>
          </w:p>
        </w:tc>
        <w:tc>
          <w:tcPr>
            <w:tcW w:type="dxa" w:w="1080"/>
            <w:shd w:val="clear" w:color="auto" w:fill="1F3A5F"/>
          </w:tcPr>
          <w:p>
            <w:r/>
            <w:r>
              <w:rPr>
                <w:b/>
                <w:color w:val="FFFFFF"/>
                <w:sz w:val="16"/>
              </w:rPr>
              <w:t>Ceded UPR ($M)</w:t>
            </w:r>
          </w:p>
        </w:tc>
        <w:tc>
          <w:tcPr>
            <w:tcW w:type="dxa" w:w="1224"/>
            <w:shd w:val="clear" w:color="auto" w:fill="1F3A5F"/>
          </w:tcPr>
          <w:p>
            <w:r/>
            <w:r>
              <w:rPr>
                <w:b/>
                <w:color w:val="FFFFFF"/>
                <w:sz w:val="16"/>
              </w:rPr>
              <w:t>Ceded earned premium ($M)</w:t>
            </w:r>
          </w:p>
        </w:tc>
        <w:tc>
          <w:tcPr>
            <w:tcW w:type="dxa" w:w="1368"/>
            <w:shd w:val="clear" w:color="auto" w:fill="1F3A5F"/>
          </w:tcPr>
          <w:p>
            <w:r/>
            <w:r>
              <w:rPr>
                <w:b/>
                <w:color w:val="FFFFFF"/>
                <w:sz w:val="16"/>
              </w:rPr>
              <w:t>Ceded liabilities @ 62.3% ($M)</w:t>
            </w:r>
          </w:p>
        </w:tc>
        <w:tc>
          <w:tcPr>
            <w:tcW w:type="dxa" w:w="1008"/>
            <w:shd w:val="clear" w:color="auto" w:fill="1F3A5F"/>
          </w:tcPr>
          <w:p>
            <w:r/>
            <w:r>
              <w:rPr>
                <w:b/>
                <w:color w:val="FFFFFF"/>
                <w:sz w:val="16"/>
              </w:rPr>
              <w:t>@ 81.4% ($M)</w:t>
            </w:r>
          </w:p>
        </w:tc>
        <w:tc>
          <w:tcPr>
            <w:tcW w:type="dxa" w:w="1008"/>
            <w:shd w:val="clear" w:color="auto" w:fill="1F3A5F"/>
          </w:tcPr>
          <w:p>
            <w:r/>
            <w:r>
              <w:rPr>
                <w:b/>
                <w:color w:val="FFFFFF"/>
                <w:sz w:val="16"/>
              </w:rPr>
              <w:t>@ 94.2% ($M)</w:t>
            </w:r>
          </w:p>
        </w:tc>
        <w:tc>
          <w:tcPr>
            <w:tcW w:type="dxa" w:w="2304"/>
            <w:shd w:val="clear" w:color="auto" w:fill="1F3A5F"/>
          </w:tcPr>
          <w:p>
            <w:r/>
            <w:r>
              <w:rPr>
                <w:b/>
                <w:color w:val="FFFFFF"/>
                <w:sz w:val="16"/>
              </w:rPr>
              <w:t>Shortfall vs $43.0M trust (base / 95th / 99th)</w:t>
            </w:r>
          </w:p>
        </w:tc>
      </w:tr>
      <w:tr>
        <w:tc>
          <w:tcPr>
            <w:tcW w:type="dxa" w:w="1368"/>
          </w:tcPr>
          <w:p>
            <w:r/>
            <w:r>
              <w:rPr>
                <w:b w:val="0"/>
                <w:i w:val="0"/>
                <w:sz w:val="16"/>
              </w:rPr>
              <w:t>Mar. 31, 2025</w:t>
            </w:r>
          </w:p>
        </w:tc>
        <w:tc>
          <w:tcPr>
            <w:tcW w:type="dxa" w:w="1080"/>
          </w:tcPr>
          <w:p>
            <w:r/>
            <w:r>
              <w:rPr>
                <w:b w:val="0"/>
                <w:i w:val="0"/>
                <w:sz w:val="16"/>
              </w:rPr>
              <w:t>12.7</w:t>
            </w:r>
          </w:p>
        </w:tc>
        <w:tc>
          <w:tcPr>
            <w:tcW w:type="dxa" w:w="1224"/>
          </w:tcPr>
          <w:p>
            <w:r/>
            <w:r>
              <w:rPr>
                <w:b w:val="0"/>
                <w:i w:val="0"/>
                <w:sz w:val="16"/>
              </w:rPr>
              <w:t>1.8</w:t>
            </w:r>
          </w:p>
        </w:tc>
        <w:tc>
          <w:tcPr>
            <w:tcW w:type="dxa" w:w="1368"/>
          </w:tcPr>
          <w:p>
            <w:r/>
            <w:r>
              <w:rPr>
                <w:b w:val="0"/>
                <w:i w:val="0"/>
                <w:sz w:val="16"/>
              </w:rPr>
              <w:t>13.8</w:t>
            </w:r>
          </w:p>
        </w:tc>
        <w:tc>
          <w:tcPr>
            <w:tcW w:type="dxa" w:w="1008"/>
          </w:tcPr>
          <w:p>
            <w:r/>
            <w:r>
              <w:rPr>
                <w:b w:val="0"/>
                <w:i w:val="0"/>
                <w:sz w:val="16"/>
              </w:rPr>
              <w:t>14.1</w:t>
            </w:r>
          </w:p>
        </w:tc>
        <w:tc>
          <w:tcPr>
            <w:tcW w:type="dxa" w:w="1008"/>
          </w:tcPr>
          <w:p>
            <w:r/>
            <w:r>
              <w:rPr>
                <w:b w:val="0"/>
                <w:i w:val="0"/>
                <w:sz w:val="16"/>
              </w:rPr>
              <w:t>14.4</w:t>
            </w:r>
          </w:p>
        </w:tc>
        <w:tc>
          <w:tcPr>
            <w:tcW w:type="dxa" w:w="2304"/>
          </w:tcPr>
          <w:p>
            <w:r/>
            <w:r>
              <w:rPr>
                <w:b w:val="0"/>
                <w:i w:val="0"/>
                <w:sz w:val="16"/>
              </w:rPr>
              <w:t>None</w:t>
            </w:r>
          </w:p>
        </w:tc>
      </w:tr>
      <w:tr>
        <w:tc>
          <w:tcPr>
            <w:tcW w:type="dxa" w:w="1368"/>
          </w:tcPr>
          <w:p>
            <w:r/>
            <w:r>
              <w:rPr>
                <w:b w:val="0"/>
                <w:i w:val="0"/>
                <w:sz w:val="16"/>
              </w:rPr>
              <w:t>Jun. 30, 2025</w:t>
            </w:r>
          </w:p>
        </w:tc>
        <w:tc>
          <w:tcPr>
            <w:tcW w:type="dxa" w:w="1080"/>
          </w:tcPr>
          <w:p>
            <w:r/>
            <w:r>
              <w:rPr>
                <w:b w:val="0"/>
                <w:i w:val="0"/>
                <w:sz w:val="16"/>
              </w:rPr>
              <w:t>21.7</w:t>
            </w:r>
          </w:p>
        </w:tc>
        <w:tc>
          <w:tcPr>
            <w:tcW w:type="dxa" w:w="1224"/>
          </w:tcPr>
          <w:p>
            <w:r/>
            <w:r>
              <w:rPr>
                <w:b w:val="0"/>
                <w:i w:val="0"/>
                <w:sz w:val="16"/>
              </w:rPr>
              <w:t>7.2</w:t>
            </w:r>
          </w:p>
        </w:tc>
        <w:tc>
          <w:tcPr>
            <w:tcW w:type="dxa" w:w="1368"/>
          </w:tcPr>
          <w:p>
            <w:r/>
            <w:r>
              <w:rPr>
                <w:b w:val="0"/>
                <w:i w:val="0"/>
                <w:sz w:val="16"/>
              </w:rPr>
              <w:t>26.2</w:t>
            </w:r>
          </w:p>
        </w:tc>
        <w:tc>
          <w:tcPr>
            <w:tcW w:type="dxa" w:w="1008"/>
          </w:tcPr>
          <w:p>
            <w:r/>
            <w:r>
              <w:rPr>
                <w:b w:val="0"/>
                <w:i w:val="0"/>
                <w:sz w:val="16"/>
              </w:rPr>
              <w:t>27.6</w:t>
            </w:r>
          </w:p>
        </w:tc>
        <w:tc>
          <w:tcPr>
            <w:tcW w:type="dxa" w:w="1008"/>
          </w:tcPr>
          <w:p>
            <w:r/>
            <w:r>
              <w:rPr>
                <w:b w:val="0"/>
                <w:i w:val="0"/>
                <w:sz w:val="16"/>
              </w:rPr>
              <w:t>28.5</w:t>
            </w:r>
          </w:p>
        </w:tc>
        <w:tc>
          <w:tcPr>
            <w:tcW w:type="dxa" w:w="2304"/>
          </w:tcPr>
          <w:p>
            <w:r/>
            <w:r>
              <w:rPr>
                <w:b w:val="0"/>
                <w:i w:val="0"/>
                <w:sz w:val="16"/>
              </w:rPr>
              <w:t>None</w:t>
            </w:r>
          </w:p>
        </w:tc>
      </w:tr>
      <w:tr>
        <w:tc>
          <w:tcPr>
            <w:tcW w:type="dxa" w:w="1368"/>
          </w:tcPr>
          <w:p>
            <w:r/>
            <w:r>
              <w:rPr>
                <w:b w:val="0"/>
                <w:i w:val="0"/>
                <w:sz w:val="16"/>
              </w:rPr>
              <w:t>Sep. 30, 2025</w:t>
            </w:r>
          </w:p>
        </w:tc>
        <w:tc>
          <w:tcPr>
            <w:tcW w:type="dxa" w:w="1080"/>
          </w:tcPr>
          <w:p>
            <w:r/>
            <w:r>
              <w:rPr>
                <w:b w:val="0"/>
                <w:i w:val="0"/>
                <w:sz w:val="16"/>
              </w:rPr>
              <w:t>27.1</w:t>
            </w:r>
          </w:p>
        </w:tc>
        <w:tc>
          <w:tcPr>
            <w:tcW w:type="dxa" w:w="1224"/>
          </w:tcPr>
          <w:p>
            <w:r/>
            <w:r>
              <w:rPr>
                <w:b w:val="0"/>
                <w:i w:val="0"/>
                <w:sz w:val="16"/>
              </w:rPr>
              <w:t>16.3</w:t>
            </w:r>
          </w:p>
        </w:tc>
        <w:tc>
          <w:tcPr>
            <w:tcW w:type="dxa" w:w="1368"/>
          </w:tcPr>
          <w:p>
            <w:r/>
            <w:r>
              <w:rPr>
                <w:b w:val="0"/>
                <w:i w:val="0"/>
                <w:sz w:val="16"/>
              </w:rPr>
              <w:t>37.3</w:t>
            </w:r>
          </w:p>
        </w:tc>
        <w:tc>
          <w:tcPr>
            <w:tcW w:type="dxa" w:w="1008"/>
          </w:tcPr>
          <w:p>
            <w:r/>
            <w:r>
              <w:rPr>
                <w:b w:val="0"/>
                <w:i w:val="0"/>
                <w:sz w:val="16"/>
              </w:rPr>
              <w:t>40.4</w:t>
            </w:r>
          </w:p>
        </w:tc>
        <w:tc>
          <w:tcPr>
            <w:tcW w:type="dxa" w:w="1008"/>
          </w:tcPr>
          <w:p>
            <w:r/>
            <w:r>
              <w:rPr>
                <w:b w:val="0"/>
                <w:i w:val="0"/>
                <w:sz w:val="16"/>
              </w:rPr>
              <w:t>42.5</w:t>
            </w:r>
          </w:p>
        </w:tc>
        <w:tc>
          <w:tcPr>
            <w:tcW w:type="dxa" w:w="2304"/>
          </w:tcPr>
          <w:p>
            <w:r/>
            <w:r>
              <w:rPr>
                <w:b w:val="0"/>
                <w:i w:val="0"/>
                <w:sz w:val="16"/>
              </w:rPr>
              <w:t>None (thin margin)</w:t>
            </w:r>
          </w:p>
        </w:tc>
      </w:tr>
      <w:tr>
        <w:tc>
          <w:tcPr>
            <w:tcW w:type="dxa" w:w="1368"/>
          </w:tcPr>
          <w:p>
            <w:r/>
            <w:r>
              <w:rPr>
                <w:b/>
                <w:i w:val="0"/>
                <w:sz w:val="16"/>
              </w:rPr>
              <w:t>Dec. 31, 2025</w:t>
            </w:r>
          </w:p>
        </w:tc>
        <w:tc>
          <w:tcPr>
            <w:tcW w:type="dxa" w:w="1080"/>
          </w:tcPr>
          <w:p>
            <w:r/>
            <w:r>
              <w:rPr>
                <w:b/>
                <w:i w:val="0"/>
                <w:sz w:val="16"/>
              </w:rPr>
              <w:t>29.0</w:t>
            </w:r>
          </w:p>
        </w:tc>
        <w:tc>
          <w:tcPr>
            <w:tcW w:type="dxa" w:w="1224"/>
          </w:tcPr>
          <w:p>
            <w:r/>
            <w:r>
              <w:rPr>
                <w:b/>
                <w:i w:val="0"/>
                <w:sz w:val="16"/>
              </w:rPr>
              <w:t>29.0</w:t>
            </w:r>
          </w:p>
        </w:tc>
        <w:tc>
          <w:tcPr>
            <w:tcW w:type="dxa" w:w="1368"/>
          </w:tcPr>
          <w:p>
            <w:r/>
            <w:r>
              <w:rPr>
                <w:b/>
                <w:i w:val="0"/>
                <w:sz w:val="16"/>
              </w:rPr>
              <w:t>47.0</w:t>
            </w:r>
          </w:p>
        </w:tc>
        <w:tc>
          <w:tcPr>
            <w:tcW w:type="dxa" w:w="1008"/>
          </w:tcPr>
          <w:p>
            <w:r/>
            <w:r>
              <w:rPr>
                <w:b/>
                <w:i w:val="0"/>
                <w:sz w:val="16"/>
              </w:rPr>
              <w:t>52.5</w:t>
            </w:r>
          </w:p>
        </w:tc>
        <w:tc>
          <w:tcPr>
            <w:tcW w:type="dxa" w:w="1008"/>
          </w:tcPr>
          <w:p>
            <w:r/>
            <w:r>
              <w:rPr>
                <w:b/>
                <w:i w:val="0"/>
                <w:sz w:val="16"/>
              </w:rPr>
              <w:t>56.2</w:t>
            </w:r>
          </w:p>
        </w:tc>
        <w:tc>
          <w:tcPr>
            <w:tcW w:type="dxa" w:w="2304"/>
          </w:tcPr>
          <w:p>
            <w:r/>
            <w:r>
              <w:rPr>
                <w:b/>
                <w:i w:val="0"/>
                <w:sz w:val="16"/>
              </w:rPr>
              <w:t>$4.0M / $9.5M / $13.2M</w:t>
            </w:r>
          </w:p>
        </w:tc>
      </w:tr>
      <w:tr>
        <w:tc>
          <w:tcPr>
            <w:tcW w:type="dxa" w:w="1368"/>
          </w:tcPr>
          <w:p>
            <w:r/>
            <w:r>
              <w:rPr>
                <w:b w:val="0"/>
                <w:i w:val="0"/>
                <w:sz w:val="16"/>
              </w:rPr>
              <w:t>Mar. 31, 2026</w:t>
            </w:r>
          </w:p>
        </w:tc>
        <w:tc>
          <w:tcPr>
            <w:tcW w:type="dxa" w:w="1080"/>
          </w:tcPr>
          <w:p>
            <w:r/>
            <w:r>
              <w:rPr>
                <w:b w:val="0"/>
                <w:i w:val="0"/>
                <w:sz w:val="16"/>
              </w:rPr>
              <w:t>16.3</w:t>
            </w:r>
          </w:p>
        </w:tc>
        <w:tc>
          <w:tcPr>
            <w:tcW w:type="dxa" w:w="1224"/>
          </w:tcPr>
          <w:p>
            <w:r/>
            <w:r>
              <w:rPr>
                <w:b w:val="0"/>
                <w:i w:val="0"/>
                <w:sz w:val="16"/>
              </w:rPr>
              <w:t>41.6</w:t>
            </w:r>
          </w:p>
        </w:tc>
        <w:tc>
          <w:tcPr>
            <w:tcW w:type="dxa" w:w="1368"/>
          </w:tcPr>
          <w:p>
            <w:r/>
            <w:r>
              <w:rPr>
                <w:b w:val="0"/>
                <w:i w:val="0"/>
                <w:sz w:val="16"/>
              </w:rPr>
              <w:t>42.2</w:t>
            </w:r>
          </w:p>
        </w:tc>
        <w:tc>
          <w:tcPr>
            <w:tcW w:type="dxa" w:w="1008"/>
          </w:tcPr>
          <w:p>
            <w:r/>
            <w:r>
              <w:rPr>
                <w:b w:val="0"/>
                <w:i w:val="0"/>
                <w:sz w:val="16"/>
              </w:rPr>
              <w:t>50.2</w:t>
            </w:r>
          </w:p>
        </w:tc>
        <w:tc>
          <w:tcPr>
            <w:tcW w:type="dxa" w:w="1008"/>
          </w:tcPr>
          <w:p>
            <w:r/>
            <w:r>
              <w:rPr>
                <w:b w:val="0"/>
                <w:i w:val="0"/>
                <w:sz w:val="16"/>
              </w:rPr>
              <w:t>55.5</w:t>
            </w:r>
          </w:p>
        </w:tc>
        <w:tc>
          <w:tcPr>
            <w:tcW w:type="dxa" w:w="2304"/>
          </w:tcPr>
          <w:p>
            <w:r/>
            <w:r>
              <w:rPr>
                <w:b w:val="0"/>
                <w:i w:val="0"/>
                <w:sz w:val="16"/>
              </w:rPr>
              <w:t>None / $7.2M / $12.5M</w:t>
            </w:r>
          </w:p>
        </w:tc>
      </w:tr>
      <w:tr>
        <w:tc>
          <w:tcPr>
            <w:tcW w:type="dxa" w:w="1368"/>
          </w:tcPr>
          <w:p>
            <w:r/>
            <w:r>
              <w:rPr>
                <w:b w:val="0"/>
                <w:i w:val="0"/>
                <w:sz w:val="16"/>
              </w:rPr>
              <w:t>Jun. 30, 2026</w:t>
            </w:r>
          </w:p>
        </w:tc>
        <w:tc>
          <w:tcPr>
            <w:tcW w:type="dxa" w:w="1080"/>
          </w:tcPr>
          <w:p>
            <w:r/>
            <w:r>
              <w:rPr>
                <w:b w:val="0"/>
                <w:i w:val="0"/>
                <w:sz w:val="16"/>
              </w:rPr>
              <w:t>7.2</w:t>
            </w:r>
          </w:p>
        </w:tc>
        <w:tc>
          <w:tcPr>
            <w:tcW w:type="dxa" w:w="1224"/>
          </w:tcPr>
          <w:p>
            <w:r/>
            <w:r>
              <w:rPr>
                <w:b w:val="0"/>
                <w:i w:val="0"/>
                <w:sz w:val="16"/>
              </w:rPr>
              <w:t>50.7</w:t>
            </w:r>
          </w:p>
        </w:tc>
        <w:tc>
          <w:tcPr>
            <w:tcW w:type="dxa" w:w="1368"/>
          </w:tcPr>
          <w:p>
            <w:r/>
            <w:r>
              <w:rPr>
                <w:b w:val="0"/>
                <w:i w:val="0"/>
                <w:sz w:val="16"/>
              </w:rPr>
              <w:t>38.8</w:t>
            </w:r>
          </w:p>
        </w:tc>
        <w:tc>
          <w:tcPr>
            <w:tcW w:type="dxa" w:w="1008"/>
          </w:tcPr>
          <w:p>
            <w:r/>
            <w:r>
              <w:rPr>
                <w:b w:val="0"/>
                <w:i w:val="0"/>
                <w:sz w:val="16"/>
              </w:rPr>
              <w:t>48.5</w:t>
            </w:r>
          </w:p>
        </w:tc>
        <w:tc>
          <w:tcPr>
            <w:tcW w:type="dxa" w:w="1008"/>
          </w:tcPr>
          <w:p>
            <w:r/>
            <w:r>
              <w:rPr>
                <w:b w:val="0"/>
                <w:i w:val="0"/>
                <w:sz w:val="16"/>
              </w:rPr>
              <w:t>55.0</w:t>
            </w:r>
          </w:p>
        </w:tc>
        <w:tc>
          <w:tcPr>
            <w:tcW w:type="dxa" w:w="2304"/>
          </w:tcPr>
          <w:p>
            <w:r/>
            <w:r>
              <w:rPr>
                <w:b w:val="0"/>
                <w:i w:val="0"/>
                <w:sz w:val="16"/>
              </w:rPr>
              <w:t>None / $5.5M / $12.0M</w:t>
            </w:r>
          </w:p>
        </w:tc>
      </w:tr>
      <w:tr>
        <w:tc>
          <w:tcPr>
            <w:tcW w:type="dxa" w:w="1368"/>
          </w:tcPr>
          <w:p>
            <w:r/>
            <w:r>
              <w:rPr>
                <w:b w:val="0"/>
                <w:i w:val="0"/>
                <w:sz w:val="16"/>
              </w:rPr>
              <w:t>Dec. 31, 2026</w:t>
            </w:r>
          </w:p>
        </w:tc>
        <w:tc>
          <w:tcPr>
            <w:tcW w:type="dxa" w:w="1080"/>
          </w:tcPr>
          <w:p>
            <w:r/>
            <w:r>
              <w:rPr>
                <w:b w:val="0"/>
                <w:i w:val="0"/>
                <w:sz w:val="16"/>
              </w:rPr>
              <w:t>0.0</w:t>
            </w:r>
          </w:p>
        </w:tc>
        <w:tc>
          <w:tcPr>
            <w:tcW w:type="dxa" w:w="1224"/>
          </w:tcPr>
          <w:p>
            <w:r/>
            <w:r>
              <w:rPr>
                <w:b w:val="0"/>
                <w:i w:val="0"/>
                <w:sz w:val="16"/>
              </w:rPr>
              <w:t>57.9</w:t>
            </w:r>
          </w:p>
        </w:tc>
        <w:tc>
          <w:tcPr>
            <w:tcW w:type="dxa" w:w="1368"/>
          </w:tcPr>
          <w:p>
            <w:r/>
            <w:r>
              <w:rPr>
                <w:b w:val="0"/>
                <w:i w:val="0"/>
                <w:sz w:val="16"/>
              </w:rPr>
              <w:t>36.1</w:t>
            </w:r>
          </w:p>
        </w:tc>
        <w:tc>
          <w:tcPr>
            <w:tcW w:type="dxa" w:w="1008"/>
          </w:tcPr>
          <w:p>
            <w:r/>
            <w:r>
              <w:rPr>
                <w:b w:val="0"/>
                <w:i w:val="0"/>
                <w:sz w:val="16"/>
              </w:rPr>
              <w:t>47.1</w:t>
            </w:r>
          </w:p>
        </w:tc>
        <w:tc>
          <w:tcPr>
            <w:tcW w:type="dxa" w:w="1008"/>
          </w:tcPr>
          <w:p>
            <w:r/>
            <w:r>
              <w:rPr>
                <w:b w:val="0"/>
                <w:i w:val="0"/>
                <w:sz w:val="16"/>
              </w:rPr>
              <w:t>54.5</w:t>
            </w:r>
          </w:p>
        </w:tc>
        <w:tc>
          <w:tcPr>
            <w:tcW w:type="dxa" w:w="2304"/>
          </w:tcPr>
          <w:p>
            <w:r/>
            <w:r>
              <w:rPr>
                <w:b w:val="0"/>
                <w:i w:val="0"/>
                <w:sz w:val="16"/>
              </w:rPr>
              <w:t>None / $4.1M / $11.5M (before paid losses)</w:t>
            </w:r>
          </w:p>
        </w:tc>
      </w:tr>
    </w:tbl>
    <w:p>
      <w:pPr>
        <w:spacing w:after="40"/>
      </w:pPr>
    </w:p>
    <w:p>
      <w:pPr>
        <w:spacing w:after="120"/>
      </w:pPr>
      <w:r>
        <w:rPr>
          <w:b w:val="0"/>
          <w:i w:val="0"/>
        </w:rPr>
        <w:t>Observations: (1) the $43M trust is likely inadequate at the first annual statement date even at expected losses; (2) in adverse scenarios it remains inadequate into 2026; (3) Trust §4.02 recalculates only as of December 31, and only with Argonaut Re’s consent, so it cannot respond in time. Lakeshore’s adverse-case ultimate ceded loss of $47.1M on its own exceeds the trust (B&amp;R Summary §6). Quarterly recalculation tied to 100% of Obligations is required.</w:t>
      </w:r>
    </w:p>
    <w:p>
      <w:pPr>
        <w:pStyle w:val="Heading1"/>
      </w:pPr>
      <w:r>
        <w:t>V. Negotiation Strategy</w:t>
      </w:r>
    </w:p>
    <w:p>
      <w:pPr>
        <w:spacing w:after="120"/>
      </w:pPr>
      <w:r>
        <w:rPr>
          <w:b w:val="0"/>
          <w:i w:val="0"/>
        </w:rPr>
        <w:t>Argonaut Re has labeled three positions final: the Bermuda seat, law and procedure with fee-shifting; no deemed consent; and no interim binder. Pinnacle’s strongest leverage is that most of its required changes are conditions of statutory credit, which Argonaut Re says it wants to accommodate (Jan. 8 carve-out offer; Dec. 4 openness on trust mechanics). Argonaut Re also needs this placement: it is about 11% of its NWP. We suggest grouping Pinnacle’s positions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3A5F"/>
          </w:tcPr>
          <w:p>
            <w:r/>
            <w:r>
              <w:rPr>
                <w:b/>
                <w:color w:val="FFFFFF"/>
                <w:sz w:val="16"/>
              </w:rPr>
              <w:t>Tier</w:t>
            </w:r>
          </w:p>
        </w:tc>
        <w:tc>
          <w:tcPr>
            <w:tcW w:type="dxa" w:w="4464"/>
            <w:shd w:val="clear" w:color="auto" w:fill="1F3A5F"/>
          </w:tcPr>
          <w:p>
            <w:r/>
            <w:r>
              <w:rPr>
                <w:b/>
                <w:color w:val="FFFFFF"/>
                <w:sz w:val="16"/>
              </w:rPr>
              <w:t>Positions</w:t>
            </w:r>
          </w:p>
        </w:tc>
        <w:tc>
          <w:tcPr>
            <w:tcW w:type="dxa" w:w="2880"/>
            <w:shd w:val="clear" w:color="auto" w:fill="1F3A5F"/>
          </w:tcPr>
          <w:p>
            <w:r/>
            <w:r>
              <w:rPr>
                <w:b/>
                <w:color w:val="FFFFFF"/>
                <w:sz w:val="16"/>
              </w:rPr>
              <w:t>Framing</w:t>
            </w:r>
          </w:p>
        </w:tc>
      </w:tr>
      <w:tr>
        <w:tc>
          <w:tcPr>
            <w:tcW w:type="dxa" w:w="2016"/>
          </w:tcPr>
          <w:p>
            <w:r/>
            <w:r>
              <w:rPr>
                <w:b w:val="0"/>
                <w:i w:val="0"/>
                <w:sz w:val="16"/>
              </w:rPr>
              <w:t>1 — Regulatory non-negotiables (condition to signing)</w:t>
            </w:r>
          </w:p>
        </w:tc>
        <w:tc>
          <w:tcPr>
            <w:tcW w:type="dxa" w:w="4464"/>
          </w:tcPr>
          <w:p>
            <w:r/>
            <w:r>
              <w:rPr>
                <w:b w:val="0"/>
                <w:i w:val="0"/>
                <w:sz w:val="16"/>
              </w:rPr>
              <w:t>Service of suit; statutory insolvency clause; corrected intermediary clause; trust conformed to model requirements (unconditional withdrawal; no Grantor offset or withdrawal; 30-day termination notice; successor-trustee mechanics; Beneficiary approval of substitutions); 100%-of-Obligations trust with quarterly top-up; Illinois-law carve-out covering these; SSAP 62R risk transfer confirmed; binding instrument and funded trust before March 31.</w:t>
            </w:r>
          </w:p>
        </w:tc>
        <w:tc>
          <w:tcPr>
            <w:tcW w:type="dxa" w:w="2880"/>
          </w:tcPr>
          <w:p>
            <w:r/>
            <w:r>
              <w:rPr>
                <w:b w:val="0"/>
                <w:i w:val="0"/>
                <w:sz w:val="16"/>
              </w:rPr>
              <w:t>Fall within Argonaut Re’s own offer to accommodate “provisions expressly required by Illinois statute.” Without them the cession does not deliver credit, and neither party gets the deal it priced.</w:t>
            </w:r>
          </w:p>
        </w:tc>
      </w:tr>
      <w:tr>
        <w:tc>
          <w:tcPr>
            <w:tcW w:type="dxa" w:w="2016"/>
          </w:tcPr>
          <w:p>
            <w:r/>
            <w:r>
              <w:rPr>
                <w:b w:val="0"/>
                <w:i w:val="0"/>
                <w:sz w:val="16"/>
              </w:rPr>
              <w:t>2 — Core commercial protections (hold firm)</w:t>
            </w:r>
          </w:p>
        </w:tc>
        <w:tc>
          <w:tcPr>
            <w:tcW w:type="dxa" w:w="4464"/>
          </w:tcPr>
          <w:p>
            <w:r/>
            <w:r>
              <w:rPr>
                <w:b w:val="0"/>
                <w:i w:val="0"/>
                <w:sz w:val="16"/>
              </w:rPr>
              <w:t>$750K/$1M thresholds at minimum; refusal-to-consent / ECO-sharing clause and “not unreasonably withheld”; delete “control”; follow-the-settlements and E&amp;O clauses; downgrade and special termination; cash call; consent to assignment; mutual-only commutation including IBNR; FET for the Reinsurer’s account.</w:t>
            </w:r>
          </w:p>
        </w:tc>
        <w:tc>
          <w:tcPr>
            <w:tcW w:type="dxa" w:w="2880"/>
          </w:tcPr>
          <w:p>
            <w:r/>
            <w:r>
              <w:rPr>
                <w:b w:val="0"/>
                <w:i w:val="0"/>
                <w:sz w:val="16"/>
              </w:rPr>
              <w:t>Do not reopen deemed consent by name. Use the bad-faith and policyholder-protection rationale and the inconsistency that environmental claims are excluded.</w:t>
            </w:r>
          </w:p>
        </w:tc>
      </w:tr>
      <w:tr>
        <w:tc>
          <w:tcPr>
            <w:tcW w:type="dxa" w:w="2016"/>
          </w:tcPr>
          <w:p>
            <w:r/>
            <w:r>
              <w:rPr>
                <w:b w:val="0"/>
                <w:i w:val="0"/>
                <w:sz w:val="16"/>
              </w:rPr>
              <w:t>3 — Tradeable</w:t>
            </w:r>
          </w:p>
        </w:tc>
        <w:tc>
          <w:tcPr>
            <w:tcW w:type="dxa" w:w="4464"/>
          </w:tcPr>
          <w:p>
            <w:r/>
            <w:r>
              <w:rPr>
                <w:b w:val="0"/>
                <w:i w:val="0"/>
                <w:sz w:val="16"/>
              </w:rPr>
              <w:t>Fee-shifting (seek deletion; accept discretion or a bad-faith-only standard); provisional commission at 35%; PC carryforward clarification; Sch. D.3 large-loss notice; audit frequency; Canada and territory scope; offset narrowed rather than deleted.</w:t>
            </w:r>
          </w:p>
        </w:tc>
        <w:tc>
          <w:tcPr>
            <w:tcW w:type="dxa" w:w="2880"/>
          </w:tcPr>
          <w:p>
            <w:r/>
            <w:r>
              <w:rPr>
                <w:b w:val="0"/>
                <w:i w:val="0"/>
                <w:sz w:val="16"/>
              </w:rPr>
              <w:t>Concede selectively in exchange for Tier 1 and 2 items. The PC is worth little at expected loss ratios.</w:t>
            </w:r>
          </w:p>
        </w:tc>
      </w:tr>
    </w:tbl>
    <w:p>
      <w:pPr>
        <w:spacing w:after="40"/>
      </w:pPr>
    </w:p>
    <w:p>
      <w:pPr>
        <w:pStyle w:val="Heading1"/>
      </w:pPr>
      <w:r>
        <w:t>VI. Recommended Next Steps (through February 1, 2025)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F3A5F"/>
          </w:tcPr>
          <w:p>
            <w:r/>
            <w:r>
              <w:rPr>
                <w:b/>
                <w:color w:val="FFFFFF"/>
                <w:sz w:val="16"/>
              </w:rPr>
              <w:t>#</w:t>
            </w:r>
          </w:p>
        </w:tc>
        <w:tc>
          <w:tcPr>
            <w:tcW w:type="dxa" w:w="5184"/>
            <w:shd w:val="clear" w:color="auto" w:fill="1F3A5F"/>
          </w:tcPr>
          <w:p>
            <w:r/>
            <w:r>
              <w:rPr>
                <w:b/>
                <w:color w:val="FFFFFF"/>
                <w:sz w:val="16"/>
              </w:rPr>
              <w:t>Action</w:t>
            </w:r>
          </w:p>
        </w:tc>
        <w:tc>
          <w:tcPr>
            <w:tcW w:type="dxa" w:w="2160"/>
            <w:shd w:val="clear" w:color="auto" w:fill="1F3A5F"/>
          </w:tcPr>
          <w:p>
            <w:r/>
            <w:r>
              <w:rPr>
                <w:b/>
                <w:color w:val="FFFFFF"/>
                <w:sz w:val="16"/>
              </w:rPr>
              <w:t>Owner</w:t>
            </w:r>
          </w:p>
        </w:tc>
        <w:tc>
          <w:tcPr>
            <w:tcW w:type="dxa" w:w="1584"/>
            <w:shd w:val="clear" w:color="auto" w:fill="1F3A5F"/>
          </w:tcPr>
          <w:p>
            <w:r/>
            <w:r>
              <w:rPr>
                <w:b/>
                <w:color w:val="FFFFFF"/>
                <w:sz w:val="16"/>
              </w:rPr>
              <w:t>Timing</w:t>
            </w:r>
          </w:p>
        </w:tc>
      </w:tr>
      <w:tr>
        <w:tc>
          <w:tcPr>
            <w:tcW w:type="dxa" w:w="432"/>
          </w:tcPr>
          <w:p>
            <w:r/>
            <w:r>
              <w:rPr>
                <w:b w:val="0"/>
                <w:i w:val="0"/>
                <w:sz w:val="16"/>
              </w:rPr>
              <w:t>1</w:t>
            </w:r>
          </w:p>
        </w:tc>
        <w:tc>
          <w:tcPr>
            <w:tcW w:type="dxa" w:w="5184"/>
          </w:tcPr>
          <w:p>
            <w:r/>
            <w:r>
              <w:rPr>
                <w:b w:val="0"/>
                <w:i w:val="0"/>
                <w:sz w:val="16"/>
              </w:rPr>
              <w:t>Deliver a full markup of the Treaty and Trust Agreement reflecting this memorandum (with an issues list for Whitmore Gallagher and the Trustee).</w:t>
            </w:r>
          </w:p>
        </w:tc>
        <w:tc>
          <w:tcPr>
            <w:tcW w:type="dxa" w:w="2160"/>
          </w:tcPr>
          <w:p>
            <w:r/>
            <w:r>
              <w:rPr>
                <w:b w:val="0"/>
                <w:i w:val="0"/>
                <w:sz w:val="16"/>
              </w:rPr>
              <w:t>Outside counsel / S. Tillman</w:t>
            </w:r>
          </w:p>
        </w:tc>
        <w:tc>
          <w:tcPr>
            <w:tcW w:type="dxa" w:w="1584"/>
          </w:tcPr>
          <w:p>
            <w:r/>
            <w:r>
              <w:rPr>
                <w:b w:val="0"/>
                <w:i w:val="0"/>
                <w:sz w:val="16"/>
              </w:rPr>
              <w:t>Jan. 17</w:t>
            </w:r>
          </w:p>
        </w:tc>
      </w:tr>
      <w:tr>
        <w:tc>
          <w:tcPr>
            <w:tcW w:type="dxa" w:w="432"/>
          </w:tcPr>
          <w:p>
            <w:r/>
            <w:r>
              <w:rPr>
                <w:b w:val="0"/>
                <w:i w:val="0"/>
                <w:sz w:val="16"/>
              </w:rPr>
              <w:t>2</w:t>
            </w:r>
          </w:p>
        </w:tc>
        <w:tc>
          <w:tcPr>
            <w:tcW w:type="dxa" w:w="5184"/>
          </w:tcPr>
          <w:p>
            <w:r/>
            <w:r>
              <w:rPr>
                <w:b w:val="0"/>
                <w:i w:val="0"/>
                <w:sz w:val="16"/>
              </w:rPr>
              <w:t>Commission the SSAP No. 62R risk-transfer analysis and the integrated aggregate-limit / sliding-scale stochastic model on final terms.</w:t>
            </w:r>
          </w:p>
        </w:tc>
        <w:tc>
          <w:tcPr>
            <w:tcW w:type="dxa" w:w="2160"/>
          </w:tcPr>
          <w:p>
            <w:r/>
            <w:r>
              <w:rPr>
                <w:b w:val="0"/>
                <w:i w:val="0"/>
                <w:sz w:val="16"/>
              </w:rPr>
              <w:t>P. Ramanathan / Lakeshore / statutory auditor</w:t>
            </w:r>
          </w:p>
        </w:tc>
        <w:tc>
          <w:tcPr>
            <w:tcW w:type="dxa" w:w="1584"/>
          </w:tcPr>
          <w:p>
            <w:r/>
            <w:r>
              <w:rPr>
                <w:b w:val="0"/>
                <w:i w:val="0"/>
                <w:sz w:val="16"/>
              </w:rPr>
              <w:t>Start immediately; complete before execution</w:t>
            </w:r>
          </w:p>
        </w:tc>
      </w:tr>
      <w:tr>
        <w:tc>
          <w:tcPr>
            <w:tcW w:type="dxa" w:w="432"/>
          </w:tcPr>
          <w:p>
            <w:r/>
            <w:r>
              <w:rPr>
                <w:b w:val="0"/>
                <w:i w:val="0"/>
                <w:sz w:val="16"/>
              </w:rPr>
              <w:t>3</w:t>
            </w:r>
          </w:p>
        </w:tc>
        <w:tc>
          <w:tcPr>
            <w:tcW w:type="dxa" w:w="5184"/>
          </w:tcPr>
          <w:p>
            <w:r/>
            <w:r>
              <w:rPr>
                <w:b w:val="0"/>
                <w:i w:val="0"/>
                <w:sz w:val="16"/>
              </w:rPr>
              <w:t>Compute projected ceded liabilities (Schedule F basis) by quarter through 2027 to size the Required Trust Amount and any LOC or funds-withheld supplement.</w:t>
            </w:r>
          </w:p>
        </w:tc>
        <w:tc>
          <w:tcPr>
            <w:tcW w:type="dxa" w:w="2160"/>
          </w:tcPr>
          <w:p>
            <w:r/>
            <w:r>
              <w:rPr>
                <w:b w:val="0"/>
                <w:i w:val="0"/>
                <w:sz w:val="16"/>
              </w:rPr>
              <w:t>D. Chen / P. Ramanathan</w:t>
            </w:r>
          </w:p>
        </w:tc>
        <w:tc>
          <w:tcPr>
            <w:tcW w:type="dxa" w:w="1584"/>
          </w:tcPr>
          <w:p>
            <w:r/>
            <w:r>
              <w:rPr>
                <w:b w:val="0"/>
                <w:i w:val="0"/>
                <w:sz w:val="16"/>
              </w:rPr>
              <w:t>Jan. 24</w:t>
            </w:r>
          </w:p>
        </w:tc>
      </w:tr>
      <w:tr>
        <w:tc>
          <w:tcPr>
            <w:tcW w:type="dxa" w:w="432"/>
          </w:tcPr>
          <w:p>
            <w:r/>
            <w:r>
              <w:rPr>
                <w:b w:val="0"/>
                <w:i w:val="0"/>
                <w:sz w:val="16"/>
              </w:rPr>
              <w:t>4</w:t>
            </w:r>
          </w:p>
        </w:tc>
        <w:tc>
          <w:tcPr>
            <w:tcW w:type="dxa" w:w="5184"/>
          </w:tcPr>
          <w:p>
            <w:r/>
            <w:r>
              <w:rPr>
                <w:b w:val="0"/>
                <w:i w:val="0"/>
                <w:sz w:val="16"/>
              </w:rPr>
              <w:t>CEO-level call (Holloway–Jørgensen) on the gap period: executed Treaty by Jan. 31 or a signed binding placement slip; trust funded at execution.</w:t>
            </w:r>
          </w:p>
        </w:tc>
        <w:tc>
          <w:tcPr>
            <w:tcW w:type="dxa" w:w="2160"/>
          </w:tcPr>
          <w:p>
            <w:r/>
            <w:r>
              <w:rPr>
                <w:b w:val="0"/>
                <w:i w:val="0"/>
                <w:sz w:val="16"/>
              </w:rPr>
              <w:t>M. Holloway / S. Tillman / C. Voss</w:t>
            </w:r>
          </w:p>
        </w:tc>
        <w:tc>
          <w:tcPr>
            <w:tcW w:type="dxa" w:w="1584"/>
          </w:tcPr>
          <w:p>
            <w:r/>
            <w:r>
              <w:rPr>
                <w:b w:val="0"/>
                <w:i w:val="0"/>
                <w:sz w:val="16"/>
              </w:rPr>
              <w:t>Week of Jan. 20</w:t>
            </w:r>
          </w:p>
        </w:tc>
      </w:tr>
      <w:tr>
        <w:tc>
          <w:tcPr>
            <w:tcW w:type="dxa" w:w="432"/>
          </w:tcPr>
          <w:p>
            <w:r/>
            <w:r>
              <w:rPr>
                <w:b w:val="0"/>
                <w:i w:val="0"/>
                <w:sz w:val="16"/>
              </w:rPr>
              <w:t>5</w:t>
            </w:r>
          </w:p>
        </w:tc>
        <w:tc>
          <w:tcPr>
            <w:tcW w:type="dxa" w:w="5184"/>
          </w:tcPr>
          <w:p>
            <w:r/>
            <w:r>
              <w:rPr>
                <w:b w:val="0"/>
                <w:i w:val="0"/>
                <w:sz w:val="16"/>
              </w:rPr>
              <w:t>Confirm board reinsurance-security guidelines and obtain an updated board resolution approving counterparty, collateral and final terms.</w:t>
            </w:r>
          </w:p>
        </w:tc>
        <w:tc>
          <w:tcPr>
            <w:tcW w:type="dxa" w:w="2160"/>
          </w:tcPr>
          <w:p>
            <w:r/>
            <w:r>
              <w:rPr>
                <w:b w:val="0"/>
                <w:i w:val="0"/>
                <w:sz w:val="16"/>
              </w:rPr>
              <w:t>S. Tillman (Secretary)</w:t>
            </w:r>
          </w:p>
        </w:tc>
        <w:tc>
          <w:tcPr>
            <w:tcW w:type="dxa" w:w="1584"/>
          </w:tcPr>
          <w:p>
            <w:r/>
            <w:r>
              <w:rPr>
                <w:b w:val="0"/>
                <w:i w:val="0"/>
                <w:sz w:val="16"/>
              </w:rPr>
              <w:t>Before execution</w:t>
            </w:r>
          </w:p>
        </w:tc>
      </w:tr>
      <w:tr>
        <w:tc>
          <w:tcPr>
            <w:tcW w:type="dxa" w:w="432"/>
          </w:tcPr>
          <w:p>
            <w:r/>
            <w:r>
              <w:rPr>
                <w:b w:val="0"/>
                <w:i w:val="0"/>
                <w:sz w:val="16"/>
              </w:rPr>
              <w:t>6</w:t>
            </w:r>
          </w:p>
        </w:tc>
        <w:tc>
          <w:tcPr>
            <w:tcW w:type="dxa" w:w="5184"/>
          </w:tcPr>
          <w:p>
            <w:r/>
            <w:r>
              <w:rPr>
                <w:b w:val="0"/>
                <w:i w:val="0"/>
                <w:sz w:val="16"/>
              </w:rPr>
              <w:t>Confirm current Illinois credit-for-reinsurance requirements (trust form, reinsurance-agreement provisions, reciprocal-jurisdiction status). Consider informal outreach to the Department on the trust structure.</w:t>
            </w:r>
          </w:p>
        </w:tc>
        <w:tc>
          <w:tcPr>
            <w:tcW w:type="dxa" w:w="2160"/>
          </w:tcPr>
          <w:p>
            <w:r/>
            <w:r>
              <w:rPr>
                <w:b w:val="0"/>
                <w:i w:val="0"/>
                <w:sz w:val="16"/>
              </w:rPr>
              <w:t>Outside counsel</w:t>
            </w:r>
          </w:p>
        </w:tc>
        <w:tc>
          <w:tcPr>
            <w:tcW w:type="dxa" w:w="1584"/>
          </w:tcPr>
          <w:p>
            <w:r/>
            <w:r>
              <w:rPr>
                <w:b w:val="0"/>
                <w:i w:val="0"/>
                <w:sz w:val="16"/>
              </w:rPr>
              <w:t>Jan. 24</w:t>
            </w:r>
          </w:p>
        </w:tc>
      </w:tr>
      <w:tr>
        <w:tc>
          <w:tcPr>
            <w:tcW w:type="dxa" w:w="432"/>
          </w:tcPr>
          <w:p>
            <w:r/>
            <w:r>
              <w:rPr>
                <w:b w:val="0"/>
                <w:i w:val="0"/>
                <w:sz w:val="16"/>
              </w:rPr>
              <w:t>7</w:t>
            </w:r>
          </w:p>
        </w:tc>
        <w:tc>
          <w:tcPr>
            <w:tcW w:type="dxa" w:w="5184"/>
          </w:tcPr>
          <w:p>
            <w:r/>
            <w:r>
              <w:rPr>
                <w:b w:val="0"/>
                <w:i w:val="0"/>
                <w:sz w:val="16"/>
              </w:rPr>
              <w:t>Obtain Bermuda counsel confirmation on the 1986 vs 1993 Act, the appointing authority, enforceability of fee-shifting and the Illinois-law carve-out.</w:t>
            </w:r>
          </w:p>
        </w:tc>
        <w:tc>
          <w:tcPr>
            <w:tcW w:type="dxa" w:w="2160"/>
          </w:tcPr>
          <w:p>
            <w:r/>
            <w:r>
              <w:rPr>
                <w:b w:val="0"/>
                <w:i w:val="0"/>
                <w:sz w:val="16"/>
              </w:rPr>
              <w:t>Outside counsel</w:t>
            </w:r>
          </w:p>
        </w:tc>
        <w:tc>
          <w:tcPr>
            <w:tcW w:type="dxa" w:w="1584"/>
          </w:tcPr>
          <w:p>
            <w:r/>
            <w:r>
              <w:rPr>
                <w:b w:val="0"/>
                <w:i w:val="0"/>
                <w:sz w:val="16"/>
              </w:rPr>
              <w:t>Jan. 24</w:t>
            </w:r>
          </w:p>
        </w:tc>
      </w:tr>
      <w:tr>
        <w:tc>
          <w:tcPr>
            <w:tcW w:type="dxa" w:w="432"/>
          </w:tcPr>
          <w:p>
            <w:r/>
            <w:r>
              <w:rPr>
                <w:b w:val="0"/>
                <w:i w:val="0"/>
                <w:sz w:val="16"/>
              </w:rPr>
              <w:t>8</w:t>
            </w:r>
          </w:p>
        </w:tc>
        <w:tc>
          <w:tcPr>
            <w:tcW w:type="dxa" w:w="5184"/>
          </w:tcPr>
          <w:p>
            <w:r/>
            <w:r>
              <w:rPr>
                <w:b w:val="0"/>
                <w:i w:val="0"/>
                <w:sz w:val="16"/>
              </w:rPr>
              <w:t>Diligence B&amp;R: licensed entity, written authorization agreement, compensation disclosure; Lakeshore independence confirmation.</w:t>
            </w:r>
          </w:p>
        </w:tc>
        <w:tc>
          <w:tcPr>
            <w:tcW w:type="dxa" w:w="2160"/>
          </w:tcPr>
          <w:p>
            <w:r/>
            <w:r>
              <w:rPr>
                <w:b w:val="0"/>
                <w:i w:val="0"/>
                <w:sz w:val="16"/>
              </w:rPr>
              <w:t>S. Tillman / outside counsel</w:t>
            </w:r>
          </w:p>
        </w:tc>
        <w:tc>
          <w:tcPr>
            <w:tcW w:type="dxa" w:w="1584"/>
          </w:tcPr>
          <w:p>
            <w:r/>
            <w:r>
              <w:rPr>
                <w:b w:val="0"/>
                <w:i w:val="0"/>
                <w:sz w:val="16"/>
              </w:rPr>
              <w:t>Jan. 24</w:t>
            </w:r>
          </w:p>
        </w:tc>
      </w:tr>
      <w:tr>
        <w:tc>
          <w:tcPr>
            <w:tcW w:type="dxa" w:w="432"/>
          </w:tcPr>
          <w:p>
            <w:r/>
            <w:r>
              <w:rPr>
                <w:b w:val="0"/>
                <w:i w:val="0"/>
                <w:sz w:val="16"/>
              </w:rPr>
              <w:t>9</w:t>
            </w:r>
          </w:p>
        </w:tc>
        <w:tc>
          <w:tcPr>
            <w:tcW w:type="dxa" w:w="5184"/>
          </w:tcPr>
          <w:p>
            <w:r/>
            <w:r>
              <w:rPr>
                <w:b w:val="0"/>
                <w:i w:val="0"/>
                <w:sz w:val="16"/>
              </w:rPr>
              <w:t>Contingency plan if not bound by Feb. 1: alternative market soundings, Q1 reporting approach, underwriting instructions on ceding systems.</w:t>
            </w:r>
          </w:p>
        </w:tc>
        <w:tc>
          <w:tcPr>
            <w:tcW w:type="dxa" w:w="2160"/>
          </w:tcPr>
          <w:p>
            <w:r/>
            <w:r>
              <w:rPr>
                <w:b w:val="0"/>
                <w:i w:val="0"/>
                <w:sz w:val="16"/>
              </w:rPr>
              <w:t>D. Chen / C. Voss</w:t>
            </w:r>
          </w:p>
        </w:tc>
        <w:tc>
          <w:tcPr>
            <w:tcW w:type="dxa" w:w="1584"/>
          </w:tcPr>
          <w:p>
            <w:r/>
            <w:r>
              <w:rPr>
                <w:b w:val="0"/>
                <w:i w:val="0"/>
                <w:sz w:val="16"/>
              </w:rPr>
              <w:t>Jan. 27</w:t>
            </w:r>
          </w:p>
        </w:tc>
      </w:tr>
      <w:tr>
        <w:tc>
          <w:tcPr>
            <w:tcW w:type="dxa" w:w="432"/>
          </w:tcPr>
          <w:p>
            <w:r/>
            <w:r>
              <w:rPr>
                <w:b w:val="0"/>
                <w:i w:val="0"/>
                <w:sz w:val="16"/>
              </w:rPr>
              <w:t>10</w:t>
            </w:r>
          </w:p>
        </w:tc>
        <w:tc>
          <w:tcPr>
            <w:tcW w:type="dxa" w:w="5184"/>
          </w:tcPr>
          <w:p>
            <w:r/>
            <w:r>
              <w:rPr>
                <w:b w:val="0"/>
                <w:i w:val="0"/>
                <w:sz w:val="16"/>
              </w:rPr>
              <w:t>Tax review of FET (Form 720) and withholding mechanics.</w:t>
            </w:r>
          </w:p>
        </w:tc>
        <w:tc>
          <w:tcPr>
            <w:tcW w:type="dxa" w:w="2160"/>
          </w:tcPr>
          <w:p>
            <w:r/>
            <w:r>
              <w:rPr>
                <w:b w:val="0"/>
                <w:i w:val="0"/>
                <w:sz w:val="16"/>
              </w:rPr>
              <w:t>Pinnacle Tax</w:t>
            </w:r>
          </w:p>
        </w:tc>
        <w:tc>
          <w:tcPr>
            <w:tcW w:type="dxa" w:w="1584"/>
          </w:tcPr>
          <w:p>
            <w:r/>
            <w:r>
              <w:rPr>
                <w:b w:val="0"/>
                <w:i w:val="0"/>
                <w:sz w:val="16"/>
              </w:rPr>
              <w:t>Jan. 24</w:t>
            </w:r>
          </w:p>
        </w:tc>
      </w:tr>
    </w:tbl>
    <w:p>
      <w:pPr>
        <w:spacing w:after="40"/>
      </w:pPr>
    </w:p>
    <w:p>
      <w:pPr>
        <w:pStyle w:val="Heading1"/>
      </w:pPr>
      <w:r>
        <w:t>Appendix — Documents Reviewed</w:t>
      </w:r>
    </w:p>
    <w:p>
      <w:pPr>
        <w:pStyle w:val="ListBullet"/>
        <w:spacing w:after="60"/>
      </w:pPr>
      <w:r>
        <w:rPr>
          <w:b w:val="0"/>
          <w:i w:val="0"/>
        </w:rPr>
        <w:t>Draft Quota Share Reinsurance Treaty No. QS-2025-001, Pinnacle Casualty Insurance Company and Argonaut Re Ltd., effective January 1, 2025, circulated December 18, 2024 by Whitmore Gallagher LLP (Arts. I–XXIII; Schedules A–D).</w:t>
      </w:r>
    </w:p>
    <w:p>
      <w:pPr>
        <w:pStyle w:val="ListBullet"/>
        <w:spacing w:after="60"/>
      </w:pPr>
      <w:r>
        <w:rPr>
          <w:b w:val="0"/>
          <w:i w:val="0"/>
        </w:rPr>
        <w:t>Draft Reinsurance Trust Agreement among Argonaut Re Ltd. (Grantor), Pinnacle Casualty Insurance Company (Beneficiary) and First Continental Trust Company, N.A. (Trustee), dated as of January 10, 2025 (Arts. I–XI; Exhibits A–C).</w:t>
      </w:r>
    </w:p>
    <w:p>
      <w:pPr>
        <w:pStyle w:val="ListBullet"/>
        <w:spacing w:after="60"/>
      </w:pPr>
      <w:r>
        <w:rPr>
          <w:b w:val="0"/>
          <w:i w:val="0"/>
        </w:rPr>
        <w:t>Lakeshore Actuarial Group, Profitability Analysis, Proposed 30% Quota Share Reinsurance Treaty, January 6, 2025 (Ref. LAG-2025-0012).</w:t>
      </w:r>
    </w:p>
    <w:p>
      <w:pPr>
        <w:pStyle w:val="ListBullet"/>
        <w:spacing w:after="60"/>
      </w:pPr>
      <w:r>
        <w:rPr>
          <w:b w:val="0"/>
          <w:i w:val="0"/>
        </w:rPr>
        <w:t>Baxter &amp; Rowland Intermediaries LLC, Argonaut Re Ltd. 2024 Financial Summary and Reinsurer Profile, January 8, 2025.</w:t>
      </w:r>
    </w:p>
    <w:p>
      <w:pPr>
        <w:pStyle w:val="ListBullet"/>
        <w:spacing w:after="60"/>
      </w:pPr>
      <w:r>
        <w:rPr>
          <w:b w:val="0"/>
          <w:i w:val="0"/>
        </w:rPr>
        <w:t>Negotiation correspondence among C. Voss (B&amp;R), S. Tillman (Pinnacle) and S. Karides (Argonaut Re), November 25, 2024 – January 8, 2025.</w:t>
      </w:r>
    </w:p>
    <w:p>
      <w:pPr>
        <w:spacing w:after="120"/>
      </w:pPr>
      <w:r>
        <w:rPr>
          <w:b w:val="0"/>
          <w:i/>
          <w:sz w:val="18"/>
        </w:rPr>
        <w:t>This memorandum identifies issues for negotiation and further diligence. It does not opine on Bermuda law, on tax, or on the actuarial adequacy of reserves. Statutory references should be confirmed against current Illinois text before the markup is finalized.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